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widowControl/>
        <w:kinsoku/>
        <w:wordWrap/>
        <w:overflowPunct/>
        <w:topLinePunct w:val="0"/>
        <w:autoSpaceDN/>
        <w:bidi w:val="0"/>
        <w:adjustRightInd/>
        <w:spacing w:before="0" w:beforeAutospacing="0" w:after="0" w:afterAutospacing="0" w:line="596" w:lineRule="exact"/>
        <w:jc w:val="center"/>
        <w:textAlignment w:val="auto"/>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rPr>
        <w:t>秀山土家族苗族自治县精神卫生中心</w:t>
      </w:r>
    </w:p>
    <w:p>
      <w:pPr>
        <w:pStyle w:val="8"/>
        <w:keepNext w:val="0"/>
        <w:keepLines w:val="0"/>
        <w:pageBreakBefore w:val="0"/>
        <w:widowControl/>
        <w:kinsoku/>
        <w:wordWrap/>
        <w:overflowPunct/>
        <w:topLinePunct w:val="0"/>
        <w:autoSpaceDN/>
        <w:bidi w:val="0"/>
        <w:adjustRightInd/>
        <w:spacing w:before="0" w:beforeAutospacing="0" w:after="0" w:afterAutospacing="0" w:line="596" w:lineRule="exact"/>
        <w:jc w:val="center"/>
        <w:textAlignment w:val="auto"/>
        <w:rPr>
          <w:rFonts w:hint="default" w:ascii="Times New Roman" w:hAnsi="Times New Roman" w:eastAsia="方正小标宋_GBK" w:cs="Times New Roman"/>
          <w:sz w:val="44"/>
          <w:szCs w:val="44"/>
          <w:shd w:val="clear" w:color="auto" w:fill="FFFFFF"/>
        </w:rPr>
      </w:pPr>
      <w:r>
        <w:rPr>
          <w:rFonts w:hint="default" w:ascii="Times New Roman" w:hAnsi="Times New Roman" w:eastAsia="方正小标宋_GBK" w:cs="Times New Roman"/>
          <w:sz w:val="44"/>
          <w:szCs w:val="44"/>
          <w:shd w:val="clear" w:color="auto" w:fill="FFFFFF"/>
        </w:rPr>
        <w:t>2024年度决算公开说明</w:t>
      </w:r>
    </w:p>
    <w:p>
      <w:pPr>
        <w:pStyle w:val="8"/>
        <w:keepNext w:val="0"/>
        <w:keepLines w:val="0"/>
        <w:pageBreakBefore w:val="0"/>
        <w:widowControl/>
        <w:kinsoku/>
        <w:wordWrap/>
        <w:overflowPunct/>
        <w:topLinePunct w:val="0"/>
        <w:autoSpaceDN/>
        <w:bidi w:val="0"/>
        <w:adjustRightInd/>
        <w:spacing w:before="0" w:beforeAutospacing="0" w:after="0" w:afterAutospacing="0" w:line="596" w:lineRule="exact"/>
        <w:jc w:val="center"/>
        <w:textAlignment w:val="auto"/>
        <w:rPr>
          <w:rFonts w:hint="default" w:ascii="Times New Roman" w:hAnsi="Times New Roman" w:eastAsia="方正小标宋_GBK" w:cs="Times New Roman"/>
          <w:sz w:val="44"/>
          <w:szCs w:val="44"/>
          <w:shd w:val="clear" w:color="auto" w:fill="FFFFFF"/>
        </w:rPr>
      </w:pP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黑体_GBK" w:cs="Times New Roman"/>
          <w:b w:val="0"/>
          <w:bCs/>
          <w:sz w:val="32"/>
          <w:szCs w:val="32"/>
          <w:shd w:val="clear" w:color="auto" w:fill="FFFFFF"/>
        </w:rPr>
      </w:pPr>
      <w:r>
        <w:rPr>
          <w:rStyle w:val="10"/>
          <w:rFonts w:hint="default" w:ascii="Times New Roman" w:hAnsi="Times New Roman" w:eastAsia="方正黑体_GBK" w:cs="Times New Roman"/>
          <w:b w:val="0"/>
          <w:bCs/>
          <w:sz w:val="32"/>
          <w:szCs w:val="32"/>
          <w:shd w:val="clear" w:color="auto" w:fill="FFFFFF"/>
        </w:rPr>
        <w:t>一、</w:t>
      </w:r>
      <w:r>
        <w:rPr>
          <w:rStyle w:val="10"/>
          <w:rFonts w:hint="default" w:ascii="Times New Roman" w:hAnsi="Times New Roman" w:eastAsia="方正黑体_GBK" w:cs="Times New Roman"/>
          <w:b w:val="0"/>
          <w:bCs/>
          <w:sz w:val="32"/>
          <w:szCs w:val="32"/>
          <w:shd w:val="clear" w:color="auto" w:fill="FFFFFF"/>
          <w:lang w:eastAsia="zh-CN"/>
        </w:rPr>
        <w:t>单位</w:t>
      </w:r>
      <w:r>
        <w:rPr>
          <w:rStyle w:val="10"/>
          <w:rFonts w:hint="default" w:ascii="Times New Roman" w:hAnsi="Times New Roman" w:eastAsia="方正黑体_GBK" w:cs="Times New Roman"/>
          <w:b w:val="0"/>
          <w:bCs/>
          <w:sz w:val="32"/>
          <w:szCs w:val="32"/>
          <w:shd w:val="clear" w:color="auto" w:fill="FFFFFF"/>
        </w:rPr>
        <w:t>基本情况</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楷体_GBK" w:cs="Times New Roman"/>
          <w:b w:val="0"/>
          <w:bCs/>
          <w:sz w:val="32"/>
          <w:szCs w:val="32"/>
        </w:rPr>
      </w:pPr>
      <w:r>
        <w:rPr>
          <w:rStyle w:val="10"/>
          <w:rFonts w:hint="default" w:ascii="Times New Roman" w:hAnsi="Times New Roman" w:eastAsia="方正楷体_GBK" w:cs="Times New Roman"/>
          <w:b w:val="0"/>
          <w:bCs/>
          <w:sz w:val="32"/>
          <w:szCs w:val="32"/>
          <w:shd w:val="clear" w:color="auto" w:fill="FFFFFF"/>
        </w:rPr>
        <w:t>（一）职能职责</w:t>
      </w:r>
    </w:p>
    <w:p>
      <w:pPr>
        <w:keepNext w:val="0"/>
        <w:keepLines w:val="0"/>
        <w:pageBreakBefore w:val="0"/>
        <w:widowControl/>
        <w:suppressLineNumbers w:val="0"/>
        <w:kinsoku/>
        <w:wordWrap/>
        <w:overflowPunct/>
        <w:topLinePunct w:val="0"/>
        <w:autoSpaceDE/>
        <w:autoSpaceDN/>
        <w:bidi w:val="0"/>
        <w:adjustRightInd/>
        <w:spacing w:beforeAutospacing="0" w:afterAutospacing="0" w:line="560" w:lineRule="exact"/>
        <w:ind w:right="0" w:firstLine="640" w:firstLineChars="200"/>
        <w:jc w:val="both"/>
        <w:textAlignment w:val="auto"/>
        <w:outlineLvl w:val="9"/>
        <w:rPr>
          <w:rFonts w:hint="default" w:ascii="Times New Roman" w:hAnsi="Times New Roman" w:eastAsia="方正仿宋_GBK" w:cs="Times New Roman"/>
          <w:kern w:val="0"/>
          <w:sz w:val="32"/>
          <w:szCs w:val="32"/>
          <w:highlight w:val="none"/>
          <w:lang w:val="en-US" w:eastAsia="zh-CN"/>
        </w:rPr>
      </w:pPr>
      <w:r>
        <w:rPr>
          <w:rFonts w:hint="default" w:ascii="Times New Roman" w:hAnsi="Times New Roman" w:eastAsia="方正仿宋_GBK" w:cs="Times New Roman"/>
          <w:kern w:val="0"/>
          <w:sz w:val="32"/>
          <w:szCs w:val="32"/>
          <w:highlight w:val="none"/>
        </w:rPr>
        <w:t>1.贯彻执行国家医疗卫生工作的方针政策，坚持公益性，保障人民身体健康，推动卫生事业健康发展</w:t>
      </w:r>
      <w:r>
        <w:rPr>
          <w:rFonts w:hint="default" w:ascii="Times New Roman" w:hAnsi="Times New Roman" w:eastAsia="方正仿宋_GBK" w:cs="Times New Roman"/>
          <w:kern w:val="0"/>
          <w:sz w:val="32"/>
          <w:szCs w:val="32"/>
          <w:highlight w:val="none"/>
          <w:lang w:eastAsia="zh-CN"/>
        </w:rPr>
        <w:t>。</w:t>
      </w:r>
    </w:p>
    <w:p>
      <w:pPr>
        <w:keepNext w:val="0"/>
        <w:keepLines w:val="0"/>
        <w:pageBreakBefore w:val="0"/>
        <w:widowControl/>
        <w:suppressLineNumbers w:val="0"/>
        <w:kinsoku/>
        <w:wordWrap/>
        <w:overflowPunct/>
        <w:topLinePunct w:val="0"/>
        <w:autoSpaceDE/>
        <w:autoSpaceDN/>
        <w:bidi w:val="0"/>
        <w:adjustRightInd/>
        <w:spacing w:beforeAutospacing="0" w:afterAutospacing="0" w:line="560" w:lineRule="exact"/>
        <w:ind w:right="0" w:firstLine="640" w:firstLineChars="200"/>
        <w:jc w:val="both"/>
        <w:textAlignment w:val="auto"/>
        <w:outlineLvl w:val="9"/>
        <w:rPr>
          <w:rFonts w:hint="default" w:ascii="Times New Roman" w:hAnsi="Times New Roman" w:eastAsia="方正仿宋_GBK" w:cs="Times New Roman"/>
          <w:kern w:val="0"/>
          <w:sz w:val="32"/>
          <w:szCs w:val="32"/>
          <w:highlight w:val="none"/>
        </w:rPr>
      </w:pPr>
      <w:r>
        <w:rPr>
          <w:rFonts w:hint="default" w:ascii="Times New Roman" w:hAnsi="Times New Roman" w:eastAsia="方正仿宋_GBK" w:cs="Times New Roman"/>
          <w:kern w:val="0"/>
          <w:sz w:val="32"/>
          <w:szCs w:val="32"/>
          <w:highlight w:val="none"/>
        </w:rPr>
        <w:t>2.参与突发公共卫生事件救治</w:t>
      </w:r>
      <w:r>
        <w:rPr>
          <w:rFonts w:hint="default" w:ascii="Times New Roman" w:hAnsi="Times New Roman" w:eastAsia="方正仿宋_GBK" w:cs="Times New Roman"/>
          <w:kern w:val="0"/>
          <w:sz w:val="32"/>
          <w:szCs w:val="32"/>
          <w:highlight w:val="none"/>
          <w:lang w:eastAsia="zh-CN"/>
        </w:rPr>
        <w:t>。</w:t>
      </w:r>
    </w:p>
    <w:p>
      <w:pPr>
        <w:pStyle w:val="2"/>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560" w:lineRule="exact"/>
        <w:ind w:left="0" w:leftChars="0" w:right="0" w:firstLine="640" w:firstLineChars="200"/>
        <w:jc w:val="both"/>
        <w:textAlignment w:val="auto"/>
        <w:outlineLvl w:val="9"/>
        <w:rPr>
          <w:rFonts w:hint="default" w:ascii="Times New Roman" w:hAnsi="Times New Roman" w:eastAsia="方正仿宋_GBK" w:cs="Times New Roman"/>
          <w:kern w:val="0"/>
          <w:sz w:val="32"/>
          <w:szCs w:val="32"/>
          <w:highlight w:val="none"/>
        </w:rPr>
      </w:pPr>
      <w:r>
        <w:rPr>
          <w:rFonts w:hint="default" w:ascii="Times New Roman" w:hAnsi="Times New Roman" w:eastAsia="方正仿宋_GBK" w:cs="Times New Roman"/>
          <w:kern w:val="0"/>
          <w:sz w:val="32"/>
          <w:szCs w:val="32"/>
          <w:highlight w:val="none"/>
        </w:rPr>
        <w:t>3.负责全县心理健康促进和精神障碍预防</w:t>
      </w:r>
      <w:r>
        <w:rPr>
          <w:rFonts w:hint="default" w:ascii="Times New Roman" w:hAnsi="Times New Roman" w:eastAsia="方正仿宋_GBK" w:cs="Times New Roman"/>
          <w:kern w:val="0"/>
          <w:sz w:val="32"/>
          <w:szCs w:val="32"/>
          <w:highlight w:val="none"/>
          <w:lang w:eastAsia="zh-CN"/>
        </w:rPr>
        <w:t>。</w:t>
      </w:r>
    </w:p>
    <w:p>
      <w:pPr>
        <w:pStyle w:val="2"/>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kern w:val="0"/>
          <w:sz w:val="32"/>
          <w:szCs w:val="32"/>
          <w:highlight w:val="none"/>
        </w:rPr>
      </w:pPr>
      <w:r>
        <w:rPr>
          <w:rFonts w:hint="default" w:ascii="Times New Roman" w:hAnsi="Times New Roman" w:eastAsia="方正仿宋_GBK" w:cs="Times New Roman"/>
          <w:kern w:val="0"/>
          <w:sz w:val="32"/>
          <w:szCs w:val="32"/>
          <w:highlight w:val="none"/>
        </w:rPr>
        <w:t>4.负责全县精神障碍患者的诊断和治疗</w:t>
      </w:r>
      <w:r>
        <w:rPr>
          <w:rFonts w:hint="default" w:ascii="Times New Roman" w:hAnsi="Times New Roman" w:eastAsia="方正仿宋_GBK" w:cs="Times New Roman"/>
          <w:kern w:val="0"/>
          <w:sz w:val="32"/>
          <w:szCs w:val="32"/>
          <w:highlight w:val="none"/>
          <w:lang w:eastAsia="zh-CN"/>
        </w:rPr>
        <w:t>。</w:t>
      </w:r>
    </w:p>
    <w:p>
      <w:pPr>
        <w:keepNext w:val="0"/>
        <w:keepLines w:val="0"/>
        <w:pageBreakBefore w:val="0"/>
        <w:widowControl/>
        <w:suppressLineNumbers w:val="0"/>
        <w:kinsoku/>
        <w:wordWrap/>
        <w:overflowPunct/>
        <w:topLinePunct w:val="0"/>
        <w:autoSpaceDE/>
        <w:autoSpaceDN/>
        <w:bidi w:val="0"/>
        <w:adjustRightInd/>
        <w:spacing w:beforeAutospacing="0" w:afterAutospacing="0" w:line="560" w:lineRule="exact"/>
        <w:ind w:left="0" w:right="0" w:firstLine="640" w:firstLineChars="200"/>
        <w:jc w:val="both"/>
        <w:textAlignment w:val="auto"/>
        <w:outlineLvl w:val="9"/>
        <w:rPr>
          <w:rFonts w:hint="default" w:ascii="Times New Roman" w:hAnsi="Times New Roman" w:eastAsia="方正仿宋_GBK" w:cs="Times New Roman"/>
          <w:kern w:val="0"/>
          <w:sz w:val="32"/>
          <w:szCs w:val="32"/>
          <w:highlight w:val="none"/>
        </w:rPr>
      </w:pPr>
      <w:r>
        <w:rPr>
          <w:rFonts w:hint="default" w:ascii="Times New Roman" w:hAnsi="Times New Roman" w:eastAsia="方正仿宋_GBK" w:cs="Times New Roman"/>
          <w:kern w:val="0"/>
          <w:sz w:val="32"/>
          <w:szCs w:val="32"/>
          <w:highlight w:val="none"/>
        </w:rPr>
        <w:t>5.负责全县医疗机构和精神疾病康复机构的业务指导和技术培训</w:t>
      </w:r>
      <w:r>
        <w:rPr>
          <w:rFonts w:hint="default" w:ascii="Times New Roman" w:hAnsi="Times New Roman" w:eastAsia="方正仿宋_GBK" w:cs="Times New Roman"/>
          <w:kern w:val="0"/>
          <w:sz w:val="32"/>
          <w:szCs w:val="32"/>
          <w:highlight w:val="none"/>
          <w:lang w:eastAsia="zh-CN"/>
        </w:rPr>
        <w:t>。</w:t>
      </w:r>
    </w:p>
    <w:p>
      <w:pPr>
        <w:pStyle w:val="2"/>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560" w:lineRule="exact"/>
        <w:ind w:left="0" w:leftChars="0" w:right="0" w:firstLine="640" w:firstLineChars="200"/>
        <w:jc w:val="both"/>
        <w:textAlignment w:val="auto"/>
        <w:outlineLvl w:val="9"/>
        <w:rPr>
          <w:rFonts w:hint="default" w:ascii="Times New Roman" w:hAnsi="Times New Roman" w:eastAsia="方正仿宋_GBK" w:cs="Times New Roman"/>
          <w:kern w:val="0"/>
          <w:sz w:val="32"/>
          <w:szCs w:val="32"/>
          <w:highlight w:val="none"/>
        </w:rPr>
      </w:pPr>
      <w:r>
        <w:rPr>
          <w:rFonts w:hint="default" w:ascii="Times New Roman" w:hAnsi="Times New Roman" w:eastAsia="方正仿宋_GBK" w:cs="Times New Roman"/>
          <w:kern w:val="0"/>
          <w:sz w:val="32"/>
          <w:szCs w:val="32"/>
          <w:highlight w:val="none"/>
        </w:rPr>
        <w:t>6.开展全县精神疾病司法鉴定、精神及智力残疾鉴定</w:t>
      </w:r>
      <w:r>
        <w:rPr>
          <w:rFonts w:hint="default" w:ascii="Times New Roman" w:hAnsi="Times New Roman" w:eastAsia="方正仿宋_GBK" w:cs="Times New Roman"/>
          <w:kern w:val="0"/>
          <w:sz w:val="32"/>
          <w:szCs w:val="32"/>
          <w:highlight w:val="none"/>
          <w:lang w:eastAsia="zh-CN"/>
        </w:rPr>
        <w:t>。</w:t>
      </w:r>
    </w:p>
    <w:p>
      <w:pPr>
        <w:keepNext w:val="0"/>
        <w:keepLines w:val="0"/>
        <w:pageBreakBefore w:val="0"/>
        <w:widowControl/>
        <w:suppressLineNumbers w:val="0"/>
        <w:kinsoku/>
        <w:wordWrap/>
        <w:overflowPunct/>
        <w:topLinePunct w:val="0"/>
        <w:autoSpaceDE/>
        <w:autoSpaceDN/>
        <w:bidi w:val="0"/>
        <w:adjustRightInd/>
        <w:spacing w:beforeAutospacing="0" w:afterAutospacing="0" w:line="560" w:lineRule="exact"/>
        <w:ind w:right="0" w:firstLine="640" w:firstLineChars="200"/>
        <w:jc w:val="both"/>
        <w:textAlignment w:val="auto"/>
        <w:outlineLvl w:val="9"/>
        <w:rPr>
          <w:rFonts w:hint="default" w:ascii="Times New Roman" w:hAnsi="Times New Roman" w:eastAsia="方正仿宋_GBK" w:cs="Times New Roman"/>
          <w:kern w:val="0"/>
          <w:sz w:val="32"/>
          <w:szCs w:val="32"/>
          <w:highlight w:val="none"/>
        </w:rPr>
      </w:pPr>
      <w:r>
        <w:rPr>
          <w:rFonts w:hint="default" w:ascii="Times New Roman" w:hAnsi="Times New Roman" w:eastAsia="方正仿宋_GBK" w:cs="Times New Roman"/>
          <w:kern w:val="0"/>
          <w:sz w:val="32"/>
          <w:szCs w:val="32"/>
          <w:highlight w:val="none"/>
        </w:rPr>
        <w:t>7.牵头组织实施全县严重精神障碍患者管理服务工作</w:t>
      </w:r>
      <w:r>
        <w:rPr>
          <w:rFonts w:hint="default" w:ascii="Times New Roman" w:hAnsi="Times New Roman" w:eastAsia="方正仿宋_GBK" w:cs="Times New Roman"/>
          <w:kern w:val="0"/>
          <w:sz w:val="32"/>
          <w:szCs w:val="32"/>
          <w:highlight w:val="none"/>
          <w:lang w:eastAsia="zh-CN"/>
        </w:rPr>
        <w:t>。</w:t>
      </w:r>
    </w:p>
    <w:p>
      <w:pPr>
        <w:pStyle w:val="2"/>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560" w:lineRule="exact"/>
        <w:ind w:left="0" w:right="0" w:firstLine="640" w:firstLineChars="200"/>
        <w:jc w:val="both"/>
        <w:textAlignment w:val="auto"/>
        <w:outlineLvl w:val="9"/>
        <w:rPr>
          <w:rStyle w:val="10"/>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kern w:val="0"/>
          <w:sz w:val="32"/>
          <w:szCs w:val="32"/>
          <w:highlight w:val="none"/>
        </w:rPr>
        <w:t>8.完成县卫生健康委交办的其他事项。</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楷体_GBK" w:cs="Times New Roman"/>
          <w:sz w:val="32"/>
          <w:szCs w:val="32"/>
        </w:rPr>
      </w:pPr>
      <w:r>
        <w:rPr>
          <w:rStyle w:val="10"/>
          <w:rFonts w:hint="default" w:ascii="Times New Roman" w:hAnsi="Times New Roman" w:eastAsia="方正楷体_GBK" w:cs="Times New Roman"/>
          <w:b w:val="0"/>
          <w:bCs/>
          <w:sz w:val="32"/>
          <w:szCs w:val="32"/>
          <w:shd w:val="clear" w:color="auto" w:fill="FFFFFF"/>
        </w:rPr>
        <w:t>（二）机构设置</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highlight w:val="none"/>
          <w:shd w:val="clear" w:fill="FFFFFF"/>
          <w:lang w:val="en-US" w:eastAsia="zh-CN"/>
        </w:rPr>
        <w:t>我单位</w:t>
      </w:r>
      <w:r>
        <w:rPr>
          <w:rFonts w:hint="default" w:ascii="Times New Roman" w:hAnsi="Times New Roman" w:eastAsia="方正仿宋_GBK" w:cs="Times New Roman"/>
          <w:sz w:val="32"/>
          <w:szCs w:val="32"/>
          <w:highlight w:val="none"/>
          <w:shd w:val="clear" w:fill="FFFFFF"/>
        </w:rPr>
        <w:t>为秀山县卫生健康委员会二级预算单位，无下级预算单位。</w:t>
      </w:r>
      <w:r>
        <w:rPr>
          <w:rFonts w:hint="eastAsia" w:ascii="Times New Roman" w:hAnsi="Times New Roman" w:eastAsia="方正仿宋_GBK" w:cs="Times New Roman"/>
          <w:sz w:val="32"/>
          <w:szCs w:val="32"/>
          <w:highlight w:val="none"/>
          <w:shd w:val="clear" w:fill="FFFFFF"/>
          <w:lang w:val="en-US" w:eastAsia="zh-CN"/>
        </w:rPr>
        <w:t>我单位</w:t>
      </w:r>
      <w:r>
        <w:rPr>
          <w:rFonts w:hint="default" w:ascii="Times New Roman" w:hAnsi="Times New Roman" w:eastAsia="方正仿宋_GBK" w:cs="Times New Roman"/>
          <w:kern w:val="0"/>
          <w:sz w:val="32"/>
          <w:szCs w:val="32"/>
          <w:highlight w:val="none"/>
        </w:rPr>
        <w:t>下设院办公室、党办、财务科、医务科、</w:t>
      </w:r>
      <w:r>
        <w:rPr>
          <w:rFonts w:hint="default" w:ascii="Times New Roman" w:hAnsi="Times New Roman" w:eastAsia="方正仿宋_GBK" w:cs="Times New Roman"/>
          <w:kern w:val="0"/>
          <w:sz w:val="32"/>
          <w:szCs w:val="32"/>
          <w:highlight w:val="none"/>
          <w:lang w:val="en-US" w:eastAsia="zh-CN"/>
        </w:rPr>
        <w:t>精神卫生项目科、</w:t>
      </w:r>
      <w:r>
        <w:rPr>
          <w:rFonts w:hint="default" w:ascii="Times New Roman" w:hAnsi="Times New Roman" w:eastAsia="方正仿宋_GBK" w:cs="Times New Roman"/>
          <w:kern w:val="0"/>
          <w:sz w:val="32"/>
          <w:szCs w:val="32"/>
          <w:highlight w:val="none"/>
        </w:rPr>
        <w:t>护理部、院感</w:t>
      </w:r>
      <w:r>
        <w:rPr>
          <w:rFonts w:hint="default" w:ascii="Times New Roman" w:hAnsi="Times New Roman" w:eastAsia="方正仿宋_GBK" w:cs="Times New Roman"/>
          <w:kern w:val="0"/>
          <w:sz w:val="32"/>
          <w:szCs w:val="32"/>
          <w:highlight w:val="none"/>
          <w:lang w:val="en-US" w:eastAsia="zh-CN"/>
        </w:rPr>
        <w:t>科</w:t>
      </w:r>
      <w:r>
        <w:rPr>
          <w:rFonts w:hint="default" w:ascii="Times New Roman" w:hAnsi="Times New Roman" w:eastAsia="方正仿宋_GBK" w:cs="Times New Roman"/>
          <w:kern w:val="0"/>
          <w:sz w:val="32"/>
          <w:szCs w:val="32"/>
          <w:highlight w:val="none"/>
        </w:rPr>
        <w:t>、药械科、医保</w:t>
      </w:r>
      <w:r>
        <w:rPr>
          <w:rFonts w:hint="default" w:ascii="Times New Roman" w:hAnsi="Times New Roman" w:eastAsia="方正仿宋_GBK" w:cs="Times New Roman"/>
          <w:kern w:val="0"/>
          <w:sz w:val="32"/>
          <w:szCs w:val="32"/>
          <w:highlight w:val="none"/>
          <w:lang w:val="en-US" w:eastAsia="zh-CN"/>
        </w:rPr>
        <w:t>信息</w:t>
      </w:r>
      <w:r>
        <w:rPr>
          <w:rFonts w:hint="default" w:ascii="Times New Roman" w:hAnsi="Times New Roman" w:eastAsia="方正仿宋_GBK" w:cs="Times New Roman"/>
          <w:kern w:val="0"/>
          <w:sz w:val="32"/>
          <w:szCs w:val="32"/>
          <w:highlight w:val="none"/>
        </w:rPr>
        <w:t>科、总务科、</w:t>
      </w:r>
      <w:r>
        <w:rPr>
          <w:rFonts w:hint="default" w:ascii="Times New Roman" w:hAnsi="Times New Roman" w:eastAsia="方正仿宋_GBK" w:cs="Times New Roman"/>
          <w:kern w:val="0"/>
          <w:sz w:val="32"/>
          <w:szCs w:val="32"/>
          <w:highlight w:val="none"/>
          <w:lang w:val="en-US" w:eastAsia="zh-CN"/>
        </w:rPr>
        <w:t>公共卫生科、</w:t>
      </w:r>
      <w:r>
        <w:rPr>
          <w:rFonts w:hint="default" w:ascii="Times New Roman" w:hAnsi="Times New Roman" w:eastAsia="方正仿宋_GBK" w:cs="Times New Roman"/>
          <w:kern w:val="0"/>
          <w:sz w:val="32"/>
          <w:szCs w:val="32"/>
          <w:highlight w:val="none"/>
        </w:rPr>
        <w:t>预防保健科、精神科门诊部、急诊医学科、内科、康复医学科、中医科、医技科、</w:t>
      </w:r>
      <w:r>
        <w:rPr>
          <w:rFonts w:hint="default" w:ascii="Times New Roman" w:hAnsi="Times New Roman" w:eastAsia="方正仿宋_GBK" w:cs="Times New Roman"/>
          <w:kern w:val="0"/>
          <w:sz w:val="32"/>
          <w:szCs w:val="32"/>
          <w:highlight w:val="none"/>
          <w:lang w:val="en-US" w:eastAsia="zh-CN"/>
        </w:rPr>
        <w:t>临床心理科、考核办、</w:t>
      </w:r>
      <w:r>
        <w:rPr>
          <w:rFonts w:hint="default" w:ascii="Times New Roman" w:hAnsi="Times New Roman" w:eastAsia="方正仿宋_GBK" w:cs="Times New Roman"/>
          <w:kern w:val="0"/>
          <w:sz w:val="32"/>
          <w:szCs w:val="32"/>
          <w:highlight w:val="none"/>
        </w:rPr>
        <w:t>库房、药房、收费室、精神科住院部。</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黑体_GBK" w:cs="Times New Roman"/>
          <w:b w:val="0"/>
          <w:bCs/>
          <w:sz w:val="32"/>
          <w:szCs w:val="32"/>
          <w:shd w:val="clear" w:color="auto" w:fill="FFFFFF"/>
        </w:rPr>
      </w:pPr>
      <w:r>
        <w:rPr>
          <w:rStyle w:val="10"/>
          <w:rFonts w:hint="default" w:ascii="Times New Roman" w:hAnsi="Times New Roman" w:eastAsia="方正黑体_GBK" w:cs="Times New Roman"/>
          <w:b w:val="0"/>
          <w:bCs/>
          <w:sz w:val="32"/>
          <w:szCs w:val="32"/>
          <w:shd w:val="clear" w:color="auto" w:fill="FFFFFF"/>
        </w:rPr>
        <w:t>二、</w:t>
      </w:r>
      <w:r>
        <w:rPr>
          <w:rStyle w:val="10"/>
          <w:rFonts w:hint="default" w:ascii="Times New Roman" w:hAnsi="Times New Roman" w:eastAsia="方正黑体_GBK" w:cs="Times New Roman"/>
          <w:b w:val="0"/>
          <w:bCs/>
          <w:sz w:val="32"/>
          <w:szCs w:val="32"/>
          <w:shd w:val="clear" w:color="auto" w:fill="FFFFFF"/>
          <w:lang w:eastAsia="zh-CN"/>
        </w:rPr>
        <w:t>单位</w:t>
      </w:r>
      <w:r>
        <w:rPr>
          <w:rStyle w:val="10"/>
          <w:rFonts w:hint="default" w:ascii="Times New Roman" w:hAnsi="Times New Roman" w:eastAsia="方正黑体_GBK" w:cs="Times New Roman"/>
          <w:b w:val="0"/>
          <w:bCs/>
          <w:sz w:val="32"/>
          <w:szCs w:val="32"/>
          <w:shd w:val="clear" w:color="auto" w:fill="FFFFFF"/>
        </w:rPr>
        <w:t>决算</w:t>
      </w:r>
      <w:r>
        <w:rPr>
          <w:rStyle w:val="10"/>
          <w:rFonts w:hint="default" w:ascii="Times New Roman" w:hAnsi="Times New Roman" w:eastAsia="方正黑体_GBK" w:cs="Times New Roman"/>
          <w:b w:val="0"/>
          <w:bCs/>
          <w:sz w:val="32"/>
          <w:szCs w:val="32"/>
          <w:shd w:val="clear" w:color="auto" w:fill="FFFFFF"/>
          <w:lang w:eastAsia="zh-CN"/>
        </w:rPr>
        <w:t>收支</w:t>
      </w:r>
      <w:r>
        <w:rPr>
          <w:rStyle w:val="10"/>
          <w:rFonts w:hint="default" w:ascii="Times New Roman" w:hAnsi="Times New Roman" w:eastAsia="方正黑体_GBK" w:cs="Times New Roman"/>
          <w:b w:val="0"/>
          <w:bCs/>
          <w:sz w:val="32"/>
          <w:szCs w:val="32"/>
          <w:shd w:val="clear" w:color="auto" w:fill="FFFFFF"/>
        </w:rPr>
        <w:t>情况说明</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outlineLvl w:val="9"/>
        <w:rPr>
          <w:rFonts w:hint="default" w:ascii="Times New Roman" w:hAnsi="Times New Roman" w:eastAsia="方正楷体_GBK" w:cs="Times New Roman"/>
          <w:b/>
          <w:bCs/>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（一）收入支出决算总体情况说明</w:t>
      </w:r>
    </w:p>
    <w:p>
      <w:pPr>
        <w:pStyle w:val="8"/>
        <w:keepNext w:val="0"/>
        <w:keepLines w:val="0"/>
        <w:pageBreakBefore w:val="0"/>
        <w:widowControl/>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color w:val="FF0000"/>
          <w:sz w:val="32"/>
          <w:szCs w:val="32"/>
          <w:shd w:val="clear" w:color="auto" w:fill="FFFFFF"/>
          <w:lang w:val="en-US" w:eastAsia="zh-CN"/>
        </w:rPr>
      </w:pPr>
      <w:r>
        <w:rPr>
          <w:rFonts w:hint="default" w:ascii="Times New Roman" w:hAnsi="Times New Roman" w:eastAsia="方正仿宋_GBK" w:cs="Times New Roman"/>
          <w:sz w:val="32"/>
          <w:szCs w:val="32"/>
          <w:shd w:val="clear" w:color="auto" w:fill="FFFFFF"/>
        </w:rPr>
        <w:t>2024年度收</w:t>
      </w:r>
      <w:r>
        <w:rPr>
          <w:rFonts w:hint="default" w:ascii="Times New Roman" w:hAnsi="Times New Roman" w:eastAsia="方正仿宋_GBK" w:cs="Times New Roman"/>
          <w:sz w:val="32"/>
          <w:szCs w:val="32"/>
          <w:shd w:val="clear" w:color="auto" w:fill="FFFFFF"/>
          <w:lang w:eastAsia="zh-CN"/>
        </w:rPr>
        <w:t>、支</w:t>
      </w:r>
      <w:r>
        <w:rPr>
          <w:rFonts w:hint="default" w:ascii="Times New Roman" w:hAnsi="Times New Roman" w:eastAsia="方正仿宋_GBK" w:cs="Times New Roman"/>
          <w:sz w:val="32"/>
          <w:szCs w:val="32"/>
          <w:shd w:val="clear" w:color="auto" w:fill="FFFFFF"/>
        </w:rPr>
        <w:t>总计</w:t>
      </w:r>
      <w:r>
        <w:rPr>
          <w:rFonts w:hint="default" w:ascii="Times New Roman" w:hAnsi="Times New Roman" w:eastAsia="方正仿宋_GBK" w:cs="Times New Roman"/>
          <w:sz w:val="32"/>
          <w:szCs w:val="32"/>
          <w:shd w:val="clear" w:color="auto" w:fill="FFFFFF"/>
          <w:lang w:eastAsia="zh-CN"/>
        </w:rPr>
        <w:t>均为</w:t>
      </w:r>
      <w:r>
        <w:rPr>
          <w:rFonts w:hint="default" w:ascii="Times New Roman" w:hAnsi="Times New Roman" w:eastAsia="方正仿宋_GBK" w:cs="Times New Roman"/>
          <w:sz w:val="32"/>
          <w:szCs w:val="32"/>
          <w:shd w:val="clear" w:color="auto" w:fill="FFFFFF"/>
        </w:rPr>
        <w:t>2589.84万元。收、支与2023年度相比，减少1451.79万元，下降35.9%，主要原因是</w:t>
      </w:r>
      <w:r>
        <w:rPr>
          <w:rFonts w:hint="default" w:ascii="Times New Roman" w:hAnsi="Times New Roman" w:eastAsia="方正仿宋_GBK" w:cs="Times New Roman"/>
          <w:sz w:val="32"/>
          <w:szCs w:val="32"/>
          <w:shd w:val="clear" w:color="auto" w:fill="FFFFFF"/>
          <w:lang w:val="en-US" w:eastAsia="zh-CN"/>
        </w:rPr>
        <w:t>改扩建项目收支减少。</w:t>
      </w:r>
    </w:p>
    <w:p>
      <w:pPr>
        <w:pStyle w:val="8"/>
        <w:keepNext w:val="0"/>
        <w:keepLines w:val="0"/>
        <w:pageBreakBefore w:val="0"/>
        <w:widowControl/>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rPr>
      </w:pPr>
      <w:r>
        <w:rPr>
          <w:rStyle w:val="10"/>
          <w:rFonts w:hint="default" w:ascii="Times New Roman" w:hAnsi="Times New Roman" w:eastAsia="方正仿宋_GBK" w:cs="Times New Roman"/>
          <w:b w:val="0"/>
          <w:bCs/>
          <w:sz w:val="32"/>
          <w:szCs w:val="32"/>
          <w:shd w:val="clear" w:color="auto" w:fill="FFFFFF"/>
          <w:lang w:val="en-US" w:eastAsia="zh-CN"/>
        </w:rPr>
        <w:t>1</w:t>
      </w:r>
      <w:r>
        <w:rPr>
          <w:rStyle w:val="10"/>
          <w:rFonts w:hint="default" w:ascii="Times New Roman" w:hAnsi="Times New Roman" w:eastAsia="方正仿宋_GBK" w:cs="Times New Roman"/>
          <w:b w:val="0"/>
          <w:bCs/>
          <w:sz w:val="32"/>
          <w:szCs w:val="32"/>
          <w:shd w:val="clear" w:color="auto" w:fill="FFFFFF"/>
        </w:rPr>
        <w:t>.收入情况。</w:t>
      </w:r>
      <w:r>
        <w:rPr>
          <w:rFonts w:hint="default" w:ascii="Times New Roman" w:hAnsi="Times New Roman" w:eastAsia="方正仿宋_GBK" w:cs="Times New Roman"/>
          <w:sz w:val="32"/>
          <w:szCs w:val="32"/>
          <w:shd w:val="clear" w:color="auto" w:fill="FFFFFF"/>
        </w:rPr>
        <w:t>2024年度收入合计2557.05万元，与2023年度相比，减少1458.98万元，下降36.3%，主要原因是</w:t>
      </w:r>
      <w:r>
        <w:rPr>
          <w:rFonts w:hint="default" w:ascii="Times New Roman" w:hAnsi="Times New Roman" w:eastAsia="方正仿宋_GBK" w:cs="Times New Roman"/>
          <w:sz w:val="32"/>
          <w:szCs w:val="32"/>
          <w:shd w:val="clear" w:color="auto" w:fill="FFFFFF"/>
          <w:lang w:val="en-US" w:eastAsia="zh-CN"/>
        </w:rPr>
        <w:t>改扩建项目政府性基金预算财政拨款收入减少。</w:t>
      </w:r>
      <w:r>
        <w:rPr>
          <w:rFonts w:hint="default" w:ascii="Times New Roman" w:hAnsi="Times New Roman" w:eastAsia="方正仿宋_GBK" w:cs="Times New Roman"/>
          <w:sz w:val="32"/>
          <w:szCs w:val="32"/>
          <w:shd w:val="clear" w:color="auto" w:fill="FFFFFF"/>
        </w:rPr>
        <w:t>其中：财政拨款收入1350.70万元，占52.8%；事业收入1205.67万元，占47.2%；经营收入0.00万元，占0.0%；其他收入0.68万元，占0.0%。此外，使用非财政拨款结余（含专用结余）0.00万元，年初结转和结余32.79万元。</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rPr>
      </w:pPr>
      <w:r>
        <w:rPr>
          <w:rStyle w:val="10"/>
          <w:rFonts w:hint="default" w:ascii="Times New Roman" w:hAnsi="Times New Roman" w:eastAsia="方正仿宋_GBK" w:cs="Times New Roman"/>
          <w:b w:val="0"/>
          <w:bCs/>
          <w:sz w:val="32"/>
          <w:szCs w:val="32"/>
          <w:shd w:val="clear" w:color="auto" w:fill="FFFFFF"/>
          <w:lang w:val="en-US" w:eastAsia="zh-CN"/>
        </w:rPr>
        <w:t>2</w:t>
      </w:r>
      <w:r>
        <w:rPr>
          <w:rStyle w:val="10"/>
          <w:rFonts w:hint="default" w:ascii="Times New Roman" w:hAnsi="Times New Roman" w:eastAsia="方正仿宋_GBK" w:cs="Times New Roman"/>
          <w:b w:val="0"/>
          <w:bCs/>
          <w:sz w:val="32"/>
          <w:szCs w:val="32"/>
          <w:shd w:val="clear" w:color="auto" w:fill="FFFFFF"/>
        </w:rPr>
        <w:t>.支出情况。</w:t>
      </w:r>
      <w:r>
        <w:rPr>
          <w:rFonts w:hint="default" w:ascii="Times New Roman" w:hAnsi="Times New Roman" w:eastAsia="方正仿宋_GBK" w:cs="Times New Roman"/>
          <w:sz w:val="32"/>
          <w:szCs w:val="32"/>
          <w:shd w:val="clear" w:color="auto" w:fill="FFFFFF"/>
        </w:rPr>
        <w:t>2024年度支出合计2527.84万元，与2023年度相比，减少1481.00万元，下降36.9%，主要原因是</w:t>
      </w:r>
      <w:r>
        <w:rPr>
          <w:rFonts w:hint="default" w:ascii="Times New Roman" w:hAnsi="Times New Roman" w:eastAsia="方正仿宋_GBK" w:cs="Times New Roman"/>
          <w:sz w:val="32"/>
          <w:szCs w:val="32"/>
          <w:shd w:val="clear" w:color="auto" w:fill="FFFFFF"/>
          <w:lang w:val="en-US" w:eastAsia="zh-CN"/>
        </w:rPr>
        <w:t>改扩建项目支出减少。</w:t>
      </w:r>
      <w:r>
        <w:rPr>
          <w:rFonts w:hint="default" w:ascii="Times New Roman" w:hAnsi="Times New Roman" w:eastAsia="方正仿宋_GBK" w:cs="Times New Roman"/>
          <w:sz w:val="32"/>
          <w:szCs w:val="32"/>
          <w:shd w:val="clear" w:color="auto" w:fill="FFFFFF"/>
        </w:rPr>
        <w:t>其中：基本支出2037.84万元，占80.6%；项目支出490.00万元，占19.4%；经营支出</w:t>
      </w:r>
      <w:r>
        <w:rPr>
          <w:rFonts w:hint="default" w:ascii="Times New Roman" w:hAnsi="Times New Roman" w:eastAsia="方正仿宋_GBK" w:cs="Times New Roman"/>
          <w:sz w:val="32"/>
          <w:szCs w:val="32"/>
        </w:rPr>
        <w:t>0.00</w:t>
      </w:r>
      <w:r>
        <w:rPr>
          <w:rFonts w:hint="default" w:ascii="Times New Roman" w:hAnsi="Times New Roman" w:eastAsia="方正仿宋_GBK" w:cs="Times New Roman"/>
          <w:sz w:val="32"/>
          <w:szCs w:val="32"/>
          <w:shd w:val="clear" w:color="auto" w:fill="FFFFFF"/>
        </w:rPr>
        <w:t>万元，占0.0%。此外，结余分配0.00万元。</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lang w:val="en-US" w:eastAsia="zh-CN"/>
        </w:rPr>
      </w:pPr>
      <w:r>
        <w:rPr>
          <w:rStyle w:val="10"/>
          <w:rFonts w:hint="default" w:ascii="Times New Roman" w:hAnsi="Times New Roman" w:eastAsia="方正仿宋_GBK" w:cs="Times New Roman"/>
          <w:b w:val="0"/>
          <w:bCs/>
          <w:sz w:val="32"/>
          <w:szCs w:val="32"/>
          <w:shd w:val="clear" w:color="auto" w:fill="FFFFFF"/>
          <w:lang w:val="en-US" w:eastAsia="zh-CN"/>
        </w:rPr>
        <w:t>3</w:t>
      </w:r>
      <w:r>
        <w:rPr>
          <w:rStyle w:val="10"/>
          <w:rFonts w:hint="default" w:ascii="Times New Roman" w:hAnsi="Times New Roman" w:eastAsia="方正仿宋_GBK" w:cs="Times New Roman"/>
          <w:b w:val="0"/>
          <w:bCs/>
          <w:sz w:val="32"/>
          <w:szCs w:val="32"/>
          <w:shd w:val="clear" w:color="auto" w:fill="FFFFFF"/>
        </w:rPr>
        <w:t>.结转结余情况。</w:t>
      </w:r>
      <w:r>
        <w:rPr>
          <w:rFonts w:hint="default" w:ascii="Times New Roman" w:hAnsi="Times New Roman" w:eastAsia="方正仿宋_GBK" w:cs="Times New Roman"/>
          <w:sz w:val="32"/>
          <w:szCs w:val="32"/>
          <w:shd w:val="clear" w:color="auto" w:fill="FFFFFF"/>
        </w:rPr>
        <w:t>2024年度年末结转和结余62.01万元，与2023年度相比，增加29.22万元，增长89.1%，主要原因是</w:t>
      </w:r>
      <w:r>
        <w:rPr>
          <w:rFonts w:hint="default" w:ascii="Times New Roman" w:hAnsi="Times New Roman" w:eastAsia="方正仿宋_GBK" w:cs="Times New Roman"/>
          <w:sz w:val="32"/>
          <w:szCs w:val="32"/>
          <w:shd w:val="clear" w:color="auto" w:fill="FFFFFF"/>
          <w:lang w:val="en-US" w:eastAsia="zh-CN"/>
        </w:rPr>
        <w:t>压缩支出。</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outlineLvl w:val="9"/>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（二）财政拨款收入支出决算总体情况说明</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shd w:val="clear" w:color="auto" w:fill="FFFFFF"/>
        </w:rPr>
        <w:t>2024年度财政拨款收、支总计均为1350.70万元。与2023年</w:t>
      </w:r>
      <w:r>
        <w:rPr>
          <w:rFonts w:hint="default" w:ascii="Times New Roman" w:hAnsi="Times New Roman" w:eastAsia="方正仿宋_GBK" w:cs="Times New Roman"/>
          <w:sz w:val="32"/>
          <w:szCs w:val="32"/>
          <w:shd w:val="clear" w:color="auto" w:fill="FFFFFF"/>
          <w:lang w:eastAsia="zh-CN"/>
        </w:rPr>
        <w:t>度</w:t>
      </w:r>
      <w:r>
        <w:rPr>
          <w:rFonts w:hint="default" w:ascii="Times New Roman" w:hAnsi="Times New Roman" w:eastAsia="方正仿宋_GBK" w:cs="Times New Roman"/>
          <w:sz w:val="32"/>
          <w:szCs w:val="32"/>
          <w:shd w:val="clear" w:color="auto" w:fill="FFFFFF"/>
        </w:rPr>
        <w:t>相比，财政拨款收、支总计各减少1425.78万元，下降51.4%。主要原因是</w:t>
      </w:r>
      <w:r>
        <w:rPr>
          <w:rFonts w:hint="default" w:ascii="Times New Roman" w:hAnsi="Times New Roman" w:eastAsia="方正仿宋_GBK" w:cs="Times New Roman"/>
          <w:sz w:val="32"/>
          <w:szCs w:val="32"/>
          <w:shd w:val="clear" w:color="auto" w:fill="FFFFFF"/>
          <w:lang w:val="en-US" w:eastAsia="zh-CN"/>
        </w:rPr>
        <w:t>改扩建项目政府性基金预算财政拨款收支减少。</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（三）一般公共预算财政拨款收入支出决算情况说明</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rPr>
      </w:pPr>
      <w:r>
        <w:rPr>
          <w:rStyle w:val="10"/>
          <w:rFonts w:hint="default" w:ascii="Times New Roman" w:hAnsi="Times New Roman" w:eastAsia="方正仿宋_GBK" w:cs="Times New Roman"/>
          <w:b w:val="0"/>
          <w:bCs/>
          <w:sz w:val="32"/>
          <w:szCs w:val="32"/>
          <w:shd w:val="clear" w:color="auto" w:fill="FFFFFF"/>
        </w:rPr>
        <w:t>1.收入情况。</w:t>
      </w:r>
      <w:r>
        <w:rPr>
          <w:rFonts w:hint="default" w:ascii="Times New Roman" w:hAnsi="Times New Roman" w:eastAsia="方正仿宋_GBK" w:cs="Times New Roman"/>
          <w:sz w:val="32"/>
          <w:szCs w:val="32"/>
          <w:shd w:val="clear" w:color="auto" w:fill="FFFFFF"/>
        </w:rPr>
        <w:t>2024年度一般公共预算财政拨款收入870.70万元，与2023年度相比，减少5.59万元，下降0.6%。主要原因是</w:t>
      </w:r>
      <w:r>
        <w:rPr>
          <w:rFonts w:hint="eastAsia" w:ascii="Times New Roman" w:hAnsi="Times New Roman" w:eastAsia="方正仿宋_GBK" w:cs="Times New Roman"/>
          <w:sz w:val="32"/>
          <w:szCs w:val="32"/>
          <w:shd w:val="clear" w:color="auto" w:fill="FFFFFF"/>
          <w:lang w:val="en-US" w:eastAsia="zh-CN"/>
        </w:rPr>
        <w:t>疫情防控补贴费用</w:t>
      </w:r>
      <w:r>
        <w:rPr>
          <w:rFonts w:hint="default" w:ascii="Times New Roman" w:hAnsi="Times New Roman" w:eastAsia="方正仿宋_GBK" w:cs="Times New Roman"/>
          <w:sz w:val="32"/>
          <w:szCs w:val="32"/>
          <w:shd w:val="clear" w:color="auto" w:fill="FFFFFF"/>
          <w:lang w:val="en-US" w:eastAsia="zh-CN"/>
        </w:rPr>
        <w:t>减少。</w:t>
      </w:r>
      <w:r>
        <w:rPr>
          <w:rFonts w:hint="default" w:ascii="Times New Roman" w:hAnsi="Times New Roman" w:eastAsia="方正仿宋_GBK" w:cs="Times New Roman"/>
          <w:sz w:val="32"/>
          <w:szCs w:val="32"/>
          <w:shd w:val="clear" w:color="auto" w:fill="FFFFFF"/>
        </w:rPr>
        <w:t>较年初预算数增加114.17万元，增长15.1%。主要原因是</w:t>
      </w:r>
      <w:r>
        <w:rPr>
          <w:rFonts w:hint="eastAsia" w:ascii="Times New Roman" w:hAnsi="Times New Roman" w:eastAsia="方正仿宋_GBK" w:cs="Times New Roman"/>
          <w:sz w:val="32"/>
          <w:szCs w:val="32"/>
          <w:shd w:val="clear" w:color="auto" w:fill="FFFFFF"/>
          <w:lang w:val="en-US" w:eastAsia="zh-CN"/>
        </w:rPr>
        <w:t>财政年中调增设备采购预算、人员增加、</w:t>
      </w:r>
      <w:r>
        <w:rPr>
          <w:rFonts w:hint="default" w:ascii="Times New Roman" w:hAnsi="Times New Roman" w:eastAsia="方正仿宋_GBK" w:cs="Times New Roman"/>
          <w:sz w:val="32"/>
          <w:szCs w:val="32"/>
          <w:shd w:val="clear" w:color="auto" w:fill="FFFFFF"/>
          <w:lang w:val="en-US" w:eastAsia="zh-CN"/>
        </w:rPr>
        <w:t>超额绩效纳入养老保险及职业年金缴费基数后导致费用增加。</w:t>
      </w:r>
      <w:r>
        <w:rPr>
          <w:rFonts w:hint="default" w:ascii="Times New Roman" w:hAnsi="Times New Roman" w:eastAsia="方正仿宋_GBK" w:cs="Times New Roman"/>
          <w:sz w:val="32"/>
          <w:szCs w:val="32"/>
          <w:shd w:val="clear" w:color="auto" w:fill="FFFFFF"/>
        </w:rPr>
        <w:t>此外，年初财政拨款结转和结余0.00万元。</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color w:val="FF0000"/>
          <w:sz w:val="32"/>
          <w:szCs w:val="32"/>
          <w:shd w:val="clear" w:color="auto" w:fill="FFFFFF"/>
        </w:rPr>
      </w:pPr>
      <w:r>
        <w:rPr>
          <w:rStyle w:val="10"/>
          <w:rFonts w:hint="default" w:ascii="Times New Roman" w:hAnsi="Times New Roman" w:eastAsia="方正仿宋_GBK" w:cs="Times New Roman"/>
          <w:b w:val="0"/>
          <w:bCs/>
          <w:sz w:val="32"/>
          <w:szCs w:val="32"/>
          <w:shd w:val="clear" w:color="auto" w:fill="FFFFFF"/>
        </w:rPr>
        <w:t>2.支出情况。</w:t>
      </w:r>
      <w:r>
        <w:rPr>
          <w:rFonts w:hint="default" w:ascii="Times New Roman" w:hAnsi="Times New Roman" w:eastAsia="方正仿宋_GBK" w:cs="Times New Roman"/>
          <w:sz w:val="32"/>
          <w:szCs w:val="32"/>
          <w:shd w:val="clear" w:color="auto" w:fill="FFFFFF"/>
        </w:rPr>
        <w:t>2024年度一般公共预算财政拨款支出870.70万元，与2023年度相比，减少5.59万元，下降0.6%。主要原因是</w:t>
      </w:r>
      <w:r>
        <w:rPr>
          <w:rFonts w:hint="eastAsia" w:ascii="Times New Roman" w:hAnsi="Times New Roman" w:eastAsia="方正仿宋_GBK" w:cs="Times New Roman"/>
          <w:sz w:val="32"/>
          <w:szCs w:val="32"/>
          <w:shd w:val="clear" w:color="auto" w:fill="FFFFFF"/>
          <w:lang w:val="en-US" w:eastAsia="zh-CN"/>
        </w:rPr>
        <w:t>疫情防控补贴费用</w:t>
      </w:r>
      <w:r>
        <w:rPr>
          <w:rFonts w:hint="default" w:ascii="Times New Roman" w:hAnsi="Times New Roman" w:eastAsia="方正仿宋_GBK" w:cs="Times New Roman"/>
          <w:sz w:val="32"/>
          <w:szCs w:val="32"/>
          <w:shd w:val="clear" w:color="auto" w:fill="FFFFFF"/>
          <w:lang w:val="en-US" w:eastAsia="zh-CN"/>
        </w:rPr>
        <w:t>减少。</w:t>
      </w:r>
      <w:r>
        <w:rPr>
          <w:rFonts w:hint="default" w:ascii="Times New Roman" w:hAnsi="Times New Roman" w:eastAsia="方正仿宋_GBK" w:cs="Times New Roman"/>
          <w:sz w:val="32"/>
          <w:szCs w:val="32"/>
          <w:shd w:val="clear" w:color="auto" w:fill="FFFFFF"/>
        </w:rPr>
        <w:t>较年初预算数增加114.17万元，增长15.1%。主要原因是</w:t>
      </w:r>
      <w:r>
        <w:rPr>
          <w:rFonts w:hint="eastAsia" w:ascii="Times New Roman" w:hAnsi="Times New Roman" w:eastAsia="方正仿宋_GBK" w:cs="Times New Roman"/>
          <w:sz w:val="32"/>
          <w:szCs w:val="32"/>
          <w:shd w:val="clear" w:color="auto" w:fill="FFFFFF"/>
          <w:lang w:val="en-US" w:eastAsia="zh-CN"/>
        </w:rPr>
        <w:t>财政年中调增设备采购预算、人员增加、</w:t>
      </w:r>
      <w:r>
        <w:rPr>
          <w:rFonts w:hint="default" w:ascii="Times New Roman" w:hAnsi="Times New Roman" w:eastAsia="方正仿宋_GBK" w:cs="Times New Roman"/>
          <w:sz w:val="32"/>
          <w:szCs w:val="32"/>
          <w:shd w:val="clear" w:color="auto" w:fill="FFFFFF"/>
          <w:lang w:val="en-US" w:eastAsia="zh-CN"/>
        </w:rPr>
        <w:t>超额绩效纳入养老保险及职业年金缴费基数后导致费用增加。</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color w:val="FF0000"/>
          <w:sz w:val="32"/>
          <w:szCs w:val="32"/>
          <w:highlight w:val="cyan"/>
          <w:shd w:val="clear" w:color="auto" w:fill="FFFFFF"/>
        </w:rPr>
      </w:pPr>
      <w:r>
        <w:rPr>
          <w:rFonts w:hint="default" w:ascii="Times New Roman" w:hAnsi="Times New Roman" w:eastAsia="方正仿宋_GBK" w:cs="Times New Roman"/>
          <w:sz w:val="32"/>
          <w:szCs w:val="32"/>
          <w:highlight w:val="none"/>
          <w:shd w:val="clear" w:color="auto" w:fill="FFFFFF"/>
        </w:rPr>
        <w:t>一般公共预算财政拨款支出主要</w:t>
      </w:r>
      <w:r>
        <w:rPr>
          <w:rFonts w:hint="default" w:ascii="Times New Roman" w:hAnsi="Times New Roman" w:eastAsia="方正仿宋_GBK" w:cs="Times New Roman"/>
          <w:sz w:val="32"/>
          <w:szCs w:val="32"/>
          <w:highlight w:val="none"/>
          <w:shd w:val="clear" w:color="auto" w:fill="FFFFFF"/>
          <w:lang w:eastAsia="zh-CN"/>
        </w:rPr>
        <w:t>用途如下</w:t>
      </w:r>
      <w:r>
        <w:rPr>
          <w:rFonts w:hint="default" w:ascii="Times New Roman" w:hAnsi="Times New Roman" w:eastAsia="方正仿宋_GBK" w:cs="Times New Roman"/>
          <w:sz w:val="32"/>
          <w:szCs w:val="32"/>
          <w:highlight w:val="none"/>
          <w:shd w:val="clear" w:color="auto" w:fill="FFFFFF"/>
        </w:rPr>
        <w:t>：</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shd w:val="clear" w:color="auto" w:fill="FFFFFF"/>
        </w:rPr>
        <w:t>（1）社会保障</w:t>
      </w:r>
      <w:r>
        <w:rPr>
          <w:rFonts w:hint="default" w:ascii="Times New Roman" w:hAnsi="Times New Roman" w:eastAsia="方正仿宋_GBK" w:cs="Times New Roman"/>
          <w:sz w:val="32"/>
          <w:szCs w:val="32"/>
          <w:shd w:val="clear" w:color="auto" w:fill="FFFFFF"/>
          <w:lang w:eastAsia="zh-CN"/>
        </w:rPr>
        <w:t>和</w:t>
      </w:r>
      <w:r>
        <w:rPr>
          <w:rFonts w:hint="default" w:ascii="Times New Roman" w:hAnsi="Times New Roman" w:eastAsia="方正仿宋_GBK" w:cs="Times New Roman"/>
          <w:sz w:val="32"/>
          <w:szCs w:val="32"/>
          <w:shd w:val="clear" w:color="auto" w:fill="FFFFFF"/>
        </w:rPr>
        <w:t>就业支出174.08万元，占20.0%，较年初预算数增加37.71万元，增长27.7%，主要原因是</w:t>
      </w:r>
      <w:r>
        <w:rPr>
          <w:rFonts w:hint="default" w:ascii="Times New Roman" w:hAnsi="Times New Roman" w:eastAsia="方正仿宋_GBK" w:cs="Times New Roman"/>
          <w:sz w:val="32"/>
          <w:szCs w:val="32"/>
          <w:shd w:val="clear" w:color="auto" w:fill="FFFFFF"/>
          <w:lang w:val="en-US" w:eastAsia="zh-CN"/>
        </w:rPr>
        <w:t>超额绩效纳入养老保险及职业年金缴费基数导致人员费用增加。</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shd w:val="clear" w:color="auto" w:fill="FFFFFF"/>
          <w:lang w:val="en-US" w:eastAsia="zh-CN"/>
        </w:rPr>
        <w:t>2</w:t>
      </w:r>
      <w:r>
        <w:rPr>
          <w:rFonts w:hint="default" w:ascii="Times New Roman" w:hAnsi="Times New Roman" w:eastAsia="方正仿宋_GBK" w:cs="Times New Roman"/>
          <w:sz w:val="32"/>
          <w:szCs w:val="32"/>
          <w:shd w:val="clear" w:color="auto" w:fill="FFFFFF"/>
        </w:rPr>
        <w:t>）卫生健康支出658.40万元，占75.6%，较年初预算数增加75.46万元，增长12.9%，主要原因是</w:t>
      </w:r>
      <w:r>
        <w:rPr>
          <w:rFonts w:hint="eastAsia" w:ascii="Times New Roman" w:hAnsi="Times New Roman" w:eastAsia="方正仿宋_GBK" w:cs="Times New Roman"/>
          <w:sz w:val="32"/>
          <w:szCs w:val="32"/>
          <w:shd w:val="clear" w:color="auto" w:fill="FFFFFF"/>
          <w:lang w:val="en-US" w:eastAsia="zh-CN"/>
        </w:rPr>
        <w:t>财政年中调增设备采购预算及</w:t>
      </w:r>
      <w:r>
        <w:rPr>
          <w:rFonts w:hint="default" w:ascii="Times New Roman" w:hAnsi="Times New Roman" w:eastAsia="方正仿宋_GBK" w:cs="Times New Roman"/>
          <w:sz w:val="32"/>
          <w:szCs w:val="32"/>
          <w:shd w:val="clear" w:color="auto" w:fill="FFFFFF"/>
          <w:lang w:val="en-US" w:eastAsia="zh-CN"/>
        </w:rPr>
        <w:t>人员增加。</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color w:val="auto"/>
          <w:sz w:val="32"/>
          <w:szCs w:val="32"/>
          <w:shd w:val="clear" w:color="auto" w:fill="FFFFFF"/>
        </w:rPr>
      </w:pPr>
      <w:r>
        <w:rPr>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shd w:val="clear" w:color="auto" w:fill="FFFFFF"/>
          <w:lang w:val="en-US" w:eastAsia="zh-CN"/>
        </w:rPr>
        <w:t>3</w:t>
      </w:r>
      <w:r>
        <w:rPr>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rPr>
        <w:t>住房保障支出</w:t>
      </w:r>
      <w:r>
        <w:rPr>
          <w:rFonts w:hint="default" w:ascii="Times New Roman" w:hAnsi="Times New Roman" w:eastAsia="方正仿宋_GBK" w:cs="Times New Roman"/>
          <w:sz w:val="32"/>
          <w:szCs w:val="32"/>
          <w:shd w:val="clear" w:color="auto" w:fill="FFFFFF"/>
        </w:rPr>
        <w:t>38.21万元，占4.4%，较年初预算数增加0.99万元，增长2.7%，主要原因是</w:t>
      </w:r>
      <w:r>
        <w:rPr>
          <w:rFonts w:hint="default" w:ascii="Times New Roman" w:hAnsi="Times New Roman" w:eastAsia="方正仿宋_GBK" w:cs="Times New Roman"/>
          <w:sz w:val="32"/>
          <w:szCs w:val="32"/>
          <w:shd w:val="clear" w:color="auto" w:fill="FFFFFF"/>
          <w:lang w:val="en-US" w:eastAsia="zh-CN"/>
        </w:rPr>
        <w:t>人员增加。</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color w:val="FF0000"/>
          <w:sz w:val="32"/>
          <w:szCs w:val="32"/>
          <w:shd w:val="clear" w:color="auto" w:fill="FFFFFF"/>
        </w:rPr>
      </w:pPr>
      <w:r>
        <w:rPr>
          <w:rStyle w:val="10"/>
          <w:rFonts w:hint="default" w:ascii="Times New Roman" w:hAnsi="Times New Roman" w:eastAsia="方正仿宋_GBK" w:cs="Times New Roman"/>
          <w:b w:val="0"/>
          <w:bCs/>
          <w:sz w:val="32"/>
          <w:szCs w:val="32"/>
          <w:shd w:val="clear" w:color="auto" w:fill="FFFFFF"/>
        </w:rPr>
        <w:t>3.结转结余情况。</w:t>
      </w:r>
      <w:r>
        <w:rPr>
          <w:rFonts w:hint="default" w:ascii="Times New Roman" w:hAnsi="Times New Roman" w:eastAsia="方正仿宋_GBK" w:cs="Times New Roman"/>
          <w:sz w:val="32"/>
          <w:szCs w:val="32"/>
          <w:shd w:val="clear" w:color="auto" w:fill="FFFFFF"/>
        </w:rPr>
        <w:t>2024年度年末一般公共预算财政拨款结转和结余0.00万元，与2023年度相比，无增减</w:t>
      </w:r>
      <w:r>
        <w:rPr>
          <w:rFonts w:hint="default" w:ascii="Times New Roman" w:hAnsi="Times New Roman" w:eastAsia="方正仿宋_GBK" w:cs="Times New Roman"/>
          <w:sz w:val="32"/>
          <w:szCs w:val="32"/>
          <w:shd w:val="clear" w:color="auto" w:fill="FFFFFF"/>
          <w:lang w:eastAsia="zh-CN"/>
        </w:rPr>
        <w:t>。</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outlineLvl w:val="9"/>
        <w:rPr>
          <w:rFonts w:hint="default" w:ascii="Times New Roman" w:hAnsi="Times New Roman" w:eastAsia="方正楷体_GBK" w:cs="Times New Roman"/>
          <w:b/>
          <w:bCs/>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（四）一般公共预算财政拨款基本支出决算情况说明</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2024年度一般公共财政拨款基本支出860.70万元。</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jc w:val="both"/>
        <w:textAlignment w:val="auto"/>
        <w:outlineLvl w:val="9"/>
        <w:rPr>
          <w:rFonts w:hint="default" w:ascii="Times New Roman" w:hAnsi="Times New Roman" w:eastAsia="方正仿宋_GBK" w:cs="Times New Roman"/>
          <w:sz w:val="32"/>
          <w:szCs w:val="32"/>
          <w:shd w:val="clear" w:color="auto" w:fill="FFFFFF"/>
        </w:rPr>
      </w:pPr>
      <w:bookmarkStart w:id="0" w:name="_GoBack"/>
      <w:bookmarkEnd w:id="0"/>
      <w:r>
        <w:rPr>
          <w:rFonts w:hint="default" w:ascii="Times New Roman" w:hAnsi="Times New Roman" w:eastAsia="方正仿宋_GBK" w:cs="Times New Roman"/>
          <w:sz w:val="32"/>
          <w:szCs w:val="32"/>
          <w:shd w:val="clear" w:color="auto" w:fill="FFFFFF"/>
        </w:rPr>
        <w:t>其中：</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color w:val="FF0000"/>
          <w:sz w:val="32"/>
          <w:szCs w:val="32"/>
          <w:shd w:val="clear" w:color="auto" w:fill="FFFFFF"/>
          <w:lang w:val="en-US" w:eastAsia="zh-CN"/>
        </w:rPr>
      </w:pPr>
      <w:r>
        <w:rPr>
          <w:rFonts w:hint="default" w:ascii="Times New Roman" w:hAnsi="Times New Roman" w:eastAsia="方正仿宋_GBK" w:cs="Times New Roman"/>
          <w:sz w:val="32"/>
          <w:szCs w:val="32"/>
          <w:shd w:val="clear" w:color="auto" w:fill="FFFFFF"/>
        </w:rPr>
        <w:t>人员经费860.70万元，与2023年度相比，增加41.73万元，增长5.1%，主要原因是</w:t>
      </w:r>
      <w:r>
        <w:rPr>
          <w:rFonts w:hint="default" w:ascii="Times New Roman" w:hAnsi="Times New Roman" w:eastAsia="方正仿宋_GBK" w:cs="Times New Roman"/>
          <w:sz w:val="32"/>
          <w:szCs w:val="32"/>
          <w:shd w:val="clear" w:color="auto" w:fill="FFFFFF"/>
          <w:lang w:val="en-US" w:eastAsia="zh-CN"/>
        </w:rPr>
        <w:t>人员增加及超额绩效纳入养老保险及职业年金缴费基数后导致费用增加。</w:t>
      </w:r>
      <w:r>
        <w:rPr>
          <w:rFonts w:hint="default" w:ascii="Times New Roman" w:hAnsi="Times New Roman" w:eastAsia="方正仿宋_GBK" w:cs="Times New Roman"/>
          <w:sz w:val="32"/>
          <w:szCs w:val="32"/>
          <w:shd w:val="clear" w:color="auto" w:fill="FFFFFF"/>
        </w:rPr>
        <w:t>人员经费用途主要包括</w:t>
      </w:r>
      <w:r>
        <w:rPr>
          <w:rFonts w:hint="default" w:ascii="Times New Roman" w:hAnsi="Times New Roman" w:eastAsia="方正仿宋_GBK" w:cs="Times New Roman"/>
          <w:sz w:val="32"/>
          <w:szCs w:val="32"/>
          <w:shd w:val="clear" w:color="auto" w:fill="FFFFFF"/>
          <w:lang w:val="en-US" w:eastAsia="zh-CN"/>
        </w:rPr>
        <w:t>工资、津补贴、绩效、社保及公积金、伙食补助。</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rPr>
        <w:t>公用经费0.00万元，与2023年度相比，减少5.00万元，下降100.0%，主要原因是</w:t>
      </w:r>
      <w:r>
        <w:rPr>
          <w:rFonts w:hint="default" w:ascii="Times New Roman" w:hAnsi="Times New Roman" w:eastAsia="方正仿宋_GBK" w:cs="Times New Roman"/>
          <w:sz w:val="32"/>
          <w:szCs w:val="32"/>
          <w:shd w:val="clear" w:color="auto" w:fill="FFFFFF"/>
          <w:lang w:val="en-US" w:eastAsia="zh-CN"/>
        </w:rPr>
        <w:t>2023年收到精神病二代服药项目款5万元，2024年无相关拨款</w:t>
      </w:r>
      <w:r>
        <w:rPr>
          <w:rFonts w:hint="default" w:ascii="Times New Roman" w:hAnsi="Times New Roman" w:eastAsia="方正仿宋_GBK" w:cs="Times New Roman"/>
          <w:sz w:val="32"/>
          <w:szCs w:val="32"/>
          <w:shd w:val="clear" w:color="auto" w:fill="FFFFFF"/>
          <w:lang w:eastAsia="zh-CN"/>
        </w:rPr>
        <w:t>。</w:t>
      </w:r>
      <w:r>
        <w:rPr>
          <w:rFonts w:hint="default" w:ascii="Times New Roman" w:hAnsi="Times New Roman" w:eastAsia="方正仿宋_GBK" w:cs="Times New Roman"/>
          <w:sz w:val="32"/>
          <w:szCs w:val="32"/>
          <w:shd w:val="clear" w:color="auto" w:fill="FFFFFF"/>
        </w:rPr>
        <w:t>公用经费用途主要包括</w:t>
      </w:r>
      <w:r>
        <w:rPr>
          <w:rFonts w:hint="default" w:ascii="Times New Roman" w:hAnsi="Times New Roman" w:eastAsia="方正仿宋_GBK" w:cs="Times New Roman"/>
          <w:sz w:val="32"/>
          <w:szCs w:val="32"/>
          <w:shd w:val="clear" w:color="auto" w:fill="FFFFFF"/>
          <w:lang w:val="en-US" w:eastAsia="zh-CN"/>
        </w:rPr>
        <w:t>疾病预防与控制、重大公共卫生支出、医疗服务与保障能力提升。</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outlineLvl w:val="9"/>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（五）政府性基金预算收支决算情况说明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color w:val="FF0000"/>
          <w:sz w:val="32"/>
          <w:szCs w:val="32"/>
          <w:shd w:val="clear" w:color="auto" w:fill="FFFFFF"/>
          <w:lang w:val="en-US" w:eastAsia="zh-CN"/>
        </w:rPr>
      </w:pPr>
      <w:r>
        <w:rPr>
          <w:rFonts w:hint="default" w:ascii="Times New Roman" w:hAnsi="Times New Roman" w:eastAsia="方正仿宋_GBK" w:cs="Times New Roman"/>
          <w:sz w:val="32"/>
          <w:szCs w:val="32"/>
          <w:shd w:val="clear" w:color="auto" w:fill="FFFFFF"/>
        </w:rPr>
        <w:t>2024年度政府性基金预算财政拨款年初结转结余0.00万元，年末结转结余0.00万元。本年收入480.00万元，与2023年度相比，减少1420.19万元，下降74.7%，主要原因是</w:t>
      </w:r>
      <w:r>
        <w:rPr>
          <w:rFonts w:hint="default" w:ascii="Times New Roman" w:hAnsi="Times New Roman" w:eastAsia="方正仿宋_GBK" w:cs="Times New Roman"/>
          <w:sz w:val="32"/>
          <w:szCs w:val="32"/>
          <w:shd w:val="clear" w:color="auto" w:fill="FFFFFF"/>
          <w:lang w:val="en-US" w:eastAsia="zh-CN"/>
        </w:rPr>
        <w:t>改扩建项目拨款减少</w:t>
      </w:r>
      <w:r>
        <w:rPr>
          <w:rFonts w:hint="default" w:ascii="Times New Roman" w:hAnsi="Times New Roman" w:eastAsia="方正仿宋_GBK" w:cs="Times New Roman"/>
          <w:sz w:val="32"/>
          <w:szCs w:val="32"/>
          <w:shd w:val="clear" w:color="auto" w:fill="FFFFFF"/>
          <w:lang w:eastAsia="zh-CN"/>
        </w:rPr>
        <w:t>。</w:t>
      </w:r>
      <w:r>
        <w:rPr>
          <w:rFonts w:hint="default" w:ascii="Times New Roman" w:hAnsi="Times New Roman" w:eastAsia="方正仿宋_GBK" w:cs="Times New Roman"/>
          <w:sz w:val="32"/>
          <w:szCs w:val="32"/>
          <w:shd w:val="clear" w:color="auto" w:fill="FFFFFF"/>
        </w:rPr>
        <w:t>本年支出480.00万元，与2023年度相比，减少1420.19万元，下降74.7%，主要原因是</w:t>
      </w:r>
      <w:r>
        <w:rPr>
          <w:rFonts w:hint="default" w:ascii="Times New Roman" w:hAnsi="Times New Roman" w:eastAsia="方正仿宋_GBK" w:cs="Times New Roman"/>
          <w:sz w:val="32"/>
          <w:szCs w:val="32"/>
          <w:shd w:val="clear" w:color="auto" w:fill="FFFFFF"/>
          <w:lang w:val="en-US" w:eastAsia="zh-CN"/>
        </w:rPr>
        <w:t>改扩建项目支出减少。</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outlineLvl w:val="9"/>
        <w:rPr>
          <w:rFonts w:hint="default" w:ascii="Times New Roman" w:hAnsi="Times New Roman" w:eastAsia="方正楷体_GBK" w:cs="Times New Roman"/>
          <w:b/>
          <w:bCs/>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（六）国有资本经营预算财政拨款支出决算情况说明</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shd w:val="clear" w:color="auto" w:fill="FFFFFF"/>
          <w:lang w:val="en-US" w:eastAsia="zh-CN"/>
        </w:rPr>
        <w:t>我单位</w:t>
      </w:r>
      <w:r>
        <w:rPr>
          <w:rFonts w:hint="default" w:ascii="Times New Roman" w:hAnsi="Times New Roman" w:eastAsia="方正仿宋_GBK" w:cs="Times New Roman"/>
          <w:sz w:val="32"/>
          <w:szCs w:val="32"/>
          <w:shd w:val="clear" w:color="auto" w:fill="FFFFFF"/>
        </w:rPr>
        <w:t>2024年度</w:t>
      </w:r>
      <w:r>
        <w:rPr>
          <w:rFonts w:hint="default" w:ascii="Times New Roman" w:hAnsi="Times New Roman" w:eastAsia="方正仿宋_GBK" w:cs="Times New Roman"/>
          <w:sz w:val="32"/>
          <w:szCs w:val="32"/>
          <w:shd w:val="clear" w:color="auto" w:fill="FFFFFF"/>
          <w:lang w:val="en-US" w:eastAsia="zh-CN"/>
        </w:rPr>
        <w:t>无</w:t>
      </w:r>
      <w:r>
        <w:rPr>
          <w:rFonts w:hint="default" w:ascii="Times New Roman" w:hAnsi="Times New Roman" w:eastAsia="方正仿宋_GBK" w:cs="Times New Roman"/>
          <w:sz w:val="32"/>
          <w:szCs w:val="32"/>
          <w:shd w:val="clear" w:color="auto" w:fill="FFFFFF"/>
        </w:rPr>
        <w:t>国有资本经营预算财政拨款支出</w:t>
      </w:r>
      <w:r>
        <w:rPr>
          <w:rFonts w:hint="default" w:ascii="Times New Roman" w:hAnsi="Times New Roman" w:eastAsia="方正仿宋_GBK" w:cs="Times New Roman"/>
          <w:sz w:val="32"/>
          <w:szCs w:val="32"/>
          <w:shd w:val="clear" w:color="auto" w:fill="FFFFFF"/>
          <w:lang w:eastAsia="zh-CN"/>
        </w:rPr>
        <w:t>。</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黑体_GBK" w:cs="Times New Roman"/>
          <w:b w:val="0"/>
          <w:bCs/>
          <w:sz w:val="32"/>
          <w:szCs w:val="32"/>
          <w:shd w:val="clear" w:color="auto" w:fill="FFFFFF"/>
        </w:rPr>
      </w:pPr>
      <w:r>
        <w:rPr>
          <w:rStyle w:val="10"/>
          <w:rFonts w:hint="default" w:ascii="Times New Roman" w:hAnsi="Times New Roman" w:eastAsia="方正黑体_GBK" w:cs="Times New Roman"/>
          <w:b w:val="0"/>
          <w:bCs/>
          <w:sz w:val="32"/>
          <w:szCs w:val="32"/>
          <w:shd w:val="clear" w:color="auto" w:fill="FFFFFF"/>
        </w:rPr>
        <w:t>三、</w:t>
      </w:r>
      <w:r>
        <w:rPr>
          <w:rStyle w:val="10"/>
          <w:rFonts w:hint="default" w:ascii="Times New Roman" w:hAnsi="Times New Roman" w:eastAsia="方正黑体_GBK" w:cs="Times New Roman"/>
          <w:b w:val="0"/>
          <w:bCs/>
          <w:sz w:val="32"/>
          <w:szCs w:val="32"/>
          <w:shd w:val="clear" w:color="auto" w:fill="FFFFFF"/>
          <w:lang w:eastAsia="zh-CN"/>
        </w:rPr>
        <w:t>财政拨款</w:t>
      </w:r>
      <w:r>
        <w:rPr>
          <w:rStyle w:val="10"/>
          <w:rFonts w:hint="default" w:ascii="Times New Roman" w:hAnsi="Times New Roman" w:eastAsia="方正黑体_GBK" w:cs="Times New Roman"/>
          <w:b w:val="0"/>
          <w:bCs/>
          <w:sz w:val="32"/>
          <w:szCs w:val="32"/>
          <w:shd w:val="clear" w:color="auto" w:fill="FFFFFF"/>
        </w:rPr>
        <w:t>“三公”经费情况说明</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outlineLvl w:val="9"/>
        <w:rPr>
          <w:rFonts w:hint="default" w:ascii="Times New Roman" w:hAnsi="Times New Roman" w:eastAsia="方正仿宋_GBK" w:cs="Times New Roman"/>
          <w:b/>
          <w:bCs/>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（一）“三公”经费支出总体情况说明</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shd w:val="clear" w:color="auto" w:fill="FFFFFF"/>
        </w:rPr>
        <w:t>2024年度“三公”经费支出共计0.00万元，较年初预算数无增减</w:t>
      </w:r>
      <w:r>
        <w:rPr>
          <w:rFonts w:hint="default" w:ascii="Times New Roman" w:hAnsi="Times New Roman" w:eastAsia="方正仿宋_GBK" w:cs="Times New Roman"/>
          <w:sz w:val="32"/>
          <w:szCs w:val="32"/>
          <w:shd w:val="clear" w:color="auto" w:fill="FFFFFF"/>
          <w:lang w:eastAsia="zh-CN"/>
        </w:rPr>
        <w:t>。</w:t>
      </w:r>
      <w:r>
        <w:rPr>
          <w:rFonts w:hint="default" w:ascii="Times New Roman" w:hAnsi="Times New Roman" w:eastAsia="方正仿宋_GBK" w:cs="Times New Roman"/>
          <w:sz w:val="32"/>
          <w:szCs w:val="32"/>
          <w:shd w:val="clear" w:color="auto" w:fill="FFFFFF"/>
        </w:rPr>
        <w:t>较上年支出数减少0.30万元，下降100.0%，主要原因是</w:t>
      </w:r>
      <w:r>
        <w:rPr>
          <w:rFonts w:hint="default" w:ascii="Times New Roman" w:hAnsi="Times New Roman" w:eastAsia="方正仿宋_GBK" w:cs="Times New Roman"/>
          <w:sz w:val="32"/>
          <w:szCs w:val="32"/>
          <w:shd w:val="clear" w:color="auto" w:fill="FFFFFF"/>
          <w:lang w:val="en-US" w:eastAsia="zh-CN"/>
        </w:rPr>
        <w:t>公务用车运行维护费减少。</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outlineLvl w:val="9"/>
        <w:rPr>
          <w:rFonts w:hint="default" w:ascii="Times New Roman" w:hAnsi="Times New Roman" w:eastAsia="方正楷体_GBK" w:cs="Times New Roman"/>
          <w:b/>
          <w:bCs/>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（二）“三公”经费分项支出情况</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rPr>
        <w:t>2024年度</w:t>
      </w:r>
      <w:r>
        <w:rPr>
          <w:rFonts w:hint="eastAsia" w:ascii="Times New Roman" w:hAnsi="Times New Roman" w:eastAsia="方正仿宋_GBK" w:cs="Times New Roman"/>
          <w:sz w:val="32"/>
          <w:szCs w:val="32"/>
          <w:shd w:val="clear" w:color="auto" w:fill="FFFFFF"/>
          <w:lang w:val="en-US" w:eastAsia="zh-CN"/>
        </w:rPr>
        <w:t>我单位</w:t>
      </w:r>
      <w:r>
        <w:rPr>
          <w:rFonts w:hint="default" w:ascii="Times New Roman" w:hAnsi="Times New Roman" w:eastAsia="方正仿宋_GBK" w:cs="Times New Roman"/>
          <w:sz w:val="32"/>
          <w:szCs w:val="32"/>
          <w:shd w:val="clear" w:color="auto" w:fill="FFFFFF"/>
          <w:lang w:val="en-US" w:eastAsia="zh-CN"/>
        </w:rPr>
        <w:t>无</w:t>
      </w:r>
      <w:r>
        <w:rPr>
          <w:rFonts w:hint="default" w:ascii="Times New Roman" w:hAnsi="Times New Roman" w:eastAsia="方正仿宋_GBK" w:cs="Times New Roman"/>
          <w:sz w:val="32"/>
          <w:szCs w:val="32"/>
          <w:shd w:val="clear" w:color="auto" w:fill="FFFFFF"/>
        </w:rPr>
        <w:t>因公出国（境）费用</w:t>
      </w:r>
      <w:r>
        <w:rPr>
          <w:rFonts w:hint="default" w:ascii="Times New Roman" w:hAnsi="Times New Roman" w:eastAsia="方正仿宋_GBK" w:cs="Times New Roman"/>
          <w:sz w:val="32"/>
          <w:szCs w:val="32"/>
          <w:shd w:val="clear" w:color="auto" w:fill="FFFFFF"/>
          <w:lang w:eastAsia="zh-CN"/>
        </w:rPr>
        <w:t>。</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lang w:val="en-US" w:eastAsia="zh-CN"/>
        </w:rPr>
        <w:t>2024年度</w:t>
      </w:r>
      <w:r>
        <w:rPr>
          <w:rFonts w:hint="eastAsia" w:ascii="Times New Roman" w:hAnsi="Times New Roman" w:eastAsia="方正仿宋_GBK" w:cs="Times New Roman"/>
          <w:sz w:val="32"/>
          <w:szCs w:val="32"/>
          <w:shd w:val="clear" w:color="auto" w:fill="FFFFFF"/>
          <w:lang w:val="en-US" w:eastAsia="zh-CN"/>
        </w:rPr>
        <w:t>我单位</w:t>
      </w:r>
      <w:r>
        <w:rPr>
          <w:rFonts w:hint="default" w:ascii="Times New Roman" w:hAnsi="Times New Roman" w:eastAsia="方正仿宋_GBK" w:cs="Times New Roman"/>
          <w:sz w:val="32"/>
          <w:szCs w:val="32"/>
          <w:shd w:val="clear" w:color="auto" w:fill="FFFFFF"/>
          <w:lang w:val="en-US" w:eastAsia="zh-CN"/>
        </w:rPr>
        <w:t>无</w:t>
      </w:r>
      <w:r>
        <w:rPr>
          <w:rFonts w:hint="default" w:ascii="Times New Roman" w:hAnsi="Times New Roman" w:eastAsia="方正仿宋_GBK" w:cs="Times New Roman"/>
          <w:sz w:val="32"/>
          <w:szCs w:val="32"/>
          <w:shd w:val="clear" w:color="auto" w:fill="FFFFFF"/>
        </w:rPr>
        <w:t>公务</w:t>
      </w:r>
      <w:r>
        <w:rPr>
          <w:rFonts w:hint="default" w:ascii="Times New Roman" w:hAnsi="Times New Roman" w:eastAsia="方正仿宋_GBK" w:cs="Times New Roman"/>
          <w:sz w:val="32"/>
          <w:szCs w:val="32"/>
          <w:shd w:val="clear" w:color="auto" w:fill="FFFFFF"/>
          <w:lang w:eastAsia="zh-CN"/>
        </w:rPr>
        <w:t>用</w:t>
      </w:r>
      <w:r>
        <w:rPr>
          <w:rFonts w:hint="default" w:ascii="Times New Roman" w:hAnsi="Times New Roman" w:eastAsia="方正仿宋_GBK" w:cs="Times New Roman"/>
          <w:sz w:val="32"/>
          <w:szCs w:val="32"/>
          <w:shd w:val="clear" w:color="auto" w:fill="FFFFFF"/>
        </w:rPr>
        <w:t>车购置费</w:t>
      </w:r>
      <w:r>
        <w:rPr>
          <w:rFonts w:hint="default" w:ascii="Times New Roman" w:hAnsi="Times New Roman" w:eastAsia="方正仿宋_GBK" w:cs="Times New Roman"/>
          <w:sz w:val="32"/>
          <w:szCs w:val="32"/>
          <w:shd w:val="clear" w:color="auto" w:fill="FFFFFF"/>
          <w:lang w:eastAsia="zh-CN"/>
        </w:rPr>
        <w:t>。</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lang w:val="en-US" w:eastAsia="zh-CN"/>
        </w:rPr>
        <w:t>2024年度</w:t>
      </w:r>
      <w:r>
        <w:rPr>
          <w:rFonts w:hint="eastAsia" w:ascii="Times New Roman" w:hAnsi="Times New Roman" w:eastAsia="方正仿宋_GBK" w:cs="Times New Roman"/>
          <w:sz w:val="32"/>
          <w:szCs w:val="32"/>
          <w:shd w:val="clear" w:color="auto" w:fill="FFFFFF"/>
          <w:lang w:val="en-US" w:eastAsia="zh-CN"/>
        </w:rPr>
        <w:t>我单位</w:t>
      </w:r>
      <w:r>
        <w:rPr>
          <w:rFonts w:hint="default" w:ascii="Times New Roman" w:hAnsi="Times New Roman" w:eastAsia="方正仿宋_GBK" w:cs="Times New Roman"/>
          <w:sz w:val="32"/>
          <w:szCs w:val="32"/>
          <w:shd w:val="clear" w:color="auto" w:fill="FFFFFF"/>
        </w:rPr>
        <w:t>公务</w:t>
      </w:r>
      <w:r>
        <w:rPr>
          <w:rFonts w:hint="default" w:ascii="Times New Roman" w:hAnsi="Times New Roman" w:eastAsia="方正仿宋_GBK" w:cs="Times New Roman"/>
          <w:sz w:val="32"/>
          <w:szCs w:val="32"/>
          <w:shd w:val="clear" w:color="auto" w:fill="FFFFFF"/>
          <w:lang w:eastAsia="zh-CN"/>
        </w:rPr>
        <w:t>用</w:t>
      </w:r>
      <w:r>
        <w:rPr>
          <w:rFonts w:hint="default" w:ascii="Times New Roman" w:hAnsi="Times New Roman" w:eastAsia="方正仿宋_GBK" w:cs="Times New Roman"/>
          <w:sz w:val="32"/>
          <w:szCs w:val="32"/>
          <w:shd w:val="clear" w:color="auto" w:fill="FFFFFF"/>
        </w:rPr>
        <w:t>车运行维护费0.00万元，主要用于</w:t>
      </w:r>
      <w:r>
        <w:rPr>
          <w:rFonts w:hint="default" w:ascii="Times New Roman" w:hAnsi="Times New Roman" w:eastAsia="方正仿宋_GBK" w:cs="Times New Roman"/>
          <w:sz w:val="32"/>
          <w:szCs w:val="32"/>
          <w:shd w:val="clear" w:color="auto" w:fill="FFFFFF"/>
          <w:lang w:val="en-US" w:eastAsia="zh-CN"/>
        </w:rPr>
        <w:t>公务车日常运行支出，</w:t>
      </w:r>
      <w:r>
        <w:rPr>
          <w:rFonts w:hint="default" w:ascii="Times New Roman" w:hAnsi="Times New Roman" w:eastAsia="方正仿宋_GBK" w:cs="Times New Roman"/>
          <w:sz w:val="32"/>
          <w:szCs w:val="32"/>
          <w:shd w:val="clear" w:color="auto" w:fill="FFFFFF"/>
        </w:rPr>
        <w:t>费用支出</w:t>
      </w:r>
      <w:r>
        <w:rPr>
          <w:rFonts w:hint="default" w:ascii="Times New Roman" w:hAnsi="Times New Roman" w:eastAsia="方正仿宋_GBK" w:cs="Times New Roman"/>
          <w:sz w:val="32"/>
          <w:szCs w:val="32"/>
          <w:shd w:val="clear" w:color="auto" w:fill="FFFFFF"/>
          <w:lang w:val="en-US" w:eastAsia="zh-CN"/>
        </w:rPr>
        <w:t>与</w:t>
      </w:r>
      <w:r>
        <w:rPr>
          <w:rFonts w:hint="default" w:ascii="Times New Roman" w:hAnsi="Times New Roman" w:eastAsia="方正仿宋_GBK" w:cs="Times New Roman"/>
          <w:sz w:val="32"/>
          <w:szCs w:val="32"/>
          <w:shd w:val="clear" w:color="auto" w:fill="FFFFFF"/>
        </w:rPr>
        <w:t>年初预算数</w:t>
      </w:r>
      <w:r>
        <w:rPr>
          <w:rFonts w:hint="default" w:ascii="Times New Roman" w:hAnsi="Times New Roman" w:eastAsia="方正仿宋_GBK" w:cs="Times New Roman"/>
          <w:sz w:val="32"/>
          <w:szCs w:val="32"/>
          <w:shd w:val="clear" w:color="auto" w:fill="FFFFFF"/>
          <w:lang w:val="en-US" w:eastAsia="zh-CN"/>
        </w:rPr>
        <w:t>一致。</w:t>
      </w:r>
      <w:r>
        <w:rPr>
          <w:rFonts w:hint="default" w:ascii="Times New Roman" w:hAnsi="Times New Roman" w:eastAsia="方正仿宋_GBK" w:cs="Times New Roman"/>
          <w:sz w:val="32"/>
          <w:szCs w:val="32"/>
          <w:shd w:val="clear" w:color="auto" w:fill="FFFFFF"/>
        </w:rPr>
        <w:t>较上年支出数减少0.30万元，下降100.0%，主要原因是</w:t>
      </w:r>
      <w:r>
        <w:rPr>
          <w:rFonts w:hint="default" w:ascii="Times New Roman" w:hAnsi="Times New Roman" w:eastAsia="方正仿宋_GBK" w:cs="Times New Roman"/>
          <w:sz w:val="32"/>
          <w:szCs w:val="32"/>
          <w:shd w:val="clear" w:color="auto" w:fill="FFFFFF"/>
          <w:lang w:val="en-US" w:eastAsia="zh-CN"/>
        </w:rPr>
        <w:t>公务用车运行维护费减少。</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lang w:val="en-US" w:eastAsia="zh-CN"/>
        </w:rPr>
        <w:t>2024年度</w:t>
      </w:r>
      <w:r>
        <w:rPr>
          <w:rFonts w:hint="eastAsia" w:ascii="Times New Roman" w:hAnsi="Times New Roman" w:eastAsia="方正仿宋_GBK" w:cs="Times New Roman"/>
          <w:sz w:val="32"/>
          <w:szCs w:val="32"/>
          <w:shd w:val="clear" w:color="auto" w:fill="FFFFFF"/>
          <w:lang w:val="en-US" w:eastAsia="zh-CN"/>
        </w:rPr>
        <w:t>我单位</w:t>
      </w:r>
      <w:r>
        <w:rPr>
          <w:rFonts w:hint="default" w:ascii="Times New Roman" w:hAnsi="Times New Roman" w:eastAsia="方正仿宋_GBK" w:cs="Times New Roman"/>
          <w:sz w:val="32"/>
          <w:szCs w:val="32"/>
          <w:shd w:val="clear" w:color="auto" w:fill="FFFFFF"/>
          <w:lang w:val="en-US" w:eastAsia="zh-CN"/>
        </w:rPr>
        <w:t>无</w:t>
      </w:r>
      <w:r>
        <w:rPr>
          <w:rFonts w:hint="default" w:ascii="Times New Roman" w:hAnsi="Times New Roman" w:eastAsia="方正仿宋_GBK" w:cs="Times New Roman"/>
          <w:sz w:val="32"/>
          <w:szCs w:val="32"/>
          <w:shd w:val="clear" w:color="auto" w:fill="FFFFFF"/>
        </w:rPr>
        <w:t>公务接待费</w:t>
      </w:r>
      <w:r>
        <w:rPr>
          <w:rFonts w:hint="default" w:ascii="Times New Roman" w:hAnsi="Times New Roman" w:eastAsia="方正仿宋_GBK" w:cs="Times New Roman"/>
          <w:sz w:val="32"/>
          <w:szCs w:val="32"/>
          <w:shd w:val="clear" w:color="auto" w:fill="FFFFFF"/>
          <w:lang w:eastAsia="zh-CN"/>
        </w:rPr>
        <w:t>。</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（三）“三公”经费实物量情况</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rPr>
        <w:t>2024年度</w:t>
      </w:r>
      <w:r>
        <w:rPr>
          <w:rFonts w:hint="eastAsia" w:ascii="Times New Roman" w:hAnsi="Times New Roman" w:eastAsia="方正仿宋_GBK" w:cs="Times New Roman"/>
          <w:sz w:val="32"/>
          <w:szCs w:val="32"/>
          <w:shd w:val="clear" w:color="auto" w:fill="FFFFFF"/>
          <w:lang w:eastAsia="zh-CN"/>
        </w:rPr>
        <w:t>我单位</w:t>
      </w:r>
      <w:r>
        <w:rPr>
          <w:rFonts w:hint="default" w:ascii="Times New Roman" w:hAnsi="Times New Roman" w:eastAsia="方正仿宋_GBK" w:cs="Times New Roman"/>
          <w:sz w:val="32"/>
          <w:szCs w:val="32"/>
          <w:shd w:val="clear" w:color="auto" w:fill="FFFFFF"/>
        </w:rPr>
        <w:t>因公出国（境）共计0个团组，0人；公务用车购置0辆，公务车保有量为0辆；国内公务接待0批次0人，其中：国内外事接待0批次，0人；国（境）外公务接待0批次，0人。2024年</w:t>
      </w:r>
      <w:r>
        <w:rPr>
          <w:rFonts w:hint="eastAsia" w:ascii="Times New Roman" w:hAnsi="Times New Roman" w:eastAsia="方正仿宋_GBK" w:cs="Times New Roman"/>
          <w:sz w:val="32"/>
          <w:szCs w:val="32"/>
          <w:shd w:val="clear" w:color="auto" w:fill="FFFFFF"/>
          <w:lang w:eastAsia="zh-CN"/>
        </w:rPr>
        <w:t>我单位</w:t>
      </w:r>
      <w:r>
        <w:rPr>
          <w:rFonts w:hint="default" w:ascii="Times New Roman" w:hAnsi="Times New Roman" w:eastAsia="方正仿宋_GBK" w:cs="Times New Roman"/>
          <w:sz w:val="32"/>
          <w:szCs w:val="32"/>
          <w:shd w:val="clear" w:color="auto" w:fill="FFFFFF"/>
        </w:rPr>
        <w:t>人均接待费0元，车均购置费0万元，车均维护费0万元。</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黑体_GBK" w:cs="Times New Roman"/>
          <w:b w:val="0"/>
          <w:bCs/>
          <w:sz w:val="32"/>
          <w:szCs w:val="32"/>
          <w:shd w:val="clear" w:color="auto" w:fill="FFFFFF"/>
        </w:rPr>
      </w:pPr>
      <w:r>
        <w:rPr>
          <w:rStyle w:val="10"/>
          <w:rFonts w:hint="default" w:ascii="Times New Roman" w:hAnsi="Times New Roman" w:eastAsia="方正黑体_GBK" w:cs="Times New Roman"/>
          <w:b w:val="0"/>
          <w:bCs/>
          <w:sz w:val="32"/>
          <w:szCs w:val="32"/>
          <w:shd w:val="clear" w:color="auto" w:fill="FFFFFF"/>
        </w:rPr>
        <w:t>四、其他需要说明的事项</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（一）财政拨款会议费、培训费和差旅费情况说明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color w:val="auto"/>
          <w:sz w:val="32"/>
          <w:szCs w:val="32"/>
          <w:highlight w:val="yellow"/>
        </w:rPr>
      </w:pPr>
      <w:r>
        <w:rPr>
          <w:rFonts w:hint="eastAsia" w:ascii="Times New Roman" w:hAnsi="Times New Roman" w:eastAsia="方正仿宋_GBK" w:cs="Times New Roman"/>
          <w:sz w:val="32"/>
          <w:szCs w:val="32"/>
          <w:shd w:val="clear" w:color="auto" w:fill="FFFFFF"/>
          <w:lang w:val="en-US" w:eastAsia="zh-CN"/>
        </w:rPr>
        <w:t>本</w:t>
      </w:r>
      <w:r>
        <w:rPr>
          <w:rFonts w:hint="default" w:ascii="Times New Roman" w:hAnsi="Times New Roman" w:eastAsia="方正仿宋_GBK" w:cs="Times New Roman"/>
          <w:sz w:val="32"/>
          <w:szCs w:val="32"/>
          <w:shd w:val="clear" w:color="auto" w:fill="FFFFFF"/>
          <w:lang w:val="en-US" w:eastAsia="zh-CN"/>
        </w:rPr>
        <w:t>年度无</w:t>
      </w:r>
      <w:r>
        <w:rPr>
          <w:rFonts w:hint="default" w:ascii="Times New Roman" w:hAnsi="Times New Roman" w:eastAsia="方正仿宋_GBK" w:cs="Times New Roman"/>
          <w:sz w:val="32"/>
          <w:szCs w:val="32"/>
          <w:shd w:val="clear" w:color="auto" w:fill="FFFFFF"/>
        </w:rPr>
        <w:t>会议费支出</w:t>
      </w:r>
      <w:r>
        <w:rPr>
          <w:rFonts w:hint="default" w:ascii="Times New Roman" w:hAnsi="Times New Roman" w:eastAsia="方正仿宋_GBK" w:cs="Times New Roman"/>
          <w:sz w:val="32"/>
          <w:szCs w:val="32"/>
          <w:shd w:val="clear" w:color="auto" w:fill="FFFFFF"/>
          <w:lang w:eastAsia="zh-CN"/>
        </w:rPr>
        <w:t>，</w:t>
      </w:r>
      <w:r>
        <w:rPr>
          <w:rFonts w:hint="default" w:ascii="Times New Roman" w:hAnsi="Times New Roman" w:eastAsia="方正仿宋_GBK" w:cs="Times New Roman"/>
          <w:sz w:val="32"/>
          <w:szCs w:val="32"/>
          <w:shd w:val="clear" w:color="auto" w:fill="FFFFFF"/>
        </w:rPr>
        <w:t>与2023年度</w:t>
      </w:r>
      <w:r>
        <w:rPr>
          <w:rFonts w:hint="eastAsia" w:ascii="Times New Roman" w:hAnsi="Times New Roman" w:eastAsia="方正仿宋_GBK" w:cs="Times New Roman"/>
          <w:sz w:val="32"/>
          <w:szCs w:val="32"/>
          <w:shd w:val="clear" w:color="auto" w:fill="FFFFFF"/>
          <w:lang w:val="en-US" w:eastAsia="zh-CN"/>
        </w:rPr>
        <w:t>相比，无增减。本</w:t>
      </w:r>
      <w:r>
        <w:rPr>
          <w:rFonts w:hint="default" w:ascii="Times New Roman" w:hAnsi="Times New Roman" w:eastAsia="方正仿宋_GBK" w:cs="Times New Roman"/>
          <w:sz w:val="32"/>
          <w:szCs w:val="32"/>
          <w:shd w:val="clear" w:color="auto" w:fill="FFFFFF"/>
          <w:lang w:val="en-US" w:eastAsia="zh-CN"/>
        </w:rPr>
        <w:t>年度无</w:t>
      </w:r>
      <w:r>
        <w:rPr>
          <w:rFonts w:hint="default" w:ascii="Times New Roman" w:hAnsi="Times New Roman" w:eastAsia="方正仿宋_GBK" w:cs="Times New Roman"/>
          <w:sz w:val="32"/>
          <w:szCs w:val="32"/>
          <w:shd w:val="clear" w:color="auto" w:fill="FFFFFF"/>
        </w:rPr>
        <w:t>培训费支出</w:t>
      </w:r>
      <w:r>
        <w:rPr>
          <w:rFonts w:hint="default" w:ascii="Times New Roman" w:hAnsi="Times New Roman" w:eastAsia="方正仿宋_GBK" w:cs="Times New Roman"/>
          <w:sz w:val="32"/>
          <w:szCs w:val="32"/>
          <w:shd w:val="clear" w:color="auto" w:fill="FFFFFF"/>
          <w:lang w:eastAsia="zh-CN"/>
        </w:rPr>
        <w:t>，</w:t>
      </w:r>
      <w:r>
        <w:rPr>
          <w:rFonts w:hint="default" w:ascii="Times New Roman" w:hAnsi="Times New Roman" w:eastAsia="方正仿宋_GBK" w:cs="Times New Roman"/>
          <w:sz w:val="32"/>
          <w:szCs w:val="32"/>
          <w:shd w:val="clear" w:color="auto" w:fill="FFFFFF"/>
        </w:rPr>
        <w:t>与2023年度</w:t>
      </w:r>
      <w:r>
        <w:rPr>
          <w:rFonts w:hint="eastAsia" w:ascii="Times New Roman" w:hAnsi="Times New Roman" w:eastAsia="方正仿宋_GBK" w:cs="Times New Roman"/>
          <w:sz w:val="32"/>
          <w:szCs w:val="32"/>
          <w:shd w:val="clear" w:color="auto" w:fill="FFFFFF"/>
          <w:lang w:val="en-US" w:eastAsia="zh-CN"/>
        </w:rPr>
        <w:t>相比，无增减。本</w:t>
      </w:r>
      <w:r>
        <w:rPr>
          <w:rFonts w:hint="default" w:ascii="Times New Roman" w:hAnsi="Times New Roman" w:eastAsia="方正仿宋_GBK" w:cs="Times New Roman"/>
          <w:sz w:val="32"/>
          <w:szCs w:val="32"/>
          <w:shd w:val="clear" w:color="auto" w:fill="FFFFFF"/>
          <w:lang w:val="en-US" w:eastAsia="zh-CN"/>
        </w:rPr>
        <w:t>年度</w:t>
      </w:r>
      <w:r>
        <w:rPr>
          <w:rFonts w:hint="default" w:ascii="Times New Roman" w:hAnsi="Times New Roman" w:eastAsia="方正仿宋_GBK" w:cs="Times New Roman"/>
          <w:sz w:val="32"/>
          <w:szCs w:val="32"/>
          <w:shd w:val="clear" w:color="auto" w:fill="FFFFFF"/>
        </w:rPr>
        <w:t>差旅费支出0.00</w:t>
      </w:r>
      <w:r>
        <w:rPr>
          <w:rFonts w:hint="default" w:ascii="Times New Roman" w:hAnsi="Times New Roman" w:eastAsia="方正仿宋_GBK" w:cs="Times New Roman"/>
          <w:sz w:val="32"/>
          <w:szCs w:val="32"/>
        </w:rPr>
        <w:t>万元，</w:t>
      </w:r>
      <w:r>
        <w:rPr>
          <w:rFonts w:hint="default" w:ascii="Times New Roman" w:hAnsi="Times New Roman" w:eastAsia="方正仿宋_GBK" w:cs="Times New Roman"/>
          <w:sz w:val="32"/>
          <w:szCs w:val="32"/>
          <w:shd w:val="clear" w:color="auto" w:fill="FFFFFF"/>
        </w:rPr>
        <w:t>与2023年度相比，减少49.76万元，下降100.0%</w:t>
      </w:r>
      <w:r>
        <w:rPr>
          <w:rFonts w:hint="eastAsia" w:ascii="Times New Roman" w:hAnsi="Times New Roman" w:eastAsia="方正仿宋_GBK" w:cs="Times New Roman"/>
          <w:sz w:val="32"/>
          <w:szCs w:val="32"/>
          <w:shd w:val="clear" w:color="auto" w:fill="FFFFFF"/>
          <w:lang w:eastAsia="zh-CN"/>
        </w:rPr>
        <w:t>，</w:t>
      </w:r>
      <w:r>
        <w:rPr>
          <w:rFonts w:hint="default" w:ascii="Times New Roman" w:hAnsi="Times New Roman" w:eastAsia="方正仿宋_GBK" w:cs="Times New Roman"/>
          <w:sz w:val="32"/>
          <w:szCs w:val="32"/>
          <w:shd w:val="clear" w:color="auto" w:fill="FFFFFF"/>
        </w:rPr>
        <w:t>主要原因是</w:t>
      </w:r>
      <w:r>
        <w:rPr>
          <w:rFonts w:hint="eastAsia" w:ascii="Times New Roman" w:hAnsi="Times New Roman" w:eastAsia="方正仿宋_GBK" w:cs="Times New Roman"/>
          <w:sz w:val="32"/>
          <w:szCs w:val="32"/>
          <w:shd w:val="clear" w:color="auto" w:fill="FFFFFF"/>
          <w:lang w:val="en-US" w:eastAsia="zh-CN"/>
        </w:rPr>
        <w:t>2023年度有</w:t>
      </w:r>
      <w:r>
        <w:rPr>
          <w:rFonts w:hint="default" w:ascii="Times New Roman" w:hAnsi="Times New Roman" w:eastAsia="方正仿宋_GBK" w:cs="Times New Roman"/>
          <w:sz w:val="32"/>
          <w:szCs w:val="32"/>
          <w:shd w:val="clear" w:color="auto" w:fill="FFFFFF"/>
          <w:lang w:val="en-US" w:eastAsia="zh-CN"/>
        </w:rPr>
        <w:t>使用财政资金</w:t>
      </w:r>
      <w:r>
        <w:rPr>
          <w:rFonts w:hint="eastAsia" w:ascii="Times New Roman" w:hAnsi="Times New Roman" w:eastAsia="方正仿宋_GBK" w:cs="Times New Roman"/>
          <w:sz w:val="32"/>
          <w:szCs w:val="32"/>
          <w:shd w:val="clear" w:color="auto" w:fill="FFFFFF"/>
          <w:lang w:val="en-US" w:eastAsia="zh-CN"/>
        </w:rPr>
        <w:t>支出</w:t>
      </w:r>
      <w:r>
        <w:rPr>
          <w:rFonts w:hint="default" w:ascii="Times New Roman" w:hAnsi="Times New Roman" w:eastAsia="方正仿宋_GBK" w:cs="Times New Roman"/>
          <w:sz w:val="32"/>
          <w:szCs w:val="32"/>
          <w:shd w:val="clear" w:color="auto" w:fill="FFFFFF"/>
          <w:lang w:val="en-US" w:eastAsia="zh-CN"/>
        </w:rPr>
        <w:t>差旅费。</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outlineLvl w:val="9"/>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（二）机关运行经费情况说明</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color w:val="auto"/>
          <w:sz w:val="32"/>
          <w:szCs w:val="32"/>
          <w:highlight w:val="yellow"/>
        </w:rPr>
      </w:pPr>
      <w:r>
        <w:rPr>
          <w:rFonts w:hint="default" w:ascii="Times New Roman" w:hAnsi="Times New Roman" w:eastAsia="方正仿宋_GBK" w:cs="Times New Roman"/>
          <w:sz w:val="32"/>
          <w:szCs w:val="32"/>
          <w:shd w:val="clear" w:color="auto" w:fill="FFFFFF"/>
          <w:lang w:val="en-US" w:eastAsia="zh-CN"/>
        </w:rPr>
        <w:t>按照部门决算列报口径，我单位不在机关运行经费统计范围之内。</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outlineLvl w:val="9"/>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（三）国有资产占用情况说明</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color w:val="FF0000"/>
          <w:sz w:val="32"/>
          <w:szCs w:val="32"/>
        </w:rPr>
      </w:pPr>
      <w:r>
        <w:rPr>
          <w:rFonts w:hint="default" w:ascii="Times New Roman" w:hAnsi="Times New Roman" w:eastAsia="方正仿宋_GBK" w:cs="Times New Roman"/>
          <w:sz w:val="32"/>
          <w:szCs w:val="32"/>
          <w:shd w:val="clear" w:color="auto" w:fill="FFFFFF"/>
        </w:rPr>
        <w:t>截至2024年12月31日，</w:t>
      </w:r>
      <w:r>
        <w:rPr>
          <w:rFonts w:hint="eastAsia" w:ascii="Times New Roman" w:hAnsi="Times New Roman" w:eastAsia="方正仿宋_GBK" w:cs="Times New Roman"/>
          <w:sz w:val="32"/>
          <w:szCs w:val="32"/>
          <w:shd w:val="clear" w:color="auto" w:fill="FFFFFF"/>
          <w:lang w:eastAsia="zh-CN"/>
        </w:rPr>
        <w:t>我单位</w:t>
      </w:r>
      <w:r>
        <w:rPr>
          <w:rFonts w:hint="default" w:ascii="Times New Roman" w:hAnsi="Times New Roman" w:eastAsia="方正仿宋_GBK" w:cs="Times New Roman"/>
          <w:sz w:val="32"/>
          <w:szCs w:val="32"/>
          <w:shd w:val="clear" w:color="auto" w:fill="FFFFFF"/>
        </w:rPr>
        <w:t>共有车辆2辆，其中，副部（省）级及以上领导用车0辆、主要负责人用车0辆、机要通信用车0辆、应急保障用车2辆、执法执勤用车0辆，特种专业技术用车0辆，离退休干部用车0辆。单价100万元（含）以上专用设备0台（套）。</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outlineLvl w:val="9"/>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（四）政府采购支出情况说明</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color w:val="auto"/>
          <w:sz w:val="32"/>
          <w:szCs w:val="32"/>
          <w:highlight w:val="yellow"/>
        </w:rPr>
      </w:pPr>
      <w:r>
        <w:rPr>
          <w:rFonts w:hint="default" w:ascii="Times New Roman" w:hAnsi="Times New Roman" w:eastAsia="方正仿宋_GBK" w:cs="Times New Roman"/>
          <w:sz w:val="32"/>
          <w:szCs w:val="32"/>
          <w:shd w:val="clear" w:color="auto" w:fill="FFFFFF"/>
        </w:rPr>
        <w:t>2024年度</w:t>
      </w:r>
      <w:r>
        <w:rPr>
          <w:rFonts w:hint="eastAsia" w:ascii="Times New Roman" w:hAnsi="Times New Roman" w:eastAsia="方正仿宋_GBK" w:cs="Times New Roman"/>
          <w:sz w:val="32"/>
          <w:szCs w:val="32"/>
          <w:shd w:val="clear" w:color="auto" w:fill="FFFFFF"/>
          <w:lang w:eastAsia="zh-CN"/>
        </w:rPr>
        <w:t>我单位</w:t>
      </w:r>
      <w:r>
        <w:rPr>
          <w:rFonts w:hint="default" w:ascii="Times New Roman" w:hAnsi="Times New Roman" w:eastAsia="方正仿宋_GBK" w:cs="Times New Roman"/>
          <w:sz w:val="32"/>
          <w:szCs w:val="32"/>
          <w:shd w:val="clear" w:color="auto" w:fill="FFFFFF"/>
        </w:rPr>
        <w:t>政府采购支出总额150.82万元，其中：政府采购货物支出150.82万元、政府采购工程支出0.00万元、政府采购服务支出0.00万元。授予中小企业合同金额149.70</w:t>
      </w:r>
      <w:r>
        <w:rPr>
          <w:rFonts w:hint="default" w:ascii="Times New Roman" w:hAnsi="Times New Roman" w:eastAsia="方正仿宋_GBK" w:cs="Times New Roman"/>
          <w:sz w:val="32"/>
          <w:szCs w:val="32"/>
        </w:rPr>
        <w:t>万</w:t>
      </w:r>
      <w:r>
        <w:rPr>
          <w:rFonts w:hint="default" w:ascii="Times New Roman" w:hAnsi="Times New Roman" w:eastAsia="方正仿宋_GBK" w:cs="Times New Roman"/>
          <w:sz w:val="32"/>
          <w:szCs w:val="32"/>
          <w:shd w:val="clear" w:color="auto" w:fill="FFFFFF"/>
        </w:rPr>
        <w:t>元，占政府采购支出总额的99.3%，其中：授予小微企业合同金额1.66万元，占政府采购支出总额的1.1%。主要用于采购</w:t>
      </w:r>
      <w:r>
        <w:rPr>
          <w:rFonts w:hint="default" w:ascii="Times New Roman" w:hAnsi="Times New Roman" w:eastAsia="方正仿宋_GBK" w:cs="Times New Roman"/>
          <w:sz w:val="32"/>
          <w:szCs w:val="32"/>
          <w:shd w:val="clear" w:color="auto" w:fill="FFFFFF"/>
          <w:lang w:val="en-US" w:eastAsia="zh-CN"/>
        </w:rPr>
        <w:t>电脑、打印机及空调。</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outlineLvl w:val="9"/>
        <w:rPr>
          <w:rFonts w:hint="default" w:ascii="Times New Roman" w:hAnsi="Times New Roman" w:eastAsia="方正黑体_GBK" w:cs="Times New Roman"/>
          <w:b w:val="0"/>
          <w:bCs/>
          <w:sz w:val="32"/>
          <w:szCs w:val="32"/>
          <w:highlight w:val="yellow"/>
          <w:shd w:val="clear" w:color="auto" w:fill="FFFFFF"/>
          <w:lang w:bidi="ar"/>
        </w:rPr>
      </w:pPr>
      <w:r>
        <w:rPr>
          <w:rStyle w:val="10"/>
          <w:rFonts w:hint="default" w:ascii="Times New Roman" w:hAnsi="Times New Roman" w:eastAsia="方正黑体_GBK" w:cs="Times New Roman"/>
          <w:b w:val="0"/>
          <w:bCs/>
          <w:sz w:val="32"/>
          <w:szCs w:val="32"/>
          <w:shd w:val="clear" w:color="auto" w:fill="FFFFFF"/>
        </w:rPr>
        <w:t>五、</w:t>
      </w:r>
      <w:r>
        <w:rPr>
          <w:rStyle w:val="10"/>
          <w:rFonts w:hint="default" w:ascii="Times New Roman" w:hAnsi="Times New Roman" w:eastAsia="方正黑体_GBK" w:cs="Times New Roman"/>
          <w:b w:val="0"/>
          <w:bCs/>
          <w:sz w:val="32"/>
          <w:szCs w:val="32"/>
          <w:shd w:val="clear" w:color="auto" w:fill="FFFFFF"/>
          <w:lang w:eastAsia="zh-CN"/>
        </w:rPr>
        <w:t>预算</w:t>
      </w:r>
      <w:r>
        <w:rPr>
          <w:rStyle w:val="10"/>
          <w:rFonts w:hint="default" w:ascii="Times New Roman" w:hAnsi="Times New Roman" w:eastAsia="方正黑体_GBK" w:cs="Times New Roman"/>
          <w:b w:val="0"/>
          <w:bCs/>
          <w:sz w:val="32"/>
          <w:szCs w:val="32"/>
          <w:shd w:val="clear" w:color="auto" w:fill="FFFFFF"/>
          <w:lang w:val="en-US" w:eastAsia="zh-CN" w:bidi="ar-SA"/>
        </w:rPr>
        <w:t>绩效管理情况说明</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0"/>
        <w:jc w:val="both"/>
        <w:textAlignment w:val="auto"/>
        <w:outlineLvl w:val="9"/>
        <w:rPr>
          <w:rFonts w:hint="default" w:ascii="Times New Roman" w:hAnsi="Times New Roman" w:eastAsia="方正楷体_GBK" w:cs="Times New Roman"/>
          <w:b w:val="0"/>
          <w:bCs w:val="0"/>
          <w:sz w:val="32"/>
          <w:szCs w:val="32"/>
          <w:shd w:val="clear" w:color="auto" w:fill="FFFFFF"/>
          <w:lang w:val="en-US" w:eastAsia="zh-CN" w:bidi="ar"/>
        </w:rPr>
      </w:pPr>
      <w:r>
        <w:rPr>
          <w:rFonts w:hint="default" w:ascii="Times New Roman" w:hAnsi="Times New Roman" w:eastAsia="方正楷体_GBK" w:cs="Times New Roman"/>
          <w:b w:val="0"/>
          <w:bCs w:val="0"/>
          <w:sz w:val="32"/>
          <w:szCs w:val="32"/>
          <w:shd w:val="clear" w:color="auto" w:fill="FFFFFF"/>
          <w:lang w:bidi="ar"/>
        </w:rPr>
        <w:t>（一）</w:t>
      </w:r>
      <w:r>
        <w:rPr>
          <w:rFonts w:hint="default" w:ascii="Times New Roman" w:hAnsi="Times New Roman" w:eastAsia="方正楷体_GBK" w:cs="Times New Roman"/>
          <w:b w:val="0"/>
          <w:bCs w:val="0"/>
          <w:sz w:val="32"/>
          <w:szCs w:val="32"/>
          <w:shd w:val="clear" w:color="auto" w:fill="FFFFFF"/>
          <w:lang w:val="en-US" w:eastAsia="zh-CN" w:bidi="ar"/>
        </w:rPr>
        <w:t>单位</w:t>
      </w:r>
      <w:r>
        <w:rPr>
          <w:rFonts w:hint="default" w:ascii="Times New Roman" w:hAnsi="Times New Roman" w:eastAsia="方正楷体_GBK" w:cs="Times New Roman"/>
          <w:b w:val="0"/>
          <w:bCs w:val="0"/>
          <w:sz w:val="32"/>
          <w:szCs w:val="32"/>
          <w:shd w:val="clear" w:color="auto" w:fill="FFFFFF"/>
          <w:lang w:bidi="ar"/>
        </w:rPr>
        <w:t>自评情况</w:t>
      </w:r>
    </w:p>
    <w:p>
      <w:pPr>
        <w:pStyle w:val="14"/>
        <w:keepNext w:val="0"/>
        <w:keepLines w:val="0"/>
        <w:pageBreakBefore w:val="0"/>
        <w:widowControl/>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sz w:val="32"/>
          <w:szCs w:val="32"/>
          <w:shd w:val="clear" w:color="auto" w:fill="FFFFFF"/>
          <w:lang w:eastAsia="zh-CN" w:bidi="ar"/>
        </w:rPr>
      </w:pPr>
      <w:r>
        <w:rPr>
          <w:rFonts w:hint="default" w:ascii="Times New Roman" w:hAnsi="Times New Roman" w:eastAsia="方正仿宋_GBK" w:cs="Times New Roman"/>
          <w:sz w:val="32"/>
          <w:szCs w:val="32"/>
          <w:shd w:val="clear" w:color="auto" w:fill="FFFFFF"/>
          <w:lang w:bidi="ar"/>
        </w:rPr>
        <w:t>根据预算绩效管理要求，我</w:t>
      </w:r>
      <w:r>
        <w:rPr>
          <w:rFonts w:hint="default" w:ascii="Times New Roman" w:hAnsi="Times New Roman" w:eastAsia="方正仿宋_GBK" w:cs="Times New Roman"/>
          <w:sz w:val="32"/>
          <w:szCs w:val="32"/>
          <w:shd w:val="clear" w:color="auto" w:fill="FFFFFF"/>
          <w:lang w:val="en-US" w:eastAsia="zh-CN" w:bidi="ar"/>
        </w:rPr>
        <w:t>单位</w:t>
      </w:r>
      <w:r>
        <w:rPr>
          <w:rFonts w:hint="default" w:ascii="Times New Roman" w:hAnsi="Times New Roman" w:eastAsia="方正仿宋_GBK" w:cs="Times New Roman"/>
          <w:sz w:val="32"/>
          <w:szCs w:val="32"/>
          <w:shd w:val="clear" w:color="auto" w:fill="FFFFFF"/>
          <w:lang w:bidi="ar"/>
        </w:rPr>
        <w:t>对</w:t>
      </w:r>
      <w:r>
        <w:rPr>
          <w:rFonts w:hint="default" w:ascii="Times New Roman" w:hAnsi="Times New Roman" w:eastAsia="方正仿宋_GBK" w:cs="Times New Roman"/>
          <w:sz w:val="32"/>
          <w:szCs w:val="32"/>
          <w:shd w:val="clear" w:color="auto" w:fill="FFFFFF"/>
          <w:lang w:val="en-US" w:eastAsia="zh-CN" w:bidi="ar"/>
        </w:rPr>
        <w:t>4</w:t>
      </w:r>
      <w:r>
        <w:rPr>
          <w:rFonts w:hint="default" w:ascii="Times New Roman" w:hAnsi="Times New Roman" w:eastAsia="方正仿宋_GBK" w:cs="Times New Roman"/>
          <w:sz w:val="32"/>
          <w:szCs w:val="32"/>
          <w:shd w:val="clear" w:color="auto" w:fill="FFFFFF"/>
          <w:lang w:bidi="ar"/>
        </w:rPr>
        <w:t>个项目开展了绩效自评，涉及项目支出资金</w:t>
      </w:r>
      <w:r>
        <w:rPr>
          <w:rFonts w:hint="eastAsia" w:ascii="Times New Roman" w:hAnsi="Times New Roman" w:eastAsia="方正仿宋_GBK" w:cs="Times New Roman"/>
          <w:sz w:val="32"/>
          <w:szCs w:val="32"/>
          <w:shd w:val="clear" w:color="auto" w:fill="FFFFFF"/>
          <w:lang w:val="en-US" w:eastAsia="zh-CN" w:bidi="ar"/>
        </w:rPr>
        <w:t>490</w:t>
      </w:r>
      <w:r>
        <w:rPr>
          <w:rFonts w:hint="default" w:ascii="Times New Roman" w:hAnsi="Times New Roman" w:eastAsia="方正仿宋_GBK" w:cs="Times New Roman"/>
          <w:sz w:val="32"/>
          <w:szCs w:val="32"/>
          <w:shd w:val="clear" w:color="auto" w:fill="FFFFFF"/>
          <w:lang w:bidi="ar"/>
        </w:rPr>
        <w:t>万元</w:t>
      </w:r>
      <w:r>
        <w:rPr>
          <w:rFonts w:hint="default" w:ascii="Times New Roman" w:hAnsi="Times New Roman" w:eastAsia="方正仿宋_GBK" w:cs="Times New Roman"/>
          <w:sz w:val="32"/>
          <w:szCs w:val="32"/>
          <w:shd w:val="clear" w:color="auto" w:fill="FFFFFF"/>
          <w:lang w:eastAsia="zh-CN" w:bidi="ar"/>
        </w:rPr>
        <w:t>。</w:t>
      </w:r>
    </w:p>
    <w:tbl>
      <w:tblPr>
        <w:tblStyle w:val="11"/>
        <w:tblpPr w:leftFromText="180" w:rightFromText="180" w:vertAnchor="text" w:horzAnchor="page" w:tblpXSpec="center" w:tblpY="471"/>
        <w:tblOverlap w:val="never"/>
        <w:tblW w:w="8843" w:type="dxa"/>
        <w:jc w:val="center"/>
        <w:tblInd w:w="0" w:type="dxa"/>
        <w:tblLayout w:type="fixed"/>
        <w:tblCellMar>
          <w:top w:w="0" w:type="dxa"/>
          <w:left w:w="108" w:type="dxa"/>
          <w:bottom w:w="0" w:type="dxa"/>
          <w:right w:w="108" w:type="dxa"/>
        </w:tblCellMar>
      </w:tblPr>
      <w:tblGrid>
        <w:gridCol w:w="600"/>
        <w:gridCol w:w="881"/>
        <w:gridCol w:w="1952"/>
        <w:gridCol w:w="717"/>
        <w:gridCol w:w="683"/>
        <w:gridCol w:w="473"/>
        <w:gridCol w:w="825"/>
        <w:gridCol w:w="863"/>
        <w:gridCol w:w="618"/>
        <w:gridCol w:w="544"/>
        <w:gridCol w:w="687"/>
      </w:tblGrid>
      <w:tr>
        <w:tblPrEx>
          <w:tblLayout w:type="fixed"/>
          <w:tblCellMar>
            <w:top w:w="0" w:type="dxa"/>
            <w:left w:w="108" w:type="dxa"/>
            <w:bottom w:w="0" w:type="dxa"/>
            <w:right w:w="108" w:type="dxa"/>
          </w:tblCellMar>
        </w:tblPrEx>
        <w:trPr>
          <w:trHeight w:val="780" w:hRule="atLeast"/>
          <w:jc w:val="center"/>
        </w:trPr>
        <w:tc>
          <w:tcPr>
            <w:tcW w:w="8843" w:type="dxa"/>
            <w:gridSpan w:val="11"/>
            <w:tcBorders>
              <w:top w:val="nil"/>
              <w:left w:val="nil"/>
              <w:bottom w:val="single" w:color="000000" w:sz="4" w:space="0"/>
              <w:right w:val="nil"/>
            </w:tcBorders>
            <w:vAlign w:val="center"/>
          </w:tcPr>
          <w:p>
            <w:pPr>
              <w:keepNext w:val="0"/>
              <w:keepLines w:val="0"/>
              <w:widowControl/>
              <w:suppressLineNumbers w:val="0"/>
              <w:ind w:firstLine="1920" w:firstLineChars="600"/>
              <w:jc w:val="both"/>
              <w:textAlignment w:val="center"/>
              <w:rPr>
                <w:rFonts w:hint="eastAsia" w:ascii="方正小标宋_GBK" w:hAnsi="方正小标宋_GBK" w:eastAsia="方正小标宋_GBK" w:cs="方正小标宋_GBK"/>
                <w:b w:val="0"/>
                <w:bCs/>
                <w:i w:val="0"/>
                <w:color w:val="auto"/>
                <w:kern w:val="0"/>
                <w:sz w:val="32"/>
                <w:szCs w:val="32"/>
                <w:highlight w:val="none"/>
                <w:u w:val="none"/>
                <w:lang w:val="en-US" w:eastAsia="zh-CN" w:bidi="ar"/>
              </w:rPr>
            </w:pPr>
            <w:r>
              <w:rPr>
                <w:rFonts w:hint="eastAsia" w:ascii="方正小标宋_GBK" w:hAnsi="方正小标宋_GBK" w:eastAsia="方正小标宋_GBK" w:cs="方正小标宋_GBK"/>
                <w:b w:val="0"/>
                <w:bCs/>
                <w:i w:val="0"/>
                <w:color w:val="auto"/>
                <w:kern w:val="0"/>
                <w:sz w:val="32"/>
                <w:szCs w:val="32"/>
                <w:highlight w:val="none"/>
                <w:u w:val="none"/>
                <w:lang w:val="en-US" w:eastAsia="zh-CN" w:bidi="ar"/>
              </w:rPr>
              <w:t>秀山土家族苗族自治县精神卫生中心</w:t>
            </w:r>
          </w:p>
          <w:p>
            <w:pPr>
              <w:widowControl/>
              <w:ind w:firstLine="640" w:firstLineChars="200"/>
              <w:jc w:val="center"/>
              <w:textAlignment w:val="center"/>
              <w:rPr>
                <w:rFonts w:hint="default" w:ascii="Times New Roman" w:hAnsi="Times New Roman" w:eastAsia="方正小标宋_GBK" w:cs="Times New Roman"/>
                <w:b w:val="0"/>
                <w:bCs w:val="0"/>
                <w:color w:val="000000" w:themeColor="text1"/>
                <w:sz w:val="36"/>
                <w:szCs w:val="36"/>
                <w14:textFill>
                  <w14:solidFill>
                    <w14:schemeClr w14:val="tx1"/>
                  </w14:solidFill>
                </w14:textFill>
              </w:rPr>
            </w:pPr>
            <w:r>
              <w:rPr>
                <w:rFonts w:hint="default" w:ascii="Times New Roman" w:hAnsi="Times New Roman" w:eastAsia="方正小标宋_GBK" w:cs="Times New Roman"/>
                <w:b w:val="0"/>
                <w:bCs/>
                <w:i w:val="0"/>
                <w:color w:val="auto"/>
                <w:kern w:val="0"/>
                <w:sz w:val="32"/>
                <w:szCs w:val="32"/>
                <w:highlight w:val="none"/>
                <w:u w:val="none"/>
                <w:lang w:val="en-US" w:eastAsia="zh-CN" w:bidi="ar"/>
              </w:rPr>
              <w:t>2024</w:t>
            </w:r>
            <w:r>
              <w:rPr>
                <w:rFonts w:hint="eastAsia" w:ascii="方正小标宋_GBK" w:hAnsi="方正小标宋_GBK" w:eastAsia="方正小标宋_GBK" w:cs="方正小标宋_GBK"/>
                <w:b w:val="0"/>
                <w:bCs/>
                <w:i w:val="0"/>
                <w:color w:val="auto"/>
                <w:kern w:val="0"/>
                <w:sz w:val="32"/>
                <w:szCs w:val="32"/>
                <w:highlight w:val="none"/>
                <w:u w:val="none"/>
                <w:lang w:val="en-US" w:eastAsia="zh-CN" w:bidi="ar"/>
              </w:rPr>
              <w:t>年度项目支出绩效自评情况表（二级项目）</w:t>
            </w:r>
          </w:p>
        </w:tc>
      </w:tr>
      <w:tr>
        <w:tblPrEx>
          <w:tblLayout w:type="fixed"/>
          <w:tblCellMar>
            <w:top w:w="0" w:type="dxa"/>
            <w:left w:w="108" w:type="dxa"/>
            <w:bottom w:w="0" w:type="dxa"/>
            <w:right w:w="108" w:type="dxa"/>
          </w:tblCellMar>
        </w:tblPrEx>
        <w:trPr>
          <w:trHeight w:val="600" w:hRule="atLeast"/>
          <w:jc w:val="center"/>
        </w:trPr>
        <w:tc>
          <w:tcPr>
            <w:tcW w:w="6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方正仿宋_GBK" w:cs="Times New Roman"/>
                <w:b w:val="0"/>
                <w:bCs w:val="0"/>
                <w:color w:val="000000" w:themeColor="text1"/>
                <w:kern w:val="0"/>
                <w:sz w:val="18"/>
                <w:szCs w:val="18"/>
                <w:lang w:val="en-US" w:eastAsia="zh-CN" w:bidi="ar"/>
                <w14:textFill>
                  <w14:solidFill>
                    <w14:schemeClr w14:val="tx1"/>
                  </w14:solidFill>
                </w14:textFill>
              </w:rPr>
            </w:pPr>
            <w:r>
              <w:rPr>
                <w:rFonts w:hint="default" w:ascii="Times New Roman" w:hAnsi="Times New Roman" w:eastAsia="方正仿宋_GBK" w:cs="Times New Roman"/>
                <w:b w:val="0"/>
                <w:bCs w:val="0"/>
                <w:color w:val="000000" w:themeColor="text1"/>
                <w:kern w:val="0"/>
                <w:sz w:val="18"/>
                <w:szCs w:val="18"/>
                <w:lang w:val="en-US" w:eastAsia="zh-CN" w:bidi="ar"/>
                <w14:textFill>
                  <w14:solidFill>
                    <w14:schemeClr w14:val="tx1"/>
                  </w14:solidFill>
                </w14:textFill>
              </w:rPr>
              <w:t>序号</w:t>
            </w:r>
          </w:p>
        </w:tc>
        <w:tc>
          <w:tcPr>
            <w:tcW w:w="88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方正仿宋_GBK" w:cs="Times New Roman"/>
                <w:b w:val="0"/>
                <w:bCs w:val="0"/>
                <w:color w:val="000000" w:themeColor="text1"/>
                <w:kern w:val="0"/>
                <w:sz w:val="18"/>
                <w:szCs w:val="18"/>
                <w:lang w:val="en-US" w:eastAsia="zh-CN" w:bidi="ar"/>
                <w14:textFill>
                  <w14:solidFill>
                    <w14:schemeClr w14:val="tx1"/>
                  </w14:solidFill>
                </w14:textFill>
              </w:rPr>
            </w:pPr>
            <w:r>
              <w:rPr>
                <w:rFonts w:hint="default" w:ascii="Times New Roman" w:hAnsi="Times New Roman" w:eastAsia="方正仿宋_GBK" w:cs="Times New Roman"/>
                <w:b w:val="0"/>
                <w:bCs w:val="0"/>
                <w:color w:val="000000" w:themeColor="text1"/>
                <w:kern w:val="0"/>
                <w:sz w:val="18"/>
                <w:szCs w:val="18"/>
                <w:lang w:val="en-US" w:eastAsia="zh-CN" w:bidi="ar"/>
                <w14:textFill>
                  <w14:solidFill>
                    <w14:schemeClr w14:val="tx1"/>
                  </w14:solidFill>
                </w14:textFill>
              </w:rPr>
              <w:t>项目名称</w:t>
            </w:r>
          </w:p>
        </w:tc>
        <w:tc>
          <w:tcPr>
            <w:tcW w:w="195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方正仿宋_GBK" w:cs="Times New Roman"/>
                <w:b w:val="0"/>
                <w:bCs w:val="0"/>
                <w:color w:val="000000" w:themeColor="text1"/>
                <w:kern w:val="0"/>
                <w:sz w:val="18"/>
                <w:szCs w:val="18"/>
                <w:lang w:val="en-US" w:eastAsia="zh-CN" w:bidi="ar"/>
                <w14:textFill>
                  <w14:solidFill>
                    <w14:schemeClr w14:val="tx1"/>
                  </w14:solidFill>
                </w14:textFill>
              </w:rPr>
            </w:pPr>
            <w:r>
              <w:rPr>
                <w:rFonts w:hint="default" w:ascii="Times New Roman" w:hAnsi="Times New Roman" w:eastAsia="方正仿宋_GBK" w:cs="Times New Roman"/>
                <w:b w:val="0"/>
                <w:bCs w:val="0"/>
                <w:color w:val="000000" w:themeColor="text1"/>
                <w:kern w:val="0"/>
                <w:sz w:val="18"/>
                <w:szCs w:val="18"/>
                <w:lang w:val="en-US" w:eastAsia="zh-CN" w:bidi="ar"/>
                <w14:textFill>
                  <w14:solidFill>
                    <w14:schemeClr w14:val="tx1"/>
                  </w14:solidFill>
                </w14:textFill>
              </w:rPr>
              <w:t>指标名称</w:t>
            </w:r>
          </w:p>
        </w:tc>
        <w:tc>
          <w:tcPr>
            <w:tcW w:w="71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方正仿宋_GBK" w:cs="Times New Roman"/>
                <w:b w:val="0"/>
                <w:bCs w:val="0"/>
                <w:color w:val="000000" w:themeColor="text1"/>
                <w:kern w:val="0"/>
                <w:sz w:val="18"/>
                <w:szCs w:val="18"/>
                <w:lang w:val="en-US" w:eastAsia="zh-CN" w:bidi="ar"/>
                <w14:textFill>
                  <w14:solidFill>
                    <w14:schemeClr w14:val="tx1"/>
                  </w14:solidFill>
                </w14:textFill>
              </w:rPr>
            </w:pPr>
            <w:r>
              <w:rPr>
                <w:rFonts w:hint="default" w:ascii="Times New Roman" w:hAnsi="Times New Roman" w:eastAsia="方正仿宋_GBK" w:cs="Times New Roman"/>
                <w:b w:val="0"/>
                <w:bCs w:val="0"/>
                <w:color w:val="000000" w:themeColor="text1"/>
                <w:kern w:val="0"/>
                <w:sz w:val="18"/>
                <w:szCs w:val="18"/>
                <w:lang w:val="en-US" w:eastAsia="zh-CN" w:bidi="ar"/>
                <w14:textFill>
                  <w14:solidFill>
                    <w14:schemeClr w14:val="tx1"/>
                  </w14:solidFill>
                </w14:textFill>
              </w:rPr>
              <w:t>指标性质</w:t>
            </w:r>
          </w:p>
        </w:tc>
        <w:tc>
          <w:tcPr>
            <w:tcW w:w="6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方正仿宋_GBK" w:cs="Times New Roman"/>
                <w:b w:val="0"/>
                <w:bCs w:val="0"/>
                <w:color w:val="000000" w:themeColor="text1"/>
                <w:kern w:val="0"/>
                <w:sz w:val="18"/>
                <w:szCs w:val="18"/>
                <w:lang w:val="en-US" w:eastAsia="zh-CN" w:bidi="ar"/>
                <w14:textFill>
                  <w14:solidFill>
                    <w14:schemeClr w14:val="tx1"/>
                  </w14:solidFill>
                </w14:textFill>
              </w:rPr>
            </w:pPr>
            <w:r>
              <w:rPr>
                <w:rFonts w:hint="default" w:ascii="Times New Roman" w:hAnsi="Times New Roman" w:eastAsia="方正仿宋_GBK" w:cs="Times New Roman"/>
                <w:b w:val="0"/>
                <w:bCs w:val="0"/>
                <w:color w:val="000000" w:themeColor="text1"/>
                <w:kern w:val="0"/>
                <w:sz w:val="18"/>
                <w:szCs w:val="18"/>
                <w:lang w:val="en-US" w:eastAsia="zh-CN" w:bidi="ar"/>
                <w14:textFill>
                  <w14:solidFill>
                    <w14:schemeClr w14:val="tx1"/>
                  </w14:solidFill>
                </w14:textFill>
              </w:rPr>
              <w:t>指标值</w:t>
            </w:r>
          </w:p>
        </w:tc>
        <w:tc>
          <w:tcPr>
            <w:tcW w:w="47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方正仿宋_GBK" w:cs="Times New Roman"/>
                <w:b w:val="0"/>
                <w:bCs w:val="0"/>
                <w:color w:val="000000" w:themeColor="text1"/>
                <w:kern w:val="0"/>
                <w:sz w:val="18"/>
                <w:szCs w:val="18"/>
                <w:lang w:val="en-US" w:eastAsia="zh-CN" w:bidi="ar"/>
                <w14:textFill>
                  <w14:solidFill>
                    <w14:schemeClr w14:val="tx1"/>
                  </w14:solidFill>
                </w14:textFill>
              </w:rPr>
            </w:pPr>
            <w:r>
              <w:rPr>
                <w:rFonts w:hint="default" w:ascii="Times New Roman" w:hAnsi="Times New Roman" w:eastAsia="方正仿宋_GBK" w:cs="Times New Roman"/>
                <w:b w:val="0"/>
                <w:bCs w:val="0"/>
                <w:color w:val="000000" w:themeColor="text1"/>
                <w:kern w:val="0"/>
                <w:sz w:val="18"/>
                <w:szCs w:val="18"/>
                <w:lang w:val="en-US" w:eastAsia="zh-CN" w:bidi="ar"/>
                <w14:textFill>
                  <w14:solidFill>
                    <w14:schemeClr w14:val="tx1"/>
                  </w14:solidFill>
                </w14:textFill>
              </w:rPr>
              <w:t>计量单位</w:t>
            </w:r>
          </w:p>
        </w:tc>
        <w:tc>
          <w:tcPr>
            <w:tcW w:w="8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方正仿宋_GBK" w:cs="Times New Roman"/>
                <w:b w:val="0"/>
                <w:bCs w:val="0"/>
                <w:color w:val="000000" w:themeColor="text1"/>
                <w:kern w:val="0"/>
                <w:sz w:val="18"/>
                <w:szCs w:val="18"/>
                <w:lang w:val="en-US" w:eastAsia="zh-CN" w:bidi="ar"/>
                <w14:textFill>
                  <w14:solidFill>
                    <w14:schemeClr w14:val="tx1"/>
                  </w14:solidFill>
                </w14:textFill>
              </w:rPr>
            </w:pPr>
            <w:r>
              <w:rPr>
                <w:rFonts w:hint="default" w:ascii="Times New Roman" w:hAnsi="Times New Roman" w:eastAsia="方正仿宋_GBK" w:cs="Times New Roman"/>
                <w:b w:val="0"/>
                <w:bCs w:val="0"/>
                <w:color w:val="000000" w:themeColor="text1"/>
                <w:kern w:val="0"/>
                <w:sz w:val="18"/>
                <w:szCs w:val="18"/>
                <w:lang w:val="en-US" w:eastAsia="zh-CN" w:bidi="ar"/>
                <w14:textFill>
                  <w14:solidFill>
                    <w14:schemeClr w14:val="tx1"/>
                  </w14:solidFill>
                </w14:textFill>
              </w:rPr>
              <w:t>指标权重</w:t>
            </w:r>
          </w:p>
        </w:tc>
        <w:tc>
          <w:tcPr>
            <w:tcW w:w="86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方正仿宋_GBK" w:cs="Times New Roman"/>
                <w:b w:val="0"/>
                <w:bCs w:val="0"/>
                <w:color w:val="000000" w:themeColor="text1"/>
                <w:kern w:val="0"/>
                <w:sz w:val="18"/>
                <w:szCs w:val="18"/>
                <w:lang w:val="en-US" w:eastAsia="zh-CN" w:bidi="ar"/>
                <w14:textFill>
                  <w14:solidFill>
                    <w14:schemeClr w14:val="tx1"/>
                  </w14:solidFill>
                </w14:textFill>
              </w:rPr>
            </w:pPr>
            <w:r>
              <w:rPr>
                <w:rFonts w:hint="default" w:ascii="Times New Roman" w:hAnsi="Times New Roman" w:eastAsia="方正仿宋_GBK" w:cs="Times New Roman"/>
                <w:b w:val="0"/>
                <w:bCs w:val="0"/>
                <w:color w:val="000000" w:themeColor="text1"/>
                <w:kern w:val="0"/>
                <w:sz w:val="18"/>
                <w:szCs w:val="18"/>
                <w:lang w:val="en-US" w:eastAsia="zh-CN" w:bidi="ar"/>
                <w14:textFill>
                  <w14:solidFill>
                    <w14:schemeClr w14:val="tx1"/>
                  </w14:solidFill>
                </w14:textFill>
              </w:rPr>
              <w:t>全年完成值</w:t>
            </w:r>
          </w:p>
        </w:tc>
        <w:tc>
          <w:tcPr>
            <w:tcW w:w="61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方正仿宋_GBK" w:cs="Times New Roman"/>
                <w:b w:val="0"/>
                <w:bCs w:val="0"/>
                <w:color w:val="000000" w:themeColor="text1"/>
                <w:kern w:val="0"/>
                <w:sz w:val="18"/>
                <w:szCs w:val="18"/>
                <w:lang w:val="en-US" w:eastAsia="zh-CN" w:bidi="ar"/>
                <w14:textFill>
                  <w14:solidFill>
                    <w14:schemeClr w14:val="tx1"/>
                  </w14:solidFill>
                </w14:textFill>
              </w:rPr>
            </w:pPr>
            <w:r>
              <w:rPr>
                <w:rFonts w:hint="default" w:ascii="Times New Roman" w:hAnsi="Times New Roman" w:eastAsia="方正仿宋_GBK" w:cs="Times New Roman"/>
                <w:b w:val="0"/>
                <w:bCs w:val="0"/>
                <w:color w:val="000000" w:themeColor="text1"/>
                <w:kern w:val="0"/>
                <w:sz w:val="18"/>
                <w:szCs w:val="18"/>
                <w:lang w:val="en-US" w:eastAsia="zh-CN" w:bidi="ar"/>
                <w14:textFill>
                  <w14:solidFill>
                    <w14:schemeClr w14:val="tx1"/>
                  </w14:solidFill>
                </w14:textFill>
              </w:rPr>
              <w:t>指标得分</w:t>
            </w:r>
          </w:p>
        </w:tc>
        <w:tc>
          <w:tcPr>
            <w:tcW w:w="5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方正仿宋_GBK" w:cs="Times New Roman"/>
                <w:b w:val="0"/>
                <w:bCs w:val="0"/>
                <w:color w:val="000000" w:themeColor="text1"/>
                <w:kern w:val="0"/>
                <w:sz w:val="18"/>
                <w:szCs w:val="18"/>
                <w:lang w:val="en-US" w:eastAsia="zh-CN" w:bidi="ar"/>
                <w14:textFill>
                  <w14:solidFill>
                    <w14:schemeClr w14:val="tx1"/>
                  </w14:solidFill>
                </w14:textFill>
              </w:rPr>
            </w:pPr>
            <w:r>
              <w:rPr>
                <w:rFonts w:hint="default" w:ascii="Times New Roman" w:hAnsi="Times New Roman" w:eastAsia="方正仿宋_GBK" w:cs="Times New Roman"/>
                <w:b w:val="0"/>
                <w:bCs w:val="0"/>
                <w:color w:val="000000" w:themeColor="text1"/>
                <w:kern w:val="0"/>
                <w:sz w:val="18"/>
                <w:szCs w:val="18"/>
                <w:lang w:val="en-US" w:eastAsia="zh-CN" w:bidi="ar"/>
                <w14:textFill>
                  <w14:solidFill>
                    <w14:schemeClr w14:val="tx1"/>
                  </w14:solidFill>
                </w14:textFill>
              </w:rPr>
              <w:t>说明</w:t>
            </w:r>
          </w:p>
        </w:tc>
        <w:tc>
          <w:tcPr>
            <w:tcW w:w="6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方正仿宋_GBK" w:cs="Times New Roman"/>
                <w:b w:val="0"/>
                <w:bCs w:val="0"/>
                <w:color w:val="000000" w:themeColor="text1"/>
                <w:kern w:val="0"/>
                <w:sz w:val="18"/>
                <w:szCs w:val="18"/>
                <w:lang w:val="en-US" w:eastAsia="zh-CN" w:bidi="ar"/>
                <w14:textFill>
                  <w14:solidFill>
                    <w14:schemeClr w14:val="tx1"/>
                  </w14:solidFill>
                </w14:textFill>
              </w:rPr>
            </w:pPr>
            <w:r>
              <w:rPr>
                <w:rFonts w:hint="default" w:ascii="Times New Roman" w:hAnsi="Times New Roman" w:eastAsia="方正仿宋_GBK" w:cs="Times New Roman"/>
                <w:b w:val="0"/>
                <w:bCs w:val="0"/>
                <w:color w:val="000000" w:themeColor="text1"/>
                <w:kern w:val="0"/>
                <w:sz w:val="18"/>
                <w:szCs w:val="18"/>
                <w:lang w:val="en-US" w:eastAsia="zh-CN" w:bidi="ar"/>
                <w14:textFill>
                  <w14:solidFill>
                    <w14:schemeClr w14:val="tx1"/>
                  </w14:solidFill>
                </w14:textFill>
              </w:rPr>
              <w:t>自评得分</w:t>
            </w:r>
          </w:p>
        </w:tc>
      </w:tr>
      <w:tr>
        <w:tblPrEx>
          <w:tblLayout w:type="fixed"/>
          <w:tblCellMar>
            <w:top w:w="0" w:type="dxa"/>
            <w:left w:w="108" w:type="dxa"/>
            <w:bottom w:w="0" w:type="dxa"/>
            <w:right w:w="108" w:type="dxa"/>
          </w:tblCellMar>
        </w:tblPrEx>
        <w:trPr>
          <w:trHeight w:val="881" w:hRule="atLeast"/>
          <w:jc w:val="center"/>
        </w:trPr>
        <w:tc>
          <w:tcPr>
            <w:tcW w:w="600" w:type="dxa"/>
            <w:vMerge w:val="restart"/>
            <w:tcBorders>
              <w:top w:val="single" w:color="auto" w:sz="4" w:space="0"/>
              <w:left w:val="single" w:color="auto" w:sz="4" w:space="0"/>
              <w:bottom w:val="single" w:color="auto" w:sz="4" w:space="0"/>
              <w:right w:val="single" w:color="auto" w:sz="4" w:space="0"/>
            </w:tcBorders>
            <w:vAlign w:val="center"/>
          </w:tcPr>
          <w:p>
            <w:pPr>
              <w:jc w:val="center"/>
              <w:textAlignment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1</w:t>
            </w:r>
          </w:p>
        </w:tc>
        <w:tc>
          <w:tcPr>
            <w:tcW w:w="881" w:type="dxa"/>
            <w:vMerge w:val="restart"/>
            <w:tcBorders>
              <w:top w:val="single" w:color="auto" w:sz="4" w:space="0"/>
              <w:left w:val="single" w:color="auto" w:sz="4" w:space="0"/>
              <w:bottom w:val="single" w:color="auto" w:sz="4" w:space="0"/>
              <w:right w:val="single" w:color="auto" w:sz="4" w:space="0"/>
            </w:tcBorders>
            <w:vAlign w:val="center"/>
          </w:tcPr>
          <w:p>
            <w:pPr>
              <w:jc w:val="both"/>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医疗服务与保障能力提升（公立医院综合改革）</w:t>
            </w:r>
          </w:p>
        </w:tc>
        <w:tc>
          <w:tcPr>
            <w:tcW w:w="1952" w:type="dxa"/>
            <w:tcBorders>
              <w:top w:val="single" w:color="000000" w:sz="4" w:space="0"/>
              <w:left w:val="single" w:color="auto"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出院病人数量</w:t>
            </w:r>
          </w:p>
        </w:tc>
        <w:tc>
          <w:tcPr>
            <w:tcW w:w="717"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eastAsia="方正仿宋_GBK" w:cs="Times New Roman"/>
                <w:b w:val="0"/>
                <w:bCs w:val="0"/>
                <w:color w:val="000000" w:themeColor="text1"/>
                <w:kern w:val="0"/>
                <w:sz w:val="21"/>
                <w:szCs w:val="21"/>
                <w:lang w:val="en-US" w:eastAsia="zh-CN" w:bidi="ar"/>
                <w14:textFill>
                  <w14:solidFill>
                    <w14:schemeClr w14:val="tx1"/>
                  </w14:solidFill>
                </w14:textFill>
              </w:rPr>
              <w:t>≥</w:t>
            </w:r>
          </w:p>
        </w:tc>
        <w:tc>
          <w:tcPr>
            <w:tcW w:w="683"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600</w:t>
            </w:r>
          </w:p>
        </w:tc>
        <w:tc>
          <w:tcPr>
            <w:tcW w:w="473"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eastAsia="方正仿宋_GBK" w:cs="Times New Roman"/>
                <w:b w:val="0"/>
                <w:bCs w:val="0"/>
                <w:color w:val="000000" w:themeColor="text1"/>
                <w:kern w:val="0"/>
                <w:sz w:val="21"/>
                <w:szCs w:val="21"/>
                <w:lang w:val="en-US" w:eastAsia="zh-CN" w:bidi="ar"/>
                <w14:textFill>
                  <w14:solidFill>
                    <w14:schemeClr w14:val="tx1"/>
                  </w14:solidFill>
                </w14:textFill>
              </w:rPr>
              <w:t>人次</w:t>
            </w:r>
          </w:p>
        </w:tc>
        <w:tc>
          <w:tcPr>
            <w:tcW w:w="825"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20</w:t>
            </w:r>
          </w:p>
        </w:tc>
        <w:tc>
          <w:tcPr>
            <w:tcW w:w="863"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686</w:t>
            </w:r>
          </w:p>
        </w:tc>
        <w:tc>
          <w:tcPr>
            <w:tcW w:w="618"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20</w:t>
            </w:r>
          </w:p>
        </w:tc>
        <w:tc>
          <w:tcPr>
            <w:tcW w:w="544" w:type="dxa"/>
            <w:tcBorders>
              <w:top w:val="single" w:color="000000" w:sz="4" w:space="0"/>
              <w:left w:val="single" w:color="000000" w:sz="4" w:space="0"/>
              <w:bottom w:val="single" w:color="000000" w:sz="4" w:space="0"/>
              <w:right w:val="single" w:color="auto" w:sz="4" w:space="0"/>
            </w:tcBorders>
            <w:vAlign w:val="center"/>
          </w:tcPr>
          <w:p>
            <w:pPr>
              <w:jc w:val="center"/>
              <w:rPr>
                <w:rFonts w:hint="default" w:ascii="Times New Roman" w:hAnsi="Times New Roman" w:eastAsia="方正仿宋_GBK" w:cs="Times New Roman"/>
                <w:b w:val="0"/>
                <w:bCs w:val="0"/>
                <w:color w:val="000000" w:themeColor="text1"/>
                <w:sz w:val="21"/>
                <w:szCs w:val="21"/>
                <w14:textFill>
                  <w14:solidFill>
                    <w14:schemeClr w14:val="tx1"/>
                  </w14:solidFill>
                </w14:textFill>
              </w:rPr>
            </w:pPr>
          </w:p>
        </w:tc>
        <w:tc>
          <w:tcPr>
            <w:tcW w:w="68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90</w:t>
            </w:r>
          </w:p>
        </w:tc>
      </w:tr>
      <w:tr>
        <w:tblPrEx>
          <w:tblLayout w:type="fixed"/>
          <w:tblCellMar>
            <w:top w:w="0" w:type="dxa"/>
            <w:left w:w="108" w:type="dxa"/>
            <w:bottom w:w="0" w:type="dxa"/>
            <w:right w:w="108" w:type="dxa"/>
          </w:tblCellMar>
        </w:tblPrEx>
        <w:trPr>
          <w:trHeight w:val="721" w:hRule="atLeast"/>
          <w:jc w:val="center"/>
        </w:trPr>
        <w:tc>
          <w:tcPr>
            <w:tcW w:w="600" w:type="dxa"/>
            <w:vMerge w:val="continue"/>
            <w:tcBorders>
              <w:top w:val="single" w:color="auto" w:sz="4" w:space="0"/>
              <w:left w:val="single" w:color="auto" w:sz="4" w:space="0"/>
              <w:bottom w:val="single" w:color="auto" w:sz="4" w:space="0"/>
              <w:right w:val="single" w:color="auto" w:sz="4" w:space="0"/>
            </w:tcBorders>
            <w:vAlign w:val="center"/>
          </w:tcPr>
          <w:p>
            <w:pPr>
              <w:jc w:val="center"/>
              <w:textAlignment w:val="center"/>
              <w:rPr>
                <w:rFonts w:hint="default" w:ascii="Times New Roman" w:hAnsi="Times New Roman" w:eastAsia="方正仿宋_GBK" w:cs="Times New Roman"/>
                <w:b w:val="0"/>
                <w:bCs w:val="0"/>
                <w:color w:val="000000" w:themeColor="text1"/>
                <w:sz w:val="21"/>
                <w:szCs w:val="21"/>
                <w14:textFill>
                  <w14:solidFill>
                    <w14:schemeClr w14:val="tx1"/>
                  </w14:solidFill>
                </w14:textFill>
              </w:rPr>
            </w:pPr>
          </w:p>
        </w:tc>
        <w:tc>
          <w:tcPr>
            <w:tcW w:w="881"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方正仿宋_GBK" w:cs="Times New Roman"/>
                <w:b w:val="0"/>
                <w:bCs w:val="0"/>
                <w:color w:val="000000" w:themeColor="text1"/>
                <w:sz w:val="21"/>
                <w:szCs w:val="21"/>
                <w14:textFill>
                  <w14:solidFill>
                    <w14:schemeClr w14:val="tx1"/>
                  </w14:solidFill>
                </w14:textFill>
              </w:rPr>
            </w:pPr>
          </w:p>
        </w:tc>
        <w:tc>
          <w:tcPr>
            <w:tcW w:w="1952" w:type="dxa"/>
            <w:tcBorders>
              <w:top w:val="single" w:color="000000" w:sz="4" w:space="0"/>
              <w:left w:val="single" w:color="auto"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门诊病人数量</w:t>
            </w:r>
          </w:p>
        </w:tc>
        <w:tc>
          <w:tcPr>
            <w:tcW w:w="717"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eastAsia="方正仿宋_GBK" w:cs="Times New Roman"/>
                <w:b w:val="0"/>
                <w:bCs w:val="0"/>
                <w:color w:val="000000" w:themeColor="text1"/>
                <w:kern w:val="0"/>
                <w:sz w:val="21"/>
                <w:szCs w:val="21"/>
                <w:lang w:val="en-US" w:eastAsia="zh-CN" w:bidi="ar"/>
                <w14:textFill>
                  <w14:solidFill>
                    <w14:schemeClr w14:val="tx1"/>
                  </w14:solidFill>
                </w14:textFill>
              </w:rPr>
              <w:t>≥</w:t>
            </w:r>
          </w:p>
        </w:tc>
        <w:tc>
          <w:tcPr>
            <w:tcW w:w="683"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8000</w:t>
            </w:r>
          </w:p>
        </w:tc>
        <w:tc>
          <w:tcPr>
            <w:tcW w:w="473"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eastAsia="方正仿宋_GBK" w:cs="Times New Roman"/>
                <w:b w:val="0"/>
                <w:bCs w:val="0"/>
                <w:color w:val="000000" w:themeColor="text1"/>
                <w:kern w:val="0"/>
                <w:sz w:val="21"/>
                <w:szCs w:val="21"/>
                <w:lang w:val="en-US" w:eastAsia="zh-CN" w:bidi="ar"/>
                <w14:textFill>
                  <w14:solidFill>
                    <w14:schemeClr w14:val="tx1"/>
                  </w14:solidFill>
                </w14:textFill>
              </w:rPr>
              <w:t>人次</w:t>
            </w:r>
          </w:p>
        </w:tc>
        <w:tc>
          <w:tcPr>
            <w:tcW w:w="825"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40</w:t>
            </w:r>
          </w:p>
        </w:tc>
        <w:tc>
          <w:tcPr>
            <w:tcW w:w="863"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10640</w:t>
            </w:r>
          </w:p>
        </w:tc>
        <w:tc>
          <w:tcPr>
            <w:tcW w:w="618"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40</w:t>
            </w:r>
          </w:p>
        </w:tc>
        <w:tc>
          <w:tcPr>
            <w:tcW w:w="544" w:type="dxa"/>
            <w:tcBorders>
              <w:top w:val="single" w:color="000000" w:sz="4" w:space="0"/>
              <w:left w:val="single" w:color="000000" w:sz="4" w:space="0"/>
              <w:bottom w:val="single" w:color="000000" w:sz="4" w:space="0"/>
              <w:right w:val="single" w:color="auto" w:sz="4" w:space="0"/>
            </w:tcBorders>
            <w:vAlign w:val="center"/>
          </w:tcPr>
          <w:p>
            <w:pPr>
              <w:jc w:val="center"/>
              <w:rPr>
                <w:rFonts w:hint="default" w:ascii="Times New Roman" w:hAnsi="Times New Roman" w:eastAsia="方正仿宋_GBK" w:cs="Times New Roman"/>
                <w:b w:val="0"/>
                <w:bCs w:val="0"/>
                <w:color w:val="000000" w:themeColor="text1"/>
                <w:sz w:val="21"/>
                <w:szCs w:val="21"/>
                <w14:textFill>
                  <w14:solidFill>
                    <w14:schemeClr w14:val="tx1"/>
                  </w14:solidFill>
                </w14:textFill>
              </w:rPr>
            </w:pPr>
          </w:p>
        </w:tc>
        <w:tc>
          <w:tcPr>
            <w:tcW w:w="68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val="0"/>
                <w:bCs w:val="0"/>
                <w:color w:val="000000" w:themeColor="text1"/>
                <w:sz w:val="22"/>
                <w14:textFill>
                  <w14:solidFill>
                    <w14:schemeClr w14:val="tx1"/>
                  </w14:solidFill>
                </w14:textFill>
              </w:rPr>
            </w:pPr>
          </w:p>
        </w:tc>
      </w:tr>
      <w:tr>
        <w:tblPrEx>
          <w:tblLayout w:type="fixed"/>
          <w:tblCellMar>
            <w:top w:w="0" w:type="dxa"/>
            <w:left w:w="108" w:type="dxa"/>
            <w:bottom w:w="0" w:type="dxa"/>
            <w:right w:w="108" w:type="dxa"/>
          </w:tblCellMar>
        </w:tblPrEx>
        <w:trPr>
          <w:trHeight w:val="404" w:hRule="atLeast"/>
          <w:jc w:val="center"/>
        </w:trPr>
        <w:tc>
          <w:tcPr>
            <w:tcW w:w="600" w:type="dxa"/>
            <w:vMerge w:val="continue"/>
            <w:tcBorders>
              <w:top w:val="single" w:color="auto" w:sz="4" w:space="0"/>
              <w:left w:val="single" w:color="auto" w:sz="4" w:space="0"/>
              <w:bottom w:val="single" w:color="auto" w:sz="4" w:space="0"/>
              <w:right w:val="single" w:color="auto" w:sz="4" w:space="0"/>
            </w:tcBorders>
            <w:vAlign w:val="center"/>
          </w:tcPr>
          <w:p>
            <w:pPr>
              <w:jc w:val="center"/>
              <w:textAlignment w:val="center"/>
              <w:rPr>
                <w:rFonts w:hint="default" w:ascii="Times New Roman" w:hAnsi="Times New Roman" w:eastAsia="方正仿宋_GBK" w:cs="Times New Roman"/>
                <w:b w:val="0"/>
                <w:bCs w:val="0"/>
                <w:color w:val="000000" w:themeColor="text1"/>
                <w:sz w:val="21"/>
                <w:szCs w:val="21"/>
                <w14:textFill>
                  <w14:solidFill>
                    <w14:schemeClr w14:val="tx1"/>
                  </w14:solidFill>
                </w14:textFill>
              </w:rPr>
            </w:pPr>
          </w:p>
        </w:tc>
        <w:tc>
          <w:tcPr>
            <w:tcW w:w="881"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方正仿宋_GBK" w:cs="Times New Roman"/>
                <w:b w:val="0"/>
                <w:bCs w:val="0"/>
                <w:color w:val="000000" w:themeColor="text1"/>
                <w:sz w:val="21"/>
                <w:szCs w:val="21"/>
                <w14:textFill>
                  <w14:solidFill>
                    <w14:schemeClr w14:val="tx1"/>
                  </w14:solidFill>
                </w14:textFill>
              </w:rPr>
            </w:pPr>
          </w:p>
        </w:tc>
        <w:tc>
          <w:tcPr>
            <w:tcW w:w="1952" w:type="dxa"/>
            <w:tcBorders>
              <w:top w:val="single" w:color="000000" w:sz="4" w:space="0"/>
              <w:left w:val="single" w:color="auto"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月门诊人次</w:t>
            </w:r>
          </w:p>
        </w:tc>
        <w:tc>
          <w:tcPr>
            <w:tcW w:w="717"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eastAsia="方正仿宋_GBK" w:cs="Times New Roman"/>
                <w:b w:val="0"/>
                <w:bCs w:val="0"/>
                <w:color w:val="000000" w:themeColor="text1"/>
                <w:kern w:val="0"/>
                <w:sz w:val="21"/>
                <w:szCs w:val="21"/>
                <w:lang w:val="en-US" w:eastAsia="zh-CN" w:bidi="ar"/>
                <w14:textFill>
                  <w14:solidFill>
                    <w14:schemeClr w14:val="tx1"/>
                  </w14:solidFill>
                </w14:textFill>
              </w:rPr>
              <w:t>≥</w:t>
            </w:r>
          </w:p>
        </w:tc>
        <w:tc>
          <w:tcPr>
            <w:tcW w:w="683"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670</w:t>
            </w:r>
          </w:p>
        </w:tc>
        <w:tc>
          <w:tcPr>
            <w:tcW w:w="473"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eastAsia="方正仿宋_GBK" w:cs="Times New Roman"/>
                <w:b w:val="0"/>
                <w:bCs w:val="0"/>
                <w:color w:val="000000" w:themeColor="text1"/>
                <w:kern w:val="0"/>
                <w:sz w:val="21"/>
                <w:szCs w:val="21"/>
                <w:lang w:val="en-US" w:eastAsia="zh-CN" w:bidi="ar"/>
                <w14:textFill>
                  <w14:solidFill>
                    <w14:schemeClr w14:val="tx1"/>
                  </w14:solidFill>
                </w14:textFill>
              </w:rPr>
              <w:t>人次</w:t>
            </w:r>
          </w:p>
        </w:tc>
        <w:tc>
          <w:tcPr>
            <w:tcW w:w="825"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30</w:t>
            </w:r>
          </w:p>
        </w:tc>
        <w:tc>
          <w:tcPr>
            <w:tcW w:w="863"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886</w:t>
            </w:r>
          </w:p>
        </w:tc>
        <w:tc>
          <w:tcPr>
            <w:tcW w:w="618"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30</w:t>
            </w:r>
          </w:p>
        </w:tc>
        <w:tc>
          <w:tcPr>
            <w:tcW w:w="544" w:type="dxa"/>
            <w:tcBorders>
              <w:top w:val="single" w:color="000000" w:sz="4" w:space="0"/>
              <w:left w:val="single" w:color="000000" w:sz="4" w:space="0"/>
              <w:bottom w:val="single" w:color="000000" w:sz="4" w:space="0"/>
              <w:right w:val="single" w:color="auto" w:sz="4" w:space="0"/>
            </w:tcBorders>
            <w:vAlign w:val="center"/>
          </w:tcPr>
          <w:p>
            <w:pPr>
              <w:jc w:val="center"/>
              <w:rPr>
                <w:rFonts w:hint="default" w:ascii="Times New Roman" w:hAnsi="Times New Roman" w:eastAsia="方正仿宋_GBK" w:cs="Times New Roman"/>
                <w:b w:val="0"/>
                <w:bCs w:val="0"/>
                <w:color w:val="000000" w:themeColor="text1"/>
                <w:sz w:val="21"/>
                <w:szCs w:val="21"/>
                <w14:textFill>
                  <w14:solidFill>
                    <w14:schemeClr w14:val="tx1"/>
                  </w14:solidFill>
                </w14:textFill>
              </w:rPr>
            </w:pPr>
          </w:p>
        </w:tc>
        <w:tc>
          <w:tcPr>
            <w:tcW w:w="68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val="0"/>
                <w:bCs w:val="0"/>
                <w:color w:val="000000" w:themeColor="text1"/>
                <w:sz w:val="22"/>
                <w14:textFill>
                  <w14:solidFill>
                    <w14:schemeClr w14:val="tx1"/>
                  </w14:solidFill>
                </w14:textFill>
              </w:rPr>
            </w:pPr>
          </w:p>
        </w:tc>
      </w:tr>
      <w:tr>
        <w:tblPrEx>
          <w:tblLayout w:type="fixed"/>
          <w:tblCellMar>
            <w:top w:w="0" w:type="dxa"/>
            <w:left w:w="108" w:type="dxa"/>
            <w:bottom w:w="0" w:type="dxa"/>
            <w:right w:w="108" w:type="dxa"/>
          </w:tblCellMar>
        </w:tblPrEx>
        <w:trPr>
          <w:trHeight w:val="542" w:hRule="atLeast"/>
          <w:jc w:val="center"/>
        </w:trPr>
        <w:tc>
          <w:tcPr>
            <w:tcW w:w="600" w:type="dxa"/>
            <w:vMerge w:val="restart"/>
            <w:tcBorders>
              <w:top w:val="single" w:color="auto" w:sz="4" w:space="0"/>
              <w:left w:val="single" w:color="auto" w:sz="4" w:space="0"/>
              <w:right w:val="single" w:color="auto" w:sz="4" w:space="0"/>
            </w:tcBorders>
            <w:vAlign w:val="center"/>
          </w:tcPr>
          <w:p>
            <w:pPr>
              <w:jc w:val="center"/>
              <w:textAlignment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2</w:t>
            </w:r>
          </w:p>
        </w:tc>
        <w:tc>
          <w:tcPr>
            <w:tcW w:w="881" w:type="dxa"/>
            <w:vMerge w:val="restart"/>
            <w:tcBorders>
              <w:top w:val="single" w:color="auto" w:sz="4" w:space="0"/>
              <w:left w:val="single" w:color="auto" w:sz="4" w:space="0"/>
              <w:right w:val="single" w:color="auto"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重大传染病中央补助项目</w:t>
            </w:r>
          </w:p>
        </w:tc>
        <w:tc>
          <w:tcPr>
            <w:tcW w:w="1952" w:type="dxa"/>
            <w:tcBorders>
              <w:top w:val="single" w:color="000000" w:sz="4" w:space="0"/>
              <w:left w:val="single" w:color="auto"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出院病人数量</w:t>
            </w:r>
          </w:p>
        </w:tc>
        <w:tc>
          <w:tcPr>
            <w:tcW w:w="717"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eastAsia="方正仿宋_GBK" w:cs="Times New Roman"/>
                <w:b w:val="0"/>
                <w:bCs w:val="0"/>
                <w:color w:val="000000" w:themeColor="text1"/>
                <w:kern w:val="0"/>
                <w:sz w:val="21"/>
                <w:szCs w:val="21"/>
                <w:lang w:val="en-US" w:eastAsia="zh-CN" w:bidi="ar"/>
                <w14:textFill>
                  <w14:solidFill>
                    <w14:schemeClr w14:val="tx1"/>
                  </w14:solidFill>
                </w14:textFill>
              </w:rPr>
              <w:t>≥</w:t>
            </w:r>
          </w:p>
        </w:tc>
        <w:tc>
          <w:tcPr>
            <w:tcW w:w="683"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600</w:t>
            </w:r>
          </w:p>
        </w:tc>
        <w:tc>
          <w:tcPr>
            <w:tcW w:w="473"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eastAsia="方正仿宋_GBK" w:cs="Times New Roman"/>
                <w:b w:val="0"/>
                <w:bCs w:val="0"/>
                <w:color w:val="000000" w:themeColor="text1"/>
                <w:kern w:val="0"/>
                <w:sz w:val="21"/>
                <w:szCs w:val="21"/>
                <w:lang w:val="en-US" w:eastAsia="zh-CN" w:bidi="ar"/>
                <w14:textFill>
                  <w14:solidFill>
                    <w14:schemeClr w14:val="tx1"/>
                  </w14:solidFill>
                </w14:textFill>
              </w:rPr>
              <w:t>人次</w:t>
            </w:r>
          </w:p>
        </w:tc>
        <w:tc>
          <w:tcPr>
            <w:tcW w:w="825"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20</w:t>
            </w:r>
          </w:p>
        </w:tc>
        <w:tc>
          <w:tcPr>
            <w:tcW w:w="863"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686</w:t>
            </w:r>
          </w:p>
        </w:tc>
        <w:tc>
          <w:tcPr>
            <w:tcW w:w="618"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20</w:t>
            </w:r>
          </w:p>
        </w:tc>
        <w:tc>
          <w:tcPr>
            <w:tcW w:w="544" w:type="dxa"/>
            <w:tcBorders>
              <w:top w:val="single" w:color="000000" w:sz="4" w:space="0"/>
              <w:left w:val="single" w:color="000000" w:sz="4" w:space="0"/>
              <w:bottom w:val="single" w:color="000000" w:sz="4" w:space="0"/>
              <w:right w:val="single" w:color="auto" w:sz="4" w:space="0"/>
            </w:tcBorders>
            <w:vAlign w:val="center"/>
          </w:tcPr>
          <w:p>
            <w:pPr>
              <w:jc w:val="center"/>
              <w:rPr>
                <w:rFonts w:hint="default" w:ascii="Times New Roman" w:hAnsi="Times New Roman" w:eastAsia="方正仿宋_GBK" w:cs="Times New Roman"/>
                <w:b w:val="0"/>
                <w:bCs w:val="0"/>
                <w:color w:val="000000" w:themeColor="text1"/>
                <w:sz w:val="21"/>
                <w:szCs w:val="21"/>
                <w14:textFill>
                  <w14:solidFill>
                    <w14:schemeClr w14:val="tx1"/>
                  </w14:solidFill>
                </w14:textFill>
              </w:rPr>
            </w:pPr>
          </w:p>
        </w:tc>
        <w:tc>
          <w:tcPr>
            <w:tcW w:w="687" w:type="dxa"/>
            <w:vMerge w:val="restart"/>
            <w:tcBorders>
              <w:top w:val="single" w:color="auto" w:sz="4" w:space="0"/>
              <w:left w:val="single" w:color="auto" w:sz="4" w:space="0"/>
              <w:right w:val="single" w:color="auto" w:sz="4" w:space="0"/>
            </w:tcBorders>
            <w:vAlign w:val="center"/>
          </w:tcPr>
          <w:p>
            <w:pPr>
              <w:jc w:val="center"/>
              <w:rPr>
                <w:rFonts w:hint="default" w:ascii="Times New Roman" w:hAnsi="Times New Roman" w:eastAsia="宋体" w:cs="Times New Roman"/>
                <w:b w:val="0"/>
                <w:bCs w:val="0"/>
                <w:color w:val="000000" w:themeColor="text1"/>
                <w:sz w:val="22"/>
                <w:lang w:val="en-US" w:eastAsia="zh-CN"/>
                <w14:textFill>
                  <w14:solidFill>
                    <w14:schemeClr w14:val="tx1"/>
                  </w14:solidFill>
                </w14:textFill>
              </w:rPr>
            </w:pPr>
            <w:r>
              <w:rPr>
                <w:rFonts w:hint="default" w:ascii="Times New Roman" w:hAnsi="Times New Roman" w:cs="Times New Roman"/>
                <w:b w:val="0"/>
                <w:bCs w:val="0"/>
                <w:color w:val="000000" w:themeColor="text1"/>
                <w:sz w:val="22"/>
                <w:lang w:val="en-US" w:eastAsia="zh-CN"/>
                <w14:textFill>
                  <w14:solidFill>
                    <w14:schemeClr w14:val="tx1"/>
                  </w14:solidFill>
                </w14:textFill>
              </w:rPr>
              <w:t>86</w:t>
            </w:r>
          </w:p>
        </w:tc>
      </w:tr>
      <w:tr>
        <w:tblPrEx>
          <w:tblLayout w:type="fixed"/>
          <w:tblCellMar>
            <w:top w:w="0" w:type="dxa"/>
            <w:left w:w="108" w:type="dxa"/>
            <w:bottom w:w="0" w:type="dxa"/>
            <w:right w:w="108" w:type="dxa"/>
          </w:tblCellMar>
        </w:tblPrEx>
        <w:trPr>
          <w:trHeight w:val="432" w:hRule="atLeast"/>
          <w:jc w:val="center"/>
        </w:trPr>
        <w:tc>
          <w:tcPr>
            <w:tcW w:w="600" w:type="dxa"/>
            <w:vMerge w:val="continue"/>
            <w:tcBorders>
              <w:left w:val="single" w:color="auto" w:sz="4" w:space="0"/>
              <w:right w:val="single" w:color="auto" w:sz="4" w:space="0"/>
            </w:tcBorders>
            <w:vAlign w:val="center"/>
          </w:tcPr>
          <w:p>
            <w:pPr>
              <w:jc w:val="center"/>
              <w:textAlignment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p>
        </w:tc>
        <w:tc>
          <w:tcPr>
            <w:tcW w:w="881" w:type="dxa"/>
            <w:vMerge w:val="continue"/>
            <w:tcBorders>
              <w:left w:val="single" w:color="auto" w:sz="4" w:space="0"/>
              <w:right w:val="single" w:color="auto"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p>
        </w:tc>
        <w:tc>
          <w:tcPr>
            <w:tcW w:w="1952" w:type="dxa"/>
            <w:tcBorders>
              <w:top w:val="single" w:color="000000" w:sz="4" w:space="0"/>
              <w:left w:val="single" w:color="auto"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门诊就医病人数量</w:t>
            </w:r>
          </w:p>
        </w:tc>
        <w:tc>
          <w:tcPr>
            <w:tcW w:w="717"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eastAsia="方正仿宋_GBK" w:cs="Times New Roman"/>
                <w:b w:val="0"/>
                <w:bCs w:val="0"/>
                <w:color w:val="000000" w:themeColor="text1"/>
                <w:kern w:val="0"/>
                <w:sz w:val="21"/>
                <w:szCs w:val="21"/>
                <w:lang w:val="en-US" w:eastAsia="zh-CN" w:bidi="ar"/>
                <w14:textFill>
                  <w14:solidFill>
                    <w14:schemeClr w14:val="tx1"/>
                  </w14:solidFill>
                </w14:textFill>
              </w:rPr>
              <w:t>≥</w:t>
            </w:r>
          </w:p>
        </w:tc>
        <w:tc>
          <w:tcPr>
            <w:tcW w:w="683"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8000</w:t>
            </w:r>
          </w:p>
        </w:tc>
        <w:tc>
          <w:tcPr>
            <w:tcW w:w="473"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eastAsia="方正仿宋_GBK" w:cs="Times New Roman"/>
                <w:b w:val="0"/>
                <w:bCs w:val="0"/>
                <w:color w:val="000000" w:themeColor="text1"/>
                <w:kern w:val="0"/>
                <w:sz w:val="21"/>
                <w:szCs w:val="21"/>
                <w:lang w:val="en-US" w:eastAsia="zh-CN" w:bidi="ar"/>
                <w14:textFill>
                  <w14:solidFill>
                    <w14:schemeClr w14:val="tx1"/>
                  </w14:solidFill>
                </w14:textFill>
              </w:rPr>
              <w:t>人次</w:t>
            </w:r>
          </w:p>
        </w:tc>
        <w:tc>
          <w:tcPr>
            <w:tcW w:w="825"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40</w:t>
            </w:r>
          </w:p>
        </w:tc>
        <w:tc>
          <w:tcPr>
            <w:tcW w:w="863"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10640</w:t>
            </w:r>
          </w:p>
        </w:tc>
        <w:tc>
          <w:tcPr>
            <w:tcW w:w="618"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40</w:t>
            </w:r>
          </w:p>
        </w:tc>
        <w:tc>
          <w:tcPr>
            <w:tcW w:w="544" w:type="dxa"/>
            <w:tcBorders>
              <w:top w:val="single" w:color="000000" w:sz="4" w:space="0"/>
              <w:left w:val="single" w:color="000000" w:sz="4" w:space="0"/>
              <w:bottom w:val="single" w:color="000000" w:sz="4" w:space="0"/>
              <w:right w:val="single" w:color="auto" w:sz="4" w:space="0"/>
            </w:tcBorders>
            <w:vAlign w:val="center"/>
          </w:tcPr>
          <w:p>
            <w:pPr>
              <w:jc w:val="center"/>
              <w:rPr>
                <w:rFonts w:hint="default" w:ascii="Times New Roman" w:hAnsi="Times New Roman" w:eastAsia="方正仿宋_GBK" w:cs="Times New Roman"/>
                <w:b w:val="0"/>
                <w:bCs w:val="0"/>
                <w:color w:val="000000" w:themeColor="text1"/>
                <w:sz w:val="21"/>
                <w:szCs w:val="21"/>
                <w14:textFill>
                  <w14:solidFill>
                    <w14:schemeClr w14:val="tx1"/>
                  </w14:solidFill>
                </w14:textFill>
              </w:rPr>
            </w:pPr>
          </w:p>
        </w:tc>
        <w:tc>
          <w:tcPr>
            <w:tcW w:w="687" w:type="dxa"/>
            <w:vMerge w:val="continue"/>
            <w:tcBorders>
              <w:left w:val="single" w:color="auto" w:sz="4" w:space="0"/>
              <w:right w:val="single" w:color="auto" w:sz="4" w:space="0"/>
            </w:tcBorders>
            <w:vAlign w:val="center"/>
          </w:tcPr>
          <w:p>
            <w:pPr>
              <w:jc w:val="center"/>
              <w:rPr>
                <w:rFonts w:hint="default" w:ascii="Times New Roman" w:hAnsi="Times New Roman" w:eastAsia="宋体" w:cs="Times New Roman"/>
                <w:b w:val="0"/>
                <w:bCs w:val="0"/>
                <w:color w:val="000000" w:themeColor="text1"/>
                <w:sz w:val="22"/>
                <w:lang w:val="en-US" w:eastAsia="zh-CN"/>
                <w14:textFill>
                  <w14:solidFill>
                    <w14:schemeClr w14:val="tx1"/>
                  </w14:solidFill>
                </w14:textFill>
              </w:rPr>
            </w:pPr>
          </w:p>
        </w:tc>
      </w:tr>
      <w:tr>
        <w:tblPrEx>
          <w:tblLayout w:type="fixed"/>
          <w:tblCellMar>
            <w:top w:w="0" w:type="dxa"/>
            <w:left w:w="108" w:type="dxa"/>
            <w:bottom w:w="0" w:type="dxa"/>
            <w:right w:w="108" w:type="dxa"/>
          </w:tblCellMar>
        </w:tblPrEx>
        <w:trPr>
          <w:trHeight w:val="432" w:hRule="atLeast"/>
          <w:jc w:val="center"/>
        </w:trPr>
        <w:tc>
          <w:tcPr>
            <w:tcW w:w="600" w:type="dxa"/>
            <w:vMerge w:val="continue"/>
            <w:tcBorders>
              <w:left w:val="single" w:color="auto" w:sz="4" w:space="0"/>
              <w:right w:val="single" w:color="auto" w:sz="4" w:space="0"/>
            </w:tcBorders>
            <w:vAlign w:val="center"/>
          </w:tcPr>
          <w:p>
            <w:pPr>
              <w:jc w:val="center"/>
              <w:textAlignment w:val="center"/>
              <w:rPr>
                <w:rFonts w:hint="default" w:ascii="Times New Roman" w:hAnsi="Times New Roman" w:eastAsia="方正仿宋_GBK" w:cs="Times New Roman"/>
                <w:b w:val="0"/>
                <w:bCs w:val="0"/>
                <w:color w:val="000000" w:themeColor="text1"/>
                <w:sz w:val="21"/>
                <w:szCs w:val="21"/>
                <w14:textFill>
                  <w14:solidFill>
                    <w14:schemeClr w14:val="tx1"/>
                  </w14:solidFill>
                </w14:textFill>
              </w:rPr>
            </w:pPr>
          </w:p>
        </w:tc>
        <w:tc>
          <w:tcPr>
            <w:tcW w:w="881" w:type="dxa"/>
            <w:vMerge w:val="continue"/>
            <w:tcBorders>
              <w:left w:val="single" w:color="auto" w:sz="4" w:space="0"/>
              <w:right w:val="single" w:color="auto" w:sz="4" w:space="0"/>
            </w:tcBorders>
            <w:vAlign w:val="center"/>
          </w:tcPr>
          <w:p>
            <w:pPr>
              <w:jc w:val="center"/>
              <w:rPr>
                <w:rFonts w:hint="default" w:ascii="Times New Roman" w:hAnsi="Times New Roman" w:eastAsia="方正仿宋_GBK" w:cs="Times New Roman"/>
                <w:b w:val="0"/>
                <w:bCs w:val="0"/>
                <w:color w:val="000000" w:themeColor="text1"/>
                <w:sz w:val="21"/>
                <w:szCs w:val="21"/>
                <w14:textFill>
                  <w14:solidFill>
                    <w14:schemeClr w14:val="tx1"/>
                  </w14:solidFill>
                </w14:textFill>
              </w:rPr>
            </w:pPr>
          </w:p>
        </w:tc>
        <w:tc>
          <w:tcPr>
            <w:tcW w:w="1952" w:type="dxa"/>
            <w:tcBorders>
              <w:top w:val="single" w:color="000000" w:sz="4" w:space="0"/>
              <w:left w:val="single" w:color="auto"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医院服务能力增长</w:t>
            </w:r>
          </w:p>
        </w:tc>
        <w:tc>
          <w:tcPr>
            <w:tcW w:w="717"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eastAsia="微软雅黑" w:cs="Times New Roman"/>
                <w:b w:val="0"/>
                <w:bCs w:val="0"/>
                <w:color w:val="000000" w:themeColor="text1"/>
                <w:kern w:val="0"/>
                <w:sz w:val="21"/>
                <w:szCs w:val="21"/>
                <w:lang w:val="en-US" w:eastAsia="zh-CN" w:bidi="ar"/>
                <w14:textFill>
                  <w14:solidFill>
                    <w14:schemeClr w14:val="tx1"/>
                  </w14:solidFill>
                </w14:textFill>
              </w:rPr>
              <w:t>&gt;</w:t>
            </w:r>
          </w:p>
        </w:tc>
        <w:tc>
          <w:tcPr>
            <w:tcW w:w="683"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5</w:t>
            </w:r>
          </w:p>
        </w:tc>
        <w:tc>
          <w:tcPr>
            <w:tcW w:w="473"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eastAsia="方正仿宋_GBK" w:cs="Times New Roman"/>
                <w:b w:val="0"/>
                <w:bCs w:val="0"/>
                <w:color w:val="000000" w:themeColor="text1"/>
                <w:kern w:val="0"/>
                <w:sz w:val="21"/>
                <w:szCs w:val="21"/>
                <w:lang w:val="en-US" w:eastAsia="zh-CN" w:bidi="ar"/>
                <w14:textFill>
                  <w14:solidFill>
                    <w14:schemeClr w14:val="tx1"/>
                  </w14:solidFill>
                </w14:textFill>
              </w:rPr>
              <w:t>%</w:t>
            </w:r>
          </w:p>
        </w:tc>
        <w:tc>
          <w:tcPr>
            <w:tcW w:w="825"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20</w:t>
            </w:r>
          </w:p>
        </w:tc>
        <w:tc>
          <w:tcPr>
            <w:tcW w:w="863"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4.9</w:t>
            </w:r>
          </w:p>
        </w:tc>
        <w:tc>
          <w:tcPr>
            <w:tcW w:w="618"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16</w:t>
            </w:r>
          </w:p>
        </w:tc>
        <w:tc>
          <w:tcPr>
            <w:tcW w:w="544" w:type="dxa"/>
            <w:tcBorders>
              <w:top w:val="single" w:color="000000" w:sz="4" w:space="0"/>
              <w:left w:val="single" w:color="000000" w:sz="4" w:space="0"/>
              <w:bottom w:val="single" w:color="000000" w:sz="4" w:space="0"/>
              <w:right w:val="single" w:color="auto" w:sz="4" w:space="0"/>
            </w:tcBorders>
            <w:vAlign w:val="center"/>
          </w:tcPr>
          <w:p>
            <w:pPr>
              <w:jc w:val="center"/>
              <w:rPr>
                <w:rFonts w:hint="default" w:ascii="Times New Roman" w:hAnsi="Times New Roman" w:eastAsia="方正仿宋_GBK" w:cs="Times New Roman"/>
                <w:b w:val="0"/>
                <w:bCs w:val="0"/>
                <w:color w:val="000000" w:themeColor="text1"/>
                <w:sz w:val="21"/>
                <w:szCs w:val="21"/>
                <w14:textFill>
                  <w14:solidFill>
                    <w14:schemeClr w14:val="tx1"/>
                  </w14:solidFill>
                </w14:textFill>
              </w:rPr>
            </w:pPr>
          </w:p>
        </w:tc>
        <w:tc>
          <w:tcPr>
            <w:tcW w:w="687" w:type="dxa"/>
            <w:vMerge w:val="continue"/>
            <w:tcBorders>
              <w:left w:val="single" w:color="auto" w:sz="4" w:space="0"/>
              <w:right w:val="single" w:color="auto" w:sz="4" w:space="0"/>
            </w:tcBorders>
            <w:vAlign w:val="center"/>
          </w:tcPr>
          <w:p>
            <w:pPr>
              <w:jc w:val="center"/>
              <w:rPr>
                <w:rFonts w:hint="default" w:ascii="Times New Roman" w:hAnsi="Times New Roman" w:cs="Times New Roman"/>
                <w:b w:val="0"/>
                <w:bCs w:val="0"/>
                <w:color w:val="000000" w:themeColor="text1"/>
                <w:sz w:val="22"/>
                <w14:textFill>
                  <w14:solidFill>
                    <w14:schemeClr w14:val="tx1"/>
                  </w14:solidFill>
                </w14:textFill>
              </w:rPr>
            </w:pPr>
          </w:p>
        </w:tc>
      </w:tr>
      <w:tr>
        <w:tblPrEx>
          <w:tblLayout w:type="fixed"/>
          <w:tblCellMar>
            <w:top w:w="0" w:type="dxa"/>
            <w:left w:w="108" w:type="dxa"/>
            <w:bottom w:w="0" w:type="dxa"/>
            <w:right w:w="108" w:type="dxa"/>
          </w:tblCellMar>
        </w:tblPrEx>
        <w:trPr>
          <w:trHeight w:val="432" w:hRule="atLeast"/>
          <w:jc w:val="center"/>
        </w:trPr>
        <w:tc>
          <w:tcPr>
            <w:tcW w:w="600" w:type="dxa"/>
            <w:vMerge w:val="continue"/>
            <w:tcBorders>
              <w:left w:val="single" w:color="auto" w:sz="4" w:space="0"/>
              <w:bottom w:val="single" w:color="auto" w:sz="4" w:space="0"/>
              <w:right w:val="single" w:color="auto" w:sz="4" w:space="0"/>
            </w:tcBorders>
            <w:vAlign w:val="center"/>
          </w:tcPr>
          <w:p>
            <w:pPr>
              <w:jc w:val="center"/>
              <w:textAlignment w:val="center"/>
              <w:rPr>
                <w:rFonts w:hint="default" w:ascii="Times New Roman" w:hAnsi="Times New Roman" w:eastAsia="方正仿宋_GBK" w:cs="Times New Roman"/>
                <w:b w:val="0"/>
                <w:bCs w:val="0"/>
                <w:color w:val="000000" w:themeColor="text1"/>
                <w:sz w:val="21"/>
                <w:szCs w:val="21"/>
                <w14:textFill>
                  <w14:solidFill>
                    <w14:schemeClr w14:val="tx1"/>
                  </w14:solidFill>
                </w14:textFill>
              </w:rPr>
            </w:pPr>
          </w:p>
        </w:tc>
        <w:tc>
          <w:tcPr>
            <w:tcW w:w="881" w:type="dxa"/>
            <w:vMerge w:val="continue"/>
            <w:tcBorders>
              <w:left w:val="single" w:color="auto" w:sz="4" w:space="0"/>
              <w:bottom w:val="single" w:color="auto" w:sz="4" w:space="0"/>
              <w:right w:val="single" w:color="auto" w:sz="4" w:space="0"/>
            </w:tcBorders>
            <w:vAlign w:val="center"/>
          </w:tcPr>
          <w:p>
            <w:pPr>
              <w:jc w:val="center"/>
              <w:rPr>
                <w:rFonts w:hint="default" w:ascii="Times New Roman" w:hAnsi="Times New Roman" w:eastAsia="方正仿宋_GBK" w:cs="Times New Roman"/>
                <w:b w:val="0"/>
                <w:bCs w:val="0"/>
                <w:color w:val="000000" w:themeColor="text1"/>
                <w:sz w:val="21"/>
                <w:szCs w:val="21"/>
                <w14:textFill>
                  <w14:solidFill>
                    <w14:schemeClr w14:val="tx1"/>
                  </w14:solidFill>
                </w14:textFill>
              </w:rPr>
            </w:pPr>
          </w:p>
        </w:tc>
        <w:tc>
          <w:tcPr>
            <w:tcW w:w="1952" w:type="dxa"/>
            <w:tcBorders>
              <w:top w:val="single" w:color="000000" w:sz="4" w:space="0"/>
              <w:left w:val="single" w:color="auto"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群众满意度</w:t>
            </w:r>
          </w:p>
        </w:tc>
        <w:tc>
          <w:tcPr>
            <w:tcW w:w="717"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微软雅黑"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eastAsia="方正仿宋_GBK" w:cs="Times New Roman"/>
                <w:b w:val="0"/>
                <w:bCs w:val="0"/>
                <w:color w:val="000000" w:themeColor="text1"/>
                <w:kern w:val="0"/>
                <w:sz w:val="21"/>
                <w:szCs w:val="21"/>
                <w:lang w:val="en-US" w:eastAsia="zh-CN" w:bidi="ar"/>
                <w14:textFill>
                  <w14:solidFill>
                    <w14:schemeClr w14:val="tx1"/>
                  </w14:solidFill>
                </w14:textFill>
              </w:rPr>
              <w:t>≥</w:t>
            </w:r>
          </w:p>
        </w:tc>
        <w:tc>
          <w:tcPr>
            <w:tcW w:w="683"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90</w:t>
            </w:r>
          </w:p>
        </w:tc>
        <w:tc>
          <w:tcPr>
            <w:tcW w:w="473"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eastAsia="方正仿宋_GBK" w:cs="Times New Roman"/>
                <w:b w:val="0"/>
                <w:bCs w:val="0"/>
                <w:color w:val="000000" w:themeColor="text1"/>
                <w:kern w:val="0"/>
                <w:sz w:val="21"/>
                <w:szCs w:val="21"/>
                <w:lang w:val="en-US" w:eastAsia="zh-CN" w:bidi="ar"/>
                <w14:textFill>
                  <w14:solidFill>
                    <w14:schemeClr w14:val="tx1"/>
                  </w14:solidFill>
                </w14:textFill>
              </w:rPr>
              <w:t>分</w:t>
            </w:r>
          </w:p>
        </w:tc>
        <w:tc>
          <w:tcPr>
            <w:tcW w:w="825"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10</w:t>
            </w:r>
          </w:p>
        </w:tc>
        <w:tc>
          <w:tcPr>
            <w:tcW w:w="863"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95</w:t>
            </w:r>
          </w:p>
        </w:tc>
        <w:tc>
          <w:tcPr>
            <w:tcW w:w="618"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21"/>
                <w:szCs w:val="21"/>
                <w:lang w:val="en-US" w:eastAsia="zh-CN"/>
                <w14:textFill>
                  <w14:solidFill>
                    <w14:schemeClr w14:val="tx1"/>
                  </w14:solidFill>
                </w14:textFill>
              </w:rPr>
              <w:t>10</w:t>
            </w:r>
          </w:p>
        </w:tc>
        <w:tc>
          <w:tcPr>
            <w:tcW w:w="544" w:type="dxa"/>
            <w:tcBorders>
              <w:top w:val="single" w:color="000000" w:sz="4" w:space="0"/>
              <w:left w:val="single" w:color="000000" w:sz="4" w:space="0"/>
              <w:bottom w:val="single" w:color="000000" w:sz="4" w:space="0"/>
              <w:right w:val="single" w:color="auto" w:sz="4" w:space="0"/>
            </w:tcBorders>
            <w:vAlign w:val="center"/>
          </w:tcPr>
          <w:p>
            <w:pPr>
              <w:jc w:val="center"/>
              <w:rPr>
                <w:rFonts w:hint="default" w:ascii="Times New Roman" w:hAnsi="Times New Roman" w:eastAsia="方正仿宋_GBK" w:cs="Times New Roman"/>
                <w:b w:val="0"/>
                <w:bCs w:val="0"/>
                <w:color w:val="000000" w:themeColor="text1"/>
                <w:sz w:val="21"/>
                <w:szCs w:val="21"/>
                <w14:textFill>
                  <w14:solidFill>
                    <w14:schemeClr w14:val="tx1"/>
                  </w14:solidFill>
                </w14:textFill>
              </w:rPr>
            </w:pPr>
          </w:p>
        </w:tc>
        <w:tc>
          <w:tcPr>
            <w:tcW w:w="687" w:type="dxa"/>
            <w:vMerge w:val="continue"/>
            <w:tcBorders>
              <w:left w:val="single" w:color="auto" w:sz="4" w:space="0"/>
              <w:bottom w:val="single" w:color="auto" w:sz="4" w:space="0"/>
              <w:right w:val="single" w:color="auto" w:sz="4" w:space="0"/>
            </w:tcBorders>
            <w:vAlign w:val="center"/>
          </w:tcPr>
          <w:p>
            <w:pPr>
              <w:jc w:val="center"/>
              <w:rPr>
                <w:rFonts w:hint="default" w:ascii="Times New Roman" w:hAnsi="Times New Roman" w:cs="Times New Roman"/>
                <w:b w:val="0"/>
                <w:bCs w:val="0"/>
                <w:color w:val="000000" w:themeColor="text1"/>
                <w:sz w:val="22"/>
                <w14:textFill>
                  <w14:solidFill>
                    <w14:schemeClr w14:val="tx1"/>
                  </w14:solidFill>
                </w14:textFill>
              </w:rPr>
            </w:pPr>
          </w:p>
        </w:tc>
      </w:tr>
    </w:tbl>
    <w:p>
      <w:pPr>
        <w:pStyle w:val="13"/>
        <w:keepNext w:val="0"/>
        <w:keepLines w:val="0"/>
        <w:pageBreakBefore w:val="0"/>
        <w:widowControl/>
        <w:kinsoku/>
        <w:wordWrap/>
        <w:overflowPunct/>
        <w:topLinePunct w:val="0"/>
        <w:autoSpaceDE w:val="0"/>
        <w:autoSpaceDN/>
        <w:bidi w:val="0"/>
        <w:adjustRightInd/>
        <w:snapToGrid/>
        <w:spacing w:line="560" w:lineRule="exact"/>
        <w:ind w:firstLine="640"/>
        <w:jc w:val="both"/>
        <w:textAlignment w:val="auto"/>
        <w:rPr>
          <w:rFonts w:hint="default" w:ascii="Times New Roman" w:hAnsi="Times New Roman" w:eastAsia="方正楷体_GBK" w:cs="Times New Roman"/>
          <w:b w:val="0"/>
          <w:bCs w:val="0"/>
          <w:sz w:val="32"/>
          <w:szCs w:val="32"/>
          <w:shd w:val="clear" w:color="auto" w:fill="FFFFFF"/>
          <w:lang w:bidi="ar"/>
        </w:rPr>
      </w:pPr>
      <w:r>
        <w:rPr>
          <w:rFonts w:hint="default" w:ascii="Times New Roman" w:hAnsi="Times New Roman" w:eastAsia="方正楷体_GBK" w:cs="Times New Roman"/>
          <w:b w:val="0"/>
          <w:bCs w:val="0"/>
          <w:sz w:val="32"/>
          <w:szCs w:val="32"/>
          <w:shd w:val="clear" w:color="auto" w:fill="FFFFFF"/>
          <w:lang w:bidi="ar"/>
        </w:rPr>
        <w:t>（二）</w:t>
      </w:r>
      <w:r>
        <w:rPr>
          <w:rFonts w:hint="default" w:ascii="Times New Roman" w:hAnsi="Times New Roman" w:eastAsia="方正楷体_GBK" w:cs="Times New Roman"/>
          <w:b w:val="0"/>
          <w:bCs w:val="0"/>
          <w:sz w:val="32"/>
          <w:szCs w:val="32"/>
          <w:shd w:val="clear" w:color="auto" w:fill="FFFFFF"/>
          <w:lang w:val="en-US" w:eastAsia="zh-CN" w:bidi="ar"/>
        </w:rPr>
        <w:t>单位</w:t>
      </w:r>
      <w:r>
        <w:rPr>
          <w:rFonts w:hint="default" w:ascii="Times New Roman" w:hAnsi="Times New Roman" w:eastAsia="方正楷体_GBK" w:cs="Times New Roman"/>
          <w:b w:val="0"/>
          <w:bCs w:val="0"/>
          <w:sz w:val="32"/>
          <w:szCs w:val="32"/>
          <w:shd w:val="clear" w:color="auto" w:fill="FFFFFF"/>
          <w:lang w:bidi="ar"/>
        </w:rPr>
        <w:t>绩效评价情况</w:t>
      </w:r>
    </w:p>
    <w:p>
      <w:pPr>
        <w:pStyle w:val="13"/>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0" w:firstLineChars="200"/>
        <w:jc w:val="both"/>
        <w:textAlignment w:val="auto"/>
        <w:rPr>
          <w:rStyle w:val="10"/>
          <w:rFonts w:hint="default" w:ascii="Times New Roman" w:hAnsi="Times New Roman" w:eastAsia="方正仿宋_GBK" w:cs="Times New Roman"/>
          <w:sz w:val="32"/>
          <w:szCs w:val="32"/>
          <w:shd w:val="clear" w:color="auto" w:fill="FFFFFF"/>
          <w:lang w:val="en-US" w:eastAsia="zh-CN" w:bidi="ar-SA"/>
        </w:rPr>
      </w:pPr>
      <w:r>
        <w:rPr>
          <w:rFonts w:hint="default" w:ascii="Times New Roman" w:hAnsi="Times New Roman" w:eastAsia="方正仿宋_GBK" w:cs="Times New Roman"/>
          <w:sz w:val="32"/>
          <w:szCs w:val="32"/>
          <w:shd w:val="clear" w:color="auto" w:fill="FFFFFF"/>
        </w:rPr>
        <w:t>我</w:t>
      </w:r>
      <w:r>
        <w:rPr>
          <w:rFonts w:hint="default" w:ascii="Times New Roman" w:hAnsi="Times New Roman" w:eastAsia="方正仿宋_GBK" w:cs="Times New Roman"/>
          <w:sz w:val="32"/>
          <w:szCs w:val="32"/>
          <w:shd w:val="clear" w:color="auto" w:fill="FFFFFF"/>
          <w:lang w:val="en-US" w:eastAsia="zh-CN"/>
        </w:rPr>
        <w:t>单位未组织开展绩效评价。</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黑体_GBK" w:cs="Times New Roman"/>
          <w:b w:val="0"/>
          <w:bCs/>
          <w:sz w:val="32"/>
          <w:szCs w:val="32"/>
          <w:lang w:eastAsia="zh-CN"/>
        </w:rPr>
      </w:pPr>
      <w:r>
        <w:rPr>
          <w:rStyle w:val="10"/>
          <w:rFonts w:hint="default" w:ascii="Times New Roman" w:hAnsi="Times New Roman" w:eastAsia="方正黑体_GBK" w:cs="Times New Roman"/>
          <w:b w:val="0"/>
          <w:bCs/>
          <w:sz w:val="32"/>
          <w:szCs w:val="32"/>
          <w:shd w:val="clear" w:color="auto" w:fill="FFFFFF"/>
          <w:lang w:eastAsia="zh-CN"/>
        </w:rPr>
        <w:t>六</w:t>
      </w:r>
      <w:r>
        <w:rPr>
          <w:rStyle w:val="10"/>
          <w:rFonts w:hint="default" w:ascii="Times New Roman" w:hAnsi="Times New Roman" w:eastAsia="方正黑体_GBK" w:cs="Times New Roman"/>
          <w:b w:val="0"/>
          <w:bCs/>
          <w:sz w:val="32"/>
          <w:szCs w:val="32"/>
          <w:shd w:val="clear" w:color="auto" w:fill="FFFFFF"/>
        </w:rPr>
        <w:t>、专业名词解释</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3"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shd w:val="clear" w:color="auto" w:fill="FFFFFF"/>
        </w:rPr>
        <w:t>（一）财政拨款收入</w:t>
      </w:r>
      <w:r>
        <w:rPr>
          <w:rFonts w:hint="default" w:ascii="Times New Roman" w:hAnsi="Times New Roman" w:eastAsia="方正仿宋_GBK" w:cs="Times New Roman"/>
          <w:b w:val="0"/>
          <w:bCs w:val="0"/>
          <w:sz w:val="32"/>
          <w:szCs w:val="32"/>
          <w:shd w:val="clear" w:color="auto" w:fill="FFFFFF"/>
        </w:rPr>
        <w:t>：</w:t>
      </w:r>
      <w:r>
        <w:rPr>
          <w:rFonts w:hint="default" w:ascii="Times New Roman" w:hAnsi="Times New Roman" w:eastAsia="方正仿宋_GBK" w:cs="Times New Roman"/>
          <w:sz w:val="32"/>
          <w:szCs w:val="32"/>
          <w:shd w:val="clear" w:color="auto" w:fill="FFFFFF"/>
        </w:rPr>
        <w:t>指本年度从本级财政部门取得的财政拨款。</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3" w:firstLineChars="200"/>
        <w:jc w:val="both"/>
        <w:textAlignment w:val="auto"/>
        <w:rPr>
          <w:rFonts w:hint="default" w:ascii="Times New Roman" w:hAnsi="Times New Roman" w:eastAsia="方正仿宋_GBK" w:cs="Times New Roman"/>
          <w:sz w:val="32"/>
          <w:szCs w:val="32"/>
        </w:rPr>
      </w:pPr>
      <w:r>
        <w:rPr>
          <w:rStyle w:val="10"/>
          <w:rFonts w:hint="default" w:ascii="Times New Roman" w:hAnsi="Times New Roman" w:eastAsia="方正仿宋_GBK" w:cs="Times New Roman"/>
          <w:b/>
          <w:bCs w:val="0"/>
          <w:sz w:val="32"/>
          <w:szCs w:val="32"/>
          <w:shd w:val="clear" w:color="auto" w:fill="FFFFFF"/>
        </w:rPr>
        <w:t>（二）事业收入</w:t>
      </w:r>
      <w:r>
        <w:rPr>
          <w:rFonts w:hint="default" w:ascii="Times New Roman" w:hAnsi="Times New Roman" w:eastAsia="方正仿宋_GBK" w:cs="Times New Roman"/>
          <w:b w:val="0"/>
          <w:bCs/>
          <w:sz w:val="32"/>
          <w:szCs w:val="32"/>
          <w:shd w:val="clear" w:color="auto" w:fill="FFFFFF"/>
        </w:rPr>
        <w:t>：</w:t>
      </w:r>
      <w:r>
        <w:rPr>
          <w:rFonts w:hint="default" w:ascii="Times New Roman" w:hAnsi="Times New Roman" w:eastAsia="方正仿宋_GBK" w:cs="Times New Roman"/>
          <w:sz w:val="32"/>
          <w:szCs w:val="32"/>
          <w:shd w:val="clear" w:color="auto" w:fill="FFFFFF"/>
        </w:rPr>
        <w:t>指事业单位开展专业业务活动及其辅助活动取得的</w:t>
      </w:r>
      <w:r>
        <w:rPr>
          <w:rFonts w:hint="default" w:ascii="Times New Roman" w:hAnsi="Times New Roman" w:eastAsia="方正仿宋_GBK" w:cs="Times New Roman"/>
          <w:sz w:val="32"/>
          <w:szCs w:val="32"/>
          <w:shd w:val="clear" w:color="auto" w:fill="FFFFFF"/>
          <w:lang w:eastAsia="zh-CN"/>
        </w:rPr>
        <w:t>收入</w:t>
      </w:r>
      <w:r>
        <w:rPr>
          <w:rFonts w:hint="default" w:ascii="Times New Roman" w:hAnsi="Times New Roman" w:eastAsia="方正仿宋_GBK" w:cs="Times New Roman"/>
          <w:sz w:val="32"/>
          <w:szCs w:val="32"/>
          <w:shd w:val="clear" w:color="auto" w:fill="FFFFFF"/>
        </w:rPr>
        <w:t>。</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3" w:firstLineChars="200"/>
        <w:jc w:val="both"/>
        <w:textAlignment w:val="auto"/>
        <w:rPr>
          <w:rFonts w:hint="default" w:ascii="Times New Roman" w:hAnsi="Times New Roman" w:eastAsia="方正仿宋_GBK" w:cs="Times New Roman"/>
          <w:sz w:val="32"/>
          <w:szCs w:val="32"/>
        </w:rPr>
      </w:pPr>
      <w:r>
        <w:rPr>
          <w:rStyle w:val="10"/>
          <w:rFonts w:hint="default" w:ascii="Times New Roman" w:hAnsi="Times New Roman" w:eastAsia="方正仿宋_GBK" w:cs="Times New Roman"/>
          <w:b/>
          <w:bCs w:val="0"/>
          <w:sz w:val="32"/>
          <w:szCs w:val="32"/>
          <w:shd w:val="clear" w:color="auto" w:fill="FFFFFF"/>
        </w:rPr>
        <w:t>（三）经营收入</w:t>
      </w:r>
      <w:r>
        <w:rPr>
          <w:rFonts w:hint="default" w:ascii="Times New Roman" w:hAnsi="Times New Roman" w:eastAsia="方正仿宋_GBK" w:cs="Times New Roman"/>
          <w:b w:val="0"/>
          <w:bCs/>
          <w:sz w:val="32"/>
          <w:szCs w:val="32"/>
          <w:shd w:val="clear" w:color="auto" w:fill="FFFFFF"/>
        </w:rPr>
        <w:t>：</w:t>
      </w:r>
      <w:r>
        <w:rPr>
          <w:rFonts w:hint="default" w:ascii="Times New Roman" w:hAnsi="Times New Roman" w:eastAsia="方正仿宋_GBK" w:cs="Times New Roman"/>
          <w:sz w:val="32"/>
          <w:szCs w:val="32"/>
          <w:shd w:val="clear" w:color="auto" w:fill="FFFFFF"/>
        </w:rPr>
        <w:t>指事业单位在专业业务活动及其辅助活动之外开展非独立核算经营活动取得的</w:t>
      </w:r>
      <w:r>
        <w:rPr>
          <w:rFonts w:hint="default" w:ascii="Times New Roman" w:hAnsi="Times New Roman" w:eastAsia="方正仿宋_GBK" w:cs="Times New Roman"/>
          <w:sz w:val="32"/>
          <w:szCs w:val="32"/>
          <w:shd w:val="clear" w:color="auto" w:fill="FFFFFF"/>
          <w:lang w:eastAsia="zh-CN"/>
        </w:rPr>
        <w:t>收入</w:t>
      </w:r>
      <w:r>
        <w:rPr>
          <w:rFonts w:hint="default" w:ascii="Times New Roman" w:hAnsi="Times New Roman" w:eastAsia="方正仿宋_GBK" w:cs="Times New Roman"/>
          <w:sz w:val="32"/>
          <w:szCs w:val="32"/>
          <w:shd w:val="clear" w:color="auto" w:fill="FFFFFF"/>
        </w:rPr>
        <w:t>。</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3" w:firstLineChars="200"/>
        <w:jc w:val="both"/>
        <w:textAlignment w:val="auto"/>
        <w:rPr>
          <w:rFonts w:hint="default" w:ascii="Times New Roman" w:hAnsi="Times New Roman" w:eastAsia="方正仿宋_GBK" w:cs="Times New Roman"/>
          <w:sz w:val="32"/>
          <w:szCs w:val="32"/>
        </w:rPr>
      </w:pPr>
      <w:r>
        <w:rPr>
          <w:rStyle w:val="10"/>
          <w:rFonts w:hint="default" w:ascii="Times New Roman" w:hAnsi="Times New Roman" w:eastAsia="方正仿宋_GBK" w:cs="Times New Roman"/>
          <w:sz w:val="32"/>
          <w:szCs w:val="32"/>
          <w:shd w:val="clear" w:color="auto" w:fill="FFFFFF"/>
        </w:rPr>
        <w:t>（四）其他收入</w:t>
      </w:r>
      <w:r>
        <w:rPr>
          <w:rFonts w:hint="default" w:ascii="Times New Roman" w:hAnsi="Times New Roman" w:eastAsia="方正仿宋_GBK" w:cs="Times New Roman"/>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3" w:firstLineChars="200"/>
        <w:jc w:val="both"/>
        <w:textAlignment w:val="auto"/>
        <w:rPr>
          <w:rFonts w:hint="default" w:ascii="Times New Roman" w:hAnsi="Times New Roman" w:eastAsia="方正仿宋_GBK" w:cs="Times New Roman"/>
          <w:sz w:val="32"/>
          <w:szCs w:val="32"/>
        </w:rPr>
      </w:pPr>
      <w:r>
        <w:rPr>
          <w:rStyle w:val="10"/>
          <w:rFonts w:hint="default" w:ascii="Times New Roman" w:hAnsi="Times New Roman" w:eastAsia="方正仿宋_GBK" w:cs="Times New Roman"/>
          <w:sz w:val="32"/>
          <w:szCs w:val="32"/>
          <w:shd w:val="clear" w:color="auto" w:fill="FFFFFF"/>
        </w:rPr>
        <w:t>（五）使用非财政拨款结余</w:t>
      </w:r>
      <w:r>
        <w:rPr>
          <w:rStyle w:val="10"/>
          <w:rFonts w:hint="default" w:ascii="Times New Roman" w:hAnsi="Times New Roman" w:eastAsia="方正仿宋_GBK" w:cs="Times New Roman"/>
          <w:sz w:val="32"/>
          <w:szCs w:val="32"/>
          <w:shd w:val="clear" w:color="auto" w:fill="FFFFFF"/>
          <w:lang w:eastAsia="zh-CN"/>
        </w:rPr>
        <w:t>（含专用结余）</w:t>
      </w:r>
      <w:r>
        <w:rPr>
          <w:rFonts w:hint="default" w:ascii="Times New Roman" w:hAnsi="Times New Roman" w:eastAsia="方正仿宋_GBK" w:cs="Times New Roman"/>
          <w:sz w:val="32"/>
          <w:szCs w:val="32"/>
          <w:shd w:val="clear" w:color="auto" w:fill="FFFFFF"/>
        </w:rPr>
        <w:t>：指</w:t>
      </w:r>
      <w:r>
        <w:rPr>
          <w:rFonts w:hint="default" w:ascii="Times New Roman" w:hAnsi="Times New Roman" w:eastAsia="方正仿宋_GBK" w:cs="Times New Roman"/>
          <w:sz w:val="32"/>
          <w:szCs w:val="32"/>
          <w:shd w:val="clear" w:color="auto" w:fill="FFFFFF"/>
          <w:lang w:eastAsia="zh-CN"/>
        </w:rPr>
        <w:t>事业单位按照预算管理要求使用非财政拨款结余弥补收支差额的金额，以及使用专用结余安排支出的金额。</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3" w:firstLineChars="200"/>
        <w:jc w:val="both"/>
        <w:textAlignment w:val="auto"/>
        <w:rPr>
          <w:rFonts w:hint="default" w:ascii="Times New Roman" w:hAnsi="Times New Roman" w:eastAsia="方正仿宋_GBK" w:cs="Times New Roman"/>
          <w:sz w:val="32"/>
          <w:szCs w:val="32"/>
        </w:rPr>
      </w:pPr>
      <w:r>
        <w:rPr>
          <w:rStyle w:val="10"/>
          <w:rFonts w:hint="default" w:ascii="Times New Roman" w:hAnsi="Times New Roman" w:eastAsia="方正仿宋_GBK" w:cs="Times New Roman"/>
          <w:sz w:val="32"/>
          <w:szCs w:val="32"/>
          <w:shd w:val="clear" w:color="auto" w:fill="FFFFFF"/>
        </w:rPr>
        <w:t>（六）年初结转和结余</w:t>
      </w:r>
      <w:r>
        <w:rPr>
          <w:rFonts w:hint="default" w:ascii="Times New Roman" w:hAnsi="Times New Roman" w:eastAsia="方正仿宋_GBK" w:cs="Times New Roman"/>
          <w:sz w:val="32"/>
          <w:szCs w:val="32"/>
          <w:shd w:val="clear" w:color="auto" w:fill="FFFFFF"/>
        </w:rPr>
        <w:t>：指单位上年结转本年使用的基本支出结转、项目支出结转和结余、经营结余。</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3" w:firstLineChars="200"/>
        <w:jc w:val="both"/>
        <w:textAlignment w:val="auto"/>
        <w:rPr>
          <w:rFonts w:hint="default" w:ascii="Times New Roman" w:hAnsi="Times New Roman" w:eastAsia="方正仿宋_GBK" w:cs="Times New Roman"/>
          <w:sz w:val="32"/>
          <w:szCs w:val="32"/>
        </w:rPr>
      </w:pPr>
      <w:r>
        <w:rPr>
          <w:rStyle w:val="10"/>
          <w:rFonts w:hint="default" w:ascii="Times New Roman" w:hAnsi="Times New Roman" w:eastAsia="方正仿宋_GBK" w:cs="Times New Roman"/>
          <w:sz w:val="32"/>
          <w:szCs w:val="32"/>
          <w:shd w:val="clear" w:color="auto" w:fill="FFFFFF"/>
        </w:rPr>
        <w:t>（七）结余分配</w:t>
      </w:r>
      <w:r>
        <w:rPr>
          <w:rFonts w:hint="default" w:ascii="Times New Roman" w:hAnsi="Times New Roman" w:eastAsia="方正仿宋_GBK" w:cs="Times New Roman"/>
          <w:sz w:val="32"/>
          <w:szCs w:val="32"/>
          <w:shd w:val="clear" w:color="auto" w:fill="FFFFFF"/>
        </w:rPr>
        <w:t>：指单位按照国家有关规定，缴纳所得税、提取专用基金、转入非财政拨款结余等当年结余的分配情况。</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3" w:firstLineChars="200"/>
        <w:jc w:val="both"/>
        <w:textAlignment w:val="auto"/>
        <w:rPr>
          <w:rFonts w:hint="default" w:ascii="Times New Roman" w:hAnsi="Times New Roman" w:eastAsia="方正仿宋_GBK" w:cs="Times New Roman"/>
          <w:sz w:val="32"/>
          <w:szCs w:val="32"/>
        </w:rPr>
      </w:pPr>
      <w:r>
        <w:rPr>
          <w:rStyle w:val="10"/>
          <w:rFonts w:hint="default" w:ascii="Times New Roman" w:hAnsi="Times New Roman" w:eastAsia="方正仿宋_GBK" w:cs="Times New Roman"/>
          <w:sz w:val="32"/>
          <w:szCs w:val="32"/>
          <w:shd w:val="clear" w:color="auto" w:fill="FFFFFF"/>
        </w:rPr>
        <w:t>（八）年末结转和结余</w:t>
      </w:r>
      <w:r>
        <w:rPr>
          <w:rFonts w:hint="default" w:ascii="Times New Roman" w:hAnsi="Times New Roman" w:eastAsia="方正仿宋_GBK" w:cs="Times New Roman"/>
          <w:sz w:val="32"/>
          <w:szCs w:val="32"/>
          <w:shd w:val="clear" w:color="auto" w:fill="FFFFFF"/>
        </w:rPr>
        <w:t>：指单位结转下年的基本支出结转、项目支出结转和结余、经营结余。</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3" w:firstLineChars="200"/>
        <w:jc w:val="both"/>
        <w:textAlignment w:val="auto"/>
        <w:rPr>
          <w:rFonts w:hint="default" w:ascii="Times New Roman" w:hAnsi="Times New Roman" w:eastAsia="方正仿宋_GBK" w:cs="Times New Roman"/>
          <w:sz w:val="32"/>
          <w:szCs w:val="32"/>
        </w:rPr>
      </w:pPr>
      <w:r>
        <w:rPr>
          <w:rStyle w:val="10"/>
          <w:rFonts w:hint="default" w:ascii="Times New Roman" w:hAnsi="Times New Roman" w:eastAsia="方正仿宋_GBK" w:cs="Times New Roman"/>
          <w:sz w:val="32"/>
          <w:szCs w:val="32"/>
          <w:shd w:val="clear" w:color="auto" w:fill="FFFFFF"/>
        </w:rPr>
        <w:t>（九）基本支出</w:t>
      </w:r>
      <w:r>
        <w:rPr>
          <w:rFonts w:hint="default" w:ascii="Times New Roman" w:hAnsi="Times New Roman" w:eastAsia="方正仿宋_GBK" w:cs="Times New Roman"/>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3" w:firstLineChars="200"/>
        <w:jc w:val="both"/>
        <w:textAlignment w:val="auto"/>
        <w:rPr>
          <w:rFonts w:hint="default" w:ascii="Times New Roman" w:hAnsi="Times New Roman" w:eastAsia="方正仿宋_GBK" w:cs="Times New Roman"/>
          <w:sz w:val="32"/>
          <w:szCs w:val="32"/>
        </w:rPr>
      </w:pPr>
      <w:r>
        <w:rPr>
          <w:rStyle w:val="10"/>
          <w:rFonts w:hint="default" w:ascii="Times New Roman" w:hAnsi="Times New Roman" w:eastAsia="方正仿宋_GBK" w:cs="Times New Roman"/>
          <w:sz w:val="32"/>
          <w:szCs w:val="32"/>
          <w:shd w:val="clear" w:color="auto" w:fill="FFFFFF"/>
        </w:rPr>
        <w:t>（十）项目支出</w:t>
      </w:r>
      <w:r>
        <w:rPr>
          <w:rFonts w:hint="default" w:ascii="Times New Roman" w:hAnsi="Times New Roman" w:eastAsia="方正仿宋_GBK" w:cs="Times New Roman"/>
          <w:sz w:val="32"/>
          <w:szCs w:val="32"/>
          <w:shd w:val="clear" w:color="auto" w:fill="FFFFFF"/>
        </w:rPr>
        <w:t>：指在基本支出之外为完成特定行政任务和事业发展目标所发生的支出。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3" w:firstLineChars="200"/>
        <w:jc w:val="both"/>
        <w:textAlignment w:val="auto"/>
        <w:rPr>
          <w:rFonts w:hint="default" w:ascii="Times New Roman" w:hAnsi="Times New Roman" w:eastAsia="方正仿宋_GBK" w:cs="Times New Roman"/>
          <w:sz w:val="32"/>
          <w:szCs w:val="32"/>
        </w:rPr>
      </w:pPr>
      <w:r>
        <w:rPr>
          <w:rStyle w:val="10"/>
          <w:rFonts w:hint="default" w:ascii="Times New Roman" w:hAnsi="Times New Roman" w:eastAsia="方正仿宋_GBK" w:cs="Times New Roman"/>
          <w:sz w:val="32"/>
          <w:szCs w:val="32"/>
          <w:shd w:val="clear" w:color="auto" w:fill="FFFFFF"/>
        </w:rPr>
        <w:t>（十一）经营支出</w:t>
      </w:r>
      <w:r>
        <w:rPr>
          <w:rFonts w:hint="default" w:ascii="Times New Roman" w:hAnsi="Times New Roman" w:eastAsia="方正仿宋_GBK" w:cs="Times New Roman"/>
          <w:sz w:val="32"/>
          <w:szCs w:val="32"/>
          <w:shd w:val="clear" w:color="auto" w:fill="FFFFFF"/>
        </w:rPr>
        <w:t>：指事业单位在专业业务活动及其辅助活动之外开展非独立核算经营活动发生的支出。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3" w:firstLineChars="200"/>
        <w:jc w:val="both"/>
        <w:textAlignment w:val="auto"/>
        <w:rPr>
          <w:rFonts w:hint="default" w:ascii="Times New Roman" w:hAnsi="Times New Roman" w:eastAsia="方正仿宋_GBK" w:cs="Times New Roman"/>
          <w:sz w:val="32"/>
          <w:szCs w:val="32"/>
        </w:rPr>
      </w:pPr>
      <w:r>
        <w:rPr>
          <w:rStyle w:val="10"/>
          <w:rFonts w:hint="default" w:ascii="Times New Roman" w:hAnsi="Times New Roman" w:eastAsia="方正仿宋_GBK" w:cs="Times New Roman"/>
          <w:sz w:val="32"/>
          <w:szCs w:val="32"/>
          <w:shd w:val="clear" w:color="auto" w:fill="FFFFFF"/>
        </w:rPr>
        <w:t>（十二）“三公”经费</w:t>
      </w:r>
      <w:r>
        <w:rPr>
          <w:rFonts w:hint="default" w:ascii="Times New Roman" w:hAnsi="Times New Roman" w:eastAsia="方正仿宋_GBK" w:cs="Times New Roman"/>
          <w:sz w:val="32"/>
          <w:szCs w:val="32"/>
          <w:shd w:val="clear" w:color="auto" w:fill="FFFFFF"/>
        </w:rPr>
        <w:t>：指用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3" w:firstLineChars="200"/>
        <w:jc w:val="both"/>
        <w:textAlignment w:val="auto"/>
        <w:rPr>
          <w:rFonts w:hint="default" w:ascii="Times New Roman" w:hAnsi="Times New Roman" w:eastAsia="方正仿宋_GBK" w:cs="Times New Roman"/>
          <w:sz w:val="32"/>
          <w:szCs w:val="32"/>
        </w:rPr>
      </w:pPr>
      <w:r>
        <w:rPr>
          <w:rStyle w:val="10"/>
          <w:rFonts w:hint="default" w:ascii="Times New Roman" w:hAnsi="Times New Roman" w:eastAsia="方正仿宋_GBK" w:cs="Times New Roman"/>
          <w:sz w:val="32"/>
          <w:szCs w:val="32"/>
          <w:shd w:val="clear" w:color="auto" w:fill="FFFFFF"/>
        </w:rPr>
        <w:t>（十三）机关运行经费</w:t>
      </w:r>
      <w:r>
        <w:rPr>
          <w:rFonts w:hint="default" w:ascii="Times New Roman" w:hAnsi="Times New Roman" w:eastAsia="方正仿宋_GBK" w:cs="Times New Roman"/>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3" w:firstLineChars="200"/>
        <w:jc w:val="both"/>
        <w:textAlignment w:val="auto"/>
        <w:rPr>
          <w:rFonts w:hint="default" w:ascii="Times New Roman" w:hAnsi="Times New Roman" w:eastAsia="方正仿宋_GBK" w:cs="Times New Roman"/>
          <w:sz w:val="32"/>
          <w:szCs w:val="32"/>
        </w:rPr>
      </w:pPr>
      <w:r>
        <w:rPr>
          <w:rStyle w:val="10"/>
          <w:rFonts w:hint="default" w:ascii="Times New Roman" w:hAnsi="Times New Roman" w:eastAsia="方正仿宋_GBK" w:cs="Times New Roman"/>
          <w:sz w:val="32"/>
          <w:szCs w:val="32"/>
          <w:shd w:val="clear" w:color="auto" w:fill="FFFFFF"/>
        </w:rPr>
        <w:t>（十四）工资福利支出（支出经济分类科目类级）</w:t>
      </w:r>
      <w:r>
        <w:rPr>
          <w:rFonts w:hint="default" w:ascii="Times New Roman" w:hAnsi="Times New Roman" w:eastAsia="方正仿宋_GBK" w:cs="Times New Roman"/>
          <w:sz w:val="32"/>
          <w:szCs w:val="32"/>
          <w:shd w:val="clear" w:color="auto" w:fill="FFFFFF"/>
        </w:rPr>
        <w:t>：反映单位开支的在职职工和编制外长期聘用人员的各类劳动报酬，以及为上述人员缴纳的各项社会保险费等。</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3" w:firstLineChars="200"/>
        <w:jc w:val="both"/>
        <w:textAlignment w:val="auto"/>
        <w:rPr>
          <w:rFonts w:hint="default" w:ascii="Times New Roman" w:hAnsi="Times New Roman" w:eastAsia="方正仿宋_GBK" w:cs="Times New Roman"/>
          <w:sz w:val="32"/>
          <w:szCs w:val="32"/>
        </w:rPr>
      </w:pPr>
      <w:r>
        <w:rPr>
          <w:rStyle w:val="10"/>
          <w:rFonts w:hint="default" w:ascii="Times New Roman" w:hAnsi="Times New Roman" w:eastAsia="方正仿宋_GBK" w:cs="Times New Roman"/>
          <w:sz w:val="32"/>
          <w:szCs w:val="32"/>
          <w:shd w:val="clear" w:color="auto" w:fill="FFFFFF"/>
        </w:rPr>
        <w:t>（十五）商品和服务支出（支出经济分类科目类级）</w:t>
      </w:r>
      <w:r>
        <w:rPr>
          <w:rFonts w:hint="default" w:ascii="Times New Roman" w:hAnsi="Times New Roman" w:eastAsia="方正仿宋_GBK" w:cs="Times New Roman"/>
          <w:sz w:val="32"/>
          <w:szCs w:val="32"/>
          <w:shd w:val="clear" w:color="auto" w:fill="FFFFFF"/>
        </w:rPr>
        <w:t>：反映单位购买商品和服务的支出（不包括用于购置固定资产的支出、战略性和应急储备支出）。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3" w:firstLineChars="200"/>
        <w:jc w:val="both"/>
        <w:textAlignment w:val="auto"/>
        <w:rPr>
          <w:rFonts w:hint="default" w:ascii="Times New Roman" w:hAnsi="Times New Roman" w:eastAsia="方正仿宋_GBK" w:cs="Times New Roman"/>
          <w:sz w:val="32"/>
          <w:szCs w:val="32"/>
        </w:rPr>
      </w:pPr>
      <w:r>
        <w:rPr>
          <w:rStyle w:val="10"/>
          <w:rFonts w:hint="default" w:ascii="Times New Roman" w:hAnsi="Times New Roman" w:eastAsia="方正仿宋_GBK" w:cs="Times New Roman"/>
          <w:sz w:val="32"/>
          <w:szCs w:val="32"/>
          <w:shd w:val="clear" w:color="auto" w:fill="FFFFFF"/>
        </w:rPr>
        <w:t>（十六）对个人和家庭的补助（支出经济分类科目类级）</w:t>
      </w:r>
      <w:r>
        <w:rPr>
          <w:rFonts w:hint="default" w:ascii="Times New Roman" w:hAnsi="Times New Roman" w:eastAsia="方正仿宋_GBK" w:cs="Times New Roman"/>
          <w:sz w:val="32"/>
          <w:szCs w:val="32"/>
          <w:shd w:val="clear" w:color="auto" w:fill="FFFFFF"/>
        </w:rPr>
        <w:t>：反映用于对个人和家庭的补助支出。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3" w:firstLineChars="200"/>
        <w:jc w:val="both"/>
        <w:textAlignment w:val="auto"/>
        <w:rPr>
          <w:rFonts w:hint="default" w:ascii="Times New Roman" w:hAnsi="Times New Roman" w:eastAsia="方正仿宋_GBK" w:cs="Times New Roman"/>
          <w:sz w:val="32"/>
          <w:szCs w:val="32"/>
          <w:shd w:val="clear" w:color="auto" w:fill="FFFFFF"/>
        </w:rPr>
      </w:pPr>
      <w:r>
        <w:rPr>
          <w:rStyle w:val="10"/>
          <w:rFonts w:hint="default" w:ascii="Times New Roman" w:hAnsi="Times New Roman" w:eastAsia="方正仿宋_GBK" w:cs="Times New Roman"/>
          <w:sz w:val="32"/>
          <w:szCs w:val="32"/>
          <w:shd w:val="clear" w:color="auto" w:fill="FFFFFF"/>
        </w:rPr>
        <w:t>（十七）其他资本性支出（支出经济分类科目类级）</w:t>
      </w:r>
      <w:r>
        <w:rPr>
          <w:rFonts w:hint="default" w:ascii="Times New Roman" w:hAnsi="Times New Roman" w:eastAsia="方正仿宋_GBK" w:cs="Times New Roman"/>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3" w:firstLineChars="200"/>
        <w:jc w:val="both"/>
        <w:textAlignment w:val="auto"/>
        <w:rPr>
          <w:rStyle w:val="10"/>
          <w:rFonts w:hint="default" w:ascii="Times New Roman" w:hAnsi="Times New Roman" w:eastAsia="方正仿宋_GBK" w:cs="Times New Roman"/>
          <w:sz w:val="32"/>
          <w:szCs w:val="32"/>
          <w:shd w:val="clear" w:color="auto" w:fill="FFFFFF"/>
        </w:rPr>
      </w:pPr>
      <w:r>
        <w:rPr>
          <w:rStyle w:val="10"/>
          <w:rFonts w:hint="default" w:ascii="Times New Roman" w:hAnsi="Times New Roman" w:eastAsia="方正仿宋_GBK" w:cs="Times New Roman"/>
          <w:sz w:val="32"/>
          <w:szCs w:val="32"/>
          <w:shd w:val="clear" w:color="auto" w:fill="FFFFFF"/>
          <w:lang w:eastAsia="zh-CN"/>
        </w:rPr>
        <w:t>七</w:t>
      </w:r>
      <w:r>
        <w:rPr>
          <w:rStyle w:val="10"/>
          <w:rFonts w:hint="default" w:ascii="Times New Roman" w:hAnsi="Times New Roman" w:eastAsia="方正仿宋_GBK" w:cs="Times New Roman"/>
          <w:sz w:val="32"/>
          <w:szCs w:val="32"/>
          <w:shd w:val="clear" w:color="auto" w:fill="FFFFFF"/>
        </w:rPr>
        <w:t>、决算公开联系方式及信息反馈渠道</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Style w:val="10"/>
          <w:rFonts w:hint="default" w:ascii="Times New Roman" w:hAnsi="Times New Roman" w:eastAsia="方正仿宋_GBK" w:cs="Times New Roman"/>
          <w:sz w:val="32"/>
          <w:szCs w:val="32"/>
          <w:shd w:val="clear" w:color="auto" w:fill="FFFF00"/>
          <w:lang w:val="en-US" w:eastAsia="zh-CN"/>
        </w:rPr>
        <w:sectPr>
          <w:footerReference r:id="rId3" w:type="default"/>
          <w:pgSz w:w="11915" w:h="16840"/>
          <w:pgMar w:top="1440" w:right="1800" w:bottom="1440" w:left="1800" w:header="851" w:footer="992" w:gutter="0"/>
          <w:pgNumType w:fmt="numberInDash"/>
          <w:cols w:space="720" w:num="1"/>
          <w:docGrid w:type="lines" w:linePitch="312" w:charSpace="0"/>
        </w:sectPr>
      </w:pPr>
      <w:r>
        <w:rPr>
          <w:rFonts w:hint="eastAsia" w:ascii="Times New Roman" w:hAnsi="Times New Roman" w:eastAsia="方正仿宋_GBK" w:cs="Times New Roman"/>
          <w:sz w:val="32"/>
          <w:szCs w:val="32"/>
          <w:shd w:val="clear" w:color="auto" w:fill="FFFFFF"/>
          <w:lang w:eastAsia="zh-CN"/>
        </w:rPr>
        <w:t>我单位</w:t>
      </w:r>
      <w:r>
        <w:rPr>
          <w:rFonts w:hint="default" w:ascii="Times New Roman" w:hAnsi="Times New Roman" w:eastAsia="方正仿宋_GBK" w:cs="Times New Roman"/>
          <w:sz w:val="32"/>
          <w:szCs w:val="32"/>
          <w:shd w:val="clear" w:color="auto" w:fill="FFFFFF"/>
        </w:rPr>
        <w:t>决算公开信息反馈和联系方式：</w:t>
      </w:r>
      <w:r>
        <w:rPr>
          <w:rFonts w:hint="default" w:ascii="Times New Roman" w:hAnsi="Times New Roman" w:eastAsia="方正仿宋_GBK" w:cs="Times New Roman"/>
          <w:sz w:val="32"/>
          <w:szCs w:val="32"/>
          <w:shd w:val="clear" w:color="auto" w:fill="FFFFFF"/>
          <w:lang w:eastAsia="zh-CN"/>
        </w:rPr>
        <w:t>（</w:t>
      </w:r>
      <w:r>
        <w:rPr>
          <w:rFonts w:hint="default" w:ascii="Times New Roman" w:hAnsi="Times New Roman" w:eastAsia="方正仿宋_GBK" w:cs="Times New Roman"/>
          <w:sz w:val="32"/>
          <w:szCs w:val="32"/>
          <w:shd w:val="clear" w:color="auto" w:fill="FFFFFF"/>
          <w:lang w:val="en-US" w:eastAsia="zh-CN"/>
        </w:rPr>
        <w:t>023-76882866）</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596" w:lineRule="exact"/>
        <w:jc w:val="left"/>
        <w:textAlignment w:val="auto"/>
        <w:rPr>
          <w:rFonts w:hint="eastAsia" w:ascii="方正小标宋_GBK" w:hAnsi="方正小标宋_GBK" w:eastAsia="方正小标宋_GBK" w:cs="方正小标宋_GBK"/>
          <w:b w:val="0"/>
          <w:bCs w:val="0"/>
          <w:sz w:val="36"/>
          <w:szCs w:val="36"/>
          <w:lang w:eastAsia="zh-CN"/>
        </w:rPr>
      </w:pPr>
    </w:p>
    <w:tbl>
      <w:tblPr>
        <w:tblStyle w:val="11"/>
        <w:tblpPr w:leftFromText="180" w:rightFromText="180" w:vertAnchor="text" w:horzAnchor="page" w:tblpX="1058" w:tblpY="22"/>
        <w:tblOverlap w:val="never"/>
        <w:tblW w:w="14737" w:type="dxa"/>
        <w:tblInd w:w="0" w:type="dxa"/>
        <w:tblLayout w:type="fixed"/>
        <w:tblCellMar>
          <w:top w:w="0" w:type="dxa"/>
          <w:left w:w="0" w:type="dxa"/>
          <w:bottom w:w="0" w:type="dxa"/>
          <w:right w:w="0" w:type="dxa"/>
        </w:tblCellMar>
      </w:tblPr>
      <w:tblGrid>
        <w:gridCol w:w="4294"/>
        <w:gridCol w:w="3558"/>
        <w:gridCol w:w="4044"/>
        <w:gridCol w:w="2841"/>
      </w:tblGrid>
      <w:tr>
        <w:tblPrEx>
          <w:tblLayout w:type="fixed"/>
          <w:tblCellMar>
            <w:top w:w="0" w:type="dxa"/>
            <w:left w:w="0" w:type="dxa"/>
            <w:bottom w:w="0" w:type="dxa"/>
            <w:right w:w="0" w:type="dxa"/>
          </w:tblCellMar>
        </w:tblPrEx>
        <w:trPr>
          <w:trHeight w:val="232" w:hRule="atLeast"/>
        </w:trPr>
        <w:tc>
          <w:tcPr>
            <w:tcW w:w="14737"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42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3558"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0"/>
                <w:szCs w:val="20"/>
              </w:rPr>
            </w:pP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284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01</w:t>
            </w:r>
            <w:r>
              <w:rPr>
                <w:rFonts w:cs="宋体"/>
                <w:color w:val="000000"/>
                <w:sz w:val="20"/>
                <w:szCs w:val="20"/>
              </w:rPr>
              <w:t>表</w:t>
            </w:r>
          </w:p>
        </w:tc>
      </w:tr>
      <w:tr>
        <w:tblPrEx>
          <w:tblLayout w:type="fixed"/>
          <w:tblCellMar>
            <w:top w:w="0" w:type="dxa"/>
            <w:left w:w="0" w:type="dxa"/>
            <w:bottom w:w="0" w:type="dxa"/>
            <w:right w:w="0" w:type="dxa"/>
          </w:tblCellMar>
        </w:tblPrEx>
        <w:trPr>
          <w:trHeight w:val="232" w:hRule="atLeast"/>
        </w:trPr>
        <w:tc>
          <w:tcPr>
            <w:tcW w:w="7852"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r>
              <w:rPr>
                <w:rFonts w:cs="宋体"/>
                <w:sz w:val="20"/>
                <w:szCs w:val="20"/>
              </w:rPr>
              <w:t>单位：</w:t>
            </w:r>
            <w:r>
              <w:rPr>
                <w:sz w:val="20"/>
                <w:u w:color="auto"/>
              </w:rPr>
              <w:t>秀山土家族苗族自治县精神卫生中心</w:t>
            </w: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p>
        </w:tc>
        <w:tc>
          <w:tcPr>
            <w:tcW w:w="284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243" w:hRule="atLeast"/>
        </w:trPr>
        <w:tc>
          <w:tcPr>
            <w:tcW w:w="78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收入</w:t>
            </w:r>
          </w:p>
        </w:tc>
        <w:tc>
          <w:tcPr>
            <w:tcW w:w="6885" w:type="dxa"/>
            <w:gridSpan w:val="2"/>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项目</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功能分类科目</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一、一般公共预算财政拨款收入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870.70</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一、一般公共服务支出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二、政府性基金预算财政拨款收入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480.00</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二、外交支出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三、国有资本经营预算财政拨款收入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三、国防支出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四、上级补助收入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四、公共安全支出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五、事业收入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1,205.67</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五、教育支出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六、经营收入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六、科学技术支出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七、附属单位上缴收入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七、文化旅游体育与传媒支出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八、其他收入</w:t>
            </w:r>
          </w:p>
        </w:tc>
        <w:tc>
          <w:tcPr>
            <w:tcW w:w="3558" w:type="dxa"/>
            <w:tcBorders>
              <w:top w:val="nil"/>
              <w:left w:val="nil"/>
              <w:bottom w:val="nil"/>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0.68</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八、社会保障和就业支出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174.08</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九、卫生健康支出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1,835.54</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十、节能环保支出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十一、城乡社区支出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十二、农林水支出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十三、交通运输支出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十四、资源勘探工业信息等支出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十五、商业服务业等支出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十六、金融支出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十七、援助其他地区支出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十八、自然资源海洋气象等支出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十九、住房保障支出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38.21</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二十、粮油物资储备支出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二十一、国有资本经营预算支出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二十二、灾害防治及应急管理支出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二十三、其他支出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480.00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二十四、债务还本支出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二十五、债务付息支出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二十六、抗疫特别国债安排的支出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color w:val="000000"/>
                <w:sz w:val="20"/>
                <w:szCs w:val="20"/>
              </w:rPr>
            </w:pPr>
            <w:r>
              <w:rPr>
                <w:rFonts w:cs="宋体"/>
                <w:b/>
                <w:bCs/>
                <w:color w:val="000000"/>
                <w:sz w:val="20"/>
                <w:szCs w:val="20"/>
              </w:rPr>
              <w:t>本年收入合计</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2,557.05</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color w:val="000000"/>
                <w:sz w:val="20"/>
                <w:szCs w:val="20"/>
              </w:rPr>
            </w:pPr>
            <w:r>
              <w:rPr>
                <w:rFonts w:cs="宋体"/>
                <w:b/>
                <w:bCs/>
                <w:color w:val="000000"/>
                <w:sz w:val="20"/>
                <w:szCs w:val="20"/>
              </w:rPr>
              <w:t>本年支出合计</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2,527.84</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使用非财政拨款结余和专用结余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结余分配</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年初结转和结余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32.79</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年末结转和结余</w:t>
            </w:r>
          </w:p>
        </w:tc>
        <w:tc>
          <w:tcPr>
            <w:tcW w:w="2841"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62.01</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5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2,589.84</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28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2,589.84</w:t>
            </w:r>
            <w:r>
              <w:rPr>
                <w:rFonts w:ascii="Times New Roman" w:hAnsi="Times New Roman"/>
                <w:color w:val="000000"/>
                <w:sz w:val="20"/>
                <w:u w:color="auto"/>
              </w:rPr>
              <w:t xml:space="preserve"> </w:t>
            </w:r>
          </w:p>
        </w:tc>
      </w:tr>
    </w:tbl>
    <w:p>
      <w:pPr>
        <w:rPr>
          <w:rFonts w:hint="default" w:cs="宋体"/>
          <w:sz w:val="21"/>
          <w:szCs w:val="21"/>
        </w:rPr>
      </w:pPr>
    </w:p>
    <w:p>
      <w:pPr>
        <w:spacing w:line="240" w:lineRule="exact"/>
        <w:rPr>
          <w:rFonts w:hint="default" w:cs="宋体"/>
          <w:sz w:val="20"/>
          <w:szCs w:val="20"/>
        </w:rPr>
      </w:pPr>
      <w:r>
        <w:rPr>
          <w:rFonts w:cs="宋体"/>
          <w:sz w:val="20"/>
          <w:szCs w:val="20"/>
        </w:rPr>
        <w:t>备注：1.本表反映单位本年度的总收支和年末结转结余情况。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tbl>
      <w:tblPr>
        <w:tblStyle w:val="11"/>
        <w:tblW w:w="15503" w:type="dxa"/>
        <w:tblInd w:w="0" w:type="dxa"/>
        <w:tblLayout w:type="fixed"/>
        <w:tblCellMar>
          <w:top w:w="0" w:type="dxa"/>
          <w:left w:w="0" w:type="dxa"/>
          <w:bottom w:w="0" w:type="dxa"/>
          <w:right w:w="0" w:type="dxa"/>
        </w:tblCellMar>
      </w:tblPr>
      <w:tblGrid>
        <w:gridCol w:w="1637"/>
        <w:gridCol w:w="3075"/>
        <w:gridCol w:w="1308"/>
        <w:gridCol w:w="1367"/>
        <w:gridCol w:w="1257"/>
        <w:gridCol w:w="1257"/>
        <w:gridCol w:w="1320"/>
        <w:gridCol w:w="1259"/>
        <w:gridCol w:w="1392"/>
        <w:gridCol w:w="1631"/>
      </w:tblGrid>
      <w:tr>
        <w:tblPrEx>
          <w:tblLayout w:type="fixed"/>
          <w:tblCellMar>
            <w:top w:w="0" w:type="dxa"/>
            <w:left w:w="0" w:type="dxa"/>
            <w:bottom w:w="0" w:type="dxa"/>
            <w:right w:w="0" w:type="dxa"/>
          </w:tblCellMar>
        </w:tblPrEx>
        <w:trPr>
          <w:trHeight w:val="641" w:hRule="atLeast"/>
        </w:trPr>
        <w:tc>
          <w:tcPr>
            <w:tcW w:w="15503" w:type="dxa"/>
            <w:gridSpan w:val="10"/>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收入决算表</w:t>
            </w:r>
          </w:p>
        </w:tc>
      </w:tr>
      <w:tr>
        <w:tblPrEx>
          <w:tblLayout w:type="fixed"/>
          <w:tblCellMar>
            <w:top w:w="0" w:type="dxa"/>
            <w:left w:w="0" w:type="dxa"/>
            <w:bottom w:w="0" w:type="dxa"/>
            <w:right w:w="0" w:type="dxa"/>
          </w:tblCellMar>
        </w:tblPrEx>
        <w:trPr>
          <w:trHeight w:val="328" w:hRule="atLeast"/>
        </w:trPr>
        <w:tc>
          <w:tcPr>
            <w:tcW w:w="6020"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sz w:val="20"/>
                <w:u w:color="auto"/>
              </w:rPr>
              <w:t>秀山土家族苗族自治县精神卫生中心</w:t>
            </w:r>
          </w:p>
        </w:tc>
        <w:tc>
          <w:tcPr>
            <w:tcW w:w="136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2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9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3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02</w:t>
            </w:r>
            <w:r>
              <w:rPr>
                <w:rFonts w:cs="宋体"/>
                <w:color w:val="000000"/>
                <w:sz w:val="20"/>
                <w:szCs w:val="20"/>
              </w:rPr>
              <w:t>表</w:t>
            </w:r>
          </w:p>
        </w:tc>
      </w:tr>
      <w:tr>
        <w:tblPrEx>
          <w:tblLayout w:type="fixed"/>
          <w:tblCellMar>
            <w:top w:w="0" w:type="dxa"/>
            <w:left w:w="0" w:type="dxa"/>
            <w:bottom w:w="0" w:type="dxa"/>
            <w:right w:w="0" w:type="dxa"/>
          </w:tblCellMar>
        </w:tblPrEx>
        <w:trPr>
          <w:trHeight w:val="328" w:hRule="atLeast"/>
        </w:trPr>
        <w:tc>
          <w:tcPr>
            <w:tcW w:w="6020"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2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9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3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31" w:hRule="atLeast"/>
        </w:trPr>
        <w:tc>
          <w:tcPr>
            <w:tcW w:w="4712"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30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本年收入合计</w:t>
            </w:r>
          </w:p>
        </w:tc>
        <w:tc>
          <w:tcPr>
            <w:tcW w:w="13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财政拨款收入</w:t>
            </w:r>
          </w:p>
        </w:tc>
        <w:tc>
          <w:tcPr>
            <w:tcW w:w="125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上级补助收入</w:t>
            </w:r>
          </w:p>
        </w:tc>
        <w:tc>
          <w:tcPr>
            <w:tcW w:w="257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事业收入</w:t>
            </w:r>
          </w:p>
        </w:tc>
        <w:tc>
          <w:tcPr>
            <w:tcW w:w="125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经营收入</w:t>
            </w:r>
          </w:p>
        </w:tc>
        <w:tc>
          <w:tcPr>
            <w:tcW w:w="139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附属单位上缴收入</w:t>
            </w:r>
          </w:p>
        </w:tc>
        <w:tc>
          <w:tcPr>
            <w:tcW w:w="163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其他收入</w:t>
            </w:r>
          </w:p>
        </w:tc>
      </w:tr>
      <w:tr>
        <w:tblPrEx>
          <w:tblLayout w:type="fixed"/>
          <w:tblCellMar>
            <w:top w:w="0" w:type="dxa"/>
            <w:left w:w="0" w:type="dxa"/>
            <w:bottom w:w="0" w:type="dxa"/>
            <w:right w:w="0" w:type="dxa"/>
          </w:tblCellMar>
        </w:tblPrEx>
        <w:trPr>
          <w:trHeight w:val="334" w:hRule="atLeast"/>
        </w:trPr>
        <w:tc>
          <w:tcPr>
            <w:tcW w:w="1637"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075"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小计</w:t>
            </w:r>
          </w:p>
        </w:tc>
        <w:tc>
          <w:tcPr>
            <w:tcW w:w="132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其中：教育收费</w:t>
            </w: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075"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075"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075"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47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30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2,557.05</w:t>
            </w:r>
            <w:r>
              <w:rPr>
                <w:rFonts w:ascii="Times New Roman" w:hAnsi="Times New Roman"/>
                <w:b/>
                <w:color w:val="000000"/>
                <w:sz w:val="20"/>
                <w:u w:color="auto"/>
              </w:rPr>
              <w:t xml:space="preserve"> </w:t>
            </w:r>
          </w:p>
        </w:tc>
        <w:tc>
          <w:tcPr>
            <w:tcW w:w="13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1,350.70</w:t>
            </w:r>
            <w:r>
              <w:rPr>
                <w:rFonts w:ascii="Times New Roman" w:hAnsi="Times New Roman"/>
                <w:b/>
                <w:color w:val="000000"/>
                <w:sz w:val="20"/>
                <w:u w:color="auto"/>
              </w:rPr>
              <w:t xml:space="preserve"> </w:t>
            </w:r>
          </w:p>
        </w:tc>
        <w:tc>
          <w:tcPr>
            <w:tcW w:w="12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2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1,205.67</w:t>
            </w:r>
            <w:r>
              <w:rPr>
                <w:rFonts w:ascii="Times New Roman" w:hAnsi="Times New Roman"/>
                <w:b/>
                <w:color w:val="000000"/>
                <w:sz w:val="20"/>
                <w:u w:color="auto"/>
              </w:rPr>
              <w:t xml:space="preserve"> </w:t>
            </w:r>
          </w:p>
        </w:tc>
        <w:tc>
          <w:tcPr>
            <w:tcW w:w="13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2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39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63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0.68</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174.08</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174.08</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174.08</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174.08</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62.30</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62.30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74.22</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74.22</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37.56</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37.56</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1,864.76</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658.40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1,205.67</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0.68</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公立医院</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11.35</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11.35</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2100205</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精神病医院</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1.35</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1.35</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2100299</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其他公立医院支出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10.00</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1,813.16</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606.81</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1,205.67</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0.68</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2100404</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精神卫生机构</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1,813.16</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606.81</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1,205.67</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0.68</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40.24</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40.24</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31.84</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31.84</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8.40</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8.40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38.21</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38.21</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38.21</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38.21</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38.21</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38.21</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229</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480.00</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480.00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22904</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其他政府性基金及对应专项债务收入安排的支出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480.00</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480.00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2290402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其他地方自行试点项目收益专项债券收入安排的支出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480.00</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480.00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ind w:left="600" w:hanging="600" w:hangingChars="300"/>
        <w:rPr>
          <w:rFonts w:hint="default" w:cs="宋体"/>
          <w:sz w:val="20"/>
          <w:szCs w:val="20"/>
        </w:rPr>
      </w:pPr>
      <w:r>
        <w:rPr>
          <w:rFonts w:cs="宋体"/>
          <w:sz w:val="20"/>
          <w:szCs w:val="20"/>
        </w:rPr>
        <w:t>备注：1.本表反映单位本年度取得的各项收入情况。</w:t>
      </w:r>
      <w:r>
        <w:rPr>
          <w:rFonts w:cs="宋体"/>
          <w:sz w:val="20"/>
          <w:szCs w:val="20"/>
        </w:rPr>
        <w:br w:type="textWrapping"/>
      </w:r>
      <w:r>
        <w:rPr>
          <w:rFonts w:cs="宋体"/>
          <w:sz w:val="20"/>
          <w:szCs w:val="20"/>
        </w:rPr>
        <w:t>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0"/>
          <w:szCs w:val="20"/>
        </w:rPr>
      </w:pPr>
      <w:r>
        <w:rPr>
          <w:rFonts w:cs="宋体"/>
          <w:sz w:val="20"/>
          <w:szCs w:val="20"/>
        </w:rPr>
        <w:br w:type="page"/>
      </w:r>
    </w:p>
    <w:tbl>
      <w:tblPr>
        <w:tblStyle w:val="11"/>
        <w:tblW w:w="15322" w:type="dxa"/>
        <w:tblInd w:w="0" w:type="dxa"/>
        <w:tblLayout w:type="fixed"/>
        <w:tblCellMar>
          <w:top w:w="0" w:type="dxa"/>
          <w:left w:w="0" w:type="dxa"/>
          <w:bottom w:w="0" w:type="dxa"/>
          <w:right w:w="0" w:type="dxa"/>
        </w:tblCellMar>
      </w:tblPr>
      <w:tblGrid>
        <w:gridCol w:w="1637"/>
        <w:gridCol w:w="3530"/>
        <w:gridCol w:w="1645"/>
        <w:gridCol w:w="1694"/>
        <w:gridCol w:w="1627"/>
        <w:gridCol w:w="1559"/>
        <w:gridCol w:w="1694"/>
        <w:gridCol w:w="1936"/>
      </w:tblGrid>
      <w:tr>
        <w:tblPrEx>
          <w:tblLayout w:type="fixed"/>
          <w:tblCellMar>
            <w:top w:w="0" w:type="dxa"/>
            <w:left w:w="0" w:type="dxa"/>
            <w:bottom w:w="0" w:type="dxa"/>
            <w:right w:w="0" w:type="dxa"/>
          </w:tblCellMar>
        </w:tblPrEx>
        <w:trPr>
          <w:trHeight w:val="65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支出决算表</w:t>
            </w:r>
          </w:p>
        </w:tc>
      </w:tr>
      <w:tr>
        <w:tblPrEx>
          <w:tblLayout w:type="fixed"/>
          <w:tblCellMar>
            <w:top w:w="0" w:type="dxa"/>
            <w:left w:w="0" w:type="dxa"/>
            <w:bottom w:w="0" w:type="dxa"/>
            <w:right w:w="0" w:type="dxa"/>
          </w:tblCellMar>
        </w:tblPrEx>
        <w:trPr>
          <w:trHeight w:val="342" w:hRule="atLeast"/>
        </w:trPr>
        <w:tc>
          <w:tcPr>
            <w:tcW w:w="6812"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 xml:space="preserve">秀山土家族苗族自治县精神卫生中心 </w:t>
            </w: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2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9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03</w:t>
            </w:r>
            <w:r>
              <w:rPr>
                <w:rFonts w:cs="宋体"/>
                <w:color w:val="000000"/>
                <w:sz w:val="20"/>
                <w:szCs w:val="20"/>
              </w:rPr>
              <w:t>表</w:t>
            </w:r>
          </w:p>
        </w:tc>
      </w:tr>
      <w:tr>
        <w:tblPrEx>
          <w:tblLayout w:type="fixed"/>
          <w:tblCellMar>
            <w:top w:w="0" w:type="dxa"/>
            <w:left w:w="0" w:type="dxa"/>
            <w:bottom w:w="0" w:type="dxa"/>
            <w:right w:w="0" w:type="dxa"/>
          </w:tblCellMar>
        </w:tblPrEx>
        <w:trPr>
          <w:trHeight w:val="342" w:hRule="atLeast"/>
        </w:trPr>
        <w:tc>
          <w:tcPr>
            <w:tcW w:w="681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2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9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62" w:hRule="atLeast"/>
        </w:trPr>
        <w:tc>
          <w:tcPr>
            <w:tcW w:w="51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64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本年支出合计</w:t>
            </w:r>
          </w:p>
        </w:tc>
        <w:tc>
          <w:tcPr>
            <w:tcW w:w="16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62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55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上缴上级支出</w:t>
            </w:r>
          </w:p>
        </w:tc>
        <w:tc>
          <w:tcPr>
            <w:tcW w:w="16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经营支出</w:t>
            </w:r>
          </w:p>
        </w:tc>
        <w:tc>
          <w:tcPr>
            <w:tcW w:w="193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对附属单位补助支出</w:t>
            </w:r>
          </w:p>
        </w:tc>
      </w:tr>
      <w:tr>
        <w:tblPrEx>
          <w:tblLayout w:type="fixed"/>
          <w:tblCellMar>
            <w:top w:w="0" w:type="dxa"/>
            <w:left w:w="0" w:type="dxa"/>
            <w:bottom w:w="0" w:type="dxa"/>
            <w:right w:w="0" w:type="dxa"/>
          </w:tblCellMar>
        </w:tblPrEx>
        <w:trPr>
          <w:trHeight w:val="338" w:hRule="atLeast"/>
        </w:trPr>
        <w:tc>
          <w:tcPr>
            <w:tcW w:w="1637"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530"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62" w:hRule="atLeast"/>
        </w:trPr>
        <w:tc>
          <w:tcPr>
            <w:tcW w:w="51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6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2,527.84</w:t>
            </w:r>
            <w:r>
              <w:rPr>
                <w:rFonts w:ascii="Times New Roman" w:hAnsi="Times New Roman"/>
                <w:b/>
                <w:color w:val="000000"/>
                <w:sz w:val="20"/>
                <w:u w:color="auto"/>
              </w:rPr>
              <w:t xml:space="preserve"> </w:t>
            </w:r>
          </w:p>
        </w:tc>
        <w:tc>
          <w:tcPr>
            <w:tcW w:w="169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2,037.84</w:t>
            </w:r>
            <w:r>
              <w:rPr>
                <w:rFonts w:ascii="Times New Roman" w:hAnsi="Times New Roman"/>
                <w:b/>
                <w:color w:val="000000"/>
                <w:sz w:val="20"/>
                <w:u w:color="auto"/>
              </w:rPr>
              <w:t xml:space="preserve"> </w:t>
            </w:r>
          </w:p>
        </w:tc>
        <w:tc>
          <w:tcPr>
            <w:tcW w:w="16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490.00</w:t>
            </w:r>
            <w:r>
              <w:rPr>
                <w:rFonts w:ascii="Times New Roman" w:hAnsi="Times New Roman"/>
                <w:b/>
                <w:color w:val="000000"/>
                <w:sz w:val="20"/>
                <w:u w:color="auto"/>
              </w:rPr>
              <w:t xml:space="preserve"> </w:t>
            </w:r>
          </w:p>
        </w:tc>
        <w:tc>
          <w:tcPr>
            <w:tcW w:w="15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69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9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174.08</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174.08</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174.08</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174.08</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62.30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62.30</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74.22</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74.22</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37.56</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37.56</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1,835.54</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1,825.54</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公立医院</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11.35</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1.35</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2100205</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精神病医院</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1.35</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1.35</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2100299</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其他公立医院支出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1,783.95</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1,783.95</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2100404</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精神卫生机构</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1,783.95</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1,783.95</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40.24</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40.24</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31.84</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31.84</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8.40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8.40</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38.21</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38.21</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38.21</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38.21</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38.21</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38.21</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229</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480.00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480.00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22904</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其他政府性基金及对应专项债务收入安排的支出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480.00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480.00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2290402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其他地方自行试点项目收益专项债券收入安排的支出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480.00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480.00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0"/>
          <w:szCs w:val="20"/>
        </w:rPr>
      </w:pPr>
      <w:r>
        <w:rPr>
          <w:rFonts w:cs="宋体"/>
          <w:sz w:val="20"/>
          <w:szCs w:val="20"/>
        </w:rPr>
        <w:t>备注：1.本表反映单位本年度各项支出情况。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p>
      <w:pPr>
        <w:rPr>
          <w:rFonts w:hint="default" w:cs="宋体"/>
          <w:sz w:val="21"/>
          <w:szCs w:val="21"/>
        </w:rPr>
      </w:pPr>
    </w:p>
    <w:tbl>
      <w:tblPr>
        <w:tblStyle w:val="11"/>
        <w:tblW w:w="14678" w:type="dxa"/>
        <w:tblInd w:w="0" w:type="dxa"/>
        <w:tblLayout w:type="fixed"/>
        <w:tblCellMar>
          <w:top w:w="0" w:type="dxa"/>
          <w:left w:w="0" w:type="dxa"/>
          <w:bottom w:w="0" w:type="dxa"/>
          <w:right w:w="0" w:type="dxa"/>
        </w:tblCellMar>
      </w:tblPr>
      <w:tblGrid>
        <w:gridCol w:w="2967"/>
        <w:gridCol w:w="1521"/>
        <w:gridCol w:w="3179"/>
        <w:gridCol w:w="1694"/>
        <w:gridCol w:w="1694"/>
        <w:gridCol w:w="1694"/>
        <w:gridCol w:w="1929"/>
      </w:tblGrid>
      <w:tr>
        <w:tblPrEx>
          <w:tblLayout w:type="fixed"/>
          <w:tblCellMar>
            <w:top w:w="0" w:type="dxa"/>
            <w:left w:w="0" w:type="dxa"/>
            <w:bottom w:w="0" w:type="dxa"/>
            <w:right w:w="0" w:type="dxa"/>
          </w:tblCellMar>
        </w:tblPrEx>
        <w:trPr>
          <w:trHeight w:val="90" w:hRule="atLeast"/>
        </w:trPr>
        <w:tc>
          <w:tcPr>
            <w:tcW w:w="14678" w:type="dxa"/>
            <w:gridSpan w:val="7"/>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7667" w:type="dxa"/>
            <w:gridSpan w:val="3"/>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单位</w:t>
            </w:r>
            <w:r>
              <w:rPr>
                <w:rFonts w:cs="宋体"/>
                <w:color w:val="000000"/>
                <w:sz w:val="20"/>
                <w:szCs w:val="20"/>
              </w:rPr>
              <w:t>：</w:t>
            </w:r>
            <w:r>
              <w:rPr>
                <w:color w:val="000000"/>
                <w:sz w:val="20"/>
                <w:u w:color="auto"/>
              </w:rPr>
              <w:t>秀山土家族苗族自治县精神卫生中心</w:t>
            </w: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04</w:t>
            </w:r>
            <w:r>
              <w:rPr>
                <w:rFonts w:cs="宋体"/>
                <w:color w:val="000000"/>
                <w:sz w:val="20"/>
                <w:szCs w:val="20"/>
              </w:rPr>
              <w:t>表</w:t>
            </w:r>
          </w:p>
        </w:tc>
      </w:tr>
      <w:tr>
        <w:tblPrEx>
          <w:tblLayout w:type="fixed"/>
          <w:tblCellMar>
            <w:top w:w="0" w:type="dxa"/>
            <w:left w:w="0" w:type="dxa"/>
            <w:bottom w:w="0" w:type="dxa"/>
            <w:right w:w="0" w:type="dxa"/>
          </w:tblCellMar>
        </w:tblPrEx>
        <w:trPr>
          <w:trHeight w:val="90" w:hRule="atLeast"/>
        </w:trPr>
        <w:tc>
          <w:tcPr>
            <w:tcW w:w="7667" w:type="dxa"/>
            <w:gridSpan w:val="3"/>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4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收     入</w:t>
            </w:r>
          </w:p>
        </w:tc>
        <w:tc>
          <w:tcPr>
            <w:tcW w:w="1019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29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项目</w:t>
            </w:r>
          </w:p>
        </w:tc>
        <w:tc>
          <w:tcPr>
            <w:tcW w:w="152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c>
          <w:tcPr>
            <w:tcW w:w="3179"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功能分类科目</w:t>
            </w:r>
          </w:p>
        </w:tc>
        <w:tc>
          <w:tcPr>
            <w:tcW w:w="7011"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29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3179"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小计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一般公共预算财政拨款</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政府性基金预算财政拨款</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一、一般公共预算财政拨款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870.70</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一、一般公共服务支出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480.00</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二、外交支出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三、国有资本经营预算财政拨款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三、国防支出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四、公共安全支出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五、教育支出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六、科学技术支出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七、文化旅游体育与传媒支出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八、社会保障和就业支出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174.08</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174.08</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九、卫生健康支出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658.40</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658.40</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十、节能环保支出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十一、城乡社区支出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十二、农林水支出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十三、交通运输支出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十四、资源勘探工业信息等支出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十五、商业服务业等支出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十六、金融支出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十七、援助其他地区支出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十八、自然资源海洋气象等支出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十九、住房保障支出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38.21</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38.21</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二十、粮油物资储备支出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二十一、国有资本经营预算支出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二十二、灾害防治及应急管理支出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二十三、其他支出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480.00</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480.00</w:t>
            </w: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二十四、债务还本支出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二十五、债务付息支出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二十六、抗疫特别国债安排的支出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bCs/>
                <w:color w:val="000000"/>
                <w:sz w:val="18"/>
                <w:szCs w:val="18"/>
              </w:rPr>
            </w:pPr>
            <w:r>
              <w:rPr>
                <w:rFonts w:cs="宋体"/>
                <w:b/>
                <w:bCs/>
                <w:color w:val="000000"/>
                <w:sz w:val="18"/>
                <w:szCs w:val="18"/>
              </w:rPr>
              <w:t>本年收入合计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1,350.70</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bCs/>
                <w:color w:val="000000"/>
                <w:sz w:val="18"/>
                <w:szCs w:val="18"/>
              </w:rPr>
            </w:pPr>
            <w:r>
              <w:rPr>
                <w:rFonts w:cs="宋体"/>
                <w:b/>
                <w:bCs/>
                <w:color w:val="000000"/>
                <w:sz w:val="18"/>
                <w:szCs w:val="18"/>
              </w:rPr>
              <w:t>本年支出合计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1,350.70</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870.70</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480.00</w:t>
            </w: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年初财政拨款结转和结余</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年末财政拨款结转和结余</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1,350.70</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1,350.70</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870.70</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480.00</w:t>
            </w: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bl>
    <w:p>
      <w:pPr>
        <w:spacing w:line="240" w:lineRule="exact"/>
        <w:rPr>
          <w:rFonts w:hint="default" w:cs="宋体"/>
          <w:sz w:val="20"/>
          <w:szCs w:val="20"/>
        </w:rPr>
      </w:pPr>
      <w:r>
        <w:rPr>
          <w:rFonts w:cs="宋体"/>
          <w:sz w:val="20"/>
          <w:szCs w:val="20"/>
        </w:rPr>
        <w:t>备注：1.本表反映单位本年度一般公共预算财政拨款、政府性基金预算财政拨款及国有资本经营预算财政拨款的总收支和年末结转结余情况。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1"/>
        <w:tblW w:w="15322" w:type="dxa"/>
        <w:tblInd w:w="0" w:type="dxa"/>
        <w:tblLayout w:type="fixed"/>
        <w:tblCellMar>
          <w:top w:w="0" w:type="dxa"/>
          <w:left w:w="0" w:type="dxa"/>
          <w:bottom w:w="0" w:type="dxa"/>
          <w:right w:w="0" w:type="dxa"/>
        </w:tblCellMar>
      </w:tblPr>
      <w:tblGrid>
        <w:gridCol w:w="1486"/>
        <w:gridCol w:w="3895"/>
        <w:gridCol w:w="3306"/>
        <w:gridCol w:w="3300"/>
        <w:gridCol w:w="3335"/>
      </w:tblGrid>
      <w:tr>
        <w:tblPrEx>
          <w:tblLayout w:type="fixed"/>
          <w:tblCellMar>
            <w:top w:w="0" w:type="dxa"/>
            <w:left w:w="0" w:type="dxa"/>
            <w:bottom w:w="0" w:type="dxa"/>
            <w:right w:w="0" w:type="dxa"/>
          </w:tblCellMar>
        </w:tblPrEx>
        <w:trPr>
          <w:trHeight w:val="510" w:hRule="atLeast"/>
        </w:trPr>
        <w:tc>
          <w:tcPr>
            <w:tcW w:w="15322" w:type="dxa"/>
            <w:gridSpan w:val="5"/>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一般公共预算财政拨款支出决算表</w:t>
            </w:r>
          </w:p>
        </w:tc>
      </w:tr>
      <w:tr>
        <w:tblPrEx>
          <w:tblLayout w:type="fixed"/>
          <w:tblCellMar>
            <w:top w:w="0" w:type="dxa"/>
            <w:left w:w="0" w:type="dxa"/>
            <w:bottom w:w="0" w:type="dxa"/>
            <w:right w:w="0" w:type="dxa"/>
          </w:tblCellMar>
        </w:tblPrEx>
        <w:trPr>
          <w:trHeight w:val="255" w:hRule="atLeast"/>
        </w:trPr>
        <w:tc>
          <w:tcPr>
            <w:tcW w:w="8687"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秀山土家族苗族自治县精神卫生中心</w:t>
            </w:r>
          </w:p>
        </w:tc>
        <w:tc>
          <w:tcPr>
            <w:tcW w:w="330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05</w:t>
            </w:r>
            <w:r>
              <w:rPr>
                <w:rFonts w:cs="宋体"/>
                <w:color w:val="000000"/>
                <w:sz w:val="20"/>
                <w:szCs w:val="20"/>
              </w:rPr>
              <w:t>表</w:t>
            </w:r>
          </w:p>
        </w:tc>
      </w:tr>
      <w:tr>
        <w:tblPrEx>
          <w:tblLayout w:type="fixed"/>
          <w:tblCellMar>
            <w:top w:w="0" w:type="dxa"/>
            <w:left w:w="0" w:type="dxa"/>
            <w:bottom w:w="0" w:type="dxa"/>
            <w:right w:w="0" w:type="dxa"/>
          </w:tblCellMar>
        </w:tblPrEx>
        <w:trPr>
          <w:trHeight w:val="285" w:hRule="atLeast"/>
        </w:trPr>
        <w:tc>
          <w:tcPr>
            <w:tcW w:w="8687"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0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08" w:hRule="atLeast"/>
        </w:trPr>
        <w:tc>
          <w:tcPr>
            <w:tcW w:w="538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9941"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26" w:hRule="atLeast"/>
        </w:trPr>
        <w:tc>
          <w:tcPr>
            <w:tcW w:w="1486"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89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330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0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33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26"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5"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08" w:hRule="atLeast"/>
        </w:trPr>
        <w:tc>
          <w:tcPr>
            <w:tcW w:w="5381"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870.70</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860.70</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174.08</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174.08</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174.08</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174.08</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62.30</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62.30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74.22</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74.22</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37.56</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37.56</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658.40</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648.40</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公立医院</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11.35</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1.35</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2100205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精神病医院</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1.35</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1.35</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2100299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其他公立医院支出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10.00</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606.81</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606.81</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2100404</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精神卫生机构</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606.81</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606.81</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40.24</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40.24</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31.84</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31.84</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8.40</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8.40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38.21</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38.21</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38.21</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38.21</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38.21</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38.21</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1"/>
          <w:szCs w:val="21"/>
        </w:rPr>
      </w:pPr>
      <w:r>
        <w:rPr>
          <w:rFonts w:cs="宋体"/>
          <w:sz w:val="20"/>
          <w:szCs w:val="20"/>
        </w:rPr>
        <w:t>备注：1.本表反映单位本年度一般公共预算财政拨款支出情况。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ind w:firstLine="630" w:firstLineChars="300"/>
        <w:rPr>
          <w:rFonts w:hint="default" w:cs="宋体"/>
          <w:sz w:val="21"/>
          <w:szCs w:val="21"/>
        </w:rPr>
      </w:pPr>
      <w:r>
        <w:rPr>
          <w:rFonts w:cs="宋体"/>
          <w:sz w:val="21"/>
          <w:szCs w:val="21"/>
        </w:rPr>
        <w:br w:type="page"/>
      </w:r>
    </w:p>
    <w:tbl>
      <w:tblPr>
        <w:tblStyle w:val="11"/>
        <w:tblW w:w="15304" w:type="dxa"/>
        <w:tblInd w:w="0" w:type="dxa"/>
        <w:tblLayout w:type="fixed"/>
        <w:tblCellMar>
          <w:top w:w="0" w:type="dxa"/>
          <w:left w:w="0" w:type="dxa"/>
          <w:bottom w:w="0" w:type="dxa"/>
          <w:right w:w="0" w:type="dxa"/>
        </w:tblCellMar>
      </w:tblPr>
      <w:tblGrid>
        <w:gridCol w:w="603"/>
        <w:gridCol w:w="2730"/>
        <w:gridCol w:w="1371"/>
        <w:gridCol w:w="833"/>
        <w:gridCol w:w="1916"/>
        <w:gridCol w:w="1650"/>
        <w:gridCol w:w="805"/>
        <w:gridCol w:w="3514"/>
        <w:gridCol w:w="1882"/>
      </w:tblGrid>
      <w:tr>
        <w:tblPrEx>
          <w:tblLayout w:type="fixed"/>
          <w:tblCellMar>
            <w:top w:w="0" w:type="dxa"/>
            <w:left w:w="0" w:type="dxa"/>
            <w:bottom w:w="0" w:type="dxa"/>
            <w:right w:w="0" w:type="dxa"/>
          </w:tblCellMar>
        </w:tblPrEx>
        <w:trPr>
          <w:trHeight w:val="90" w:hRule="atLeast"/>
        </w:trPr>
        <w:tc>
          <w:tcPr>
            <w:tcW w:w="15304" w:type="dxa"/>
            <w:gridSpan w:val="9"/>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cs="宋体"/>
                <w:b/>
                <w:color w:val="000000"/>
                <w:sz w:val="32"/>
                <w:szCs w:val="32"/>
              </w:rPr>
            </w:pPr>
            <w:r>
              <w:rPr>
                <w:rFonts w:cs="宋体"/>
                <w:b/>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7453" w:type="dxa"/>
            <w:gridSpan w:val="5"/>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单位</w:t>
            </w:r>
            <w:r>
              <w:rPr>
                <w:rFonts w:cs="宋体"/>
                <w:color w:val="000000"/>
                <w:sz w:val="20"/>
                <w:szCs w:val="20"/>
              </w:rPr>
              <w:t>：</w:t>
            </w:r>
            <w:r>
              <w:rPr>
                <w:color w:val="000000"/>
                <w:sz w:val="20"/>
                <w:u w:color="auto"/>
              </w:rPr>
              <w:t>秀山土家族苗族自治县精神卫生中心</w:t>
            </w: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06</w:t>
            </w:r>
            <w:r>
              <w:rPr>
                <w:rFonts w:cs="宋体"/>
                <w:color w:val="000000"/>
                <w:sz w:val="20"/>
                <w:szCs w:val="20"/>
              </w:rPr>
              <w:t>表</w:t>
            </w:r>
          </w:p>
        </w:tc>
      </w:tr>
      <w:tr>
        <w:tblPrEx>
          <w:tblLayout w:type="fixed"/>
          <w:tblCellMar>
            <w:top w:w="0" w:type="dxa"/>
            <w:left w:w="0" w:type="dxa"/>
            <w:bottom w:w="0" w:type="dxa"/>
            <w:right w:w="0" w:type="dxa"/>
          </w:tblCellMar>
        </w:tblPrEx>
        <w:trPr>
          <w:trHeight w:val="90" w:hRule="atLeast"/>
        </w:trPr>
        <w:tc>
          <w:tcPr>
            <w:tcW w:w="7453" w:type="dxa"/>
            <w:gridSpan w:val="5"/>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70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w:t>
            </w:r>
          </w:p>
        </w:tc>
        <w:tc>
          <w:tcPr>
            <w:tcW w:w="10600" w:type="dxa"/>
            <w:gridSpan w:val="6"/>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60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273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37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3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191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65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05"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3514"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882"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60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273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37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83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91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5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80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3514"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882"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788.02</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基本工资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191.66</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房屋建筑物购建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津贴补贴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31.09</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印刷费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咨询费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伙食补助费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手续费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基础设施建设</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绩效工资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315.63</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水费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大型修缮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机关事业单位基本养老保险缴费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74.22</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信息网络及软件购置更新</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职业年金缴费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37.56</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邮电费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物资储备</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职工基本医疗保险缴费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31.84</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取暖费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土地补偿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公务员医疗补助缴费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物业管理费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安置补助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其他社会保障缴费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0.96</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差旅费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地上附着物和青苗补偿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住房公积金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38.21</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因公出国（境）费用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拆迁补偿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8.40</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维修（护）费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58.44</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租赁费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其他交通工具购置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72.68</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会议费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文物和陈列品购置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离休费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培训费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无形资产购置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公务接待费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退职（役）费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专用材料费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抚恤金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7.82</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被装购置费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资本金注入</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30305</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生活补助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57.50</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专用燃料费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政府投资基金股权投资</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救济费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劳务费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31204</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费用补贴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7.36</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委托业务费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利息补贴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助学金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工会经费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ind w:firstLine="180" w:firstLineChars="100"/>
              <w:textAlignment w:val="center"/>
              <w:rPr>
                <w:rFonts w:hint="default" w:cs="宋体"/>
                <w:color w:val="000000"/>
                <w:sz w:val="18"/>
                <w:szCs w:val="18"/>
              </w:rPr>
            </w:pPr>
            <w:r>
              <w:rPr>
                <w:rFonts w:cs="宋体"/>
                <w:color w:val="000000"/>
                <w:sz w:val="18"/>
                <w:szCs w:val="18"/>
              </w:rPr>
              <w:t>其他资本性补助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奖励金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福利费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个人农业生产补贴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公务用车运行维护费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代缴社会保险费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国家赔偿费用支出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30240</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税金及附加费用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对民间非营利组织和群众性自治组织补贴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30299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经常性赠与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债务利息及费用支出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155"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310" w:hRule="atLeast"/>
        </w:trPr>
        <w:tc>
          <w:tcPr>
            <w:tcW w:w="3333"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人员经费合计</w:t>
            </w:r>
          </w:p>
        </w:tc>
        <w:tc>
          <w:tcPr>
            <w:tcW w:w="137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860.70</w:t>
            </w:r>
            <w:r>
              <w:rPr>
                <w:rFonts w:ascii="Times New Roman" w:hAnsi="Times New Roman"/>
                <w:color w:val="000000"/>
                <w:sz w:val="18"/>
                <w:u w:color="auto"/>
              </w:rPr>
              <w:t xml:space="preserve"> </w:t>
            </w:r>
          </w:p>
        </w:tc>
        <w:tc>
          <w:tcPr>
            <w:tcW w:w="8718" w:type="dxa"/>
            <w:gridSpan w:val="5"/>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公用经费合计</w:t>
            </w:r>
          </w:p>
        </w:tc>
        <w:tc>
          <w:tcPr>
            <w:tcW w:w="188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bl>
    <w:p>
      <w:pPr>
        <w:spacing w:line="280" w:lineRule="exact"/>
        <w:rPr>
          <w:rFonts w:hint="default" w:cs="宋体"/>
          <w:sz w:val="20"/>
          <w:szCs w:val="20"/>
        </w:rPr>
      </w:pPr>
      <w:r>
        <w:rPr>
          <w:rFonts w:cs="宋体"/>
          <w:sz w:val="20"/>
          <w:szCs w:val="20"/>
        </w:rPr>
        <w:t>备注：1.本表反映单位本年度一般公共预算财政拨款基本支出明细情况。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1"/>
        <w:tblW w:w="15322" w:type="dxa"/>
        <w:tblInd w:w="0" w:type="dxa"/>
        <w:tblLayout w:type="fixed"/>
        <w:tblCellMar>
          <w:top w:w="0" w:type="dxa"/>
          <w:left w:w="0" w:type="dxa"/>
          <w:bottom w:w="0" w:type="dxa"/>
          <w:right w:w="0" w:type="dxa"/>
        </w:tblCellMar>
      </w:tblPr>
      <w:tblGrid>
        <w:gridCol w:w="1635"/>
        <w:gridCol w:w="3285"/>
        <w:gridCol w:w="1701"/>
        <w:gridCol w:w="1701"/>
        <w:gridCol w:w="1701"/>
        <w:gridCol w:w="1701"/>
        <w:gridCol w:w="1765"/>
        <w:gridCol w:w="1833"/>
      </w:tblGrid>
      <w:tr>
        <w:tblPrEx>
          <w:tblLayout w:type="fixed"/>
          <w:tblCellMar>
            <w:top w:w="0" w:type="dxa"/>
            <w:left w:w="0" w:type="dxa"/>
            <w:bottom w:w="0" w:type="dxa"/>
            <w:right w:w="0" w:type="dxa"/>
          </w:tblCellMar>
        </w:tblPrEx>
        <w:trPr>
          <w:trHeight w:val="64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6621"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秀山土家族苗族自治县精神卫生中心</w:t>
            </w: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07</w:t>
            </w:r>
            <w:r>
              <w:rPr>
                <w:rFonts w:cs="宋体"/>
                <w:color w:val="000000"/>
                <w:sz w:val="20"/>
                <w:szCs w:val="20"/>
              </w:rPr>
              <w:t>表</w:t>
            </w:r>
          </w:p>
        </w:tc>
      </w:tr>
      <w:tr>
        <w:tblPrEx>
          <w:tblLayout w:type="fixed"/>
          <w:tblCellMar>
            <w:top w:w="0" w:type="dxa"/>
            <w:left w:w="0" w:type="dxa"/>
            <w:bottom w:w="0" w:type="dxa"/>
            <w:right w:w="0" w:type="dxa"/>
          </w:tblCellMar>
        </w:tblPrEx>
        <w:trPr>
          <w:trHeight w:val="329" w:hRule="atLeast"/>
        </w:trPr>
        <w:tc>
          <w:tcPr>
            <w:tcW w:w="6621"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39" w:hRule="atLeast"/>
        </w:trPr>
        <w:tc>
          <w:tcPr>
            <w:tcW w:w="49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1701" w:type="dxa"/>
            <w:vMerge w:val="restar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年初结转和结余</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w:t>
            </w:r>
          </w:p>
        </w:tc>
        <w:tc>
          <w:tcPr>
            <w:tcW w:w="5167"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c>
          <w:tcPr>
            <w:tcW w:w="183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2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76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4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4920"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480.00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480.00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480.00</w:t>
            </w:r>
            <w:r>
              <w:rPr>
                <w:rFonts w:ascii="Times New Roman" w:hAnsi="Times New Roman"/>
                <w:b/>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9" w:hRule="atLeast"/>
        </w:trPr>
        <w:tc>
          <w:tcPr>
            <w:tcW w:w="163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r>
              <w:rPr>
                <w:rFonts w:cs="宋体"/>
                <w:b/>
                <w:color w:val="000000"/>
                <w:sz w:val="20"/>
                <w:szCs w:val="20"/>
              </w:rPr>
              <w:t>229</w:t>
            </w:r>
          </w:p>
        </w:tc>
        <w:tc>
          <w:tcPr>
            <w:tcW w:w="32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r>
              <w:rPr>
                <w:rFonts w:cs="宋体"/>
                <w:b/>
                <w:color w:val="000000"/>
                <w:sz w:val="20"/>
                <w:szCs w:val="20"/>
              </w:rPr>
              <w:t>其他支出</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480.00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480.00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480.00</w:t>
            </w:r>
            <w:r>
              <w:rPr>
                <w:rFonts w:ascii="Times New Roman" w:hAnsi="Times New Roman"/>
                <w:b/>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9" w:hRule="atLeast"/>
        </w:trPr>
        <w:tc>
          <w:tcPr>
            <w:tcW w:w="163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r>
              <w:rPr>
                <w:rFonts w:cs="宋体"/>
                <w:b/>
                <w:color w:val="000000"/>
                <w:sz w:val="20"/>
                <w:szCs w:val="20"/>
              </w:rPr>
              <w:t>22904</w:t>
            </w:r>
          </w:p>
        </w:tc>
        <w:tc>
          <w:tcPr>
            <w:tcW w:w="32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r>
              <w:rPr>
                <w:rFonts w:cs="宋体"/>
                <w:b/>
                <w:color w:val="000000"/>
                <w:sz w:val="20"/>
                <w:szCs w:val="20"/>
              </w:rPr>
              <w:t>其他政府性基金及对应专项债务收入安排的支出</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480.00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480.00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480.00</w:t>
            </w:r>
            <w:r>
              <w:rPr>
                <w:rFonts w:ascii="Times New Roman" w:hAnsi="Times New Roman"/>
                <w:b/>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9" w:hRule="atLeast"/>
        </w:trPr>
        <w:tc>
          <w:tcPr>
            <w:tcW w:w="163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r>
              <w:rPr>
                <w:rFonts w:cs="宋体"/>
                <w:color w:val="000000"/>
                <w:sz w:val="20"/>
                <w:szCs w:val="20"/>
              </w:rPr>
              <w:t>2290402</w:t>
            </w:r>
          </w:p>
        </w:tc>
        <w:tc>
          <w:tcPr>
            <w:tcW w:w="32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r>
              <w:rPr>
                <w:rFonts w:cs="宋体"/>
                <w:color w:val="000000"/>
                <w:sz w:val="20"/>
                <w:szCs w:val="20"/>
              </w:rPr>
              <w:t>其他地方自行试点项目收益专项债券收入安排的支出</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480.00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480.00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480.00</w:t>
            </w:r>
            <w:r>
              <w:rPr>
                <w:rFonts w:ascii="Times New Roman" w:hAnsi="Times New Roman"/>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1"/>
          <w:szCs w:val="21"/>
        </w:rPr>
      </w:pPr>
      <w:r>
        <w:rPr>
          <w:rFonts w:cs="宋体"/>
          <w:sz w:val="20"/>
          <w:szCs w:val="20"/>
        </w:rPr>
        <w:t>备注：1.本表反映单位本年度政府性基金预算财政拨款收入支出及结转和结余情况。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tbl>
      <w:tblPr>
        <w:tblStyle w:val="11"/>
        <w:tblW w:w="15322" w:type="dxa"/>
        <w:tblInd w:w="0" w:type="dxa"/>
        <w:tblLayout w:type="fixed"/>
        <w:tblCellMar>
          <w:top w:w="0" w:type="dxa"/>
          <w:left w:w="0" w:type="dxa"/>
          <w:bottom w:w="0" w:type="dxa"/>
          <w:right w:w="0" w:type="dxa"/>
        </w:tblCellMar>
      </w:tblPr>
      <w:tblGrid>
        <w:gridCol w:w="2001"/>
        <w:gridCol w:w="2917"/>
        <w:gridCol w:w="3264"/>
        <w:gridCol w:w="199"/>
        <w:gridCol w:w="3463"/>
        <w:gridCol w:w="77"/>
        <w:gridCol w:w="3401"/>
      </w:tblGrid>
      <w:tr>
        <w:tblPrEx>
          <w:tblLayout w:type="fixed"/>
          <w:tblCellMar>
            <w:top w:w="0" w:type="dxa"/>
            <w:left w:w="0" w:type="dxa"/>
            <w:bottom w:w="0" w:type="dxa"/>
            <w:right w:w="0" w:type="dxa"/>
          </w:tblCellMar>
        </w:tblPrEx>
        <w:trPr>
          <w:trHeight w:val="650" w:hRule="atLeast"/>
        </w:trPr>
        <w:tc>
          <w:tcPr>
            <w:tcW w:w="15322"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8182"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秀山土家族苗族自治县精神卫生中心</w:t>
            </w: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08</w:t>
            </w:r>
            <w:r>
              <w:rPr>
                <w:rFonts w:cs="宋体"/>
                <w:color w:val="000000"/>
                <w:sz w:val="20"/>
                <w:szCs w:val="20"/>
              </w:rPr>
              <w:t>表</w:t>
            </w:r>
          </w:p>
        </w:tc>
      </w:tr>
      <w:tr>
        <w:tblPrEx>
          <w:tblLayout w:type="fixed"/>
          <w:tblCellMar>
            <w:top w:w="0" w:type="dxa"/>
            <w:left w:w="0" w:type="dxa"/>
            <w:bottom w:w="0" w:type="dxa"/>
            <w:right w:w="0" w:type="dxa"/>
          </w:tblCellMar>
        </w:tblPrEx>
        <w:trPr>
          <w:trHeight w:val="332" w:hRule="atLeast"/>
        </w:trPr>
        <w:tc>
          <w:tcPr>
            <w:tcW w:w="818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22"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040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2001"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2917"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科目名称</w:t>
            </w:r>
          </w:p>
        </w:tc>
        <w:tc>
          <w:tcPr>
            <w:tcW w:w="3463" w:type="dxa"/>
            <w:gridSpan w:val="2"/>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478" w:type="dxa"/>
            <w:gridSpan w:val="2"/>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26"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1"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488" w:hRule="atLeast"/>
        </w:trPr>
        <w:tc>
          <w:tcPr>
            <w:tcW w:w="200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p>
        </w:tc>
        <w:tc>
          <w:tcPr>
            <w:tcW w:w="29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 xml:space="preserve">0.00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 xml:space="preserve">0.00 </w:t>
            </w:r>
          </w:p>
        </w:tc>
      </w:tr>
    </w:tbl>
    <w:p>
      <w:pPr>
        <w:rPr>
          <w:rFonts w:hint="default" w:cs="宋体"/>
          <w:sz w:val="21"/>
          <w:szCs w:val="21"/>
        </w:rPr>
      </w:pPr>
      <w:r>
        <w:rPr>
          <w:rFonts w:cs="宋体"/>
          <w:sz w:val="20"/>
          <w:szCs w:val="20"/>
        </w:rPr>
        <w:t>备注：本表反映单位本年度国有资本经营预算财政拨款支出情况。本单位无国有资本经营收支，故本表无数据。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hint="default" w:cs="宋体"/>
          <w:sz w:val="21"/>
          <w:szCs w:val="21"/>
        </w:rPr>
        <w:br w:type="page"/>
      </w:r>
    </w:p>
    <w:tbl>
      <w:tblPr>
        <w:tblStyle w:val="11"/>
        <w:tblW w:w="14131" w:type="dxa"/>
        <w:tblInd w:w="0" w:type="dxa"/>
        <w:tblLayout w:type="fixed"/>
        <w:tblCellMar>
          <w:top w:w="0" w:type="dxa"/>
          <w:left w:w="170" w:type="dxa"/>
          <w:bottom w:w="0" w:type="dxa"/>
          <w:right w:w="170" w:type="dxa"/>
        </w:tblCellMar>
      </w:tblPr>
      <w:tblGrid>
        <w:gridCol w:w="3179"/>
        <w:gridCol w:w="2416"/>
        <w:gridCol w:w="2375"/>
        <w:gridCol w:w="3674"/>
        <w:gridCol w:w="2487"/>
      </w:tblGrid>
      <w:tr>
        <w:tblPrEx>
          <w:tblLayout w:type="fixed"/>
          <w:tblCellMar>
            <w:top w:w="0" w:type="dxa"/>
            <w:left w:w="170" w:type="dxa"/>
            <w:bottom w:w="0" w:type="dxa"/>
            <w:right w:w="170" w:type="dxa"/>
          </w:tblCellMar>
        </w:tblPrEx>
        <w:trPr>
          <w:trHeight w:val="343" w:hRule="atLeast"/>
        </w:trPr>
        <w:tc>
          <w:tcPr>
            <w:tcW w:w="14131" w:type="dxa"/>
            <w:gridSpan w:val="5"/>
            <w:shd w:val="clear" w:color="auto" w:fill="auto"/>
            <w:tcMar>
              <w:top w:w="15" w:type="dxa"/>
              <w:left w:w="15" w:type="dxa"/>
              <w:right w:w="15" w:type="dxa"/>
            </w:tcMar>
            <w:vAlign w:val="bottom"/>
          </w:tcPr>
          <w:p>
            <w:pPr>
              <w:spacing w:line="400" w:lineRule="exact"/>
              <w:jc w:val="center"/>
              <w:textAlignment w:val="bottom"/>
              <w:rPr>
                <w:rFonts w:hint="default" w:cs="宋体"/>
                <w:b/>
                <w:color w:val="000000"/>
                <w:kern w:val="2"/>
                <w:sz w:val="32"/>
                <w:szCs w:val="32"/>
              </w:rPr>
            </w:pPr>
            <w:r>
              <w:rPr>
                <w:rFonts w:cs="宋体"/>
                <w:b/>
                <w:color w:val="000000"/>
                <w:kern w:val="2"/>
                <w:sz w:val="32"/>
                <w:szCs w:val="32"/>
              </w:rPr>
              <w:t>机构运行信息表</w:t>
            </w:r>
          </w:p>
        </w:tc>
      </w:tr>
      <w:tr>
        <w:tblPrEx>
          <w:tblLayout w:type="fixed"/>
          <w:tblCellMar>
            <w:top w:w="0" w:type="dxa"/>
            <w:left w:w="170" w:type="dxa"/>
            <w:bottom w:w="0" w:type="dxa"/>
            <w:right w:w="170" w:type="dxa"/>
          </w:tblCellMar>
        </w:tblPrEx>
        <w:trPr>
          <w:trHeight w:val="244" w:hRule="atLeast"/>
        </w:trPr>
        <w:tc>
          <w:tcPr>
            <w:tcW w:w="3179" w:type="dxa"/>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16" w:type="dxa"/>
            <w:shd w:val="clear" w:color="auto" w:fill="auto"/>
            <w:tcMar>
              <w:top w:w="15" w:type="dxa"/>
              <w:left w:w="15" w:type="dxa"/>
              <w:right w:w="15" w:type="dxa"/>
            </w:tcMar>
            <w:vAlign w:val="bottom"/>
          </w:tcPr>
          <w:p>
            <w:pPr>
              <w:spacing w:line="280" w:lineRule="exact"/>
              <w:jc w:val="center"/>
              <w:rPr>
                <w:rFonts w:hint="default" w:cs="宋体"/>
                <w:color w:val="000000"/>
                <w:kern w:val="2"/>
                <w:sz w:val="20"/>
                <w:szCs w:val="20"/>
              </w:rPr>
            </w:pPr>
          </w:p>
        </w:tc>
        <w:tc>
          <w:tcPr>
            <w:tcW w:w="2375" w:type="dxa"/>
            <w:shd w:val="clear" w:color="auto" w:fill="auto"/>
            <w:tcMar>
              <w:top w:w="15" w:type="dxa"/>
              <w:left w:w="15" w:type="dxa"/>
              <w:right w:w="15" w:type="dxa"/>
            </w:tcMar>
            <w:vAlign w:val="bottom"/>
          </w:tcPr>
          <w:p>
            <w:pPr>
              <w:spacing w:line="280" w:lineRule="exact"/>
              <w:jc w:val="right"/>
              <w:rPr>
                <w:rFonts w:hint="default" w:cs="宋体"/>
                <w:color w:val="000000"/>
                <w:kern w:val="2"/>
                <w:sz w:val="20"/>
                <w:szCs w:val="20"/>
              </w:rPr>
            </w:pPr>
          </w:p>
        </w:tc>
        <w:tc>
          <w:tcPr>
            <w:tcW w:w="3674" w:type="dxa"/>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87" w:type="dxa"/>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20"/>
                <w:szCs w:val="20"/>
              </w:rPr>
            </w:pPr>
            <w:r>
              <w:rPr>
                <w:rFonts w:cs="宋体"/>
                <w:color w:val="000000"/>
                <w:kern w:val="2"/>
                <w:sz w:val="20"/>
                <w:szCs w:val="20"/>
              </w:rPr>
              <w:t>公开</w:t>
            </w:r>
            <w:r>
              <w:rPr>
                <w:rFonts w:hint="default" w:ascii="Times New Roman" w:hAnsi="Times New Roman"/>
                <w:color w:val="000000"/>
                <w:kern w:val="2"/>
                <w:sz w:val="20"/>
                <w:szCs w:val="20"/>
              </w:rPr>
              <w:t>09</w:t>
            </w:r>
            <w:r>
              <w:rPr>
                <w:rFonts w:cs="宋体"/>
                <w:color w:val="000000"/>
                <w:kern w:val="2"/>
                <w:sz w:val="20"/>
                <w:szCs w:val="20"/>
              </w:rPr>
              <w:t>表</w:t>
            </w:r>
          </w:p>
        </w:tc>
      </w:tr>
      <w:tr>
        <w:tblPrEx>
          <w:tblLayout w:type="fixed"/>
          <w:tblCellMar>
            <w:top w:w="0" w:type="dxa"/>
            <w:left w:w="170" w:type="dxa"/>
            <w:bottom w:w="0" w:type="dxa"/>
            <w:right w:w="170" w:type="dxa"/>
          </w:tblCellMar>
        </w:tblPrEx>
        <w:trPr>
          <w:trHeight w:val="244" w:hRule="atLeast"/>
        </w:trPr>
        <w:tc>
          <w:tcPr>
            <w:tcW w:w="5595" w:type="dxa"/>
            <w:gridSpan w:val="2"/>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20"/>
                <w:szCs w:val="20"/>
              </w:rPr>
            </w:pPr>
            <w:r>
              <w:rPr>
                <w:rFonts w:hint="eastAsia" w:cs="宋体"/>
                <w:kern w:val="2"/>
                <w:sz w:val="20"/>
                <w:szCs w:val="20"/>
                <w:lang w:eastAsia="zh-CN"/>
              </w:rPr>
              <w:t>单位</w:t>
            </w:r>
            <w:r>
              <w:rPr>
                <w:rFonts w:cs="宋体"/>
                <w:color w:val="000000"/>
                <w:kern w:val="2"/>
                <w:sz w:val="20"/>
                <w:szCs w:val="20"/>
              </w:rPr>
              <w:t>：</w:t>
            </w:r>
            <w:r>
              <w:rPr>
                <w:color w:val="000000"/>
                <w:sz w:val="20"/>
                <w:u w:color="auto"/>
              </w:rPr>
              <w:t>秀山土家族苗族自治县精神卫生中心</w:t>
            </w:r>
          </w:p>
        </w:tc>
        <w:tc>
          <w:tcPr>
            <w:tcW w:w="2375"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cs="宋体"/>
                <w:color w:val="000000"/>
                <w:kern w:val="2"/>
                <w:sz w:val="20"/>
                <w:szCs w:val="20"/>
              </w:rPr>
            </w:pPr>
          </w:p>
        </w:tc>
        <w:tc>
          <w:tcPr>
            <w:tcW w:w="367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87"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20"/>
                <w:szCs w:val="20"/>
              </w:rPr>
            </w:pPr>
            <w:r>
              <w:rPr>
                <w:rFonts w:cs="宋体"/>
                <w:color w:val="000000"/>
                <w:kern w:val="2"/>
                <w:sz w:val="20"/>
                <w:szCs w:val="20"/>
              </w:rPr>
              <w:t>单位：</w:t>
            </w:r>
            <w:r>
              <w:rPr>
                <w:rFonts w:cs="宋体"/>
                <w:kern w:val="2"/>
                <w:sz w:val="20"/>
                <w:szCs w:val="20"/>
              </w:rPr>
              <w:t>万元</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项  目</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预算数</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决算数</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项  目</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决算数</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一、“三公”经费支出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五、机关运行经费</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（一）支出合计</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（一）行政单位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1．因公出国（境）费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（二）参照公务员法管理事业单位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2．公务用车购置及运行维护费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六、资产信息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（1）公务用车购置费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（一）车辆数合计（辆）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2</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（2）公务用车运行维护费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1．副部（省）级及以上领导用车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3．公务接待费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2．主要领导干部用车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（1）国内接待费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3．机要通信用车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4．应急保障用车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2</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（2）国（境）外接待费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5．执法执勤用车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（二）相关统计数</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6．特种专业技术用车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1．因公出国（境）团组数（个）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7．离退休干部用车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2．因公出国（境）人次数（人）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8．其他用车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3．公务用车购置数（辆）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（二）单价100万元（含）以上设备（不含车辆）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4．公务用车保有量（辆）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七、政府采购支出信息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5．国内公务接待批次（个）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（一）政府采购支出合计</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150.82</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1．政府采购货物支出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150.82</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6．国内公务接待人次（人）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2．政府采购工程支出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3．政府采购服务支出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7．国（境）外公务接待批次（个）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（二）政府采购授予中小企业合同金额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149.70</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8．国（境）外公务接待人次（人）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其中：授予小微企业合同金额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1.66</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86"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二、会议费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三、培训费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sz w:val="16"/>
                <w:szCs w:val="16"/>
              </w:rPr>
            </w:pPr>
            <w:r>
              <w:rPr>
                <w:rFonts w:cs="宋体"/>
                <w:b/>
                <w:bCs/>
                <w:color w:val="000000"/>
                <w:sz w:val="16"/>
                <w:szCs w:val="16"/>
              </w:rPr>
              <w:t>四、差旅费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sz w:val="16"/>
                <w:szCs w:val="16"/>
              </w:rPr>
            </w:pPr>
          </w:p>
        </w:tc>
      </w:tr>
    </w:tbl>
    <w:p>
      <w:pPr>
        <w:rPr>
          <w:rFonts w:hint="default"/>
          <w:sz w:val="18"/>
          <w:szCs w:val="18"/>
        </w:rPr>
      </w:pPr>
      <w:r>
        <w:rPr>
          <w:rFonts w:cs="宋体"/>
          <w:sz w:val="18"/>
          <w:szCs w:val="18"/>
        </w:rPr>
        <w:t>备注：1.本表反映单位本年度财政拨款“三公”经费支出预决算情况。其中，预算数为“三公”经费全年预算数，反映按规定程序调整后的预算数；决算数为包括本年度财政拨款和以前年度结转资金安排的实际支出。</w:t>
      </w:r>
      <w:r>
        <w:rPr>
          <w:rFonts w:cs="宋体"/>
          <w:sz w:val="18"/>
          <w:szCs w:val="18"/>
        </w:rPr>
        <w:br w:type="textWrapping"/>
      </w:r>
      <w:r>
        <w:rPr>
          <w:rFonts w:cs="宋体"/>
          <w:sz w:val="18"/>
          <w:szCs w:val="18"/>
        </w:rPr>
        <w:t xml:space="preserve">      2.本套报表金额单位转换时可能存在尾数误差。</w:t>
      </w:r>
      <w:r>
        <w:rPr>
          <w:rFonts w:cs="宋体"/>
          <w:sz w:val="18"/>
          <w:szCs w:val="18"/>
        </w:rPr>
        <w:br w:type="textWrapping"/>
      </w:r>
      <w:r>
        <w:rPr>
          <w:rFonts w:cs="宋体"/>
          <w:sz w:val="18"/>
          <w:szCs w:val="18"/>
        </w:rPr>
        <w:br w:type="textWrapping"/>
      </w:r>
    </w:p>
    <w:sectPr>
      <w:headerReference r:id="rId4" w:type="default"/>
      <w:footerReference r:id="rId5" w:type="default"/>
      <w:pgSz w:w="16783" w:h="11850"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default"/>
      </w:rPr>
    </w:pPr>
    <w:r>
      <w:rPr>
        <w:rFonts w:hint="default"/>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rPr>
                              <w:rFonts w:hint="default"/>
                            </w:rPr>
                          </w:pPr>
                          <w:r>
                            <w:fldChar w:fldCharType="begin"/>
                          </w:r>
                          <w:r>
                            <w:instrText xml:space="preserve"> PAGE  \* MERGEFORMAT </w:instrText>
                          </w:r>
                          <w:r>
                            <w:fldChar w:fldCharType="separate"/>
                          </w:r>
                          <w:r>
                            <w:rPr>
                              <w:rFonts w:hint="default"/>
                            </w:rPr>
                            <w:t>- 19 -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5"/>
                      <w:rPr>
                        <w:rFonts w:hint="default"/>
                      </w:rPr>
                    </w:pPr>
                    <w:r>
                      <w:fldChar w:fldCharType="begin"/>
                    </w:r>
                    <w:r>
                      <w:instrText xml:space="preserve"> PAGE  \* MERGEFORMAT </w:instrText>
                    </w:r>
                    <w:r>
                      <w:fldChar w:fldCharType="separate"/>
                    </w:r>
                    <w:r>
                      <w:rPr>
                        <w:rFonts w:hint="default"/>
                      </w:rPr>
                      <w:t>- 19 -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rPr>
        <w:rFonts w:hint="default"/>
      </w:rPr>
    </w:pPr>
    <w:r>
      <w:rPr>
        <w:rFonts w:hint="default"/>
      </w:rPr>
      <mc:AlternateContent>
        <mc:Choice Requires="wps">
          <w:drawing>
            <wp:anchor distT="0" distB="0" distL="114300" distR="114300" simplePos="0" relativeHeight="251661312"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31 -</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5"/>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31 -</w:t>
                    </w:r>
                    <w: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60288"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5"/>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60288;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5"/>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left" w:pos="1758"/>
        <w:tab w:val="clear" w:pos="4153"/>
        <w:tab w:val="clear" w:pos="8306"/>
      </w:tabs>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HorizontalSpacing w:val="120"/>
  <w:drawingGridVerticalSpacing w:val="163"/>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YWQ1YTE0ZDA0NjgxYzlhMjZlMDExNTFmMWI3MmEifQ=="/>
  </w:docVars>
  <w:rsids>
    <w:rsidRoot w:val="00B03CCD"/>
    <w:rsid w:val="000239C6"/>
    <w:rsid w:val="001D3BB7"/>
    <w:rsid w:val="001D4206"/>
    <w:rsid w:val="002B254B"/>
    <w:rsid w:val="0034050A"/>
    <w:rsid w:val="0044504F"/>
    <w:rsid w:val="00466C9B"/>
    <w:rsid w:val="00486CFC"/>
    <w:rsid w:val="00491DDD"/>
    <w:rsid w:val="00550ABE"/>
    <w:rsid w:val="005B1480"/>
    <w:rsid w:val="00623A85"/>
    <w:rsid w:val="00770383"/>
    <w:rsid w:val="007819D4"/>
    <w:rsid w:val="007B419D"/>
    <w:rsid w:val="007B7C4B"/>
    <w:rsid w:val="007D3D39"/>
    <w:rsid w:val="00984C6A"/>
    <w:rsid w:val="00994AF7"/>
    <w:rsid w:val="009B67B8"/>
    <w:rsid w:val="009C14C9"/>
    <w:rsid w:val="009D2B67"/>
    <w:rsid w:val="009E1452"/>
    <w:rsid w:val="00A566F9"/>
    <w:rsid w:val="00AF2751"/>
    <w:rsid w:val="00B03CCD"/>
    <w:rsid w:val="00BE2B89"/>
    <w:rsid w:val="00BF0D89"/>
    <w:rsid w:val="00C10E9E"/>
    <w:rsid w:val="00C20C3E"/>
    <w:rsid w:val="00C5163E"/>
    <w:rsid w:val="00CF2ACF"/>
    <w:rsid w:val="00D03AAF"/>
    <w:rsid w:val="00DD0539"/>
    <w:rsid w:val="00E07662"/>
    <w:rsid w:val="00E368E9"/>
    <w:rsid w:val="00EE1E33"/>
    <w:rsid w:val="00F73F90"/>
    <w:rsid w:val="00FB4B3B"/>
    <w:rsid w:val="01474EBF"/>
    <w:rsid w:val="01AA3877"/>
    <w:rsid w:val="01F3521E"/>
    <w:rsid w:val="0341645D"/>
    <w:rsid w:val="036E2DA9"/>
    <w:rsid w:val="03B87EA0"/>
    <w:rsid w:val="03E3214F"/>
    <w:rsid w:val="044C50BA"/>
    <w:rsid w:val="04E11CA6"/>
    <w:rsid w:val="05BC6D49"/>
    <w:rsid w:val="06194FF1"/>
    <w:rsid w:val="06A2550B"/>
    <w:rsid w:val="06F80EE2"/>
    <w:rsid w:val="07001CCA"/>
    <w:rsid w:val="075678DB"/>
    <w:rsid w:val="079D7CC7"/>
    <w:rsid w:val="08051BCA"/>
    <w:rsid w:val="086C12F4"/>
    <w:rsid w:val="08705944"/>
    <w:rsid w:val="08BA052C"/>
    <w:rsid w:val="08DB07BA"/>
    <w:rsid w:val="09491BC8"/>
    <w:rsid w:val="0969353F"/>
    <w:rsid w:val="098305D0"/>
    <w:rsid w:val="09B1218B"/>
    <w:rsid w:val="09B554AF"/>
    <w:rsid w:val="09C15C02"/>
    <w:rsid w:val="0A3317EA"/>
    <w:rsid w:val="0A5C4B69"/>
    <w:rsid w:val="0A86124A"/>
    <w:rsid w:val="0AB54CC0"/>
    <w:rsid w:val="0B9335CE"/>
    <w:rsid w:val="0BF2311A"/>
    <w:rsid w:val="0C7927C4"/>
    <w:rsid w:val="0C9B098C"/>
    <w:rsid w:val="0D673E11"/>
    <w:rsid w:val="0DDA54E4"/>
    <w:rsid w:val="0E2350DD"/>
    <w:rsid w:val="0E3A5F83"/>
    <w:rsid w:val="0E5139F9"/>
    <w:rsid w:val="0F19203C"/>
    <w:rsid w:val="0F836721"/>
    <w:rsid w:val="0FA25D96"/>
    <w:rsid w:val="0FBD3C60"/>
    <w:rsid w:val="0FDF3286"/>
    <w:rsid w:val="107B59E5"/>
    <w:rsid w:val="10EC0126"/>
    <w:rsid w:val="10F70B9A"/>
    <w:rsid w:val="111445C7"/>
    <w:rsid w:val="114278C6"/>
    <w:rsid w:val="1158083A"/>
    <w:rsid w:val="11643A4B"/>
    <w:rsid w:val="11D74228"/>
    <w:rsid w:val="11ED0F98"/>
    <w:rsid w:val="11F03528"/>
    <w:rsid w:val="128123D2"/>
    <w:rsid w:val="12B75DF4"/>
    <w:rsid w:val="12C921C4"/>
    <w:rsid w:val="13724978"/>
    <w:rsid w:val="13871C70"/>
    <w:rsid w:val="13A71CB4"/>
    <w:rsid w:val="13AF1D43"/>
    <w:rsid w:val="13CE1647"/>
    <w:rsid w:val="13FD55AB"/>
    <w:rsid w:val="14200702"/>
    <w:rsid w:val="14370EA1"/>
    <w:rsid w:val="145D6F41"/>
    <w:rsid w:val="146D2C0E"/>
    <w:rsid w:val="163A6CEE"/>
    <w:rsid w:val="173708E3"/>
    <w:rsid w:val="17C374FC"/>
    <w:rsid w:val="182E4AB6"/>
    <w:rsid w:val="189079DC"/>
    <w:rsid w:val="189B0D0B"/>
    <w:rsid w:val="18B43F7C"/>
    <w:rsid w:val="19197809"/>
    <w:rsid w:val="191C433B"/>
    <w:rsid w:val="194A1770"/>
    <w:rsid w:val="19B906A4"/>
    <w:rsid w:val="1A154CEA"/>
    <w:rsid w:val="1B6F15B6"/>
    <w:rsid w:val="1BAA2EDC"/>
    <w:rsid w:val="1CA55E64"/>
    <w:rsid w:val="1CB735C0"/>
    <w:rsid w:val="1D014A01"/>
    <w:rsid w:val="1D022362"/>
    <w:rsid w:val="1D1B04B0"/>
    <w:rsid w:val="1D232A04"/>
    <w:rsid w:val="1D28626C"/>
    <w:rsid w:val="1DA42084"/>
    <w:rsid w:val="1DA52501"/>
    <w:rsid w:val="1DAC0C4B"/>
    <w:rsid w:val="1DBD6767"/>
    <w:rsid w:val="1DC52125"/>
    <w:rsid w:val="1DC55869"/>
    <w:rsid w:val="1DD26311"/>
    <w:rsid w:val="1E374ACB"/>
    <w:rsid w:val="1E8E20FF"/>
    <w:rsid w:val="1ECF0A66"/>
    <w:rsid w:val="1EF67CA4"/>
    <w:rsid w:val="1F020D3A"/>
    <w:rsid w:val="1F08701F"/>
    <w:rsid w:val="1F2C5189"/>
    <w:rsid w:val="1F4B0B02"/>
    <w:rsid w:val="1FB042F7"/>
    <w:rsid w:val="1FBB35CD"/>
    <w:rsid w:val="1FCD26AF"/>
    <w:rsid w:val="20642787"/>
    <w:rsid w:val="2096528F"/>
    <w:rsid w:val="21556F04"/>
    <w:rsid w:val="22403BD3"/>
    <w:rsid w:val="22723AE6"/>
    <w:rsid w:val="2276185E"/>
    <w:rsid w:val="231B5F2B"/>
    <w:rsid w:val="235417B6"/>
    <w:rsid w:val="235558E1"/>
    <w:rsid w:val="24B92327"/>
    <w:rsid w:val="24C14514"/>
    <w:rsid w:val="2533755C"/>
    <w:rsid w:val="25494FD2"/>
    <w:rsid w:val="256F255E"/>
    <w:rsid w:val="25791755"/>
    <w:rsid w:val="26396DF4"/>
    <w:rsid w:val="27167136"/>
    <w:rsid w:val="271B442C"/>
    <w:rsid w:val="27B23302"/>
    <w:rsid w:val="27FA5107"/>
    <w:rsid w:val="28D23530"/>
    <w:rsid w:val="29310A5F"/>
    <w:rsid w:val="29A0718A"/>
    <w:rsid w:val="29C37A35"/>
    <w:rsid w:val="2A076083"/>
    <w:rsid w:val="2A73162E"/>
    <w:rsid w:val="2AA902C1"/>
    <w:rsid w:val="2AD27817"/>
    <w:rsid w:val="2B167953"/>
    <w:rsid w:val="2B200583"/>
    <w:rsid w:val="2B8209DE"/>
    <w:rsid w:val="2B821C91"/>
    <w:rsid w:val="2BF81A22"/>
    <w:rsid w:val="2C636760"/>
    <w:rsid w:val="2C6762A3"/>
    <w:rsid w:val="2D6B7AAF"/>
    <w:rsid w:val="2DF41D09"/>
    <w:rsid w:val="2E8452CD"/>
    <w:rsid w:val="2F3C5BA7"/>
    <w:rsid w:val="2FCA4B37"/>
    <w:rsid w:val="2FE029D7"/>
    <w:rsid w:val="2FF06E00"/>
    <w:rsid w:val="2FF7387C"/>
    <w:rsid w:val="300D4893"/>
    <w:rsid w:val="30586FEC"/>
    <w:rsid w:val="307B625B"/>
    <w:rsid w:val="315F0B22"/>
    <w:rsid w:val="31B274B4"/>
    <w:rsid w:val="31D84415"/>
    <w:rsid w:val="32285F6F"/>
    <w:rsid w:val="32770556"/>
    <w:rsid w:val="329C0913"/>
    <w:rsid w:val="32AA0460"/>
    <w:rsid w:val="33274478"/>
    <w:rsid w:val="3337290D"/>
    <w:rsid w:val="33E31118"/>
    <w:rsid w:val="33ED7470"/>
    <w:rsid w:val="33EF7674"/>
    <w:rsid w:val="342D7BC6"/>
    <w:rsid w:val="34362BC5"/>
    <w:rsid w:val="34C31159"/>
    <w:rsid w:val="352930DB"/>
    <w:rsid w:val="35573069"/>
    <w:rsid w:val="355F6038"/>
    <w:rsid w:val="358C217E"/>
    <w:rsid w:val="361B5A82"/>
    <w:rsid w:val="3667350A"/>
    <w:rsid w:val="36C9128A"/>
    <w:rsid w:val="37841E99"/>
    <w:rsid w:val="37BF1123"/>
    <w:rsid w:val="383C3F15"/>
    <w:rsid w:val="38BE4696"/>
    <w:rsid w:val="390A3BC5"/>
    <w:rsid w:val="3939115E"/>
    <w:rsid w:val="39AB7AFE"/>
    <w:rsid w:val="39B82A39"/>
    <w:rsid w:val="39C42CA8"/>
    <w:rsid w:val="39DC4FD6"/>
    <w:rsid w:val="39F03D7A"/>
    <w:rsid w:val="39F33306"/>
    <w:rsid w:val="3A2C1C67"/>
    <w:rsid w:val="3A2C6DA1"/>
    <w:rsid w:val="3A6A77C9"/>
    <w:rsid w:val="3A8B1791"/>
    <w:rsid w:val="3ADD7F09"/>
    <w:rsid w:val="3B1705E5"/>
    <w:rsid w:val="3B18334B"/>
    <w:rsid w:val="3B36794F"/>
    <w:rsid w:val="3B6F6EE0"/>
    <w:rsid w:val="3BAE5737"/>
    <w:rsid w:val="3BC92571"/>
    <w:rsid w:val="3C237ED3"/>
    <w:rsid w:val="3C566AD6"/>
    <w:rsid w:val="3C594871"/>
    <w:rsid w:val="3C6A5B02"/>
    <w:rsid w:val="3CD70CBD"/>
    <w:rsid w:val="3D2757A1"/>
    <w:rsid w:val="3D3D4FC4"/>
    <w:rsid w:val="3D8449A1"/>
    <w:rsid w:val="3DDF3AB1"/>
    <w:rsid w:val="3DE32B7F"/>
    <w:rsid w:val="3E1D0952"/>
    <w:rsid w:val="3E42660A"/>
    <w:rsid w:val="3E7555B1"/>
    <w:rsid w:val="3E787ED9"/>
    <w:rsid w:val="3E9F580B"/>
    <w:rsid w:val="3F032E93"/>
    <w:rsid w:val="3F0527E5"/>
    <w:rsid w:val="3F2301EA"/>
    <w:rsid w:val="3F4C52C6"/>
    <w:rsid w:val="3F604F9A"/>
    <w:rsid w:val="3F694D83"/>
    <w:rsid w:val="3F885DCC"/>
    <w:rsid w:val="3FCD675E"/>
    <w:rsid w:val="4004000C"/>
    <w:rsid w:val="40BD5482"/>
    <w:rsid w:val="411B6CE5"/>
    <w:rsid w:val="412070D7"/>
    <w:rsid w:val="41314E40"/>
    <w:rsid w:val="4157061F"/>
    <w:rsid w:val="41E0734B"/>
    <w:rsid w:val="426C1EA8"/>
    <w:rsid w:val="42736402"/>
    <w:rsid w:val="42C57F36"/>
    <w:rsid w:val="42E86A87"/>
    <w:rsid w:val="43307B09"/>
    <w:rsid w:val="436D44AF"/>
    <w:rsid w:val="439A3EB9"/>
    <w:rsid w:val="43A2191B"/>
    <w:rsid w:val="43BB152F"/>
    <w:rsid w:val="43EF2D90"/>
    <w:rsid w:val="44C37687"/>
    <w:rsid w:val="44D501D8"/>
    <w:rsid w:val="45B95404"/>
    <w:rsid w:val="45CB699A"/>
    <w:rsid w:val="45D71D2E"/>
    <w:rsid w:val="45F14B9E"/>
    <w:rsid w:val="46423C66"/>
    <w:rsid w:val="465B470D"/>
    <w:rsid w:val="469D6AD4"/>
    <w:rsid w:val="46CC1167"/>
    <w:rsid w:val="471E6C84"/>
    <w:rsid w:val="4748792B"/>
    <w:rsid w:val="475D719D"/>
    <w:rsid w:val="47674801"/>
    <w:rsid w:val="47FC782A"/>
    <w:rsid w:val="48225EF7"/>
    <w:rsid w:val="483D056E"/>
    <w:rsid w:val="488F422B"/>
    <w:rsid w:val="48E36915"/>
    <w:rsid w:val="48EB6572"/>
    <w:rsid w:val="49574772"/>
    <w:rsid w:val="495C4A24"/>
    <w:rsid w:val="497135DF"/>
    <w:rsid w:val="4A263DF2"/>
    <w:rsid w:val="4A2F278B"/>
    <w:rsid w:val="4A507745"/>
    <w:rsid w:val="4A6F6675"/>
    <w:rsid w:val="4B135857"/>
    <w:rsid w:val="4B4B11F4"/>
    <w:rsid w:val="4B7951CB"/>
    <w:rsid w:val="4B7C315C"/>
    <w:rsid w:val="4C9316A8"/>
    <w:rsid w:val="4D1F53CA"/>
    <w:rsid w:val="4D73233C"/>
    <w:rsid w:val="4DAC4ACA"/>
    <w:rsid w:val="4DB766CD"/>
    <w:rsid w:val="4DBE01D2"/>
    <w:rsid w:val="4E1145D5"/>
    <w:rsid w:val="4F0C6BA3"/>
    <w:rsid w:val="4F186D58"/>
    <w:rsid w:val="503C110B"/>
    <w:rsid w:val="50F06B6E"/>
    <w:rsid w:val="511B51C5"/>
    <w:rsid w:val="51360251"/>
    <w:rsid w:val="51682EE9"/>
    <w:rsid w:val="51BD4A0F"/>
    <w:rsid w:val="51D21804"/>
    <w:rsid w:val="51E67581"/>
    <w:rsid w:val="52234D33"/>
    <w:rsid w:val="522F6E0C"/>
    <w:rsid w:val="52463BA1"/>
    <w:rsid w:val="52903990"/>
    <w:rsid w:val="52F163D4"/>
    <w:rsid w:val="531A2DB4"/>
    <w:rsid w:val="53781CE8"/>
    <w:rsid w:val="537C1E8F"/>
    <w:rsid w:val="53C0244D"/>
    <w:rsid w:val="53DD4D4E"/>
    <w:rsid w:val="53E578CE"/>
    <w:rsid w:val="541330F0"/>
    <w:rsid w:val="54272666"/>
    <w:rsid w:val="543B029D"/>
    <w:rsid w:val="54861779"/>
    <w:rsid w:val="552256E1"/>
    <w:rsid w:val="554E5773"/>
    <w:rsid w:val="555829E0"/>
    <w:rsid w:val="555A3CBC"/>
    <w:rsid w:val="5582012B"/>
    <w:rsid w:val="558E4E05"/>
    <w:rsid w:val="55BE2E85"/>
    <w:rsid w:val="560C332E"/>
    <w:rsid w:val="562E02C6"/>
    <w:rsid w:val="56530F5D"/>
    <w:rsid w:val="567700D3"/>
    <w:rsid w:val="569E5A73"/>
    <w:rsid w:val="56F75D8C"/>
    <w:rsid w:val="56FF7E9E"/>
    <w:rsid w:val="578867FC"/>
    <w:rsid w:val="578A4E52"/>
    <w:rsid w:val="57EA769F"/>
    <w:rsid w:val="5842572D"/>
    <w:rsid w:val="5A3B59D6"/>
    <w:rsid w:val="5AA22F6D"/>
    <w:rsid w:val="5AD134D8"/>
    <w:rsid w:val="5B1769FD"/>
    <w:rsid w:val="5B73068E"/>
    <w:rsid w:val="5BF41F67"/>
    <w:rsid w:val="5C263CE4"/>
    <w:rsid w:val="5C5D2777"/>
    <w:rsid w:val="5C6C4B26"/>
    <w:rsid w:val="5CF66BF3"/>
    <w:rsid w:val="5D290C69"/>
    <w:rsid w:val="5DA80C2C"/>
    <w:rsid w:val="5DC170F4"/>
    <w:rsid w:val="5DD45079"/>
    <w:rsid w:val="5E361890"/>
    <w:rsid w:val="5F0B0627"/>
    <w:rsid w:val="5F2D4A41"/>
    <w:rsid w:val="5F4C0827"/>
    <w:rsid w:val="608C5797"/>
    <w:rsid w:val="60C74F6C"/>
    <w:rsid w:val="61015958"/>
    <w:rsid w:val="61025A59"/>
    <w:rsid w:val="6127015C"/>
    <w:rsid w:val="613D5BBC"/>
    <w:rsid w:val="61536C39"/>
    <w:rsid w:val="61894431"/>
    <w:rsid w:val="61C62F2B"/>
    <w:rsid w:val="62944DD7"/>
    <w:rsid w:val="6319381F"/>
    <w:rsid w:val="63C25DC5"/>
    <w:rsid w:val="63C62057"/>
    <w:rsid w:val="63F41FD1"/>
    <w:rsid w:val="64571EF5"/>
    <w:rsid w:val="64FB113D"/>
    <w:rsid w:val="65136487"/>
    <w:rsid w:val="656152C6"/>
    <w:rsid w:val="6587477F"/>
    <w:rsid w:val="658C3728"/>
    <w:rsid w:val="658C3A08"/>
    <w:rsid w:val="65C031CA"/>
    <w:rsid w:val="65CE6852"/>
    <w:rsid w:val="66267C04"/>
    <w:rsid w:val="663F505A"/>
    <w:rsid w:val="66AF5D7C"/>
    <w:rsid w:val="66EE5541"/>
    <w:rsid w:val="675B5EC3"/>
    <w:rsid w:val="67924660"/>
    <w:rsid w:val="682B4F12"/>
    <w:rsid w:val="68407834"/>
    <w:rsid w:val="6883293E"/>
    <w:rsid w:val="688412AD"/>
    <w:rsid w:val="688F051A"/>
    <w:rsid w:val="68EB1B71"/>
    <w:rsid w:val="696C0310"/>
    <w:rsid w:val="69DD3507"/>
    <w:rsid w:val="6A6C7940"/>
    <w:rsid w:val="6A9F1565"/>
    <w:rsid w:val="6AAD2300"/>
    <w:rsid w:val="6B474EF5"/>
    <w:rsid w:val="6C0A5AC5"/>
    <w:rsid w:val="6C501D6F"/>
    <w:rsid w:val="6C560CAE"/>
    <w:rsid w:val="6C576495"/>
    <w:rsid w:val="6D0E5786"/>
    <w:rsid w:val="6D30394E"/>
    <w:rsid w:val="6D903FF5"/>
    <w:rsid w:val="6DA955B8"/>
    <w:rsid w:val="6DE346AB"/>
    <w:rsid w:val="6DE5391A"/>
    <w:rsid w:val="6EFD1324"/>
    <w:rsid w:val="6F5A53AC"/>
    <w:rsid w:val="6FAC003D"/>
    <w:rsid w:val="6FD926BF"/>
    <w:rsid w:val="6FE55E12"/>
    <w:rsid w:val="6FFB2E76"/>
    <w:rsid w:val="708F6F7F"/>
    <w:rsid w:val="70D94BD3"/>
    <w:rsid w:val="71574775"/>
    <w:rsid w:val="71BE777B"/>
    <w:rsid w:val="71C34D91"/>
    <w:rsid w:val="72DB435C"/>
    <w:rsid w:val="72E2613A"/>
    <w:rsid w:val="72F771F4"/>
    <w:rsid w:val="73552361"/>
    <w:rsid w:val="73934AD2"/>
    <w:rsid w:val="750837F0"/>
    <w:rsid w:val="751A116C"/>
    <w:rsid w:val="754758CF"/>
    <w:rsid w:val="75595ECD"/>
    <w:rsid w:val="764F62AB"/>
    <w:rsid w:val="765C45EC"/>
    <w:rsid w:val="768A7619"/>
    <w:rsid w:val="772E1EBA"/>
    <w:rsid w:val="77FE2FC7"/>
    <w:rsid w:val="781926BC"/>
    <w:rsid w:val="79330A4E"/>
    <w:rsid w:val="796D60A4"/>
    <w:rsid w:val="797A664A"/>
    <w:rsid w:val="79A031D5"/>
    <w:rsid w:val="79B47FDF"/>
    <w:rsid w:val="79E569A9"/>
    <w:rsid w:val="7A1525F7"/>
    <w:rsid w:val="7A5E5623"/>
    <w:rsid w:val="7AE30252"/>
    <w:rsid w:val="7B346CFF"/>
    <w:rsid w:val="7B420052"/>
    <w:rsid w:val="7B5D6256"/>
    <w:rsid w:val="7BD06A28"/>
    <w:rsid w:val="7C3A7C0B"/>
    <w:rsid w:val="7C484810"/>
    <w:rsid w:val="7C5248E4"/>
    <w:rsid w:val="7C566698"/>
    <w:rsid w:val="7C5866A3"/>
    <w:rsid w:val="7C7C44BA"/>
    <w:rsid w:val="7D7406BB"/>
    <w:rsid w:val="7DE94331"/>
    <w:rsid w:val="7F446A19"/>
    <w:rsid w:val="7F5636E8"/>
    <w:rsid w:val="7F745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99"/>
    <w:rPr>
      <w:rFonts w:hint="eastAsia" w:ascii="宋体" w:hAnsi="宋体" w:eastAsia="宋体" w:cs="Times New Roman"/>
      <w:sz w:val="24"/>
      <w:szCs w:val="24"/>
      <w:lang w:val="en-US" w:eastAsia="zh-CN" w:bidi="ar-SA"/>
    </w:rPr>
  </w:style>
  <w:style w:type="character" w:default="1" w:styleId="9">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keepNext w:val="0"/>
      <w:keepLines w:val="0"/>
      <w:widowControl w:val="0"/>
      <w:suppressLineNumbers w:val="0"/>
      <w:spacing w:before="0" w:beforeAutospacing="0" w:after="0" w:afterAutospacing="0"/>
      <w:ind w:left="101" w:right="0" w:firstLine="679"/>
      <w:jc w:val="left"/>
    </w:pPr>
    <w:rPr>
      <w:rFonts w:hint="default" w:ascii="Arial" w:hAnsi="Arial" w:eastAsia="宋体" w:cs="Times New Roman"/>
      <w:kern w:val="0"/>
      <w:sz w:val="34"/>
      <w:szCs w:val="34"/>
      <w:lang w:val="en-US" w:eastAsia="zh-CN" w:bidi="ar"/>
    </w:rPr>
  </w:style>
  <w:style w:type="paragraph" w:styleId="3">
    <w:name w:val="Date"/>
    <w:basedOn w:val="1"/>
    <w:next w:val="1"/>
    <w:qFormat/>
    <w:uiPriority w:val="0"/>
    <w:pPr>
      <w:ind w:left="100" w:leftChars="2500"/>
    </w:pPr>
  </w:style>
  <w:style w:type="paragraph" w:styleId="4">
    <w:name w:val="Balloon Text"/>
    <w:basedOn w:val="1"/>
    <w:link w:val="17"/>
    <w:qFormat/>
    <w:uiPriority w:val="0"/>
    <w:rPr>
      <w:sz w:val="18"/>
      <w:szCs w:val="18"/>
    </w:rPr>
  </w:style>
  <w:style w:type="paragraph" w:styleId="5">
    <w:name w:val="footer"/>
    <w:basedOn w:val="1"/>
    <w:qFormat/>
    <w:uiPriority w:val="0"/>
    <w:pPr>
      <w:tabs>
        <w:tab w:val="center" w:pos="4153"/>
        <w:tab w:val="right" w:pos="8306"/>
      </w:tabs>
      <w:snapToGrid w:val="0"/>
    </w:pPr>
    <w:rPr>
      <w:sz w:val="18"/>
      <w:szCs w:val="18"/>
    </w:rPr>
  </w:style>
  <w:style w:type="paragraph" w:styleId="6">
    <w:name w:val="header"/>
    <w:basedOn w:val="1"/>
    <w:qFormat/>
    <w:uiPriority w:val="0"/>
    <w:pPr>
      <w:tabs>
        <w:tab w:val="center" w:pos="4153"/>
        <w:tab w:val="right" w:pos="8306"/>
      </w:tabs>
      <w:snapToGrid w:val="0"/>
      <w:jc w:val="center"/>
    </w:pPr>
    <w:rPr>
      <w:sz w:val="18"/>
      <w:szCs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8">
    <w:name w:val="Normal (Web)"/>
    <w:basedOn w:val="1"/>
    <w:unhideWhenUsed/>
    <w:qFormat/>
    <w:uiPriority w:val="0"/>
    <w:pPr>
      <w:spacing w:before="100" w:beforeAutospacing="1" w:after="100" w:afterAutospacing="1"/>
    </w:pPr>
  </w:style>
  <w:style w:type="character" w:styleId="10">
    <w:name w:val="Strong"/>
    <w:qFormat/>
    <w:uiPriority w:val="0"/>
    <w:rPr>
      <w:b/>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3">
    <w:name w:val="列出段落1"/>
    <w:basedOn w:val="1"/>
    <w:qFormat/>
    <w:uiPriority w:val="99"/>
    <w:pPr>
      <w:ind w:firstLine="420" w:firstLineChars="200"/>
    </w:pPr>
    <w:rPr>
      <w:rFonts w:hint="default"/>
    </w:rPr>
  </w:style>
  <w:style w:type="paragraph" w:customStyle="1" w:styleId="14">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5">
    <w:name w:val="21"/>
    <w:qFormat/>
    <w:uiPriority w:val="0"/>
    <w:rPr>
      <w:rFonts w:hint="default" w:ascii="Wingdings" w:hAnsi="Wingdings" w:cs="Wingdings"/>
      <w:b/>
      <w:bCs/>
    </w:rPr>
  </w:style>
  <w:style w:type="paragraph" w:customStyle="1" w:styleId="16">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7">
    <w:name w:val="批注框文本 Char"/>
    <w:basedOn w:val="9"/>
    <w:link w:val="4"/>
    <w:qFormat/>
    <w:uiPriority w:val="0"/>
    <w:rPr>
      <w:rFonts w:ascii="宋体" w:hAnsi="宋体"/>
      <w:sz w:val="18"/>
      <w:szCs w:val="18"/>
    </w:rPr>
  </w:style>
  <w:style w:type="paragraph" w:customStyle="1" w:styleId="18">
    <w:name w:val="List Paragraph"/>
    <w:qFormat/>
    <w:uiPriority w:val="99"/>
    <w:pPr>
      <w:ind w:firstLine="420" w:firstLineChars="200"/>
    </w:pPr>
    <w:rPr>
      <w:rFonts w:hint="default" w:ascii="宋体" w:hAnsi="宋体" w:eastAsia="宋体" w:cs="Times New Roman"/>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8486</Words>
  <Characters>11310</Characters>
  <Lines>186</Lines>
  <Paragraphs>52</Paragraphs>
  <TotalTime>3</TotalTime>
  <ScaleCrop>false</ScaleCrop>
  <LinksUpToDate>false</LinksUpToDate>
  <CharactersWithSpaces>12404</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龚盼</cp:lastModifiedBy>
  <dcterms:modified xsi:type="dcterms:W3CDTF">2025-10-14T07:55:28Z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y fmtid="{D5CDD505-2E9C-101B-9397-08002B2CF9AE}" pid="4" name="KSOTemplateDocerSaveRecord">
    <vt:lpwstr>eyJoZGlkIjoiNTYyMjc1YzI1ZWU1YThkMzVhM2UwNGU4MWIxMDgxY2QiLCJ1c2VySWQiOiIxNTQ4OTY1Njc2In0=</vt:lpwstr>
  </property>
</Properties>
</file>