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重庆市秀山土家族苗族自治县应急宣传教育中心2024年度决算公开说明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outlineLvl w:val="9"/>
        <w:rPr>
          <w:rFonts w:hint="eastAsia" w:ascii="方正黑体_GBK" w:hAnsi="方正黑体_GBK" w:eastAsia="方正黑体_GBK" w:cs="方正黑体_GBK"/>
          <w:b w:val="0"/>
          <w:kern w:val="0"/>
          <w:sz w:val="32"/>
          <w:szCs w:val="32"/>
        </w:rPr>
      </w:pP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（一）职能职责</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1.宣传安全生产和自然灾害有关法律法规和方针政策，负责普法宣传教育工作。</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2.承担应急管理和安全生产新闻宣传、舆情应对、文化建设等工作，开展公众知识技能普及工作。</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3.指导应急管理和安全生产培训工作。</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4.负责应急管理系统干部教育培训工作。</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5.策划有关安全生产和自然灾害防治方面的影视、音像、广告、图片、画册、书刊等宣传品的制作、发行和推广应急文化宣传资料。</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6.完成</w:t>
      </w:r>
      <w:r>
        <w:rPr>
          <w:rFonts w:hint="default"/>
          <w:lang w:val="en-US" w:eastAsia="zh-CN"/>
        </w:rPr>
        <w:t>上级部门交办的其他工作。</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ascii="方正仿宋_GBK" w:hAnsi="方正仿宋_GBK" w:eastAsia="方正仿宋_GBK" w:cs="方正仿宋_GBK"/>
          <w:lang w:val="en-US" w:eastAsia="zh-CN"/>
        </w:rPr>
        <w:t>我单位是县应急管理局下属二级单位，与机关合并办公，无内设科室，核定秀山土家族苗族自治县应急宣传教育中心事业编制</w:t>
      </w:r>
      <w:r>
        <w:rPr>
          <w:rFonts w:hint="default" w:ascii="Times New Roman" w:hAnsi="Times New Roman" w:eastAsia="方正仿宋_GBK" w:cs="Times New Roman"/>
          <w:lang w:val="en-US" w:eastAsia="zh-CN"/>
        </w:rPr>
        <w:t>5</w:t>
      </w:r>
      <w:r>
        <w:rPr>
          <w:rFonts w:hint="eastAsia" w:ascii="方正仿宋_GBK" w:hAnsi="方正仿宋_GBK" w:eastAsia="方正仿宋_GBK" w:cs="方正仿宋_GBK"/>
          <w:lang w:val="en-US" w:eastAsia="zh-CN"/>
        </w:rPr>
        <w:t>名，其中：领导职数</w:t>
      </w:r>
      <w:r>
        <w:rPr>
          <w:rFonts w:hint="default" w:ascii="Times New Roman" w:hAnsi="Times New Roman" w:eastAsia="方正仿宋_GBK" w:cs="Times New Roman"/>
          <w:lang w:val="en-US" w:eastAsia="zh-CN"/>
        </w:rPr>
        <w:t>1</w:t>
      </w:r>
      <w:r>
        <w:rPr>
          <w:rFonts w:hint="eastAsia" w:ascii="方正仿宋_GBK" w:hAnsi="方正仿宋_GBK" w:eastAsia="方正仿宋_GBK" w:cs="方正仿宋_GBK"/>
          <w:lang w:val="en-US" w:eastAsia="zh-CN"/>
        </w:rPr>
        <w:t>名。</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pP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50.08</w:t>
      </w:r>
      <w:r>
        <w:t>万元。</w:t>
      </w:r>
      <w:r>
        <w:rPr>
          <w:rFonts w:hint="default"/>
        </w:rPr>
        <w:t>收、支与2023年度相比，减少12.51万元，下降20.0%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2024年按照实际人员核算，相对收支减少。</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50.08</w:t>
      </w:r>
      <w:r>
        <w:t>万元，</w:t>
      </w:r>
      <w:r>
        <w:rPr>
          <w:rFonts w:hint="default"/>
        </w:rPr>
        <w:t>与2023年度相比，减少12.51万元，下降20.0%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2024年按照实际人员核算，相对收入减少</w:t>
      </w:r>
      <w:r>
        <w:t>其中：财政拨款收入</w:t>
      </w:r>
      <w:r>
        <w:rPr>
          <w:rFonts w:hint="default"/>
        </w:rPr>
        <w:t>50.08</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lang w:val="en-US" w:eastAsia="zh-CN"/>
        </w:rPr>
        <w:t>2</w:t>
      </w:r>
      <w:r>
        <w:t>.支出情况。</w:t>
      </w:r>
      <w:r>
        <w:rPr>
          <w:rFonts w:hint="default"/>
        </w:rPr>
        <w:t>2024</w:t>
      </w:r>
      <w:r>
        <w:t>年度支出合计</w:t>
      </w:r>
      <w:r>
        <w:rPr>
          <w:rFonts w:hint="default"/>
        </w:rPr>
        <w:t>50.08</w:t>
      </w:r>
      <w:r>
        <w:t>万元，</w:t>
      </w:r>
      <w:r>
        <w:rPr>
          <w:rFonts w:hint="default"/>
        </w:rPr>
        <w:t>与2023年度相比，减少12.51万元，下降20.0%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2024年按照实际人员核算，相对支出减少，</w:t>
      </w:r>
      <w:r>
        <w:t>其中：基本支出</w:t>
      </w:r>
      <w:r>
        <w:rPr>
          <w:rFonts w:hint="default"/>
        </w:rPr>
        <w:t>50.08</w:t>
      </w:r>
      <w:r>
        <w:t>万元，占</w:t>
      </w:r>
      <w:r>
        <w:rPr>
          <w:rFonts w:hint="default"/>
        </w:rPr>
        <w:t>100.0%</w:t>
      </w:r>
      <w:r>
        <w:t>；项</w:t>
      </w:r>
      <w:r>
        <w:rPr>
          <w:rFonts w:hint="eastAsia"/>
        </w:rPr>
        <w:t>目支出0.00万元，占0.0%；经营支出0.00万元，占0.0%。此外，</w:t>
      </w:r>
      <w:r>
        <w:t>结余分配</w:t>
      </w:r>
      <w:r>
        <w:rPr>
          <w:rFonts w:hint="default"/>
        </w:rPr>
        <w:t>0.00</w:t>
      </w:r>
      <w:r>
        <w:t>万元。</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ascii="Times New Roman" w:eastAsia="宋体"/>
          <w:lang w:val="en-US" w:eastAsia="zh-CN"/>
        </w:rPr>
        <w:t>3</w:t>
      </w:r>
      <w:r>
        <w:t>.结转结余情况。</w:t>
      </w:r>
      <w:r>
        <w:rPr>
          <w:rFonts w:hint="default"/>
        </w:rPr>
        <w:t>2024</w:t>
      </w:r>
      <w:r>
        <w:t>年度年末结转和结余</w:t>
      </w:r>
      <w:r>
        <w:rPr>
          <w:rFonts w:hint="default"/>
        </w:rPr>
        <w:t>0.00</w:t>
      </w:r>
      <w:r>
        <w:t>万元，</w:t>
      </w:r>
    </w:p>
    <w:p>
      <w:pPr>
        <w:pStyle w:val="20"/>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与2023年度相比，无增减</w:t>
      </w:r>
      <w:r>
        <w:t>，主要原因是</w:t>
      </w:r>
      <w:r>
        <w:rPr>
          <w:rFonts w:hint="eastAsia"/>
          <w:lang w:eastAsia="zh-CN"/>
        </w:rPr>
        <w:t>本单位无</w:t>
      </w:r>
      <w:r>
        <w:t>结转结余</w:t>
      </w:r>
      <w:r>
        <w:rPr>
          <w:rFonts w:hint="eastAsia"/>
          <w:lang w:eastAsia="zh-CN"/>
        </w:rPr>
        <w:t>。</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50.08</w:t>
      </w:r>
      <w:r>
        <w:t>万元。与</w:t>
      </w:r>
      <w:r>
        <w:rPr>
          <w:rFonts w:hint="default"/>
        </w:rPr>
        <w:t>2023</w:t>
      </w:r>
      <w:r>
        <w:t>年</w:t>
      </w:r>
      <w:r>
        <w:rPr>
          <w:rFonts w:hint="eastAsia"/>
          <w:lang w:eastAsia="zh-CN"/>
        </w:rPr>
        <w:t>度</w:t>
      </w:r>
      <w:r>
        <w:t>相比，</w:t>
      </w:r>
      <w:r>
        <w:rPr>
          <w:rFonts w:hint="default"/>
        </w:rPr>
        <w:t>财政拨款收、支总计各减少12.51万元，下降20.0%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2024年按照实际人员核算，相对支出减少。</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50.08</w:t>
      </w:r>
      <w:r>
        <w:t>万元，</w:t>
      </w:r>
      <w:r>
        <w:rPr>
          <w:rFonts w:hint="default"/>
        </w:rPr>
        <w:t>与2023年度相比，减少12.51万元，下降20.0%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2024年按照实际人员核算，相对人员收入减少，</w:t>
      </w:r>
      <w:r>
        <w:rPr>
          <w:rFonts w:hint="default"/>
        </w:rPr>
        <w:t>较年初预算数增加1.66万元，增长3.4%</w:t>
      </w:r>
      <w:r>
        <w:t>。主要原因是</w:t>
      </w:r>
      <w:r>
        <w:rPr>
          <w:rFonts w:hint="eastAsia"/>
          <w:lang w:val="en-US" w:eastAsia="zh-CN"/>
        </w:rPr>
        <w:t>2024年社保基数调整、清算2023年度社保缴费、工资调标。</w:t>
      </w:r>
      <w:r>
        <w:t>此外，年初财政拨款结转和结余</w:t>
      </w:r>
      <w:r>
        <w:rPr>
          <w:rFonts w:hint="default"/>
        </w:rPr>
        <w:t>0.00</w:t>
      </w:r>
      <w:r>
        <w:t>万元。</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50.08</w:t>
      </w:r>
      <w:r>
        <w:t>万元，</w:t>
      </w:r>
      <w:r>
        <w:rPr>
          <w:rFonts w:hint="default"/>
        </w:rPr>
        <w:t>与2023年度相比，减少12.51万元，下降20.0%</w:t>
      </w:r>
      <w:r>
        <w:t>。主要原因是</w:t>
      </w:r>
      <w:r>
        <w:rPr>
          <w:rFonts w:hint="eastAsia"/>
          <w:lang w:eastAsia="zh-CN"/>
        </w:rPr>
        <w:t>我单位是秀山县应急管理局下属二级单位，社保及公积金账号未独立，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2024年按照实际人员核算，相对人员支出减少。</w:t>
      </w:r>
      <w:r>
        <w:rPr>
          <w:rFonts w:hint="default"/>
        </w:rPr>
        <w:t>较年初预算数增加1.66万元，增长3.4%</w:t>
      </w:r>
      <w:r>
        <w:t>。主要原因是</w:t>
      </w:r>
      <w:r>
        <w:rPr>
          <w:rFonts w:hint="eastAsia"/>
          <w:lang w:val="en-US" w:eastAsia="zh-CN"/>
        </w:rPr>
        <w:t>2024年社保基数调整、清算2023年度社保缴费、工资调标。</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7.19</w:t>
      </w:r>
      <w:r>
        <w:t>万元，占</w:t>
      </w:r>
      <w:r>
        <w:rPr>
          <w:rFonts w:hint="default"/>
        </w:rPr>
        <w:t>14.4%</w:t>
      </w:r>
      <w:r>
        <w:t>，</w:t>
      </w:r>
      <w:r>
        <w:rPr>
          <w:rFonts w:hint="default"/>
        </w:rPr>
        <w:t>较年初预算数增加2.24万元，增长45.3%</w:t>
      </w:r>
      <w:r>
        <w:t>，主要原因是</w:t>
      </w:r>
      <w:r>
        <w:rPr>
          <w:rFonts w:hint="eastAsia"/>
          <w:lang w:val="en-US" w:eastAsia="zh-CN"/>
        </w:rPr>
        <w:t>2024年社保基数调整、清算2023年度社保缴费，导致该项目支出增加。</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2</w:t>
      </w:r>
      <w:r>
        <w:t>）卫生健康支出</w:t>
      </w:r>
      <w:r>
        <w:rPr>
          <w:rFonts w:hint="default"/>
        </w:rPr>
        <w:t>2.78</w:t>
      </w:r>
      <w:r>
        <w:t>万元，占</w:t>
      </w:r>
      <w:r>
        <w:rPr>
          <w:rFonts w:hint="default"/>
        </w:rPr>
        <w:t>5.6%</w:t>
      </w:r>
      <w:r>
        <w:t>，</w:t>
      </w:r>
      <w:r>
        <w:rPr>
          <w:rFonts w:hint="default"/>
        </w:rPr>
        <w:t>较年初预算数无增减</w:t>
      </w:r>
      <w:r>
        <w:t>，主要原因是</w:t>
      </w:r>
      <w:r>
        <w:rPr>
          <w:rFonts w:hint="eastAsia"/>
          <w:lang w:eastAsia="zh-CN"/>
        </w:rPr>
        <w:t>医保涨幅不大。</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3</w:t>
      </w:r>
      <w:r>
        <w:t>）住房保障支出</w:t>
      </w:r>
      <w:r>
        <w:rPr>
          <w:rFonts w:hint="default"/>
        </w:rPr>
        <w:t>2.49</w:t>
      </w:r>
      <w:r>
        <w:t>万元，占</w:t>
      </w:r>
      <w:r>
        <w:rPr>
          <w:rFonts w:hint="default"/>
        </w:rPr>
        <w:t>5.0%</w:t>
      </w:r>
      <w:r>
        <w:t>，</w:t>
      </w:r>
      <w:r>
        <w:rPr>
          <w:rFonts w:hint="default"/>
        </w:rPr>
        <w:t>较年初预算数减少0.05万元，下降2.0%</w:t>
      </w:r>
      <w:r>
        <w:t>，主要原因是</w:t>
      </w:r>
      <w:r>
        <w:rPr>
          <w:rFonts w:hint="eastAsia"/>
          <w:lang w:eastAsia="zh-CN"/>
        </w:rPr>
        <w:t>本年度公积金涨幅不大。</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4</w:t>
      </w:r>
      <w:r>
        <w:t>）灾害防治及应急管理支出</w:t>
      </w:r>
      <w:r>
        <w:rPr>
          <w:rFonts w:hint="default"/>
        </w:rPr>
        <w:t>37.62</w:t>
      </w:r>
      <w:r>
        <w:t>万元，占</w:t>
      </w:r>
      <w:r>
        <w:rPr>
          <w:rFonts w:hint="default"/>
        </w:rPr>
        <w:t>75.1%</w:t>
      </w:r>
      <w:r>
        <w:t>，</w:t>
      </w:r>
      <w:r>
        <w:rPr>
          <w:rFonts w:hint="default"/>
        </w:rPr>
        <w:t>较年初预算数减少0.53万元，下降1.4%</w:t>
      </w:r>
      <w:r>
        <w:t>，主要原因是</w:t>
      </w:r>
      <w:r>
        <w:rPr>
          <w:rFonts w:hint="eastAsia"/>
          <w:lang w:val="en-US" w:eastAsia="zh-CN"/>
        </w:rPr>
        <w:t>严格落实政府过紧日子要求，严控支出。</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lang w:eastAsia="zh-CN"/>
        </w:rPr>
        <w:t>本单位无结转结余情况。</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年度一般公共财政拨款基本支出</w:t>
      </w:r>
      <w:r>
        <w:rPr>
          <w:rFonts w:hint="default"/>
        </w:rPr>
        <w:t>50.08</w:t>
      </w:r>
      <w:r>
        <w:t>万元。其中：人员经费</w:t>
      </w:r>
      <w:r>
        <w:rPr>
          <w:rFonts w:hint="default"/>
        </w:rPr>
        <w:t>46.31</w:t>
      </w:r>
      <w:r>
        <w:t>万元，</w:t>
      </w:r>
      <w:r>
        <w:rPr>
          <w:rFonts w:hint="default"/>
        </w:rPr>
        <w:t>与2023年度相比，减少12.57万元，下降21.4%</w:t>
      </w:r>
      <w:r>
        <w:t>，主要原因是</w:t>
      </w:r>
      <w:r>
        <w:rPr>
          <w:rFonts w:hint="eastAsia"/>
          <w:lang w:eastAsia="zh-CN"/>
        </w:rPr>
        <w:t>我</w:t>
      </w:r>
      <w:r>
        <w:rPr>
          <w:rFonts w:hint="eastAsia"/>
          <w:lang w:val="en-US" w:eastAsia="zh-CN"/>
        </w:rPr>
        <w:t>单位是</w:t>
      </w:r>
      <w:r>
        <w:rPr>
          <w:rFonts w:hint="eastAsia"/>
          <w:lang w:eastAsia="zh-CN"/>
        </w:rPr>
        <w:t>秀山县应急管理局下属二级单位，社保及公积金账号未独立，</w:t>
      </w:r>
      <w:r>
        <w:rPr>
          <w:rFonts w:hint="eastAsia"/>
          <w:lang w:val="en-US" w:eastAsia="zh-CN"/>
        </w:rPr>
        <w:t>2023年我单位多承担了部分</w:t>
      </w:r>
      <w:r>
        <w:rPr>
          <w:rFonts w:hint="eastAsia"/>
          <w:lang w:eastAsia="zh-CN"/>
        </w:rPr>
        <w:t>社保及公积金，</w:t>
      </w:r>
      <w:r>
        <w:rPr>
          <w:rFonts w:hint="eastAsia"/>
          <w:lang w:val="en-US" w:eastAsia="zh-CN"/>
        </w:rPr>
        <w:t>2024年按照实际人员核算，相对收支减少。</w:t>
      </w:r>
      <w:r>
        <w:t>人员经费用途主要包括</w:t>
      </w:r>
      <w:r>
        <w:rPr>
          <w:rFonts w:hint="default"/>
          <w:lang w:val="en-US" w:eastAsia="zh-CN"/>
        </w:rPr>
        <w:t>社会保障和就业支出</w:t>
      </w:r>
      <w:r>
        <w:rPr>
          <w:rFonts w:hint="eastAsia"/>
          <w:lang w:val="en-US" w:eastAsia="zh-CN"/>
        </w:rPr>
        <w:t>、</w:t>
      </w:r>
      <w:r>
        <w:rPr>
          <w:rFonts w:hint="default"/>
          <w:lang w:val="en-US" w:eastAsia="zh-CN"/>
        </w:rPr>
        <w:t>卫生健康支出</w:t>
      </w:r>
      <w:r>
        <w:rPr>
          <w:rFonts w:hint="eastAsia"/>
          <w:lang w:val="en-US" w:eastAsia="zh-CN"/>
        </w:rPr>
        <w:t>、</w:t>
      </w:r>
      <w:r>
        <w:rPr>
          <w:rFonts w:hint="default"/>
          <w:lang w:val="en-US" w:eastAsia="zh-CN"/>
        </w:rPr>
        <w:t>住房保障支出</w:t>
      </w:r>
      <w:r>
        <w:rPr>
          <w:rFonts w:hint="eastAsia"/>
          <w:lang w:val="en-US" w:eastAsia="zh-CN"/>
        </w:rPr>
        <w:t>等。</w:t>
      </w:r>
    </w:p>
    <w:p>
      <w:pPr>
        <w:pStyle w:val="20"/>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公用经费</w:t>
      </w:r>
      <w:r>
        <w:rPr>
          <w:rFonts w:hint="default"/>
        </w:rPr>
        <w:t>3.77</w:t>
      </w:r>
      <w:r>
        <w:t>万元，</w:t>
      </w:r>
      <w:r>
        <w:rPr>
          <w:rFonts w:hint="default"/>
        </w:rPr>
        <w:t>与2023年度相比，增加0.06万元，增长1.6%</w:t>
      </w:r>
      <w:r>
        <w:t>，主要原因是</w:t>
      </w:r>
      <w:r>
        <w:rPr>
          <w:rFonts w:hint="eastAsia"/>
          <w:lang w:eastAsia="zh-CN"/>
        </w:rPr>
        <w:t>本年度电费开支增加。</w:t>
      </w:r>
      <w:r>
        <w:t>公用经费用途主要包括</w:t>
      </w:r>
      <w:r>
        <w:rPr>
          <w:rFonts w:hint="eastAsia"/>
          <w:lang w:val="en-US" w:eastAsia="zh-CN"/>
        </w:rPr>
        <w:t>办公费、电费、邮电费、差旅费、维护费等。</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，主要原因是本</w:t>
      </w:r>
      <w:r>
        <w:rPr>
          <w:rFonts w:hint="eastAsia"/>
          <w:lang w:eastAsia="zh-CN"/>
        </w:rPr>
        <w:t>单位</w:t>
      </w:r>
      <w:r>
        <w:rPr>
          <w:rFonts w:hint="default"/>
        </w:rPr>
        <w:t>2024</w:t>
      </w:r>
      <w:r>
        <w:t>年度无政府性基金预算财政拨款收支。本年支出</w:t>
      </w:r>
      <w:r>
        <w:rPr>
          <w:rFonts w:hint="default"/>
        </w:rPr>
        <w:t>0.00</w:t>
      </w:r>
      <w:r>
        <w:t>万元，</w:t>
      </w:r>
      <w:r>
        <w:rPr>
          <w:rFonts w:hint="default"/>
        </w:rPr>
        <w:t>与2023年度相比，无增减</w:t>
      </w:r>
      <w:r>
        <w:t>，主要原因是本</w:t>
      </w:r>
      <w:r>
        <w:rPr>
          <w:rFonts w:hint="eastAsia"/>
          <w:lang w:eastAsia="zh-CN"/>
        </w:rPr>
        <w:t>单位</w:t>
      </w:r>
      <w:r>
        <w:rPr>
          <w:rFonts w:hint="default"/>
        </w:rPr>
        <w:t>2024</w:t>
      </w:r>
      <w:r>
        <w:t>年度无政府性基金预算财政拨款收支。</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（六）国有资本经营预算财政拨款支出决算情况说明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Cs w:val="32"/>
        </w:rPr>
      </w:pPr>
      <w:r>
        <w:rPr>
          <w:rFonts w:hint="eastAsia"/>
          <w:lang w:eastAsia="zh-CN"/>
        </w:rPr>
        <w:t>本单位</w:t>
      </w:r>
      <w:r>
        <w:rPr>
          <w:rFonts w:hint="default"/>
          <w:lang w:eastAsia="zh-CN"/>
        </w:rPr>
        <w:t>2024</w:t>
      </w:r>
      <w:r>
        <w:rPr>
          <w:rFonts w:hint="eastAsia"/>
          <w:lang w:eastAsia="zh-CN"/>
        </w:rPr>
        <w:t>年度无国有资本经营预算财政拨款支出。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“三公”经费情况说明</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（一）“三公”经费支出总体情况说明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default"/>
        </w:rPr>
        <w:t>2024</w:t>
      </w:r>
      <w:r>
        <w:t>年度“三公”经费支出共计</w:t>
      </w:r>
      <w:r>
        <w:rPr>
          <w:rFonts w:hint="default"/>
        </w:rPr>
        <w:t>0.00</w:t>
      </w:r>
      <w:r>
        <w:t>万元，</w:t>
      </w:r>
      <w:r>
        <w:rPr>
          <w:rFonts w:hint="default"/>
        </w:rPr>
        <w:t>较年初预算数无增减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rPr>
          <w:rFonts w:hint="default"/>
        </w:rPr>
        <w:t>较上年支出数无增减</w:t>
      </w:r>
      <w:r>
        <w:t>，主要原因是</w:t>
      </w:r>
      <w:r>
        <w:rPr>
          <w:rFonts w:hint="eastAsia"/>
          <w:lang w:val="en-US" w:eastAsia="zh-CN"/>
        </w:rPr>
        <w:t>本单位属于秀山县应急管理局下属二级单位，相关支出由秀山县应急管理局支出，未使用财政资金保障“三公”经费。</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（二）“三公”经费分项支出情况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因公出国（境）费用</w:t>
      </w:r>
      <w:r>
        <w:rPr>
          <w:rFonts w:hint="default"/>
        </w:rPr>
        <w:t>0.00</w:t>
      </w:r>
      <w:r>
        <w:t>万元，主要</w:t>
      </w:r>
      <w:r>
        <w:rPr>
          <w:rFonts w:hint="eastAsia"/>
          <w:lang w:val="en-US" w:eastAsia="zh-CN"/>
        </w:rPr>
        <w:t>原因是本单位属于秀山县应急管理局下属二级单位，相关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t>费用支出</w:t>
      </w:r>
      <w:r>
        <w:rPr>
          <w:rFonts w:hint="default"/>
        </w:rPr>
        <w:t>较年初预算数无增减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rPr>
          <w:rFonts w:hint="default"/>
        </w:rPr>
        <w:t>较上年支出数无增减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rPr>
          <w:rFonts w:hint="default"/>
        </w:rPr>
        <w:t>较上年支出数无增减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rPr>
          <w:rFonts w:hint="default"/>
        </w:rPr>
        <w:t>较上年支出数无增减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公务接待费</w:t>
      </w:r>
      <w:r>
        <w:rPr>
          <w:rFonts w:hint="default"/>
        </w:rPr>
        <w:t>0.00</w:t>
      </w:r>
      <w:r>
        <w:t>万元，费用支出</w:t>
      </w:r>
      <w:r>
        <w:rPr>
          <w:rFonts w:hint="default"/>
        </w:rPr>
        <w:t>较年初预算数无增减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由秀山县应急管理局支出，未使用财政资金保障“三公”经费。</w:t>
      </w:r>
      <w:r>
        <w:rPr>
          <w:rFonts w:hint="default"/>
        </w:rPr>
        <w:t>较上年支出数无增减</w:t>
      </w:r>
      <w:r>
        <w:t>，主要原因是</w:t>
      </w:r>
      <w:r>
        <w:rPr>
          <w:rFonts w:hint="eastAsia"/>
          <w:lang w:val="en-US" w:eastAsia="zh-CN"/>
        </w:rPr>
        <w:t>本单位属于秀</w:t>
      </w:r>
    </w:p>
    <w:p>
      <w:pPr>
        <w:pStyle w:val="20"/>
        <w:keepNext w:val="0"/>
        <w:keepLines w:val="0"/>
        <w:pageBreakBefore w:val="0"/>
        <w:shd w:val="clear" w:color="auto" w:fill="FFFFFF"/>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rPr>
          <w:rFonts w:hint="eastAsia"/>
          <w:lang w:val="en-US" w:eastAsia="zh-CN"/>
        </w:rPr>
        <w:t>山县应急管理局下属二级单位，相关</w:t>
      </w:r>
      <w:r>
        <w:rPr>
          <w:rFonts w:hint="default"/>
          <w:lang w:val="en-US" w:eastAsia="zh-CN"/>
        </w:rPr>
        <w:t>支出</w:t>
      </w:r>
      <w:r>
        <w:rPr>
          <w:rFonts w:hint="eastAsia"/>
          <w:lang w:val="en-US" w:eastAsia="zh-CN"/>
        </w:rPr>
        <w:t>由秀山县应急管理</w:t>
      </w:r>
    </w:p>
    <w:p>
      <w:pPr>
        <w:pStyle w:val="20"/>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eastAsia"/>
          <w:lang w:val="en-US" w:eastAsia="zh-CN"/>
        </w:rPr>
        <w:t>局支出，未使用财政资金保障“三公”经费。</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ascii="楷体" w:hAnsi="楷体" w:eastAsia="楷体" w:cs="楷体"/>
          <w:b/>
          <w:bCs/>
          <w:szCs w:val="32"/>
          <w:shd w:val="clear" w:color="auto" w:fill="FFFFFF"/>
        </w:rPr>
      </w:pPr>
      <w:r>
        <w:rPr>
          <w:rFonts w:hint="eastAsia"/>
        </w:rPr>
        <w:t>（三）“三公”经费实物量情况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0</w:t>
      </w:r>
      <w:r>
        <w:t>批次</w:t>
      </w:r>
      <w:r>
        <w:rPr>
          <w:rFonts w:hint="default"/>
        </w:rPr>
        <w:t>0</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0</w:t>
      </w:r>
      <w:r>
        <w:rPr>
          <w:rFonts w:hint="eastAsia"/>
          <w:lang w:val="en-US" w:eastAsia="zh-CN"/>
        </w:rPr>
        <w:t>.00</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t>本年度会议费支出</w:t>
      </w:r>
      <w:r>
        <w:rPr>
          <w:rFonts w:hint="default"/>
        </w:rPr>
        <w:t>0.00</w:t>
      </w:r>
      <w:r>
        <w:t>万元，</w:t>
      </w:r>
      <w:r>
        <w:rPr>
          <w:rFonts w:hint="default"/>
        </w:rPr>
        <w:t>与2023年度相比，无增减</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w:t>
      </w:r>
      <w:r>
        <w:rPr>
          <w:rFonts w:hint="default"/>
          <w:lang w:val="en-US" w:eastAsia="zh-CN"/>
        </w:rPr>
        <w:t>会议费</w:t>
      </w:r>
      <w:r>
        <w:rPr>
          <w:rFonts w:hint="eastAsia"/>
          <w:lang w:val="en-US" w:eastAsia="zh-CN"/>
        </w:rPr>
        <w:t>。</w:t>
      </w:r>
      <w:r>
        <w:t>本年度培训费支出</w:t>
      </w:r>
      <w:r>
        <w:rPr>
          <w:rFonts w:hint="default"/>
        </w:rPr>
        <w:t>0.13</w:t>
      </w:r>
      <w:r>
        <w:t>万元，</w:t>
      </w:r>
      <w:r>
        <w:rPr>
          <w:rFonts w:hint="default"/>
        </w:rPr>
        <w:t>与2023年度相比，减少0.06万元，下降31.6%</w:t>
      </w:r>
      <w:r>
        <w:t>，主要原因是</w:t>
      </w:r>
      <w:r>
        <w:rPr>
          <w:rFonts w:hint="eastAsia"/>
          <w:lang w:val="en-US" w:eastAsia="zh-CN"/>
        </w:rPr>
        <w:t>严格落实政府过紧日子要求，严控支出。</w:t>
      </w:r>
      <w:r>
        <w:t>本年度差旅费支出</w:t>
      </w:r>
      <w:r>
        <w:rPr>
          <w:rFonts w:hint="default"/>
        </w:rPr>
        <w:t>0.00</w:t>
      </w:r>
      <w:r>
        <w:t>万元，</w:t>
      </w:r>
      <w:r>
        <w:rPr>
          <w:rFonts w:hint="default"/>
        </w:rPr>
        <w:t>与2023年度相比，无变化</w:t>
      </w:r>
      <w:r>
        <w:t>，主要原因是</w:t>
      </w:r>
      <w:r>
        <w:rPr>
          <w:rFonts w:hint="eastAsia"/>
          <w:lang w:val="en-US" w:eastAsia="zh-CN"/>
        </w:rPr>
        <w:t>本单位属于秀山县应急管理局下属二级单位，相关</w:t>
      </w:r>
      <w:r>
        <w:rPr>
          <w:rFonts w:hint="default"/>
          <w:lang w:val="en-US" w:eastAsia="zh-CN"/>
        </w:rPr>
        <w:t>支出</w:t>
      </w:r>
      <w:r>
        <w:rPr>
          <w:rFonts w:hint="eastAsia"/>
          <w:lang w:val="en-US" w:eastAsia="zh-CN"/>
        </w:rPr>
        <w:t>由秀山县应急管理局支出，未使用财政资金保障差旅费。</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（二）机关运行经费情况说明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default"/>
          <w:lang w:val="en-US" w:eastAsia="zh-CN"/>
        </w:rPr>
        <w:t>按照部门决算列报口径，我单位不在机关运行经费统计范围之内。</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lang w:val="en-US" w:eastAsia="zh-CN"/>
        </w:rPr>
        <w:t>因</w:t>
      </w:r>
      <w:r>
        <w:rPr>
          <w:rFonts w:hint="eastAsia"/>
          <w:lang w:val="en-US" w:eastAsia="zh-CN"/>
        </w:rPr>
        <w:t>本单位是秀山县应急管理局下属二级单位，</w:t>
      </w:r>
      <w:r>
        <w:rPr>
          <w:rFonts w:hint="default"/>
          <w:lang w:val="en-US" w:eastAsia="zh-CN"/>
        </w:rPr>
        <w:t>我单位资产未纳入部门决算报表</w:t>
      </w:r>
      <w:r>
        <w:rPr>
          <w:rFonts w:hint="eastAsia"/>
          <w:lang w:val="en-US" w:eastAsia="zh-CN"/>
        </w:rPr>
        <w:t>。</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ascii="Times New Roman" w:hAnsi="Times New Roman" w:eastAsia="方正仿宋_GBK" w:cs="Times New Roman"/>
          <w:kern w:val="0"/>
          <w:sz w:val="32"/>
          <w:szCs w:val="32"/>
          <w:lang w:val="en-US" w:eastAsia="zh-CN" w:bidi="ar"/>
        </w:rPr>
      </w:pPr>
      <w:r>
        <w:rPr>
          <w:rFonts w:hint="eastAsia"/>
          <w:lang w:val="en-US" w:eastAsia="zh-CN"/>
        </w:rPr>
        <w:t>2024年度我单位未发生政府采购事项，无相关经费支出。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ascii="方正楷体_GBK" w:hAnsi="方正楷体_GBK" w:eastAsia="方正楷体_GBK" w:cs="方正楷体_GBK"/>
          <w:szCs w:val="32"/>
          <w:lang w:val="en-US" w:eastAsia="zh-CN"/>
        </w:rPr>
      </w:pPr>
      <w:r>
        <w:rPr>
          <w:rFonts w:hint="eastAsia"/>
          <w:lang w:val="en-US" w:eastAsia="zh-CN"/>
        </w:rPr>
        <w:t>（一）单位自评情况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我单位是秀山县应急管理局下属二级单位，无项目支出，故未开展项目绩效自评。</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ascii="方正楷体_GBK" w:hAnsi="方正楷体_GBK" w:eastAsia="方正楷体_GBK" w:cs="方正楷体_GBK"/>
          <w:szCs w:val="32"/>
          <w:lang w:val="en-US" w:eastAsia="zh-CN"/>
        </w:rPr>
      </w:pPr>
      <w:r>
        <w:rPr>
          <w:rFonts w:hint="eastAsia"/>
          <w:lang w:val="en-US" w:eastAsia="zh-CN"/>
        </w:rPr>
        <w:t>（二）单位绩效评价情况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ascii="Times New Roman" w:hAnsi="Times New Roman" w:eastAsia="方正仿宋_GBK"/>
          <w:bCs/>
          <w:szCs w:val="32"/>
          <w:lang w:bidi="ar"/>
        </w:rPr>
      </w:pPr>
      <w:r>
        <w:rPr>
          <w:rFonts w:hint="eastAsia"/>
          <w:lang w:val="en-US" w:eastAsia="zh-CN"/>
        </w:rPr>
        <w:t>我单位未组织开展绩效评价</w:t>
      </w:r>
      <w:r>
        <w:rPr>
          <w:rFonts w:hint="eastAsia"/>
        </w:rPr>
        <w:t>。</w:t>
      </w:r>
    </w:p>
    <w:p>
      <w:pPr>
        <w:pStyle w:val="19"/>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ascii="方正楷体_GBK" w:hAnsi="方正楷体_GBK" w:eastAsia="方正楷体_GBK" w:cs="方正楷体_GBK"/>
          <w:szCs w:val="32"/>
          <w:lang w:val="en-US" w:eastAsia="zh-CN"/>
        </w:rPr>
      </w:pPr>
      <w:r>
        <w:rPr>
          <w:rFonts w:hint="eastAsia"/>
          <w:lang w:val="en-US" w:eastAsia="zh-CN"/>
        </w:rPr>
        <w:t>（三）财政绩效评价情况</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县</w:t>
      </w:r>
      <w:r>
        <w:rPr>
          <w:rFonts w:hint="eastAsia"/>
        </w:rPr>
        <w:t>财政局未委托第三方对我单位开展绩效评价。</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eastAsia="zh-CN"/>
        </w:rPr>
        <w:t>六</w:t>
      </w:r>
      <w:r>
        <w:t>、专业名词解释</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（一）财政拨款收入：</w:t>
      </w:r>
      <w:r>
        <w:rPr>
          <w:rStyle w:val="22"/>
        </w:rPr>
        <w:t>指本年度从本级财政部门取得的财政拨款。</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（七）结余分配：</w:t>
      </w:r>
      <w:r>
        <w:rPr>
          <w:rStyle w:val="22"/>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（十）项目支出：</w:t>
      </w:r>
      <w:r>
        <w:rPr>
          <w:rStyle w:val="22"/>
        </w:rPr>
        <w:t>指在基本支出之外为完成特定行政任务和事业发展目标所发生的支出。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（十一）经营支出：</w:t>
      </w:r>
      <w:r>
        <w:rPr>
          <w:rStyle w:val="22"/>
        </w:rPr>
        <w:t>指事业单位在专业业务活动及其辅助活动之外开展非独立核算经营活动发生的支出。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（十二）“三公”经费：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1"/>
        </w:rPr>
        <w:t>（十六）对个人和家庭的补助（支出经济分类科目类级）：</w:t>
      </w:r>
      <w:r>
        <w:rPr>
          <w:rStyle w:val="22"/>
        </w:rPr>
        <w:t>反映用于对个人和家庭的补助支出。</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1"/>
        </w:rPr>
        <w:t>（十七）其他资本性支出（支出经济分类科目类级）：</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2"/>
        </w:rPr>
        <w:t>反映非各级发展与改革部门集中安排的用于购置固定</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default"/>
        </w:rPr>
      </w:pPr>
      <w:r>
        <w:rPr>
          <w:rStyle w:val="22"/>
        </w:rPr>
        <w:t>资产、战略性和应急性储备、土地和无形资产，以及构建基础设施、大型修缮和财政支持企业更新改造所发生的支出。</w:t>
      </w:r>
    </w:p>
    <w:p>
      <w:pPr>
        <w:pStyle w:val="18"/>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20"/>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方正仿宋_GBK" w:cs="Times New Roman"/>
          <w:kern w:val="0"/>
          <w:szCs w:val="32"/>
          <w:lang w:val="en-US" w:bidi="ar"/>
        </w:rPr>
        <w:sectPr>
          <w:footerReference r:id="rId3" w:type="default"/>
          <w:pgSz w:w="11915" w:h="16840"/>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rPr>
          <w:rFonts w:hint="default" w:cs="宋体"/>
          <w:sz w:val="21"/>
          <w:szCs w:val="21"/>
        </w:rPr>
      </w:pPr>
    </w:p>
    <w:tbl>
      <w:tblPr>
        <w:tblStyle w:val="8"/>
        <w:tblW w:w="15393" w:type="dxa"/>
        <w:tblInd w:w="0" w:type="dxa"/>
        <w:tblLayout w:type="fixed"/>
        <w:tblCellMar>
          <w:top w:w="0" w:type="dxa"/>
          <w:left w:w="0" w:type="dxa"/>
          <w:bottom w:w="0" w:type="dxa"/>
          <w:right w:w="0" w:type="dxa"/>
        </w:tblCellMar>
      </w:tblPr>
      <w:tblGrid>
        <w:gridCol w:w="5230"/>
        <w:gridCol w:w="1984"/>
        <w:gridCol w:w="4773"/>
        <w:gridCol w:w="3406"/>
      </w:tblGrid>
      <w:tr>
        <w:tblPrEx>
          <w:tblLayout w:type="fixed"/>
          <w:tblCellMar>
            <w:top w:w="0" w:type="dxa"/>
            <w:left w:w="0" w:type="dxa"/>
            <w:bottom w:w="0" w:type="dxa"/>
            <w:right w:w="0" w:type="dxa"/>
          </w:tblCellMar>
        </w:tblPrEx>
        <w:trPr>
          <w:trHeight w:val="690" w:hRule="atLeast"/>
        </w:trPr>
        <w:tc>
          <w:tcPr>
            <w:tcW w:w="15393" w:type="dxa"/>
            <w:gridSpan w:val="4"/>
            <w:tcBorders>
              <w:top w:val="nil"/>
              <w:left w:val="nil"/>
              <w:bottom w:val="nil"/>
              <w:right w:val="nil"/>
              <w:tl2br w:val="nil"/>
            </w:tcBorders>
            <w:shd w:val="clear" w:color="auto" w:fill="FFFFFF"/>
            <w:tcMar>
              <w:top w:w="15" w:type="dxa"/>
              <w:left w:w="15" w:type="dxa"/>
              <w:right w:w="15" w:type="dxa"/>
            </w:tcMar>
            <w:vAlign w:val="bottom"/>
          </w:tcPr>
          <w:p>
            <w:pPr>
              <w:spacing w:line="400" w:lineRule="exact"/>
              <w:jc w:val="center"/>
              <w:textAlignment w:val="bottom"/>
              <w:rPr>
                <w:rFonts w:cs="宋体"/>
                <w:b w:val="0"/>
                <w:color w:val="000000"/>
                <w:sz w:val="32"/>
                <w:szCs w:val="32"/>
              </w:rPr>
            </w:pPr>
            <w:r>
              <w:rPr>
                <w:rFonts w:cs="宋体"/>
                <w:b w:val="0"/>
                <w:color w:val="000000"/>
                <w:sz w:val="32"/>
                <w:szCs w:val="32"/>
              </w:rPr>
              <w:t>收入支出决算总表</w:t>
            </w:r>
          </w:p>
          <w:p>
            <w:pPr>
              <w:spacing w:line="280" w:lineRule="exact"/>
              <w:jc w:val="right"/>
              <w:textAlignment w:val="bottom"/>
              <w:rPr>
                <w:rFonts w:hint="default" w:cs="宋体"/>
                <w:b w:val="0"/>
                <w:color w:val="000000"/>
                <w:sz w:val="20"/>
                <w:szCs w:val="20"/>
              </w:rPr>
            </w:pPr>
            <w:r>
              <w:rPr>
                <w:rFonts w:cs="宋体"/>
                <w:b w:val="0"/>
                <w:color w:val="000000"/>
                <w:sz w:val="20"/>
                <w:szCs w:val="20"/>
              </w:rPr>
              <w:t>公开01表</w:t>
            </w:r>
          </w:p>
        </w:tc>
      </w:tr>
      <w:tr>
        <w:tblPrEx>
          <w:tblLayout w:type="fixed"/>
          <w:tblCellMar>
            <w:top w:w="0" w:type="dxa"/>
            <w:left w:w="0" w:type="dxa"/>
            <w:bottom w:w="0" w:type="dxa"/>
            <w:right w:w="0" w:type="dxa"/>
          </w:tblCellMar>
        </w:tblPrEx>
        <w:trPr>
          <w:trHeight w:val="312" w:hRule="atLeast"/>
        </w:trPr>
        <w:tc>
          <w:tcPr>
            <w:tcW w:w="5230" w:type="dxa"/>
            <w:tcBorders>
              <w:top w:val="nil"/>
              <w:left w:val="nil"/>
              <w:bottom w:val="single" w:color="auto" w:sz="4" w:space="0"/>
              <w:right w:val="nil"/>
            </w:tcBorders>
            <w:shd w:val="clear" w:color="auto" w:fill="FFFFFF"/>
            <w:tcMar>
              <w:top w:w="15" w:type="dxa"/>
              <w:left w:w="15" w:type="dxa"/>
              <w:right w:w="15" w:type="dxa"/>
            </w:tcMar>
            <w:vAlign w:val="bottom"/>
          </w:tcPr>
          <w:p>
            <w:pPr>
              <w:spacing w:line="280" w:lineRule="exact"/>
              <w:textAlignment w:val="bottom"/>
              <w:rPr>
                <w:rFonts w:hint="default" w:cs="宋体"/>
                <w:b w:val="0"/>
                <w:color w:val="000000"/>
                <w:sz w:val="20"/>
                <w:szCs w:val="20"/>
              </w:rPr>
            </w:pPr>
            <w:r>
              <w:rPr>
                <w:rFonts w:cs="宋体"/>
                <w:b w:val="0"/>
                <w:color w:val="000000"/>
                <w:sz w:val="20"/>
                <w:szCs w:val="20"/>
              </w:rPr>
              <w:t>公开单位：</w:t>
            </w:r>
            <w:r>
              <w:rPr>
                <w:b w:val="0"/>
                <w:color w:val="000000"/>
                <w:sz w:val="20"/>
                <w:u w:color="auto"/>
              </w:rPr>
              <w:t>重庆市秀山土家族苗族自治县应急宣传教育中心</w:t>
            </w:r>
          </w:p>
        </w:tc>
        <w:tc>
          <w:tcPr>
            <w:tcW w:w="1984" w:type="dxa"/>
            <w:tcBorders>
              <w:top w:val="nil"/>
              <w:left w:val="nil"/>
              <w:bottom w:val="single" w:color="auto" w:sz="4" w:space="0"/>
              <w:right w:val="nil"/>
            </w:tcBorders>
            <w:shd w:val="clear" w:color="auto" w:fill="FFFFFF"/>
            <w:tcMar>
              <w:top w:w="15" w:type="dxa"/>
              <w:left w:w="15" w:type="dxa"/>
              <w:right w:w="15" w:type="dxa"/>
            </w:tcMar>
            <w:vAlign w:val="bottom"/>
          </w:tcPr>
          <w:p>
            <w:pPr>
              <w:spacing w:line="200" w:lineRule="exact"/>
              <w:jc w:val="right"/>
              <w:rPr>
                <w:rFonts w:hint="default" w:ascii="Arial" w:hAnsi="Arial" w:cs="Arial"/>
                <w:b w:val="0"/>
                <w:color w:val="000000"/>
                <w:sz w:val="22"/>
                <w:szCs w:val="22"/>
              </w:rPr>
            </w:pPr>
          </w:p>
        </w:tc>
        <w:tc>
          <w:tcPr>
            <w:tcW w:w="4773" w:type="dxa"/>
            <w:tcBorders>
              <w:top w:val="nil"/>
              <w:left w:val="nil"/>
              <w:bottom w:val="single" w:color="auto" w:sz="4" w:space="0"/>
              <w:right w:val="nil"/>
            </w:tcBorders>
            <w:shd w:val="clear" w:color="auto" w:fill="FFFFFF"/>
            <w:tcMar>
              <w:top w:w="15" w:type="dxa"/>
              <w:left w:w="15" w:type="dxa"/>
              <w:right w:w="15" w:type="dxa"/>
            </w:tcMar>
            <w:vAlign w:val="bottom"/>
          </w:tcPr>
          <w:p>
            <w:pPr>
              <w:spacing w:line="200" w:lineRule="exact"/>
              <w:rPr>
                <w:rFonts w:hint="default" w:ascii="Arial" w:hAnsi="Arial" w:cs="Arial"/>
                <w:b w:val="0"/>
                <w:color w:val="000000"/>
                <w:sz w:val="22"/>
                <w:szCs w:val="22"/>
              </w:rPr>
            </w:pPr>
          </w:p>
        </w:tc>
        <w:tc>
          <w:tcPr>
            <w:tcW w:w="3406" w:type="dxa"/>
            <w:tcBorders>
              <w:top w:val="nil"/>
              <w:left w:val="nil"/>
              <w:bottom w:val="single" w:color="auto" w:sz="4" w:space="0"/>
              <w:right w:val="nil"/>
            </w:tcBorders>
            <w:shd w:val="clear" w:color="auto" w:fill="FFFFFF"/>
            <w:tcMar>
              <w:top w:w="15" w:type="dxa"/>
              <w:left w:w="15" w:type="dxa"/>
              <w:right w:w="15" w:type="dxa"/>
            </w:tcMar>
            <w:vAlign w:val="bottom"/>
          </w:tcPr>
          <w:p>
            <w:pPr>
              <w:spacing w:line="280" w:lineRule="exact"/>
              <w:jc w:val="right"/>
              <w:textAlignment w:val="bottom"/>
              <w:rPr>
                <w:rFonts w:hint="default" w:cs="宋体"/>
                <w:b w:val="0"/>
                <w:color w:val="000000"/>
                <w:sz w:val="20"/>
                <w:szCs w:val="20"/>
              </w:rPr>
            </w:pPr>
            <w:r>
              <w:rPr>
                <w:rFonts w:cs="宋体"/>
                <w:b w:val="0"/>
                <w:color w:val="000000"/>
                <w:sz w:val="20"/>
                <w:szCs w:val="20"/>
              </w:rPr>
              <w:t>单位：万元</w:t>
            </w:r>
          </w:p>
        </w:tc>
      </w:tr>
      <w:tr>
        <w:tblPrEx>
          <w:tblLayout w:type="fixed"/>
          <w:tblCellMar>
            <w:top w:w="0" w:type="dxa"/>
            <w:left w:w="0" w:type="dxa"/>
            <w:bottom w:w="0" w:type="dxa"/>
            <w:right w:w="0" w:type="dxa"/>
          </w:tblCellMar>
        </w:tblPrEx>
        <w:trPr>
          <w:trHeight w:val="243" w:hRule="atLeast"/>
        </w:trPr>
        <w:tc>
          <w:tcPr>
            <w:tcW w:w="7214"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收入</w:t>
            </w:r>
          </w:p>
        </w:tc>
        <w:tc>
          <w:tcPr>
            <w:tcW w:w="8179"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支出</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项目</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决算数</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功能分类科目</w:t>
            </w:r>
          </w:p>
        </w:tc>
        <w:tc>
          <w:tcPr>
            <w:tcW w:w="34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决算数</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一、一般公共预算财政拨款收入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62.59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一、一般公共服务支出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二、政府性基金预算财政拨款收入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二、外交支出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三、国有资本经营预算财政拨款收入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三、国防支出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四、上级补助收入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四、公共安全支出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五、事业收入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五、教育支出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六、经营收入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六、科学技术支出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七、附属单位上缴收入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七、文化旅游体育与传媒支出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八、其他收入</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八、社会保障和就业支出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7.78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九、卫生健康支出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2.64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十、节能环保支出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十一、城乡社区支出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十二、农林水支出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十三、交通运输支出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十四、资源勘探工业信息等支出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十五、商业服务业等支出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十六、金融支出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十七、援助其他地区支出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十八、自然资源海洋气象等支出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十九、住房保障支出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4.93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二十、粮油物资储备支出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二十一、国有资本经营预算支出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二十二、灾害防治及应急管理支出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47.24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二十三、其他支出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二十四、债务还本支出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二十五、债务付息支出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二十六、抗疫特别国债安排的支出</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本年收入合计</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62.59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本年支出合计</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62.59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使用非财政拨款结余和专用结余</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结余分配</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4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年初结转和结余</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年末结转和结余</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 </w:t>
            </w:r>
          </w:p>
        </w:tc>
      </w:tr>
      <w:tr>
        <w:tblPrEx>
          <w:tblLayout w:type="fixed"/>
          <w:tblCellMar>
            <w:top w:w="0" w:type="dxa"/>
            <w:left w:w="0" w:type="dxa"/>
            <w:bottom w:w="0" w:type="dxa"/>
            <w:right w:w="0" w:type="dxa"/>
          </w:tblCellMar>
        </w:tblPrEx>
        <w:trPr>
          <w:trHeight w:val="253" w:hRule="atLeast"/>
        </w:trPr>
        <w:tc>
          <w:tcPr>
            <w:tcW w:w="5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总计</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62.59 </w:t>
            </w:r>
          </w:p>
        </w:tc>
        <w:tc>
          <w:tcPr>
            <w:tcW w:w="47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总计</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textAlignment w:val="center"/>
              <w:rPr>
                <w:rFonts w:hint="eastAsia" w:ascii="宋体" w:hAnsi="宋体" w:eastAsia="宋体" w:cs="宋体"/>
                <w:b/>
                <w:bCs w:val="0"/>
                <w:color w:val="000000"/>
                <w:sz w:val="20"/>
                <w:szCs w:val="20"/>
                <w:shd w:val="clear" w:color="auto" w:fill="auto"/>
              </w:rPr>
            </w:pPr>
            <w:r>
              <w:rPr>
                <w:rFonts w:hint="eastAsia" w:ascii="宋体" w:hAnsi="宋体" w:eastAsia="宋体" w:cs="宋体"/>
                <w:b/>
                <w:bCs w:val="0"/>
                <w:color w:val="000000"/>
                <w:sz w:val="20"/>
                <w:szCs w:val="20"/>
                <w:shd w:val="clear" w:color="auto" w:fill="auto"/>
              </w:rPr>
              <w:t xml:space="preserve">62.59 </w:t>
            </w:r>
          </w:p>
        </w:tc>
      </w:tr>
    </w:tbl>
    <w:p>
      <w:pPr>
        <w:spacing w:line="240" w:lineRule="exact"/>
        <w:rPr>
          <w:rFonts w:hint="default" w:cs="宋体"/>
          <w:sz w:val="20"/>
          <w:szCs w:val="20"/>
        </w:rPr>
      </w:pPr>
      <w:r>
        <w:rPr>
          <w:rFonts w:hint="eastAsia" w:ascii="宋体" w:hAnsi="宋体" w:eastAsia="宋体" w:cs="宋体"/>
          <w:b/>
          <w:bCs w:val="0"/>
          <w:sz w:val="20"/>
          <w:szCs w:val="20"/>
        </w:rPr>
        <w:t>备注：1.本表反映单位本年度的总收支和年末结转结余情况。</w:t>
      </w:r>
      <w:r>
        <w:rPr>
          <w:rFonts w:hint="eastAsia" w:ascii="宋体" w:hAnsi="宋体" w:eastAsia="宋体" w:cs="宋体"/>
          <w:b/>
          <w:bCs w:val="0"/>
          <w:sz w:val="20"/>
          <w:szCs w:val="20"/>
        </w:rPr>
        <w:br w:type="textWrapping"/>
      </w:r>
      <w:r>
        <w:rPr>
          <w:rFonts w:hint="eastAsia" w:ascii="宋体" w:hAnsi="宋体" w:eastAsia="宋体" w:cs="宋体"/>
          <w:b/>
          <w:bCs w:val="0"/>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378" w:type="dxa"/>
        <w:tblInd w:w="0" w:type="dxa"/>
        <w:tblLayout w:type="fixed"/>
        <w:tblCellMar>
          <w:top w:w="0" w:type="dxa"/>
          <w:left w:w="0" w:type="dxa"/>
          <w:bottom w:w="0" w:type="dxa"/>
          <w:right w:w="0" w:type="dxa"/>
        </w:tblCellMar>
      </w:tblPr>
      <w:tblGrid>
        <w:gridCol w:w="1702"/>
        <w:gridCol w:w="3787"/>
        <w:gridCol w:w="617"/>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8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u w:color="auto"/>
              </w:rPr>
              <w:t>重庆市秀山土家族苗族自治县应急宣传教育中心</w:t>
            </w:r>
          </w:p>
        </w:tc>
        <w:tc>
          <w:tcPr>
            <w:tcW w:w="6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48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6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489" w:type="dxa"/>
            <w:gridSpan w:val="2"/>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right w:w="15" w:type="dxa"/>
            </w:tcMar>
            <w:vAlign w:val="bottom"/>
          </w:tcPr>
          <w:p>
            <w:pPr>
              <w:jc w:val="center"/>
              <w:textAlignment w:val="bottom"/>
              <w:rPr>
                <w:rFonts w:hint="default" w:cs="宋体"/>
                <w:b/>
                <w:bCs/>
                <w:color w:val="000000"/>
                <w:sz w:val="20"/>
                <w:szCs w:val="20"/>
              </w:rPr>
            </w:pPr>
            <w:r>
              <w:rPr>
                <w:rFonts w:cs="宋体"/>
                <w:b/>
                <w:bCs/>
                <w:color w:val="000000"/>
                <w:sz w:val="20"/>
                <w:szCs w:val="20"/>
              </w:rPr>
              <w:t>项目</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cs="宋体"/>
                <w:b/>
                <w:bCs/>
                <w:color w:val="000000"/>
                <w:sz w:val="20"/>
                <w:szCs w:val="20"/>
              </w:rPr>
            </w:pPr>
            <w:r>
              <w:rPr>
                <w:rFonts w:cs="宋体"/>
                <w:b/>
                <w:bCs/>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功能分类科目编码</w:t>
            </w:r>
          </w:p>
        </w:tc>
        <w:tc>
          <w:tcPr>
            <w:tcW w:w="378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项目（按“项”级功能分类科目）</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7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7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12"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7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8" w:hRule="atLeast"/>
        </w:trPr>
        <w:tc>
          <w:tcPr>
            <w:tcW w:w="548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7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8"/>
        <w:tblW w:w="15378" w:type="dxa"/>
        <w:tblInd w:w="0" w:type="dxa"/>
        <w:tblLayout w:type="fixed"/>
        <w:tblCellMar>
          <w:top w:w="0" w:type="dxa"/>
          <w:left w:w="0" w:type="dxa"/>
          <w:bottom w:w="0" w:type="dxa"/>
          <w:right w:w="0" w:type="dxa"/>
        </w:tblCellMar>
      </w:tblPr>
      <w:tblGrid>
        <w:gridCol w:w="1862"/>
        <w:gridCol w:w="3468"/>
        <w:gridCol w:w="1672"/>
        <w:gridCol w:w="1672"/>
        <w:gridCol w:w="1672"/>
        <w:gridCol w:w="1656"/>
        <w:gridCol w:w="1657"/>
        <w:gridCol w:w="1719"/>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33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重庆市秀山土家族苗族自治县应急宣传教育中心 </w:t>
            </w: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33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330" w:type="dxa"/>
            <w:gridSpan w:val="2"/>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right w:w="15" w:type="dxa"/>
            </w:tcMar>
            <w:vAlign w:val="bottom"/>
          </w:tcPr>
          <w:p>
            <w:pPr>
              <w:jc w:val="center"/>
              <w:textAlignment w:val="bottom"/>
              <w:rPr>
                <w:rFonts w:hint="default" w:cs="宋体"/>
                <w:b/>
                <w:bCs/>
                <w:color w:val="000000"/>
                <w:sz w:val="20"/>
                <w:szCs w:val="20"/>
              </w:rPr>
            </w:pPr>
            <w:r>
              <w:rPr>
                <w:rFonts w:cs="宋体"/>
                <w:b/>
                <w:bCs/>
                <w:color w:val="000000"/>
                <w:sz w:val="20"/>
                <w:szCs w:val="20"/>
              </w:rPr>
              <w:t>项目</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本年支出合计</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基本支出</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项目支出</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上缴上级支出</w:t>
            </w:r>
          </w:p>
        </w:tc>
        <w:tc>
          <w:tcPr>
            <w:tcW w:w="165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经营支出</w:t>
            </w:r>
          </w:p>
        </w:tc>
        <w:tc>
          <w:tcPr>
            <w:tcW w:w="171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功能分类科目编码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项目（按“项”级功能分类科目）</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8"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8"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8"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62" w:hRule="atLeast"/>
        </w:trPr>
        <w:tc>
          <w:tcPr>
            <w:tcW w:w="5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7.78</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6.17</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6.17</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2.64</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2.64</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4.93</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4.93</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4.93</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47.24</w:t>
            </w:r>
            <w:r>
              <w:rPr>
                <w:b/>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47.24</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47.24</w:t>
            </w: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3524"/>
        <w:gridCol w:w="1806"/>
        <w:gridCol w:w="3026"/>
        <w:gridCol w:w="1535"/>
        <w:gridCol w:w="1535"/>
        <w:gridCol w:w="1535"/>
        <w:gridCol w:w="1771"/>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5330"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302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71"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5330"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02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7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21" w:hRule="atLeast"/>
        </w:trPr>
        <w:tc>
          <w:tcPr>
            <w:tcW w:w="5330" w:type="dxa"/>
            <w:gridSpan w:val="2"/>
            <w:tcBorders>
              <w:top w:val="single" w:color="000000" w:sz="4" w:space="0"/>
              <w:left w:val="single" w:color="000000" w:sz="4" w:space="0"/>
              <w:bottom w:val="single" w:color="000000" w:sz="4" w:space="0"/>
              <w:right w:val="single" w:color="000000" w:sz="4" w:space="0"/>
              <w:tl2br w:val="nil"/>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收     入</w:t>
            </w:r>
          </w:p>
        </w:tc>
        <w:tc>
          <w:tcPr>
            <w:tcW w:w="940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支     出</w:t>
            </w:r>
          </w:p>
        </w:tc>
      </w:tr>
      <w:tr>
        <w:tblPrEx>
          <w:tblLayout w:type="fixed"/>
          <w:tblCellMar>
            <w:top w:w="0" w:type="dxa"/>
            <w:left w:w="0" w:type="dxa"/>
            <w:bottom w:w="0" w:type="dxa"/>
            <w:right w:w="0" w:type="dxa"/>
          </w:tblCellMar>
        </w:tblPrEx>
        <w:trPr>
          <w:trHeight w:val="90" w:hRule="atLeast"/>
        </w:trPr>
        <w:tc>
          <w:tcPr>
            <w:tcW w:w="352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项目</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决算数</w:t>
            </w:r>
          </w:p>
        </w:tc>
        <w:tc>
          <w:tcPr>
            <w:tcW w:w="302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功能分类科目</w:t>
            </w:r>
          </w:p>
        </w:tc>
        <w:tc>
          <w:tcPr>
            <w:tcW w:w="637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决算数</w:t>
            </w:r>
          </w:p>
        </w:tc>
      </w:tr>
      <w:tr>
        <w:tblPrEx>
          <w:tblLayout w:type="fixed"/>
          <w:tblCellMar>
            <w:top w:w="0" w:type="dxa"/>
            <w:left w:w="0" w:type="dxa"/>
            <w:bottom w:w="0" w:type="dxa"/>
            <w:right w:w="0" w:type="dxa"/>
          </w:tblCellMar>
        </w:tblPrEx>
        <w:trPr>
          <w:trHeight w:val="90" w:hRule="atLeast"/>
        </w:trPr>
        <w:tc>
          <w:tcPr>
            <w:tcW w:w="352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eastAsia" w:ascii="宋体" w:hAnsi="宋体" w:eastAsia="宋体" w:cs="宋体"/>
                <w:b/>
                <w:bCs/>
                <w:color w:val="000000"/>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eastAsia" w:ascii="宋体" w:hAnsi="宋体" w:eastAsia="宋体" w:cs="宋体"/>
                <w:b/>
                <w:bCs/>
                <w:color w:val="000000"/>
                <w:sz w:val="20"/>
                <w:szCs w:val="20"/>
              </w:rPr>
            </w:pPr>
          </w:p>
        </w:tc>
        <w:tc>
          <w:tcPr>
            <w:tcW w:w="302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小计</w:t>
            </w:r>
          </w:p>
        </w:tc>
        <w:tc>
          <w:tcPr>
            <w:tcW w:w="15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一般公共预算财政拨款</w:t>
            </w:r>
          </w:p>
        </w:tc>
        <w:tc>
          <w:tcPr>
            <w:tcW w:w="15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政府性基金预算财政拨款</w:t>
            </w:r>
          </w:p>
        </w:tc>
        <w:tc>
          <w:tcPr>
            <w:tcW w:w="17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国有资本经营预算财政拨款</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一、一般公共预算财政拨款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一、一般公共服务支出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二、政府性基金预算财政拨款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二、外交支出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三、国有资本经营预算财政拨款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三、国防支出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四、公共安全支出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五、教育支出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六、科学技术支出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七、文化旅游体育与传媒支出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八、社会保障和就业支出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7.78</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7.78</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九、卫生健康支出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2.64</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2.64</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十、节能环保支出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十一、城乡社区支出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十二、农林水支出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十三、交通运输支出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十四、资源勘探工业信息等支出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十五、商业服务业等支出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十六、金融支出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十七、援助其他地区支出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十八、自然资源海洋气象等支出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十九、住房保障支出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4.93</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4.93</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二十、粮油物资储备支出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二十一、国有资本经营预算支出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二十二、灾害防治及应急管理支出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47.24</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47.24</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二十三、其他支出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二十四、债务还本支出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二十五、债务付息支出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二十六、抗疫特别国债安排的支出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本年收入合计</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本年支出合计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年初财政拨款结转和结余</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年末财政拨款结转和结余</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一般公共预算财政拨款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eastAsia" w:ascii="宋体" w:hAnsi="宋体" w:eastAsia="宋体" w:cs="宋体"/>
                <w:b/>
                <w:bCs/>
                <w:color w:val="000000"/>
                <w:sz w:val="20"/>
                <w:szCs w:val="20"/>
              </w:rPr>
            </w:pP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政府性基金预算财政拨款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国有资本经营预算财政拨款</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eastAsia" w:ascii="宋体" w:hAnsi="宋体" w:eastAsia="宋体" w:cs="宋体"/>
                <w:b/>
                <w:bCs/>
                <w:color w:val="000000"/>
                <w:sz w:val="20"/>
                <w:szCs w:val="20"/>
              </w:rPr>
            </w:pPr>
          </w:p>
        </w:tc>
      </w:tr>
      <w:tr>
        <w:tblPrEx>
          <w:tblLayout w:type="fixed"/>
          <w:tblCellMar>
            <w:top w:w="0" w:type="dxa"/>
            <w:left w:w="0" w:type="dxa"/>
            <w:bottom w:w="0" w:type="dxa"/>
            <w:right w:w="0" w:type="dxa"/>
          </w:tblCellMar>
        </w:tblPrEx>
        <w:trPr>
          <w:trHeight w:val="90" w:hRule="atLeast"/>
        </w:trPr>
        <w:tc>
          <w:tcPr>
            <w:tcW w:w="35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总计</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3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总计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62.59</w:t>
            </w:r>
            <w:r>
              <w:rPr>
                <w:rFonts w:hint="eastAsia" w:ascii="宋体" w:hAnsi="宋体" w:eastAsia="宋体" w:cs="宋体"/>
                <w:b/>
                <w:bCs/>
                <w:color w:val="000000"/>
                <w:sz w:val="20"/>
                <w:szCs w:val="20"/>
                <w:u w:color="auto"/>
              </w:rPr>
              <w:t xml:space="preserve"> </w:t>
            </w:r>
          </w:p>
        </w:tc>
        <w:tc>
          <w:tcPr>
            <w:tcW w:w="15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l2br w:val="nil"/>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w:t>
            </w:r>
          </w:p>
        </w:tc>
        <w:tc>
          <w:tcPr>
            <w:tcW w:w="99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功能分类科目编码</w:t>
            </w:r>
          </w:p>
        </w:tc>
        <w:tc>
          <w:tcPr>
            <w:tcW w:w="354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项目（按“项”级功能分类科目）</w:t>
            </w:r>
          </w:p>
        </w:tc>
        <w:tc>
          <w:tcPr>
            <w:tcW w:w="331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331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基本支出</w:t>
            </w:r>
          </w:p>
        </w:tc>
        <w:tc>
          <w:tcPr>
            <w:tcW w:w="333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54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54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3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cs="宋体"/>
                <w:b/>
                <w:bCs/>
                <w:color w:val="000000"/>
                <w:sz w:val="20"/>
                <w:szCs w:val="20"/>
              </w:rPr>
              <w:t>62.59</w:t>
            </w:r>
            <w:r>
              <w:rPr>
                <w:b/>
                <w:bCs/>
                <w:color w:val="000000"/>
                <w:sz w:val="20"/>
                <w:u w:color="auto"/>
              </w:rPr>
              <w:t xml:space="preserve"> </w:t>
            </w:r>
          </w:p>
        </w:tc>
        <w:tc>
          <w:tcPr>
            <w:tcW w:w="33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b/>
                <w:bCs/>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7.78</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7.78</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7.78</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6.17</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6.17</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4.93</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4.93</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47.24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47.24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47.24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47.24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47.24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47.24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3251"/>
        <w:gridCol w:w="865"/>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856"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8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856"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l2br w:val="nil"/>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人员经费</w:t>
            </w:r>
          </w:p>
        </w:tc>
        <w:tc>
          <w:tcPr>
            <w:tcW w:w="10639"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经济分类科目编码</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经济分类科目（按“款”级功能分类科目）</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金额</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经济分类科目编码</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经济分类科目（按“款”级功能分类科目）</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金额</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经济分类科目（按“款”级功能分类科目）</w:t>
            </w:r>
          </w:p>
        </w:tc>
        <w:tc>
          <w:tcPr>
            <w:tcW w:w="18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c>
          <w:tcPr>
            <w:tcW w:w="18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rPr>
                <w:rFonts w:hint="default" w:cs="宋体"/>
                <w:b/>
                <w:bCs/>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工资福利支出</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58.80</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3.71</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30101</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基本工资</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12.69</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0.10</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30102</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津贴补贴</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3.30</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0.04</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30103</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奖金</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30106</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伙食补助费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30107</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绩效工资</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24.26</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30108</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机关事业单位基本养老保险缴费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6.17</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30109</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职业年金缴费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1.61</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1.61</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30110</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职工基本医疗保险缴费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2.64</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30111</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公务员医疗补助缴费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30112</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其他社会保障缴费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0.08</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30113</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住房公积金</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4.93</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30114</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医疗费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3.12</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0.15</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30199</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其他工资福利支出</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对个人和家庭的补助</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0.08</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30301</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离休费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0.19</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30302</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退休费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30303</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退职（役）费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30304</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抚恤金</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30305</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生活补助</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0.08</w:t>
            </w: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30306</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救济费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0.69</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30307</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医疗费补助</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30308</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助学金</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0.15</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30309</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奖励金</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0.37</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30310</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个人农业生产补贴</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30311</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代缴社会保险费</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30399</w:t>
            </w: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spacing w:line="200" w:lineRule="exact"/>
              <w:ind w:left="0" w:leftChars="0"/>
              <w:jc w:val="left"/>
              <w:textAlignment w:val="center"/>
              <w:rPr>
                <w:rFonts w:hint="default" w:cs="宋体"/>
                <w:b/>
                <w:bCs/>
                <w:color w:val="000000"/>
                <w:sz w:val="18"/>
                <w:szCs w:val="18"/>
              </w:rPr>
            </w:pPr>
            <w:r>
              <w:rPr>
                <w:rFonts w:cs="宋体"/>
                <w:b/>
                <w:bCs/>
                <w:color w:val="000000"/>
                <w:sz w:val="18"/>
                <w:szCs w:val="18"/>
              </w:rPr>
              <w:t xml:space="preserve">  其他对个人和家庭的补助</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0.40</w:t>
            </w: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default" w:cs="宋体"/>
                <w:b/>
                <w:bCs/>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default" w:cs="宋体"/>
                <w:b/>
                <w:bCs/>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default" w:cs="宋体"/>
                <w:b/>
                <w:bCs/>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2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00" w:lineRule="exact"/>
              <w:rPr>
                <w:rFonts w:hint="default" w:cs="宋体"/>
                <w:b/>
                <w:bCs/>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b/>
                <w:bCs/>
                <w:color w:val="000000"/>
                <w:sz w:val="18"/>
                <w:szCs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rPr>
                <w:rFonts w:hint="default" w:cs="宋体"/>
                <w:b/>
                <w:bCs/>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right"/>
              <w:rPr>
                <w:rFonts w:hint="default" w:cs="宋体"/>
                <w:b/>
                <w:bCs/>
                <w:color w:val="000000"/>
                <w:sz w:val="18"/>
                <w:szCs w:val="18"/>
              </w:rPr>
            </w:pPr>
          </w:p>
        </w:tc>
      </w:tr>
      <w:tr>
        <w:tblPrEx>
          <w:tblLayout w:type="fixed"/>
          <w:tblCellMar>
            <w:top w:w="0" w:type="dxa"/>
            <w:left w:w="0" w:type="dxa"/>
            <w:bottom w:w="0" w:type="dxa"/>
            <w:right w:w="0" w:type="dxa"/>
          </w:tblCellMar>
        </w:tblPrEx>
        <w:trPr>
          <w:trHeight w:val="90" w:hRule="atLeast"/>
        </w:trPr>
        <w:tc>
          <w:tcPr>
            <w:tcW w:w="38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人员经费合计</w:t>
            </w:r>
          </w:p>
        </w:tc>
        <w:tc>
          <w:tcPr>
            <w:tcW w:w="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wordWrap w:val="0"/>
              <w:spacing w:line="200" w:lineRule="exact"/>
              <w:jc w:val="right"/>
              <w:textAlignment w:val="bottom"/>
              <w:rPr>
                <w:rFonts w:hint="default" w:cs="宋体"/>
                <w:b/>
                <w:bCs/>
                <w:color w:val="000000"/>
                <w:sz w:val="18"/>
                <w:szCs w:val="18"/>
              </w:rPr>
            </w:pPr>
            <w:r>
              <w:rPr>
                <w:rFonts w:cs="宋体"/>
                <w:b/>
                <w:bCs/>
                <w:color w:val="000000"/>
                <w:sz w:val="18"/>
                <w:szCs w:val="18"/>
              </w:rPr>
              <w:t>58.88</w:t>
            </w:r>
            <w:r>
              <w:rPr>
                <w:b/>
                <w:bCs/>
                <w:color w:val="000000"/>
                <w:sz w:val="18"/>
                <w:szCs w:val="18"/>
                <w:u w:color="auto"/>
              </w:rPr>
              <w:t xml:space="preserve"> </w:t>
            </w:r>
          </w:p>
        </w:tc>
        <w:tc>
          <w:tcPr>
            <w:tcW w:w="8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公用经费合计</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b/>
                <w:bCs/>
                <w:color w:val="000000"/>
                <w:sz w:val="18"/>
                <w:szCs w:val="18"/>
              </w:rPr>
            </w:pPr>
            <w:r>
              <w:rPr>
                <w:rFonts w:cs="宋体"/>
                <w:b/>
                <w:bCs/>
                <w:color w:val="000000"/>
                <w:sz w:val="18"/>
                <w:szCs w:val="18"/>
              </w:rPr>
              <w:t>3.71</w:t>
            </w:r>
            <w:r>
              <w:rPr>
                <w:b/>
                <w:bCs/>
                <w:color w:val="000000"/>
                <w:sz w:val="18"/>
                <w:szCs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0"/>
        <w:gridCol w:w="3330"/>
        <w:gridCol w:w="1642"/>
        <w:gridCol w:w="1642"/>
        <w:gridCol w:w="1642"/>
        <w:gridCol w:w="1642"/>
        <w:gridCol w:w="1708"/>
        <w:gridCol w:w="177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33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533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330" w:type="dxa"/>
            <w:gridSpan w:val="2"/>
            <w:tcBorders>
              <w:top w:val="single" w:color="000000" w:sz="4" w:space="0"/>
              <w:left w:val="single" w:color="000000" w:sz="4" w:space="0"/>
              <w:bottom w:val="single" w:color="000000" w:sz="4" w:space="0"/>
              <w:right w:val="single" w:color="000000" w:sz="4" w:space="0"/>
              <w:tl2br w:val="nil"/>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年初结转和结余</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本年收入</w:t>
            </w:r>
          </w:p>
        </w:tc>
        <w:tc>
          <w:tcPr>
            <w:tcW w:w="49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本年支出</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20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功能分类科目编码</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项目（按“项”级功能分类科目）</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基本支出</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项目支出</w:t>
            </w:r>
          </w:p>
        </w:tc>
        <w:tc>
          <w:tcPr>
            <w:tcW w:w="17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5" w:hRule="atLeast"/>
        </w:trPr>
        <w:tc>
          <w:tcPr>
            <w:tcW w:w="20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645" w:hRule="atLeast"/>
        </w:trPr>
        <w:tc>
          <w:tcPr>
            <w:tcW w:w="20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9" w:hRule="atLeast"/>
        </w:trPr>
        <w:tc>
          <w:tcPr>
            <w:tcW w:w="5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16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16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16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16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30"/>
        <w:gridCol w:w="3300"/>
        <w:gridCol w:w="3198"/>
        <w:gridCol w:w="122"/>
        <w:gridCol w:w="3397"/>
        <w:gridCol w:w="28"/>
        <w:gridCol w:w="3303"/>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533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31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547"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533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547"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5330" w:type="dxa"/>
            <w:gridSpan w:val="2"/>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right w:w="15" w:type="dxa"/>
            </w:tcMar>
            <w:vAlign w:val="bottom"/>
          </w:tcPr>
          <w:p>
            <w:pPr>
              <w:jc w:val="center"/>
              <w:textAlignment w:val="bottom"/>
              <w:rPr>
                <w:rFonts w:hint="default" w:cs="宋体"/>
                <w:b/>
                <w:bCs/>
                <w:color w:val="000000"/>
                <w:sz w:val="20"/>
                <w:szCs w:val="20"/>
              </w:rPr>
            </w:pPr>
            <w:r>
              <w:rPr>
                <w:rFonts w:cs="宋体"/>
                <w:b/>
                <w:bCs/>
                <w:color w:val="000000"/>
                <w:sz w:val="20"/>
                <w:szCs w:val="20"/>
              </w:rPr>
              <w:t>项目</w:t>
            </w:r>
          </w:p>
        </w:tc>
        <w:tc>
          <w:tcPr>
            <w:tcW w:w="10048"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cs="宋体"/>
                <w:b/>
                <w:bCs/>
                <w:color w:val="000000"/>
                <w:sz w:val="20"/>
                <w:szCs w:val="20"/>
              </w:rPr>
            </w:pPr>
            <w:r>
              <w:rPr>
                <w:rFonts w:cs="宋体"/>
                <w:b/>
                <w:bCs/>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功能分类科目编码</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科目名称</w:t>
            </w:r>
          </w:p>
        </w:tc>
        <w:tc>
          <w:tcPr>
            <w:tcW w:w="33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339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基本支出</w:t>
            </w:r>
          </w:p>
        </w:tc>
        <w:tc>
          <w:tcPr>
            <w:tcW w:w="33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39" w:hRule="atLeast"/>
        </w:trPr>
        <w:tc>
          <w:tcPr>
            <w:tcW w:w="2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326" w:hRule="atLeast"/>
        </w:trPr>
        <w:tc>
          <w:tcPr>
            <w:tcW w:w="2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c>
          <w:tcPr>
            <w:tcW w:w="33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cs="宋体"/>
                <w:b/>
                <w:bCs/>
                <w:color w:val="000000"/>
                <w:sz w:val="20"/>
                <w:szCs w:val="20"/>
              </w:rPr>
            </w:pPr>
          </w:p>
        </w:tc>
      </w:tr>
      <w:tr>
        <w:tblPrEx>
          <w:tblLayout w:type="fixed"/>
          <w:tblCellMar>
            <w:top w:w="0" w:type="dxa"/>
            <w:left w:w="0" w:type="dxa"/>
            <w:bottom w:w="0" w:type="dxa"/>
            <w:right w:w="0" w:type="dxa"/>
          </w:tblCellMar>
        </w:tblPrEx>
        <w:trPr>
          <w:trHeight w:val="611" w:hRule="atLeast"/>
        </w:trPr>
        <w:tc>
          <w:tcPr>
            <w:tcW w:w="5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textAlignment w:val="center"/>
              <w:rPr>
                <w:rFonts w:hint="default" w:cs="宋体"/>
                <w:b/>
                <w:bCs/>
                <w:color w:val="000000"/>
                <w:sz w:val="20"/>
                <w:szCs w:val="20"/>
              </w:rPr>
            </w:pPr>
            <w:r>
              <w:rPr>
                <w:rFonts w:cs="宋体"/>
                <w:b/>
                <w:bCs/>
                <w:color w:val="000000"/>
                <w:sz w:val="20"/>
                <w:szCs w:val="20"/>
              </w:rPr>
              <w:t>合计</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c>
          <w:tcPr>
            <w:tcW w:w="3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eastAsia="宋体" w:cs="宋体"/>
                <w:b/>
                <w:bCs/>
                <w:color w:val="000000"/>
                <w:sz w:val="20"/>
                <w:szCs w:val="20"/>
                <w:lang w:val="en-US" w:eastAsia="zh-CN"/>
              </w:rPr>
            </w:pPr>
          </w:p>
        </w:tc>
        <w:tc>
          <w:tcPr>
            <w:tcW w:w="333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ordWrap w:val="0"/>
              <w:jc w:val="right"/>
              <w:textAlignment w:val="center"/>
              <w:rPr>
                <w:rFonts w:hint="default" w:cs="宋体"/>
                <w:b/>
                <w:bCs/>
                <w:color w:val="000000"/>
                <w:sz w:val="20"/>
                <w:szCs w:val="20"/>
              </w:rPr>
            </w:pPr>
            <w:r>
              <w:rPr>
                <w:rFonts w:hint="eastAsia"/>
                <w:b/>
                <w:bCs/>
                <w:color w:val="000000"/>
                <w:sz w:val="20"/>
                <w:u w:color="auto"/>
                <w:lang w:val="en-US" w:eastAsia="zh-CN"/>
              </w:rPr>
              <w:t>0.00</w:t>
            </w:r>
            <w:r>
              <w:rPr>
                <w:b/>
                <w:bCs/>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重庆市秀山土家族苗族自治县应急宣传教育中心</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000000" w:sz="4" w:space="0"/>
              <w:left w:val="single" w:color="000000" w:sz="4" w:space="0"/>
              <w:bottom w:val="single" w:color="000000" w:sz="4" w:space="0"/>
              <w:right w:val="single" w:color="000000" w:sz="4" w:space="0"/>
              <w:tl2br w:val="nil"/>
            </w:tcBorders>
            <w:shd w:val="clear" w:color="FFFFFF"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项  目</w:t>
            </w:r>
          </w:p>
        </w:tc>
        <w:tc>
          <w:tcPr>
            <w:tcW w:w="22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预算数</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决算数</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项  目</w:t>
            </w:r>
          </w:p>
        </w:tc>
        <w:tc>
          <w:tcPr>
            <w:tcW w:w="2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一、“三公”经费支出</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四、机关运行经费</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（一）支出合计</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（一）行政单位</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1．因公出国（境）费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（二）参照公务员法管理事业单位</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2．公务用车购置及运行维护费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五、资产信息</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（1）公务用车购置费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（一）车辆数合计（辆）</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（2）公务用车运行维护费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1．副部（省）级及以上领导用车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3．公务接待费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2．主要领导干部用车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（1）国内接待费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3．机要通信用车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其中：外事接待费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4．应急保障用车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（2）国（境）外接待费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5．执法执勤用车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（二）相关统计数</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6．特种专业技术用车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1．因公出国（境）团组数（个）</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7．离退休干部用车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2．因公出国（境）人次数（人）</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8．其他用车</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3．公务用车购置数（辆）</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（二）单价100万元（含）以上设备（不含车辆）</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4．公务用车保有量（辆）</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六、政府采购支出信息</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5．国内公务接待批次（个）</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（一）政府采购支出合计</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其中：外事接待批次（个）</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1．政府采购货物支出</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6．国内公务接待人次（人）</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2．政府采购工程支出</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其中：外事接待人次（人）</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3．政府采购服务支出</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7．国（境）外公务接待批次（个）</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（二）政府采购授予中小企业合同金额</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8．国（境）外公务接待人次（人）</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 xml:space="preserve">        其中：授予小微企业合同金额</w:t>
            </w: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二、会议费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rPr>
                <w:rFonts w:hint="default" w:cs="宋体"/>
                <w:b w:val="0"/>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rPr>
                <w:rFonts w:hint="default" w:cs="宋体"/>
                <w:b w:val="0"/>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textAlignment w:val="center"/>
              <w:rPr>
                <w:rFonts w:hint="default" w:cs="宋体"/>
                <w:b w:val="0"/>
                <w:color w:val="000000"/>
                <w:sz w:val="20"/>
                <w:szCs w:val="20"/>
              </w:rPr>
            </w:pPr>
            <w:r>
              <w:rPr>
                <w:rFonts w:cs="宋体"/>
                <w:b w:val="0"/>
                <w:color w:val="000000"/>
                <w:sz w:val="20"/>
                <w:szCs w:val="20"/>
              </w:rPr>
              <w:t>三、培训费</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textAlignment w:val="center"/>
              <w:rPr>
                <w:rFonts w:hint="default" w:cs="宋体"/>
                <w:b w:val="0"/>
                <w:color w:val="000000"/>
                <w:sz w:val="20"/>
                <w:szCs w:val="20"/>
              </w:rPr>
            </w:pPr>
            <w:r>
              <w:rPr>
                <w:rFonts w:cs="宋体"/>
                <w:b w:val="0"/>
                <w:color w:val="000000"/>
                <w:sz w:val="20"/>
                <w:szCs w:val="20"/>
              </w:rPr>
              <w:t>—</w:t>
            </w:r>
          </w:p>
        </w:tc>
        <w:tc>
          <w:tcPr>
            <w:tcW w:w="21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b w:val="0"/>
                <w:color w:val="000000"/>
                <w:sz w:val="20"/>
                <w:szCs w:val="20"/>
              </w:rPr>
            </w:pPr>
            <w:r>
              <w:rPr>
                <w:rFonts w:cs="宋体"/>
                <w:b w:val="0"/>
                <w:color w:val="000000"/>
                <w:sz w:val="20"/>
                <w:szCs w:val="20"/>
              </w:rPr>
              <w:t>0.19</w:t>
            </w:r>
            <w:r>
              <w:rPr>
                <w:b w:val="0"/>
                <w:color w:val="000000"/>
                <w:sz w:val="20"/>
                <w:u w:color="auto"/>
              </w:rPr>
              <w:t xml:space="preserve"> </w:t>
            </w:r>
          </w:p>
        </w:tc>
        <w:tc>
          <w:tcPr>
            <w:tcW w:w="46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240" w:lineRule="exact"/>
              <w:rPr>
                <w:rFonts w:hint="default" w:cs="宋体"/>
                <w:b w:val="0"/>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spacing w:line="240" w:lineRule="exact"/>
              <w:jc w:val="right"/>
              <w:rPr>
                <w:rFonts w:hint="default" w:cs="宋体"/>
                <w:b w:val="0"/>
                <w:color w:val="000000"/>
                <w:sz w:val="20"/>
                <w:szCs w:val="20"/>
              </w:rPr>
            </w:pPr>
          </w:p>
        </w:tc>
      </w:tr>
    </w:tbl>
    <w:p>
      <w:pPr>
        <w:rPr>
          <w:rFonts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sectPr>
      <w:headerReference r:id="rId4" w:type="default"/>
      <w:footerReference r:id="rId5" w:type="default"/>
      <w:pgSz w:w="16839" w:h="11907"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mI0Y2E3YzM2ZWVlY2UwNzk5M2I1MzE2NjIzYzgifQ=="/>
  </w:docVars>
  <w:rsids>
    <w:rsidRoot w:val="00B03CCD"/>
    <w:rsid w:val="002B254B"/>
    <w:rsid w:val="00550ABE"/>
    <w:rsid w:val="00770383"/>
    <w:rsid w:val="007819D4"/>
    <w:rsid w:val="007B419D"/>
    <w:rsid w:val="007D375A"/>
    <w:rsid w:val="009B67B8"/>
    <w:rsid w:val="009D2B67"/>
    <w:rsid w:val="00A87BDD"/>
    <w:rsid w:val="00B03CCD"/>
    <w:rsid w:val="00C20C3E"/>
    <w:rsid w:val="00F73F90"/>
    <w:rsid w:val="01474EBF"/>
    <w:rsid w:val="01F3521E"/>
    <w:rsid w:val="03B87EA0"/>
    <w:rsid w:val="03E3214F"/>
    <w:rsid w:val="044C50BA"/>
    <w:rsid w:val="05BC6D49"/>
    <w:rsid w:val="05D31264"/>
    <w:rsid w:val="06194FF1"/>
    <w:rsid w:val="065B3401"/>
    <w:rsid w:val="06A2550B"/>
    <w:rsid w:val="06F80EE2"/>
    <w:rsid w:val="07001CCA"/>
    <w:rsid w:val="075678DB"/>
    <w:rsid w:val="079D7CC7"/>
    <w:rsid w:val="08051BCA"/>
    <w:rsid w:val="086C12F4"/>
    <w:rsid w:val="08705944"/>
    <w:rsid w:val="08A70B11"/>
    <w:rsid w:val="08BA052C"/>
    <w:rsid w:val="08DB07BA"/>
    <w:rsid w:val="09181A0E"/>
    <w:rsid w:val="0969353F"/>
    <w:rsid w:val="0970184A"/>
    <w:rsid w:val="098305D0"/>
    <w:rsid w:val="09873CFA"/>
    <w:rsid w:val="0A3317EA"/>
    <w:rsid w:val="0A5C4B69"/>
    <w:rsid w:val="0A86124A"/>
    <w:rsid w:val="0AB54CC0"/>
    <w:rsid w:val="0B9335CE"/>
    <w:rsid w:val="0BDE6F3F"/>
    <w:rsid w:val="0BF2311A"/>
    <w:rsid w:val="0C7927C4"/>
    <w:rsid w:val="0C9B098C"/>
    <w:rsid w:val="0D673E11"/>
    <w:rsid w:val="0DDA54E4"/>
    <w:rsid w:val="0E3A5F83"/>
    <w:rsid w:val="0E864B47"/>
    <w:rsid w:val="0ED5717A"/>
    <w:rsid w:val="0F2D6E3C"/>
    <w:rsid w:val="0F6E2388"/>
    <w:rsid w:val="0F836721"/>
    <w:rsid w:val="0FA25D96"/>
    <w:rsid w:val="107B59E5"/>
    <w:rsid w:val="10812141"/>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D057B"/>
    <w:rsid w:val="163A6CEE"/>
    <w:rsid w:val="1715050E"/>
    <w:rsid w:val="173708E3"/>
    <w:rsid w:val="17C374FC"/>
    <w:rsid w:val="182E4AB6"/>
    <w:rsid w:val="189079DC"/>
    <w:rsid w:val="189B0D0B"/>
    <w:rsid w:val="18B43F7C"/>
    <w:rsid w:val="19453279"/>
    <w:rsid w:val="194A1770"/>
    <w:rsid w:val="19B906A4"/>
    <w:rsid w:val="19C05ED6"/>
    <w:rsid w:val="1A2F6BB8"/>
    <w:rsid w:val="1B6F15B6"/>
    <w:rsid w:val="1BAA2EDC"/>
    <w:rsid w:val="1C1277B0"/>
    <w:rsid w:val="1CA55E64"/>
    <w:rsid w:val="1D014A01"/>
    <w:rsid w:val="1D022362"/>
    <w:rsid w:val="1D1B04B0"/>
    <w:rsid w:val="1D7B4C88"/>
    <w:rsid w:val="1DA52501"/>
    <w:rsid w:val="1DBC0B2C"/>
    <w:rsid w:val="1DBD6767"/>
    <w:rsid w:val="1DC52125"/>
    <w:rsid w:val="1DD26311"/>
    <w:rsid w:val="1E374ACB"/>
    <w:rsid w:val="1ECC4AC8"/>
    <w:rsid w:val="1ECF0A66"/>
    <w:rsid w:val="1EF67CA4"/>
    <w:rsid w:val="1EFF124F"/>
    <w:rsid w:val="1F020D3A"/>
    <w:rsid w:val="1F2C5189"/>
    <w:rsid w:val="1F4B0B02"/>
    <w:rsid w:val="1F7D08DC"/>
    <w:rsid w:val="1F822579"/>
    <w:rsid w:val="1FBB35CD"/>
    <w:rsid w:val="1FCD26AF"/>
    <w:rsid w:val="205705D5"/>
    <w:rsid w:val="20642787"/>
    <w:rsid w:val="21556F04"/>
    <w:rsid w:val="22403BD3"/>
    <w:rsid w:val="22EC1AEA"/>
    <w:rsid w:val="23D22A8E"/>
    <w:rsid w:val="24B92327"/>
    <w:rsid w:val="24C14514"/>
    <w:rsid w:val="2533755C"/>
    <w:rsid w:val="25791755"/>
    <w:rsid w:val="25BF7042"/>
    <w:rsid w:val="25F634E8"/>
    <w:rsid w:val="26396DF4"/>
    <w:rsid w:val="27167136"/>
    <w:rsid w:val="271B442C"/>
    <w:rsid w:val="27B23302"/>
    <w:rsid w:val="285E7CA1"/>
    <w:rsid w:val="29310A5F"/>
    <w:rsid w:val="29C37A35"/>
    <w:rsid w:val="2A076083"/>
    <w:rsid w:val="2A73162E"/>
    <w:rsid w:val="2A7E6B0F"/>
    <w:rsid w:val="2AE20166"/>
    <w:rsid w:val="2B167953"/>
    <w:rsid w:val="2B200583"/>
    <w:rsid w:val="2B8209DE"/>
    <w:rsid w:val="2BC31BC0"/>
    <w:rsid w:val="2C0F4979"/>
    <w:rsid w:val="2C636760"/>
    <w:rsid w:val="2C6762A3"/>
    <w:rsid w:val="2C8B2374"/>
    <w:rsid w:val="2D2A189B"/>
    <w:rsid w:val="2D9F071E"/>
    <w:rsid w:val="2E6A7D67"/>
    <w:rsid w:val="2FCA4B37"/>
    <w:rsid w:val="2FE029D7"/>
    <w:rsid w:val="2FF06E00"/>
    <w:rsid w:val="2FF42ED4"/>
    <w:rsid w:val="30586FEC"/>
    <w:rsid w:val="315F0B22"/>
    <w:rsid w:val="31D84415"/>
    <w:rsid w:val="32285F6F"/>
    <w:rsid w:val="32770556"/>
    <w:rsid w:val="329C0913"/>
    <w:rsid w:val="32AA0460"/>
    <w:rsid w:val="3316339C"/>
    <w:rsid w:val="3337290D"/>
    <w:rsid w:val="33E31118"/>
    <w:rsid w:val="33EF7674"/>
    <w:rsid w:val="342D7BC6"/>
    <w:rsid w:val="34D14319"/>
    <w:rsid w:val="350377AF"/>
    <w:rsid w:val="352930DB"/>
    <w:rsid w:val="35573069"/>
    <w:rsid w:val="355F6038"/>
    <w:rsid w:val="358C217E"/>
    <w:rsid w:val="35957DBF"/>
    <w:rsid w:val="35BA15D4"/>
    <w:rsid w:val="3662463E"/>
    <w:rsid w:val="36C9128A"/>
    <w:rsid w:val="37841E99"/>
    <w:rsid w:val="37BF1123"/>
    <w:rsid w:val="38374014"/>
    <w:rsid w:val="383C3F15"/>
    <w:rsid w:val="387B14EE"/>
    <w:rsid w:val="38BE4696"/>
    <w:rsid w:val="3939115E"/>
    <w:rsid w:val="39B82A39"/>
    <w:rsid w:val="39C42CA8"/>
    <w:rsid w:val="39DC4FD6"/>
    <w:rsid w:val="39F03D7A"/>
    <w:rsid w:val="39F33306"/>
    <w:rsid w:val="3A2C1C67"/>
    <w:rsid w:val="3A3306DF"/>
    <w:rsid w:val="3ACC5871"/>
    <w:rsid w:val="3ADD7F09"/>
    <w:rsid w:val="3B1705E5"/>
    <w:rsid w:val="3B18334B"/>
    <w:rsid w:val="3B36794F"/>
    <w:rsid w:val="3B6F6EE0"/>
    <w:rsid w:val="3B7A783B"/>
    <w:rsid w:val="3C526A0A"/>
    <w:rsid w:val="3C566AD6"/>
    <w:rsid w:val="3C594871"/>
    <w:rsid w:val="3C6A5B02"/>
    <w:rsid w:val="3CB94393"/>
    <w:rsid w:val="3D2757A1"/>
    <w:rsid w:val="3D3D4FC4"/>
    <w:rsid w:val="3DDF3AB1"/>
    <w:rsid w:val="3DF71617"/>
    <w:rsid w:val="3E1D0952"/>
    <w:rsid w:val="3E42660A"/>
    <w:rsid w:val="3E7555B1"/>
    <w:rsid w:val="3E787ED9"/>
    <w:rsid w:val="3E8A5ACD"/>
    <w:rsid w:val="3F032E93"/>
    <w:rsid w:val="3F0527E5"/>
    <w:rsid w:val="3F694D83"/>
    <w:rsid w:val="3F885DCC"/>
    <w:rsid w:val="3FCD675E"/>
    <w:rsid w:val="4004000C"/>
    <w:rsid w:val="406E1939"/>
    <w:rsid w:val="40A8280F"/>
    <w:rsid w:val="40BD5482"/>
    <w:rsid w:val="411B6CE5"/>
    <w:rsid w:val="412070D7"/>
    <w:rsid w:val="41314E40"/>
    <w:rsid w:val="41E0734B"/>
    <w:rsid w:val="41ED1598"/>
    <w:rsid w:val="42274495"/>
    <w:rsid w:val="426C1EA8"/>
    <w:rsid w:val="42736402"/>
    <w:rsid w:val="42E86A87"/>
    <w:rsid w:val="43307B09"/>
    <w:rsid w:val="439A3EB9"/>
    <w:rsid w:val="43BB152F"/>
    <w:rsid w:val="44C37687"/>
    <w:rsid w:val="453C3DB3"/>
    <w:rsid w:val="457B78B1"/>
    <w:rsid w:val="45CB699A"/>
    <w:rsid w:val="465B470D"/>
    <w:rsid w:val="469D6AD4"/>
    <w:rsid w:val="471E6C84"/>
    <w:rsid w:val="4748792B"/>
    <w:rsid w:val="475D719D"/>
    <w:rsid w:val="47674801"/>
    <w:rsid w:val="480A022A"/>
    <w:rsid w:val="48225EF7"/>
    <w:rsid w:val="488F422B"/>
    <w:rsid w:val="48E36915"/>
    <w:rsid w:val="48EB6572"/>
    <w:rsid w:val="495C4A24"/>
    <w:rsid w:val="497135DF"/>
    <w:rsid w:val="4A263DF2"/>
    <w:rsid w:val="4A6F6675"/>
    <w:rsid w:val="4A8C7696"/>
    <w:rsid w:val="4B135857"/>
    <w:rsid w:val="4B7951CB"/>
    <w:rsid w:val="4B7C315C"/>
    <w:rsid w:val="4D016A6D"/>
    <w:rsid w:val="4D1C1FC8"/>
    <w:rsid w:val="4DAC4ACA"/>
    <w:rsid w:val="4DBE01D2"/>
    <w:rsid w:val="4F0C6BA3"/>
    <w:rsid w:val="4F186D58"/>
    <w:rsid w:val="4F543B0D"/>
    <w:rsid w:val="4F9071D6"/>
    <w:rsid w:val="50223F76"/>
    <w:rsid w:val="50F06B6E"/>
    <w:rsid w:val="51340D01"/>
    <w:rsid w:val="51D21804"/>
    <w:rsid w:val="51F0619B"/>
    <w:rsid w:val="52234D33"/>
    <w:rsid w:val="52273C83"/>
    <w:rsid w:val="522F6E0C"/>
    <w:rsid w:val="52463BA1"/>
    <w:rsid w:val="52F163D4"/>
    <w:rsid w:val="531A2DB4"/>
    <w:rsid w:val="53230361"/>
    <w:rsid w:val="53C0244D"/>
    <w:rsid w:val="53DD4D4E"/>
    <w:rsid w:val="53E578CE"/>
    <w:rsid w:val="541330F0"/>
    <w:rsid w:val="54272666"/>
    <w:rsid w:val="543B029D"/>
    <w:rsid w:val="54861779"/>
    <w:rsid w:val="552256E1"/>
    <w:rsid w:val="554E5773"/>
    <w:rsid w:val="555A3CBC"/>
    <w:rsid w:val="5582012B"/>
    <w:rsid w:val="558E4E05"/>
    <w:rsid w:val="55BE2E85"/>
    <w:rsid w:val="56530F5D"/>
    <w:rsid w:val="566A460F"/>
    <w:rsid w:val="567700D3"/>
    <w:rsid w:val="56FF7E9E"/>
    <w:rsid w:val="578867FC"/>
    <w:rsid w:val="57DE6F4C"/>
    <w:rsid w:val="57E06531"/>
    <w:rsid w:val="5842572D"/>
    <w:rsid w:val="598633F7"/>
    <w:rsid w:val="5A3B59D6"/>
    <w:rsid w:val="5AD134D8"/>
    <w:rsid w:val="5BCB1DFA"/>
    <w:rsid w:val="5C142F3C"/>
    <w:rsid w:val="5C263CE4"/>
    <w:rsid w:val="5C5D2777"/>
    <w:rsid w:val="5CDC11A6"/>
    <w:rsid w:val="5CF66BF3"/>
    <w:rsid w:val="5D107BA8"/>
    <w:rsid w:val="5D290C69"/>
    <w:rsid w:val="5D7625C0"/>
    <w:rsid w:val="5D9562FF"/>
    <w:rsid w:val="5DFB2606"/>
    <w:rsid w:val="5EB30201"/>
    <w:rsid w:val="5F2D4A41"/>
    <w:rsid w:val="5F2D4A80"/>
    <w:rsid w:val="600C45DD"/>
    <w:rsid w:val="60C74F6C"/>
    <w:rsid w:val="61025A59"/>
    <w:rsid w:val="613D5BBC"/>
    <w:rsid w:val="61536C39"/>
    <w:rsid w:val="61867AEA"/>
    <w:rsid w:val="62066D59"/>
    <w:rsid w:val="621F4295"/>
    <w:rsid w:val="62944DD7"/>
    <w:rsid w:val="6319381F"/>
    <w:rsid w:val="63C25DC5"/>
    <w:rsid w:val="63C62057"/>
    <w:rsid w:val="64571EF5"/>
    <w:rsid w:val="645D23C8"/>
    <w:rsid w:val="64FB113D"/>
    <w:rsid w:val="656152C6"/>
    <w:rsid w:val="6587477F"/>
    <w:rsid w:val="658C3A08"/>
    <w:rsid w:val="659C4CE0"/>
    <w:rsid w:val="65C031CA"/>
    <w:rsid w:val="65CE6852"/>
    <w:rsid w:val="66267C04"/>
    <w:rsid w:val="663F505A"/>
    <w:rsid w:val="66E62137"/>
    <w:rsid w:val="66EE5541"/>
    <w:rsid w:val="67924660"/>
    <w:rsid w:val="68407834"/>
    <w:rsid w:val="68443E5C"/>
    <w:rsid w:val="6883293E"/>
    <w:rsid w:val="688412AD"/>
    <w:rsid w:val="68EB1B71"/>
    <w:rsid w:val="69B45CE5"/>
    <w:rsid w:val="69E9408A"/>
    <w:rsid w:val="6A6C7940"/>
    <w:rsid w:val="6AAD2300"/>
    <w:rsid w:val="6B474EF5"/>
    <w:rsid w:val="6C0A5AC5"/>
    <w:rsid w:val="6C560CAE"/>
    <w:rsid w:val="6C576495"/>
    <w:rsid w:val="6D903FF5"/>
    <w:rsid w:val="6DA955B8"/>
    <w:rsid w:val="6DE346AB"/>
    <w:rsid w:val="6DE5391A"/>
    <w:rsid w:val="6DFD1A82"/>
    <w:rsid w:val="6EFD1324"/>
    <w:rsid w:val="6F5A53AC"/>
    <w:rsid w:val="6FAC003D"/>
    <w:rsid w:val="6FE55E12"/>
    <w:rsid w:val="6FF429C3"/>
    <w:rsid w:val="6FFB2E76"/>
    <w:rsid w:val="708F6F7F"/>
    <w:rsid w:val="70D94BD3"/>
    <w:rsid w:val="71316924"/>
    <w:rsid w:val="71C34D91"/>
    <w:rsid w:val="72442376"/>
    <w:rsid w:val="72BD3684"/>
    <w:rsid w:val="72DB435C"/>
    <w:rsid w:val="72E2613A"/>
    <w:rsid w:val="72F771F4"/>
    <w:rsid w:val="73934AD2"/>
    <w:rsid w:val="73DB2866"/>
    <w:rsid w:val="74555208"/>
    <w:rsid w:val="750837F0"/>
    <w:rsid w:val="754758CF"/>
    <w:rsid w:val="75A276BD"/>
    <w:rsid w:val="75D73501"/>
    <w:rsid w:val="76254E62"/>
    <w:rsid w:val="764F62AB"/>
    <w:rsid w:val="765C45EC"/>
    <w:rsid w:val="768A7619"/>
    <w:rsid w:val="77095441"/>
    <w:rsid w:val="772E1EBA"/>
    <w:rsid w:val="781926BC"/>
    <w:rsid w:val="78626DF9"/>
    <w:rsid w:val="78B43685"/>
    <w:rsid w:val="796D60A4"/>
    <w:rsid w:val="79A031D5"/>
    <w:rsid w:val="7A1525F7"/>
    <w:rsid w:val="7B420052"/>
    <w:rsid w:val="7BD06A28"/>
    <w:rsid w:val="7BD51EC1"/>
    <w:rsid w:val="7C3A7C0B"/>
    <w:rsid w:val="7C5248E4"/>
    <w:rsid w:val="7C566698"/>
    <w:rsid w:val="7C5866A3"/>
    <w:rsid w:val="7D7406BB"/>
    <w:rsid w:val="7DE94331"/>
    <w:rsid w:val="7DFB5BA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widowControl w:val="0"/>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5781</Words>
  <Characters>6415</Characters>
  <Lines>190</Lines>
  <Paragraphs>53</Paragraphs>
  <TotalTime>14</TotalTime>
  <ScaleCrop>false</ScaleCrop>
  <LinksUpToDate>false</LinksUpToDate>
  <CharactersWithSpaces>6586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CA2B693D7BC1421EB6398C116EF1D43A</vt:lpwstr>
  </property>
  <property fmtid="{D5CDD505-2E9C-101B-9397-08002B2CF9AE}" pid="4" name="KSOTemplateDocerSaveRecord">
    <vt:lpwstr>eyJoZGlkIjoiMTM2NmI0Y2E3YzM2ZWVlY2UwNzk5M2I1MzE2NjIzYzgiLCJ1c2VySWQiOiI2MzI2NjcxNjQifQ==</vt:lpwstr>
  </property>
</Properties>
</file>