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秀山土家族苗族自治县应急管理局（本级）</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p>
    <w:p>
      <w:pPr>
        <w:pStyle w:val="18"/>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w:t>
      </w:r>
      <w:r>
        <w:rPr>
          <w:rFonts w:hint="eastAsia"/>
          <w:lang w:eastAsia="zh-CN"/>
        </w:rPr>
        <w:t>单位</w:t>
      </w:r>
      <w:r>
        <w:t>基本情况</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（一）职能职责</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1.负责应急管理工作，指导各乡镇（街道）、各部门</w:t>
      </w:r>
      <w:r>
        <w:rPr>
          <w:rFonts w:hint="default"/>
          <w:lang w:val="en-US" w:eastAsia="zh-CN"/>
        </w:rPr>
        <w:t xml:space="preserve">应对安全生产类、自然灾害类等突发事件和综合防灾减灾救灾工作。负责安全生产综合监督管理和工矿商贸行业安全生产监督管理工作。 </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2.</w:t>
      </w:r>
      <w:r>
        <w:rPr>
          <w:rFonts w:hint="default"/>
          <w:lang w:val="en-US" w:eastAsia="zh-CN"/>
        </w:rPr>
        <w:t xml:space="preserve">拟订应急管理、安全生产等政策措施，组织编制全县应急体系建设、安全生产和综合防灾减灾规划。 </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3.</w:t>
      </w:r>
      <w:r>
        <w:rPr>
          <w:rFonts w:hint="default"/>
          <w:lang w:val="en-US" w:eastAsia="zh-CN"/>
        </w:rPr>
        <w:t xml:space="preserve">指导全县应急预案体系建设，建立完善事故灾难和自然灾害分级应对制度，组织编制本县总体应急预案和安全生产类、自然灾害类专项预案，综合协调应急预案衔接工作，组织开展预案演练，推动应急避难设施建设。 </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eastAsia"/>
          <w:lang w:val="en-US" w:eastAsia="zh-CN"/>
        </w:rPr>
        <w:t>4.</w:t>
      </w:r>
      <w:r>
        <w:rPr>
          <w:rFonts w:hint="default"/>
          <w:lang w:val="en-US" w:eastAsia="zh-CN"/>
        </w:rPr>
        <w:t xml:space="preserve">建立监测预警和灾情报告制度，健全自然灾害信息资源获取和共享机制，依法统一发布灾情。 </w:t>
      </w:r>
    </w:p>
    <w:p>
      <w:pPr>
        <w:pStyle w:val="20"/>
        <w:bidi w:val="0"/>
        <w:rPr>
          <w:rFonts w:hint="default"/>
          <w:lang w:val="en-US" w:eastAsia="zh-CN"/>
        </w:rPr>
      </w:pPr>
      <w:r>
        <w:rPr>
          <w:rFonts w:hint="eastAsia"/>
          <w:lang w:val="en-US" w:eastAsia="zh-CN"/>
        </w:rPr>
        <w:t>5.</w:t>
      </w:r>
      <w:r>
        <w:rPr>
          <w:rFonts w:hint="default"/>
          <w:lang w:val="en-US" w:eastAsia="zh-CN"/>
        </w:rPr>
        <w:t>组织指导协调安全生产类、自然灾害类等突发事件应急救援，承担县应对重特大灾害指挥部工作，综合研判突发</w:t>
      </w:r>
    </w:p>
    <w:p>
      <w:pPr>
        <w:pStyle w:val="20"/>
        <w:bidi w:val="0"/>
        <w:ind w:left="0" w:leftChars="0" w:firstLine="0" w:firstLineChars="0"/>
        <w:rPr>
          <w:rFonts w:hint="default"/>
          <w:lang w:val="en-US" w:eastAsia="zh-CN"/>
        </w:rPr>
      </w:pPr>
      <w:r>
        <w:rPr>
          <w:rFonts w:hint="default"/>
          <w:lang w:val="en-US" w:eastAsia="zh-CN"/>
        </w:rPr>
        <w:t>事件发展态势并提出应对建议，协助县委、县政府指定的负</w:t>
      </w:r>
    </w:p>
    <w:p>
      <w:pPr>
        <w:pStyle w:val="20"/>
        <w:bidi w:val="0"/>
        <w:ind w:left="0" w:leftChars="0" w:firstLine="0" w:firstLineChars="0"/>
        <w:rPr>
          <w:rFonts w:hint="default"/>
        </w:rPr>
      </w:pPr>
      <w:r>
        <w:rPr>
          <w:rFonts w:hint="default"/>
          <w:lang w:val="en-US" w:eastAsia="zh-CN"/>
        </w:rPr>
        <w:t xml:space="preserve">责同志组织重特大灾害应急处置工作。 </w:t>
      </w:r>
    </w:p>
    <w:p>
      <w:pPr>
        <w:pStyle w:val="20"/>
        <w:bidi w:val="0"/>
        <w:rPr>
          <w:rFonts w:hint="default"/>
        </w:rPr>
      </w:pPr>
      <w:r>
        <w:rPr>
          <w:rFonts w:hint="eastAsia"/>
          <w:lang w:val="en-US" w:eastAsia="zh-CN"/>
        </w:rPr>
        <w:t>6.</w:t>
      </w:r>
      <w:r>
        <w:rPr>
          <w:rFonts w:hint="default"/>
          <w:lang w:val="en-US" w:eastAsia="zh-CN"/>
        </w:rPr>
        <w:t xml:space="preserve">统一协调指挥全县各类应急专业队伍，建立应急协调联动机制，推进指挥平台对接；衔接有关部队参与应急救援工作。 </w:t>
      </w:r>
    </w:p>
    <w:p>
      <w:pPr>
        <w:pStyle w:val="20"/>
        <w:bidi w:val="0"/>
        <w:rPr>
          <w:rFonts w:hint="default"/>
        </w:rPr>
      </w:pPr>
      <w:r>
        <w:rPr>
          <w:rFonts w:hint="eastAsia"/>
          <w:lang w:val="en-US" w:eastAsia="zh-CN"/>
        </w:rPr>
        <w:t>7.</w:t>
      </w:r>
      <w:r>
        <w:rPr>
          <w:rFonts w:hint="default"/>
          <w:lang w:val="en-US" w:eastAsia="zh-CN"/>
        </w:rPr>
        <w:t xml:space="preserve">统筹应急救援力量建设；负责消防、森林和草原火灾扑救、抗洪抢险、地震和地质灾害救援、生产安全事故救援等专业应急救援力量建设；指导本县社会应急救援力量建设。 </w:t>
      </w:r>
    </w:p>
    <w:p>
      <w:pPr>
        <w:pStyle w:val="20"/>
        <w:bidi w:val="0"/>
        <w:rPr>
          <w:rFonts w:hint="default"/>
        </w:rPr>
      </w:pPr>
      <w:r>
        <w:rPr>
          <w:rFonts w:hint="eastAsia"/>
          <w:lang w:val="en-US" w:eastAsia="zh-CN"/>
        </w:rPr>
        <w:t>8.</w:t>
      </w:r>
      <w:r>
        <w:rPr>
          <w:rFonts w:hint="default"/>
          <w:lang w:val="en-US" w:eastAsia="zh-CN"/>
        </w:rPr>
        <w:t>组织协调消防工作，指导消防监督、火灾预防</w:t>
      </w:r>
      <w:r>
        <w:rPr>
          <w:rFonts w:hint="eastAsia"/>
          <w:lang w:val="en-US" w:eastAsia="zh-CN"/>
        </w:rPr>
        <w:t>、</w:t>
      </w:r>
      <w:r>
        <w:rPr>
          <w:rFonts w:hint="default"/>
          <w:lang w:val="en-US" w:eastAsia="zh-CN"/>
        </w:rPr>
        <w:t xml:space="preserve">火灾扑救等工作。 </w:t>
      </w:r>
    </w:p>
    <w:p>
      <w:pPr>
        <w:pStyle w:val="20"/>
        <w:bidi w:val="0"/>
        <w:rPr>
          <w:rFonts w:hint="default"/>
        </w:rPr>
      </w:pPr>
      <w:r>
        <w:rPr>
          <w:rFonts w:hint="eastAsia"/>
          <w:lang w:val="en-US" w:eastAsia="zh-CN"/>
        </w:rPr>
        <w:t>9.</w:t>
      </w:r>
      <w:r>
        <w:rPr>
          <w:rFonts w:hint="default"/>
          <w:lang w:val="en-US" w:eastAsia="zh-CN"/>
        </w:rPr>
        <w:t xml:space="preserve">指导协调森林和草原火灾、水旱灾害、地震和地质灾害等防治工作，负责自然灾害综合监测预警工作，指导开展自然灾害综合风险评估工作。 </w:t>
      </w:r>
    </w:p>
    <w:p>
      <w:pPr>
        <w:pStyle w:val="20"/>
        <w:bidi w:val="0"/>
        <w:rPr>
          <w:rFonts w:hint="default"/>
        </w:rPr>
      </w:pPr>
      <w:r>
        <w:rPr>
          <w:rFonts w:hint="eastAsia"/>
          <w:lang w:val="en-US" w:eastAsia="zh-CN"/>
        </w:rPr>
        <w:t>10.</w:t>
      </w:r>
      <w:r>
        <w:rPr>
          <w:rFonts w:hint="default"/>
          <w:lang w:val="en-US" w:eastAsia="zh-CN"/>
        </w:rPr>
        <w:t xml:space="preserve">组织协调灾害救助工作，组织指导灾情核查、损失评估、救灾捐赠工作，管理、分配中央下拨及市、县两级救灾款物并监督使用。 </w:t>
      </w:r>
    </w:p>
    <w:p>
      <w:pPr>
        <w:pStyle w:val="20"/>
        <w:bidi w:val="0"/>
        <w:rPr>
          <w:rFonts w:hint="default"/>
        </w:rPr>
      </w:pPr>
      <w:r>
        <w:rPr>
          <w:rFonts w:hint="eastAsia"/>
          <w:lang w:val="en-US" w:eastAsia="zh-CN"/>
        </w:rPr>
        <w:t>11.</w:t>
      </w:r>
      <w:r>
        <w:rPr>
          <w:rFonts w:hint="default"/>
          <w:lang w:val="en-US" w:eastAsia="zh-CN"/>
        </w:rPr>
        <w:t>负责全县安全生产综合监督管理，指导协调</w:t>
      </w:r>
      <w:r>
        <w:rPr>
          <w:rFonts w:hint="eastAsia"/>
          <w:lang w:val="en-US" w:eastAsia="zh-CN"/>
        </w:rPr>
        <w:t>、</w:t>
      </w:r>
      <w:r>
        <w:rPr>
          <w:rFonts w:hint="default"/>
          <w:lang w:val="en-US" w:eastAsia="zh-CN"/>
        </w:rPr>
        <w:t>监督检查县政府有关部门和各乡镇（街道）安全生产工作</w:t>
      </w:r>
      <w:r>
        <w:rPr>
          <w:rFonts w:hint="eastAsia"/>
          <w:lang w:val="en-US" w:eastAsia="zh-CN"/>
        </w:rPr>
        <w:t>，</w:t>
      </w:r>
      <w:r>
        <w:rPr>
          <w:rFonts w:hint="default"/>
          <w:lang w:val="en-US" w:eastAsia="zh-CN"/>
        </w:rPr>
        <w:t xml:space="preserve">组织开展安全生产巡查考核工作。承担县政府安全生产委员会日常工作。 </w:t>
      </w:r>
    </w:p>
    <w:p>
      <w:pPr>
        <w:pStyle w:val="20"/>
        <w:bidi w:val="0"/>
        <w:rPr>
          <w:rFonts w:hint="default"/>
        </w:rPr>
      </w:pPr>
      <w:r>
        <w:rPr>
          <w:rFonts w:hint="eastAsia"/>
          <w:lang w:val="en-US" w:eastAsia="zh-CN"/>
        </w:rPr>
        <w:t>12.</w:t>
      </w:r>
      <w:r>
        <w:rPr>
          <w:rFonts w:hint="default"/>
          <w:lang w:val="en-US" w:eastAsia="zh-CN"/>
        </w:rPr>
        <w:t xml:space="preserve">按照分级、属地原则，监督检查工矿商贸生产经营单位贯彻执行安全生产法律法规情况及其安全生产条件和有关设备（特种设备除外）、材料、劳动防护用品的安全生产管理工作。组织并指导监督实施安全生产准入制度。负责危险化学品安全监督管理综合工作和烟花爆竹安全生产监督管理工作。 </w:t>
      </w:r>
    </w:p>
    <w:p>
      <w:pPr>
        <w:pStyle w:val="20"/>
        <w:bidi w:val="0"/>
        <w:rPr>
          <w:rFonts w:hint="default"/>
        </w:rPr>
      </w:pPr>
      <w:r>
        <w:rPr>
          <w:rFonts w:hint="eastAsia"/>
          <w:lang w:val="en-US" w:eastAsia="zh-CN"/>
        </w:rPr>
        <w:t>13.</w:t>
      </w:r>
      <w:r>
        <w:rPr>
          <w:rFonts w:hint="default"/>
          <w:lang w:val="en-US" w:eastAsia="zh-CN"/>
        </w:rPr>
        <w:t xml:space="preserve">组织开展生产安全事故调查处理，监督事故查处和责任追究落实情况。组织开展自然灾害类突发事件的调查评估工作。 </w:t>
      </w:r>
    </w:p>
    <w:p>
      <w:pPr>
        <w:pStyle w:val="20"/>
        <w:bidi w:val="0"/>
        <w:rPr>
          <w:rFonts w:hint="default"/>
        </w:rPr>
      </w:pPr>
      <w:r>
        <w:rPr>
          <w:rFonts w:hint="eastAsia"/>
          <w:lang w:val="en-US" w:eastAsia="zh-CN"/>
        </w:rPr>
        <w:t>14.</w:t>
      </w:r>
      <w:r>
        <w:rPr>
          <w:rFonts w:hint="default"/>
          <w:lang w:val="en-US" w:eastAsia="zh-CN"/>
        </w:rPr>
        <w:t xml:space="preserve">组织参与安全生产类、自然灾害类等突发事件的跨区域救援工作。 </w:t>
      </w:r>
    </w:p>
    <w:p>
      <w:pPr>
        <w:pStyle w:val="20"/>
        <w:bidi w:val="0"/>
        <w:rPr>
          <w:rFonts w:hint="default"/>
        </w:rPr>
      </w:pPr>
      <w:r>
        <w:rPr>
          <w:rFonts w:hint="eastAsia"/>
          <w:lang w:val="en-US" w:eastAsia="zh-CN"/>
        </w:rPr>
        <w:t>15.</w:t>
      </w:r>
      <w:r>
        <w:rPr>
          <w:rFonts w:hint="default"/>
          <w:lang w:val="en-US" w:eastAsia="zh-CN"/>
        </w:rPr>
        <w:t xml:space="preserve">制定应急物资储备和应急救援装备规划并组织实施，负责提出县级救灾物资的储备需求和动用决策，组织编制县级救灾物资品种目录和标准，会同县级有关部门建立健全应急物资信息平台和调拨制度，在救灾时统一调度，负责县级救灾物资的采购、储运和管理，根据需要下达动用指令。 </w:t>
      </w:r>
    </w:p>
    <w:p>
      <w:pPr>
        <w:pStyle w:val="20"/>
        <w:bidi w:val="0"/>
        <w:rPr>
          <w:rFonts w:hint="default"/>
        </w:rPr>
      </w:pPr>
      <w:r>
        <w:rPr>
          <w:rFonts w:hint="eastAsia"/>
          <w:lang w:val="en-US" w:eastAsia="zh-CN"/>
        </w:rPr>
        <w:t>16.</w:t>
      </w:r>
      <w:r>
        <w:rPr>
          <w:rFonts w:hint="default"/>
          <w:lang w:val="en-US" w:eastAsia="zh-CN"/>
        </w:rPr>
        <w:t xml:space="preserve">负责应急管理、安全生产宣传教育工作，组织指导应急管理、安全生产的科学技术研究、推广应用和信息化建设工作。 </w:t>
      </w:r>
    </w:p>
    <w:p>
      <w:pPr>
        <w:pStyle w:val="20"/>
        <w:bidi w:val="0"/>
        <w:rPr>
          <w:rFonts w:hint="default"/>
        </w:rPr>
      </w:pPr>
      <w:r>
        <w:rPr>
          <w:rFonts w:hint="eastAsia"/>
          <w:lang w:val="en-US" w:eastAsia="zh-CN"/>
        </w:rPr>
        <w:t>17.</w:t>
      </w:r>
      <w:r>
        <w:rPr>
          <w:rFonts w:hint="default"/>
          <w:lang w:val="en-US" w:eastAsia="zh-CN"/>
        </w:rPr>
        <w:t xml:space="preserve">完成县委和县政府交办的其他任务。 </w:t>
      </w:r>
    </w:p>
    <w:p>
      <w:pPr>
        <w:pStyle w:val="20"/>
        <w:bidi w:val="0"/>
        <w:rPr>
          <w:rFonts w:hint="default"/>
        </w:rPr>
      </w:pPr>
      <w:r>
        <w:rPr>
          <w:rFonts w:hint="eastAsia"/>
          <w:lang w:val="en-US" w:eastAsia="zh-CN"/>
        </w:rPr>
        <w:t>18.</w:t>
      </w:r>
      <w:r>
        <w:rPr>
          <w:rFonts w:hint="default"/>
          <w:lang w:val="en-US" w:eastAsia="zh-CN"/>
        </w:rPr>
        <w:t>职能转变。县应急管理局应强化全县应急能力建设，构建统一领导、权责一致、权威高效的全县应急能力体系，推动形成统一指挥、专常兼备、反应灵敏、上下联动</w:t>
      </w:r>
      <w:r>
        <w:rPr>
          <w:rFonts w:hint="eastAsia"/>
          <w:lang w:val="en-US" w:eastAsia="zh-CN"/>
        </w:rPr>
        <w:t>、</w:t>
      </w:r>
      <w:r>
        <w:rPr>
          <w:rFonts w:hint="default"/>
          <w:lang w:val="en-US" w:eastAsia="zh-CN"/>
        </w:rPr>
        <w:t>平战结合的应急管理体制。一是坚持以防为主、防抗救结合</w:t>
      </w:r>
      <w:r>
        <w:rPr>
          <w:rFonts w:hint="eastAsia"/>
          <w:lang w:val="en-US" w:eastAsia="zh-CN"/>
        </w:rPr>
        <w:t>，</w:t>
      </w:r>
      <w:r>
        <w:rPr>
          <w:rFonts w:hint="default"/>
          <w:lang w:val="en-US" w:eastAsia="zh-CN"/>
        </w:rPr>
        <w:t>坚持常态减灾和非常态救灾相统一，努力实现从注重灾后救助向注重灾前预防转变，从应对单一灾种向综合减灾转变</w:t>
      </w:r>
      <w:r>
        <w:rPr>
          <w:rFonts w:hint="eastAsia"/>
          <w:lang w:val="en-US" w:eastAsia="zh-CN"/>
        </w:rPr>
        <w:t>，</w:t>
      </w:r>
      <w:r>
        <w:rPr>
          <w:rFonts w:hint="default"/>
          <w:lang w:val="en-US" w:eastAsia="zh-CN"/>
        </w:rPr>
        <w:t>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w:t>
      </w:r>
      <w:r>
        <w:rPr>
          <w:rFonts w:hint="eastAsia"/>
          <w:lang w:val="en-US" w:eastAsia="zh-CN"/>
        </w:rPr>
        <w:t>，</w:t>
      </w:r>
      <w:r>
        <w:rPr>
          <w:rFonts w:hint="default"/>
          <w:lang w:val="en-US" w:eastAsia="zh-CN"/>
        </w:rPr>
        <w:t>提升公众知识普及和自救互救技能，切实减少人员伤亡和财产损失。三是树立安全发展理念，坚持生命至上、安全第一</w:t>
      </w:r>
      <w:r>
        <w:rPr>
          <w:rFonts w:hint="eastAsia"/>
          <w:lang w:val="en-US" w:eastAsia="zh-CN"/>
        </w:rPr>
        <w:t>，</w:t>
      </w:r>
      <w:r>
        <w:rPr>
          <w:rFonts w:hint="default"/>
          <w:lang w:val="en-US" w:eastAsia="zh-CN"/>
        </w:rPr>
        <w:t xml:space="preserve">完善安全生产责任制，坚决遏制重特大安全事故。 </w:t>
      </w:r>
    </w:p>
    <w:p>
      <w:pPr>
        <w:pStyle w:val="20"/>
        <w:bidi w:val="0"/>
        <w:rPr>
          <w:rFonts w:hint="default"/>
        </w:rPr>
      </w:pPr>
      <w:r>
        <w:rPr>
          <w:rFonts w:hint="eastAsia"/>
          <w:lang w:val="en-US" w:eastAsia="zh-CN"/>
        </w:rPr>
        <w:t>19.</w:t>
      </w:r>
      <w:r>
        <w:rPr>
          <w:rFonts w:hint="default"/>
          <w:lang w:val="en-US" w:eastAsia="zh-CN"/>
        </w:rPr>
        <w:t xml:space="preserve">与有关部门的职责分工。与县规划和自然资源局、县水利局、县林业局等部门在自然灾害防救方面的职责分工。 </w:t>
      </w:r>
    </w:p>
    <w:p>
      <w:pPr>
        <w:pStyle w:val="20"/>
        <w:bidi w:val="0"/>
        <w:rPr>
          <w:rFonts w:hint="default"/>
        </w:rPr>
      </w:pPr>
      <w:r>
        <w:rPr>
          <w:rFonts w:hint="default"/>
          <w:lang w:val="en-US" w:eastAsia="zh-CN"/>
        </w:rPr>
        <w:t>2</w:t>
      </w:r>
      <w:r>
        <w:rPr>
          <w:rFonts w:hint="eastAsia"/>
          <w:lang w:val="en-US" w:eastAsia="zh-CN"/>
        </w:rPr>
        <w:t>0</w:t>
      </w:r>
      <w:r>
        <w:rPr>
          <w:rFonts w:hint="default"/>
          <w:lang w:val="en-US" w:eastAsia="zh-CN"/>
        </w:rPr>
        <w:t xml:space="preserve">.工业、危险化学品、烟花爆竹、地质勘探、商贸等行业领域安全生产监督管理职责分工按照有关法律法规、中央和市委市政府以及县委县政府文件规定执行。 </w:t>
      </w:r>
    </w:p>
    <w:p>
      <w:pPr>
        <w:pStyle w:val="19"/>
        <w:bidi w:val="0"/>
        <w:rPr>
          <w:rFonts w:hint="default"/>
        </w:rPr>
      </w:pPr>
      <w:r>
        <w:t>（二）机构设置</w:t>
      </w:r>
    </w:p>
    <w:p>
      <w:pPr>
        <w:pStyle w:val="20"/>
        <w:bidi w:val="0"/>
        <w:rPr>
          <w:rFonts w:hint="default"/>
          <w:lang w:val="en-US" w:eastAsia="zh-CN"/>
        </w:rPr>
      </w:pPr>
      <w:r>
        <w:rPr>
          <w:rFonts w:hint="default"/>
          <w:lang w:val="en-US" w:eastAsia="zh-CN"/>
        </w:rPr>
        <w:t>1.办公室。负责机关日常运转，承担信息、安全、机要、档案、保密、信访、政务公开、重要文稿起草、局思想政治建设和干部队伍建设、应急管理、安全生产的科技和信息化建设工作等工作；编制全县应急体系建设、安全生产和综合防灾减灾规划并组织实施，统筹专项资金的安排和使用，负责单位预决算、财务、装备和资产管理工作。</w:t>
      </w:r>
    </w:p>
    <w:p>
      <w:pPr>
        <w:pStyle w:val="20"/>
        <w:bidi w:val="0"/>
        <w:rPr>
          <w:rFonts w:hint="default"/>
          <w:lang w:val="en-US" w:eastAsia="zh-CN"/>
        </w:rPr>
      </w:pPr>
      <w:r>
        <w:rPr>
          <w:rFonts w:hint="eastAsia"/>
          <w:lang w:val="en-US" w:eastAsia="zh-CN"/>
        </w:rPr>
        <w:t>2.指挥调度科。</w:t>
      </w:r>
      <w:r>
        <w:rPr>
          <w:rFonts w:hint="default"/>
          <w:lang w:val="en-US" w:eastAsia="zh-CN"/>
        </w:rPr>
        <w:t>承担应急值守、政务值班等工作，拟订安全生产类和自然灾害类突发事件分级应对制度，发布预警和灾情信息，衔接有关部队参与应急救援工作。组织参与安全生产类、自然灾害类等突发事件的跨区域救援工作。建立重大安全生产风险监测预警和评估论证机制，承担自然灾害综合监测预警工作，负责应急管理统计分析工作。</w:t>
      </w:r>
    </w:p>
    <w:p>
      <w:pPr>
        <w:pStyle w:val="20"/>
        <w:bidi w:val="0"/>
        <w:rPr>
          <w:rFonts w:hint="default"/>
          <w:lang w:val="en-US" w:eastAsia="zh-CN"/>
        </w:rPr>
      </w:pPr>
      <w:r>
        <w:rPr>
          <w:rFonts w:hint="default"/>
          <w:lang w:val="en-US" w:eastAsia="zh-CN"/>
        </w:rPr>
        <w:t>3.安全生产综合协调科。承担依法依规指导协调和监督</w:t>
      </w:r>
    </w:p>
    <w:p>
      <w:pPr>
        <w:pStyle w:val="20"/>
        <w:bidi w:val="0"/>
        <w:ind w:left="0" w:leftChars="0" w:firstLine="0" w:firstLineChars="0"/>
        <w:rPr>
          <w:rFonts w:hint="default"/>
          <w:lang w:val="en-US" w:eastAsia="zh-CN"/>
        </w:rPr>
      </w:pPr>
      <w:r>
        <w:rPr>
          <w:rFonts w:hint="default"/>
          <w:lang w:val="en-US" w:eastAsia="zh-CN"/>
        </w:rPr>
        <w:t>有专门安全生产主管部门的行业和领域安全生产监督管理相关工作，组织协调全县安全生产检查以及专项督查、专项整治等工作，组织实施安全生产巡查、考核工作。承担县政府安全生产委员会办公室日常工作。</w:t>
      </w:r>
    </w:p>
    <w:p>
      <w:pPr>
        <w:pStyle w:val="20"/>
        <w:bidi w:val="0"/>
        <w:rPr>
          <w:rFonts w:hint="default"/>
          <w:lang w:val="en-US" w:eastAsia="zh-CN"/>
        </w:rPr>
      </w:pPr>
      <w:r>
        <w:rPr>
          <w:rFonts w:hint="default"/>
          <w:lang w:val="en-US" w:eastAsia="zh-CN"/>
        </w:rPr>
        <w:t>4.自然灾害综合协调科。监督实施消防法规和技术标准，指导城镇、农村、森林、草原消防工作规划编制并推进落实，指导消防监督、火灾预防、火灾扑救工作，指导县综合性应急救援队伍教育训练。组织协调水旱灾害应急救援工作，协调指导重要江河湖泊和重要水工程实施防御洪水抗御旱灾调度和应急水量调度工作。组织协调地震应急救援工作，指导协调地质灾害防治相关工作，组织较大以上地质灾害应急救援。</w:t>
      </w:r>
    </w:p>
    <w:p>
      <w:pPr>
        <w:pStyle w:val="20"/>
        <w:bidi w:val="0"/>
        <w:rPr>
          <w:rFonts w:hint="default"/>
          <w:lang w:val="en-US" w:eastAsia="zh-CN"/>
        </w:rPr>
      </w:pPr>
      <w:r>
        <w:rPr>
          <w:rFonts w:hint="default"/>
          <w:lang w:val="en-US" w:eastAsia="zh-CN"/>
        </w:rPr>
        <w:t>5.矿山安全监督管理科。承担矿山（含地质勘探）安全生产基础工作及安全生产执法相关工作。指导监督相关行业企业安全生产标准化、安全预防控制体系建设等工作，依法监督检查相关行业生产经营单位贯彻落实安全生产法律法规和标准情况。</w:t>
      </w:r>
    </w:p>
    <w:p>
      <w:pPr>
        <w:pStyle w:val="20"/>
        <w:bidi w:val="0"/>
        <w:rPr>
          <w:rFonts w:hint="default"/>
          <w:lang w:val="en-US" w:eastAsia="zh-CN"/>
        </w:rPr>
      </w:pPr>
      <w:r>
        <w:rPr>
          <w:rFonts w:hint="eastAsia"/>
          <w:lang w:val="en-US" w:eastAsia="zh-CN"/>
        </w:rPr>
        <w:t>6.</w:t>
      </w:r>
      <w:r>
        <w:rPr>
          <w:rFonts w:hint="default"/>
          <w:lang w:val="en-US" w:eastAsia="zh-CN"/>
        </w:rPr>
        <w:t>危险化学品安全监督管理科。负责化工（含石油化工）、</w:t>
      </w:r>
    </w:p>
    <w:p>
      <w:pPr>
        <w:pStyle w:val="20"/>
        <w:bidi w:val="0"/>
        <w:ind w:left="0" w:leftChars="0" w:firstLine="0" w:firstLineChars="0"/>
        <w:rPr>
          <w:rFonts w:hint="default"/>
          <w:lang w:val="en-US" w:eastAsia="zh-CN"/>
        </w:rPr>
      </w:pPr>
      <w:r>
        <w:rPr>
          <w:rFonts w:hint="default"/>
          <w:lang w:val="en-US" w:eastAsia="zh-CN"/>
        </w:rPr>
        <w:t>医药、危险化学品和烟花爆竹安全生产监督管理工作，承担相关行业生产经营单位贯彻落实安全生产法律法规和标准情况依法监督检查工作，危险化学品安全监督管理综合工作，组织指导危险化学品登记，指导非药品类易制毒化学品生产经营监督管理工作。</w:t>
      </w:r>
    </w:p>
    <w:p>
      <w:pPr>
        <w:pStyle w:val="20"/>
        <w:bidi w:val="0"/>
        <w:rPr>
          <w:rFonts w:hint="default"/>
          <w:lang w:val="en-US" w:eastAsia="zh-CN"/>
        </w:rPr>
      </w:pPr>
      <w:r>
        <w:rPr>
          <w:rFonts w:hint="default"/>
          <w:lang w:val="en-US" w:eastAsia="zh-CN"/>
        </w:rPr>
        <w:t>7.工贸安全监督管理科。承担冶金、有色、建材、机械、</w:t>
      </w:r>
    </w:p>
    <w:p>
      <w:pPr>
        <w:pStyle w:val="20"/>
        <w:bidi w:val="0"/>
        <w:ind w:left="0" w:leftChars="0" w:firstLine="0" w:firstLineChars="0"/>
        <w:rPr>
          <w:rFonts w:hint="default"/>
          <w:lang w:val="en-US" w:eastAsia="zh-CN"/>
        </w:rPr>
      </w:pPr>
      <w:r>
        <w:rPr>
          <w:rFonts w:hint="default"/>
          <w:lang w:val="en-US" w:eastAsia="zh-CN"/>
        </w:rPr>
        <w:t>轻工、纺织、烟草、商贸安全生产基础工作及安全生产执法相关工作以及指导监督相关行业企业安全生产标准化、安全预防控制体系建设等工作，承担相关行业生产经营单位贯彻落实安全生产法律法规和标准情况依法监督检查工作。</w:t>
      </w:r>
    </w:p>
    <w:p>
      <w:pPr>
        <w:pStyle w:val="20"/>
        <w:bidi w:val="0"/>
        <w:rPr>
          <w:rFonts w:hint="default"/>
        </w:rPr>
      </w:pPr>
      <w:r>
        <w:rPr>
          <w:rFonts w:hint="default"/>
          <w:lang w:val="en-US" w:eastAsia="zh-CN"/>
        </w:rPr>
        <w:t>8.法治科（挂内审科牌子）。承担重大政策研究工作，承担规范性文件的合法性审查和行政复议、行政应诉等工作。承担安全生产执法综合性工作，指导执法计划编制、执法队伍建设和执法规范化建设工作。承担本部门行政审批和行政审批制度改革工作，指导、规范本系统行政审批工作。依法承担生产安全事故调查处理工作，监督事故查处和责任追究落实情况。承担机关和所属事业单位预决算、财务核算、资产管理等内部审计工作。</w:t>
      </w:r>
    </w:p>
    <w:p>
      <w:pPr>
        <w:pStyle w:val="18"/>
        <w:bidi w:val="0"/>
        <w:rPr>
          <w:rFonts w:hint="default"/>
        </w:rPr>
      </w:pPr>
      <w:r>
        <w:t>二、</w:t>
      </w:r>
      <w:r>
        <w:rPr>
          <w:rFonts w:hint="eastAsia"/>
          <w:lang w:eastAsia="zh-CN"/>
        </w:rPr>
        <w:t>单位</w:t>
      </w:r>
      <w:r>
        <w:t>决算</w:t>
      </w:r>
      <w:r>
        <w:rPr>
          <w:rFonts w:hint="eastAsia"/>
          <w:lang w:eastAsia="zh-CN"/>
        </w:rPr>
        <w:t>收支</w:t>
      </w:r>
      <w:r>
        <w:t>情况说明</w:t>
      </w:r>
    </w:p>
    <w:p>
      <w:pPr>
        <w:pStyle w:val="19"/>
        <w:bidi w:val="0"/>
      </w:pPr>
      <w:r>
        <w:rPr>
          <w:rFonts w:hint="eastAsia"/>
        </w:rPr>
        <w:t>（一）收入支出决算总体情况说明</w:t>
      </w:r>
    </w:p>
    <w:p>
      <w:pPr>
        <w:pStyle w:val="20"/>
        <w:bidi w:val="0"/>
        <w:rPr>
          <w:rFonts w:hint="default"/>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2535.35</w:t>
      </w:r>
      <w:r>
        <w:t>万元。</w:t>
      </w:r>
      <w:r>
        <w:rPr>
          <w:rFonts w:hint="default"/>
        </w:rPr>
        <w:t>收、支与2023年度相比，增加866.33万元，增长51.9%</w:t>
      </w:r>
      <w:r>
        <w:t>，主要原因是</w:t>
      </w:r>
      <w:r>
        <w:rPr>
          <w:rFonts w:hint="eastAsia"/>
          <w:lang w:val="en-US" w:eastAsia="zh-CN"/>
        </w:rPr>
        <w:t>2024年支付6座尾矿库工程款900.00万元，导致本年度收、支增加。</w:t>
      </w:r>
    </w:p>
    <w:p>
      <w:pPr>
        <w:pStyle w:val="20"/>
        <w:numPr>
          <w:ilvl w:val="0"/>
          <w:numId w:val="0"/>
        </w:numPr>
        <w:bidi w:val="0"/>
        <w:ind w:firstLine="640" w:firstLineChars="200"/>
        <w:rPr>
          <w:rFonts w:hint="default"/>
        </w:rPr>
      </w:pPr>
      <w:r>
        <w:rPr>
          <w:rFonts w:hint="eastAsia"/>
          <w:lang w:val="en-US" w:eastAsia="zh-CN"/>
        </w:rPr>
        <w:t>1.</w:t>
      </w:r>
      <w:r>
        <w:t>收入情况。</w:t>
      </w:r>
      <w:r>
        <w:rPr>
          <w:rFonts w:hint="default"/>
        </w:rPr>
        <w:t>2024</w:t>
      </w:r>
      <w:r>
        <w:t>年度收入合计</w:t>
      </w:r>
      <w:r>
        <w:rPr>
          <w:rFonts w:hint="default"/>
        </w:rPr>
        <w:t>2362.26</w:t>
      </w:r>
      <w:r>
        <w:t>万元，</w:t>
      </w:r>
      <w:r>
        <w:rPr>
          <w:rFonts w:hint="default"/>
        </w:rPr>
        <w:t>与2023年度相比，增加877.96万元，增长59.2%</w:t>
      </w:r>
      <w:r>
        <w:t>，主要原因是</w:t>
      </w:r>
      <w:r>
        <w:rPr>
          <w:rFonts w:hint="eastAsia"/>
          <w:lang w:val="en-US" w:eastAsia="zh-CN"/>
        </w:rPr>
        <w:t>2024年支付6座尾矿库工程款900.00万元，导致本年度收入增加。</w:t>
      </w:r>
      <w:r>
        <w:t>其中：财政拨款收入</w:t>
      </w:r>
      <w:r>
        <w:rPr>
          <w:rFonts w:hint="default"/>
        </w:rPr>
        <w:t>2347.70</w:t>
      </w:r>
      <w:r>
        <w:t>万元，占</w:t>
      </w:r>
      <w:r>
        <w:rPr>
          <w:rFonts w:hint="default"/>
        </w:rPr>
        <w:t>99.4%</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14.56</w:t>
      </w:r>
    </w:p>
    <w:p>
      <w:pPr>
        <w:pStyle w:val="20"/>
        <w:numPr>
          <w:ilvl w:val="0"/>
          <w:numId w:val="0"/>
        </w:numPr>
        <w:bidi w:val="0"/>
        <w:rPr>
          <w:rFonts w:hint="default"/>
        </w:rPr>
      </w:pPr>
      <w:r>
        <w:t>万元，占</w:t>
      </w:r>
      <w:r>
        <w:rPr>
          <w:rFonts w:hint="default"/>
        </w:rPr>
        <w:t>0.6%</w:t>
      </w:r>
      <w:r>
        <w:t>。此外，</w:t>
      </w:r>
      <w:r>
        <w:rPr>
          <w:rFonts w:hint="eastAsia"/>
        </w:rPr>
        <w:t>使用非财政拨款结余（含专用结余）</w:t>
      </w:r>
    </w:p>
    <w:p>
      <w:pPr>
        <w:pStyle w:val="20"/>
        <w:numPr>
          <w:ilvl w:val="0"/>
          <w:numId w:val="0"/>
        </w:numPr>
        <w:bidi w:val="0"/>
        <w:rPr>
          <w:rFonts w:hint="default"/>
        </w:rPr>
      </w:pPr>
      <w:r>
        <w:rPr>
          <w:rFonts w:hint="default"/>
        </w:rPr>
        <w:t>0.00</w:t>
      </w:r>
      <w:r>
        <w:t>万元，年初结转和结余</w:t>
      </w:r>
      <w:r>
        <w:rPr>
          <w:rFonts w:hint="default"/>
        </w:rPr>
        <w:t>173.09</w:t>
      </w:r>
      <w:r>
        <w:t>万元。</w:t>
      </w:r>
    </w:p>
    <w:p>
      <w:pPr>
        <w:pStyle w:val="20"/>
        <w:bidi w:val="0"/>
        <w:rPr>
          <w:rFonts w:hint="default"/>
        </w:rPr>
      </w:pPr>
      <w:r>
        <w:rPr>
          <w:rFonts w:hint="eastAsia"/>
          <w:lang w:val="en-US" w:eastAsia="zh-CN"/>
        </w:rPr>
        <w:t>2</w:t>
      </w:r>
      <w:r>
        <w:t>.支出情况。</w:t>
      </w:r>
      <w:r>
        <w:rPr>
          <w:rFonts w:hint="default"/>
        </w:rPr>
        <w:t>2024</w:t>
      </w:r>
      <w:r>
        <w:t>年度支出合计</w:t>
      </w:r>
      <w:r>
        <w:rPr>
          <w:rFonts w:hint="default"/>
        </w:rPr>
        <w:t>2522.75</w:t>
      </w:r>
      <w:r>
        <w:t>万元，</w:t>
      </w:r>
      <w:r>
        <w:rPr>
          <w:rFonts w:hint="default"/>
        </w:rPr>
        <w:t>与2023年度相比，增加853.73万元，增长51.2%</w:t>
      </w:r>
      <w:r>
        <w:t>，主要原因是</w:t>
      </w:r>
      <w:r>
        <w:rPr>
          <w:rFonts w:hint="eastAsia"/>
          <w:lang w:val="en-US" w:eastAsia="zh-CN"/>
        </w:rPr>
        <w:t>2024年支付6座尾矿库工程款900.00万元，导致本年度支出增加。</w:t>
      </w:r>
      <w:r>
        <w:t>其中：基本支出</w:t>
      </w:r>
      <w:r>
        <w:rPr>
          <w:rFonts w:hint="default"/>
        </w:rPr>
        <w:t>625.75</w:t>
      </w:r>
      <w:r>
        <w:t>万元，占</w:t>
      </w:r>
      <w:r>
        <w:rPr>
          <w:rFonts w:hint="default"/>
        </w:rPr>
        <w:t>24.8%</w:t>
      </w:r>
      <w:r>
        <w:t>；项目支出</w:t>
      </w:r>
      <w:r>
        <w:rPr>
          <w:rFonts w:hint="default"/>
        </w:rPr>
        <w:t>1897.00</w:t>
      </w:r>
      <w:r>
        <w:t>万元，占</w:t>
      </w:r>
      <w:r>
        <w:rPr>
          <w:rFonts w:hint="default"/>
        </w:rPr>
        <w:t>75.2%</w:t>
      </w:r>
      <w:r>
        <w:t>；经营支出</w:t>
      </w:r>
      <w:r>
        <w:rPr>
          <w:rFonts w:hint="default"/>
        </w:rPr>
        <w:t>0.00</w:t>
      </w:r>
      <w:r>
        <w:t>万元，占</w:t>
      </w:r>
      <w:r>
        <w:rPr>
          <w:rFonts w:hint="default"/>
        </w:rPr>
        <w:t>0.0%</w:t>
      </w:r>
      <w:r>
        <w:t>。此外，结余分配</w:t>
      </w:r>
      <w:r>
        <w:rPr>
          <w:rFonts w:hint="default"/>
        </w:rPr>
        <w:t>0.00</w:t>
      </w:r>
      <w:r>
        <w:t>万元。</w:t>
      </w:r>
    </w:p>
    <w:p>
      <w:pPr>
        <w:pStyle w:val="20"/>
        <w:bidi w:val="0"/>
        <w:rPr>
          <w:rFonts w:hint="default"/>
        </w:rPr>
      </w:pPr>
      <w:r>
        <w:rPr>
          <w:rFonts w:hint="eastAsia"/>
          <w:lang w:val="en-US" w:eastAsia="zh-CN"/>
        </w:rPr>
        <w:t>3</w:t>
      </w:r>
      <w:r>
        <w:t>.结转结余情况。</w:t>
      </w:r>
      <w:r>
        <w:rPr>
          <w:rFonts w:hint="default"/>
        </w:rPr>
        <w:t>2024</w:t>
      </w:r>
      <w:r>
        <w:t>年度年末结转和结余</w:t>
      </w:r>
      <w:r>
        <w:rPr>
          <w:rFonts w:hint="default"/>
        </w:rPr>
        <w:t>12.60</w:t>
      </w:r>
      <w:r>
        <w:t>万元，</w:t>
      </w:r>
      <w:r>
        <w:rPr>
          <w:rFonts w:hint="default"/>
        </w:rPr>
        <w:t>与2023年度相比，增加12.60万元，增长100.0%</w:t>
      </w:r>
      <w:r>
        <w:t>，主要原因是</w:t>
      </w:r>
      <w:r>
        <w:rPr>
          <w:rFonts w:hint="eastAsia"/>
          <w:lang w:eastAsia="zh-CN"/>
        </w:rPr>
        <w:t>本年度收到市局拨款，作为收入纳入非财政拨款收入，导致该项目增加。</w:t>
      </w:r>
    </w:p>
    <w:p>
      <w:pPr>
        <w:pStyle w:val="19"/>
        <w:bidi w:val="0"/>
      </w:pPr>
      <w:r>
        <w:rPr>
          <w:rFonts w:hint="eastAsia"/>
        </w:rPr>
        <w:t>（二）财政拨款收入支出决算总体情况说明</w:t>
      </w:r>
    </w:p>
    <w:p>
      <w:pPr>
        <w:pStyle w:val="20"/>
        <w:bidi w:val="0"/>
        <w:rPr>
          <w:rFonts w:hint="eastAsia"/>
          <w:lang w:eastAsia="zh-CN"/>
        </w:rPr>
      </w:pPr>
      <w:r>
        <w:rPr>
          <w:rFonts w:hint="default"/>
        </w:rPr>
        <w:t>2024</w:t>
      </w:r>
      <w:r>
        <w:t>年度财政拨款收、支总计均为</w:t>
      </w:r>
      <w:r>
        <w:rPr>
          <w:rFonts w:hint="default"/>
        </w:rPr>
        <w:t>2520.78</w:t>
      </w:r>
      <w:r>
        <w:t>万元。与</w:t>
      </w:r>
      <w:r>
        <w:rPr>
          <w:rFonts w:hint="default"/>
        </w:rPr>
        <w:t>2023</w:t>
      </w:r>
      <w:r>
        <w:t>年</w:t>
      </w:r>
      <w:r>
        <w:rPr>
          <w:rFonts w:hint="eastAsia"/>
          <w:lang w:eastAsia="zh-CN"/>
        </w:rPr>
        <w:t>度</w:t>
      </w:r>
      <w:r>
        <w:t>相比，</w:t>
      </w:r>
      <w:r>
        <w:rPr>
          <w:rFonts w:hint="default"/>
        </w:rPr>
        <w:t>财政拨款收、支总计各增加851.76万元，增长51.0%</w:t>
      </w:r>
      <w:r>
        <w:t>。主要原因是</w:t>
      </w:r>
      <w:r>
        <w:rPr>
          <w:rFonts w:hint="eastAsia"/>
          <w:lang w:val="en-US" w:eastAsia="zh-CN"/>
        </w:rPr>
        <w:t>2024年支付6座尾矿库工程款900.00万元，导致本年度收、支相应增加。</w:t>
      </w:r>
    </w:p>
    <w:p>
      <w:pPr>
        <w:pStyle w:val="19"/>
        <w:bidi w:val="0"/>
      </w:pPr>
      <w:r>
        <w:rPr>
          <w:rFonts w:hint="eastAsia"/>
        </w:rPr>
        <w:t>（三）一般公共预算财政拨款收入支出决算情况说明</w:t>
      </w:r>
    </w:p>
    <w:p>
      <w:pPr>
        <w:pStyle w:val="20"/>
        <w:bidi w:val="0"/>
        <w:rPr>
          <w:rFonts w:hint="eastAsia"/>
          <w:lang w:eastAsia="zh-CN"/>
        </w:rPr>
      </w:pPr>
      <w:r>
        <w:rPr>
          <w:rFonts w:hint="default"/>
        </w:rPr>
        <w:t>1</w:t>
      </w:r>
      <w:r>
        <w:t>.收入情况。</w:t>
      </w:r>
      <w:r>
        <w:rPr>
          <w:rFonts w:hint="default"/>
        </w:rPr>
        <w:t>2024</w:t>
      </w:r>
      <w:r>
        <w:t>年度一般公共预算财政拨款收入</w:t>
      </w:r>
      <w:r>
        <w:rPr>
          <w:rFonts w:hint="default"/>
        </w:rPr>
        <w:t>2347.70</w:t>
      </w:r>
      <w:r>
        <w:t>万元，</w:t>
      </w:r>
      <w:r>
        <w:rPr>
          <w:rFonts w:hint="default"/>
        </w:rPr>
        <w:t>与2023年度相比，增加863.40万元，增长58.2%</w:t>
      </w:r>
      <w:r>
        <w:t>。主要原因是</w:t>
      </w:r>
      <w:r>
        <w:rPr>
          <w:rFonts w:hint="eastAsia"/>
          <w:lang w:val="en-US" w:eastAsia="zh-CN"/>
        </w:rPr>
        <w:t>2024年支付6座尾矿库工程款900.00万元，导致本年度相应收入增加。</w:t>
      </w:r>
      <w:r>
        <w:rPr>
          <w:rFonts w:hint="default"/>
        </w:rPr>
        <w:t>较年初预算数减少5420.87万元，下降69.8%</w:t>
      </w:r>
      <w:r>
        <w:t>。主要原因是</w:t>
      </w:r>
      <w:r>
        <w:rPr>
          <w:rFonts w:hint="eastAsia"/>
          <w:lang w:eastAsia="zh-CN"/>
        </w:rPr>
        <w:t>该项目实施进度缓慢，本年</w:t>
      </w:r>
    </w:p>
    <w:p>
      <w:pPr>
        <w:pStyle w:val="20"/>
        <w:bidi w:val="0"/>
        <w:ind w:left="0" w:leftChars="0" w:firstLine="0" w:firstLineChars="0"/>
        <w:rPr>
          <w:rFonts w:hint="default"/>
          <w:lang w:val="en-US" w:eastAsia="zh-CN"/>
        </w:rPr>
      </w:pPr>
      <w:r>
        <w:rPr>
          <w:rFonts w:hint="eastAsia"/>
          <w:lang w:eastAsia="zh-CN"/>
        </w:rPr>
        <w:t>度市局拨款</w:t>
      </w:r>
      <w:r>
        <w:rPr>
          <w:rFonts w:hint="eastAsia"/>
          <w:lang w:val="en-US" w:eastAsia="zh-CN"/>
        </w:rPr>
        <w:t>6座尾矿库6031.00万元尚未支付，导致相应收</w:t>
      </w:r>
    </w:p>
    <w:p>
      <w:pPr>
        <w:pStyle w:val="20"/>
        <w:bidi w:val="0"/>
        <w:ind w:left="0" w:leftChars="0" w:firstLine="0" w:firstLineChars="0"/>
      </w:pPr>
      <w:r>
        <w:rPr>
          <w:rFonts w:hint="eastAsia"/>
          <w:lang w:val="en-US" w:eastAsia="zh-CN"/>
        </w:rPr>
        <w:t>入减少。</w:t>
      </w:r>
      <w:r>
        <w:t>此外，年初财政拨款结转和结余</w:t>
      </w:r>
      <w:r>
        <w:rPr>
          <w:rFonts w:hint="default"/>
        </w:rPr>
        <w:t>173.09</w:t>
      </w:r>
      <w:r>
        <w:t>万元。</w:t>
      </w:r>
    </w:p>
    <w:p>
      <w:pPr>
        <w:pStyle w:val="20"/>
        <w:bidi w:val="0"/>
        <w:rPr>
          <w:rFonts w:hint="default"/>
        </w:rPr>
      </w:pPr>
      <w:r>
        <w:rPr>
          <w:rFonts w:hint="default"/>
        </w:rPr>
        <w:t>2</w:t>
      </w:r>
      <w:r>
        <w:t>.支出情况。</w:t>
      </w:r>
      <w:r>
        <w:rPr>
          <w:rFonts w:hint="default"/>
        </w:rPr>
        <w:t>2024</w:t>
      </w:r>
      <w:r>
        <w:t>年度一般公共预算财政拨款支出</w:t>
      </w:r>
    </w:p>
    <w:p>
      <w:pPr>
        <w:pStyle w:val="20"/>
        <w:bidi w:val="0"/>
        <w:ind w:left="0" w:leftChars="0" w:firstLine="0" w:firstLineChars="0"/>
        <w:rPr>
          <w:rFonts w:hint="eastAsia"/>
          <w:lang w:eastAsia="zh-CN"/>
        </w:rPr>
      </w:pPr>
      <w:r>
        <w:rPr>
          <w:rFonts w:hint="default"/>
        </w:rPr>
        <w:t>2520.78</w:t>
      </w:r>
      <w:r>
        <w:t>万元，</w:t>
      </w:r>
      <w:r>
        <w:rPr>
          <w:rFonts w:hint="default"/>
        </w:rPr>
        <w:t>与2023年度相比，增加851.76万元，增长51.0%</w:t>
      </w:r>
      <w:r>
        <w:t>。主要原因是</w:t>
      </w:r>
      <w:r>
        <w:rPr>
          <w:rFonts w:hint="eastAsia"/>
          <w:lang w:val="en-US" w:eastAsia="zh-CN"/>
        </w:rPr>
        <w:t>2024年支付6座尾矿库工程款900.00万元，导致支出相应增加。</w:t>
      </w:r>
      <w:r>
        <w:rPr>
          <w:rFonts w:hint="default"/>
        </w:rPr>
        <w:t>较年初预算数减少5247.79万元，下降67.6%</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0"/>
        <w:bidi w:val="0"/>
      </w:pPr>
      <w:r>
        <w:t>一般公共预算财政拨款支出主要</w:t>
      </w:r>
      <w:r>
        <w:rPr>
          <w:rFonts w:hint="eastAsia"/>
          <w:lang w:eastAsia="zh-CN"/>
        </w:rPr>
        <w:t>用途如下</w:t>
      </w:r>
      <w:r>
        <w:t>：</w:t>
      </w:r>
    </w:p>
    <w:p>
      <w:pPr>
        <w:pStyle w:val="20"/>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t>一般公共服务支出</w:t>
      </w:r>
      <w:r>
        <w:rPr>
          <w:rFonts w:hint="default"/>
        </w:rPr>
        <w:t>3.05</w:t>
      </w:r>
      <w:r>
        <w:t>万元，占</w:t>
      </w:r>
      <w:r>
        <w:rPr>
          <w:rFonts w:hint="default"/>
        </w:rPr>
        <w:t>0.1%</w:t>
      </w:r>
      <w:r>
        <w:t>，</w:t>
      </w:r>
      <w:r>
        <w:rPr>
          <w:rFonts w:hint="default"/>
        </w:rPr>
        <w:t>较年初预算数增加3.05万元，增长100.0%</w:t>
      </w:r>
      <w:r>
        <w:t>，主要原因是</w:t>
      </w:r>
      <w:r>
        <w:rPr>
          <w:rFonts w:hint="eastAsia"/>
          <w:lang w:eastAsia="zh-CN"/>
        </w:rPr>
        <w:t>增加公务员奖励经费</w:t>
      </w:r>
      <w:r>
        <w:rPr>
          <w:rFonts w:hint="eastAsia"/>
          <w:lang w:val="en-US" w:eastAsia="zh-CN"/>
        </w:rPr>
        <w:t>1.05万元，信访业务支出2.00万元。</w:t>
      </w:r>
    </w:p>
    <w:p>
      <w:pPr>
        <w:pStyle w:val="20"/>
        <w:bidi w:val="0"/>
        <w:rPr>
          <w:rFonts w:hint="default" w:ascii="Times New Roman" w:hAnsi="Times New Roman" w:cs="Times New Roman"/>
        </w:rPr>
      </w:pPr>
      <w:r>
        <w:t>（</w:t>
      </w:r>
      <w:r>
        <w:rPr>
          <w:rFonts w:hint="eastAsia"/>
          <w:lang w:val="en-US" w:eastAsia="zh-CN"/>
        </w:rPr>
        <w:t>2</w:t>
      </w:r>
      <w:r>
        <w:t>）社会保障</w:t>
      </w:r>
      <w:r>
        <w:rPr>
          <w:rFonts w:hint="eastAsia"/>
          <w:lang w:eastAsia="zh-CN"/>
        </w:rPr>
        <w:t>和</w:t>
      </w:r>
      <w:r>
        <w:t>就业支出</w:t>
      </w:r>
      <w:r>
        <w:rPr>
          <w:rFonts w:hint="default"/>
        </w:rPr>
        <w:t>76.97</w:t>
      </w:r>
      <w:r>
        <w:t>万元，占</w:t>
      </w:r>
      <w:r>
        <w:rPr>
          <w:rFonts w:hint="default"/>
        </w:rPr>
        <w:t>3.1%</w:t>
      </w:r>
      <w:r>
        <w:t>，</w:t>
      </w:r>
      <w:r>
        <w:rPr>
          <w:rFonts w:hint="default"/>
        </w:rPr>
        <w:t>较年初预算数减少167.06万元，下降68.5%</w:t>
      </w:r>
      <w:r>
        <w:t>，主要原因是</w:t>
      </w:r>
      <w:r>
        <w:rPr>
          <w:rFonts w:hint="eastAsia"/>
          <w:lang w:eastAsia="zh-CN"/>
        </w:rPr>
        <w:t>未改制工业企业（长岗煤矿、川河煤矿）功能科目调整，已从</w:t>
      </w:r>
      <w:r>
        <w:rPr>
          <w:rFonts w:hint="eastAsia" w:ascii="方正仿宋_GBK" w:hAnsi="方正仿宋_GBK"/>
          <w:lang w:eastAsia="zh-CN"/>
        </w:rPr>
        <w:t>“</w:t>
      </w:r>
      <w:r>
        <w:t>社会保障</w:t>
      </w:r>
      <w:r>
        <w:rPr>
          <w:rFonts w:hint="eastAsia"/>
          <w:lang w:eastAsia="zh-CN"/>
        </w:rPr>
        <w:t>和</w:t>
      </w:r>
      <w:r>
        <w:t>就业支出</w:t>
      </w:r>
      <w:r>
        <w:rPr>
          <w:rFonts w:hint="eastAsia" w:ascii="方正仿宋_GBK" w:hAnsi="方正仿宋_GBK"/>
          <w:lang w:eastAsia="zh-CN"/>
        </w:rPr>
        <w:t>”</w:t>
      </w:r>
      <w:r>
        <w:rPr>
          <w:rFonts w:hint="eastAsia"/>
          <w:lang w:eastAsia="zh-CN"/>
        </w:rPr>
        <w:t>调整到</w:t>
      </w:r>
      <w:r>
        <w:rPr>
          <w:rFonts w:hint="eastAsia" w:ascii="方正仿宋_GBK" w:hAnsi="方正仿宋_GBK"/>
          <w:lang w:eastAsia="zh-CN"/>
        </w:rPr>
        <w:t>“</w:t>
      </w:r>
      <w:r>
        <w:rPr>
          <w:rFonts w:hint="eastAsia"/>
          <w:lang w:eastAsia="zh-CN"/>
        </w:rPr>
        <w:t>一般行政管理事务</w:t>
      </w:r>
      <w:r>
        <w:rPr>
          <w:rFonts w:hint="eastAsia" w:ascii="方正仿宋_GBK" w:hAnsi="方正仿宋_GBK"/>
          <w:lang w:val="en-US" w:eastAsia="zh-CN"/>
        </w:rPr>
        <w:t>”</w:t>
      </w:r>
      <w:r>
        <w:rPr>
          <w:rFonts w:hint="eastAsia"/>
          <w:lang w:eastAsia="zh-CN"/>
        </w:rPr>
        <w:t>中，导致该</w:t>
      </w:r>
      <w:r>
        <w:rPr>
          <w:rFonts w:hint="eastAsia"/>
          <w:lang w:val="en-US" w:eastAsia="zh-CN"/>
        </w:rPr>
        <w:t>项目支出减少，涉及金额156.68万元。</w:t>
      </w:r>
    </w:p>
    <w:p>
      <w:pPr>
        <w:pStyle w:val="20"/>
        <w:bidi w:val="0"/>
        <w:rPr>
          <w:rFonts w:hint="eastAsia"/>
          <w:lang w:eastAsia="zh-CN"/>
        </w:rPr>
      </w:pPr>
      <w:r>
        <w:t>（</w:t>
      </w:r>
      <w:r>
        <w:rPr>
          <w:rFonts w:hint="eastAsia"/>
          <w:lang w:val="en-US" w:eastAsia="zh-CN"/>
        </w:rPr>
        <w:t>3</w:t>
      </w:r>
      <w:r>
        <w:t>）卫生健康支出</w:t>
      </w:r>
      <w:r>
        <w:rPr>
          <w:rFonts w:hint="default"/>
        </w:rPr>
        <w:t>23.80</w:t>
      </w:r>
      <w:r>
        <w:t>万元，占</w:t>
      </w:r>
      <w:r>
        <w:rPr>
          <w:rFonts w:hint="default"/>
        </w:rPr>
        <w:t>0.9%</w:t>
      </w:r>
      <w:r>
        <w:t>，</w:t>
      </w:r>
      <w:r>
        <w:rPr>
          <w:rFonts w:hint="default"/>
        </w:rPr>
        <w:t>较年初预算数减少0.04万元，下降0.2%</w:t>
      </w:r>
      <w:r>
        <w:t>，主要原因是</w:t>
      </w:r>
      <w:r>
        <w:rPr>
          <w:rFonts w:hint="eastAsia"/>
          <w:lang w:eastAsia="zh-CN"/>
        </w:rPr>
        <w:t>实际支付医疗保险配套减少。</w:t>
      </w:r>
    </w:p>
    <w:p>
      <w:pPr>
        <w:pStyle w:val="20"/>
        <w:bidi w:val="0"/>
        <w:rPr>
          <w:rFonts w:hint="eastAsia"/>
          <w:lang w:val="en-US" w:eastAsia="zh-CN"/>
        </w:rPr>
      </w:pPr>
      <w:r>
        <w:t>（</w:t>
      </w:r>
      <w:r>
        <w:rPr>
          <w:rFonts w:hint="eastAsia"/>
          <w:lang w:val="en-US" w:eastAsia="zh-CN"/>
        </w:rPr>
        <w:t>4</w:t>
      </w:r>
      <w:r>
        <w:t>）节能环保支出</w:t>
      </w:r>
      <w:r>
        <w:rPr>
          <w:rFonts w:hint="default"/>
        </w:rPr>
        <w:t>60.17</w:t>
      </w:r>
      <w:r>
        <w:t>万元，占</w:t>
      </w:r>
      <w:r>
        <w:rPr>
          <w:rFonts w:hint="default"/>
        </w:rPr>
        <w:t>2.4%</w:t>
      </w:r>
      <w:r>
        <w:t>，</w:t>
      </w:r>
      <w:r>
        <w:rPr>
          <w:rFonts w:hint="default"/>
        </w:rPr>
        <w:t>较年初预算数增加60.17万元，增长100.0%</w:t>
      </w:r>
      <w:r>
        <w:t>，主要原因是</w:t>
      </w:r>
      <w:r>
        <w:rPr>
          <w:rFonts w:hint="eastAsia"/>
          <w:lang w:eastAsia="zh-CN"/>
        </w:rPr>
        <w:t>支付</w:t>
      </w:r>
      <w:r>
        <w:rPr>
          <w:rFonts w:hint="eastAsia"/>
        </w:rPr>
        <w:t>三润矿业中岭山锰矿和溶溪锰矿淘汰奖补资金</w:t>
      </w:r>
      <w:r>
        <w:rPr>
          <w:rFonts w:hint="eastAsia"/>
          <w:lang w:val="en-US" w:eastAsia="zh-CN"/>
        </w:rPr>
        <w:t>24.82万元，嘉源锰矿淘汰退出奖补资金30.00万元。</w:t>
      </w:r>
    </w:p>
    <w:p>
      <w:pPr>
        <w:pStyle w:val="20"/>
        <w:bidi w:val="0"/>
        <w:rPr>
          <w:rFonts w:hint="default"/>
          <w:lang w:val="en-US" w:eastAsia="zh-CN"/>
        </w:rPr>
      </w:pPr>
      <w:r>
        <w:t>（</w:t>
      </w:r>
      <w:r>
        <w:rPr>
          <w:rFonts w:hint="eastAsia" w:ascii="Times New Roman" w:eastAsia="宋体"/>
          <w:lang w:val="en-US" w:eastAsia="zh-CN"/>
        </w:rPr>
        <w:t>5</w:t>
      </w:r>
      <w:r>
        <w:t>）住房保障支出</w:t>
      </w:r>
      <w:r>
        <w:rPr>
          <w:rFonts w:hint="default"/>
        </w:rPr>
        <w:t>27.52</w:t>
      </w:r>
      <w:r>
        <w:t>万元，占</w:t>
      </w:r>
      <w:r>
        <w:rPr>
          <w:rFonts w:hint="default"/>
        </w:rPr>
        <w:t>1.1%</w:t>
      </w:r>
      <w:r>
        <w:t>，</w:t>
      </w:r>
      <w:r>
        <w:rPr>
          <w:rFonts w:hint="default"/>
        </w:rPr>
        <w:t>较年初预算</w:t>
      </w:r>
    </w:p>
    <w:p>
      <w:pPr>
        <w:pStyle w:val="20"/>
        <w:bidi w:val="0"/>
        <w:ind w:left="0" w:leftChars="0" w:firstLine="0" w:firstLineChars="0"/>
        <w:rPr>
          <w:rFonts w:hint="eastAsia"/>
          <w:lang w:eastAsia="zh-CN"/>
        </w:rPr>
      </w:pPr>
      <w:r>
        <w:rPr>
          <w:rFonts w:hint="default"/>
        </w:rPr>
        <w:t>数减少0.07万元，下降0.3%</w:t>
      </w:r>
      <w:r>
        <w:t>，主要原因是</w:t>
      </w:r>
      <w:r>
        <w:rPr>
          <w:rFonts w:hint="eastAsia"/>
          <w:lang w:eastAsia="zh-CN"/>
        </w:rPr>
        <w:t>本单位有四个下</w:t>
      </w:r>
    </w:p>
    <w:p>
      <w:pPr>
        <w:pStyle w:val="20"/>
        <w:bidi w:val="0"/>
        <w:ind w:left="0" w:leftChars="0" w:firstLine="0" w:firstLineChars="0"/>
        <w:rPr>
          <w:rFonts w:hint="default"/>
          <w:lang w:val="en-US" w:eastAsia="zh-CN"/>
        </w:rPr>
      </w:pPr>
      <w:r>
        <w:rPr>
          <w:rFonts w:hint="eastAsia"/>
          <w:lang w:eastAsia="zh-CN"/>
        </w:rPr>
        <w:t>属事业单位，公积金账号只有本单位一个，部分公积金</w:t>
      </w:r>
      <w:r>
        <w:rPr>
          <w:rFonts w:hint="eastAsia"/>
          <w:lang w:val="en-US" w:eastAsia="zh-CN"/>
        </w:rPr>
        <w:t>由下</w:t>
      </w:r>
    </w:p>
    <w:p>
      <w:pPr>
        <w:pStyle w:val="20"/>
        <w:bidi w:val="0"/>
        <w:ind w:left="0" w:leftChars="0" w:firstLine="0" w:firstLineChars="0"/>
        <w:rPr>
          <w:rFonts w:hint="eastAsia"/>
          <w:lang w:eastAsia="zh-CN"/>
        </w:rPr>
      </w:pPr>
      <w:r>
        <w:rPr>
          <w:rFonts w:hint="eastAsia"/>
          <w:lang w:eastAsia="zh-CN"/>
        </w:rPr>
        <w:t>属事业单位代付，导致该项支出略有减少。</w:t>
      </w:r>
    </w:p>
    <w:p>
      <w:pPr>
        <w:pStyle w:val="20"/>
        <w:bidi w:val="0"/>
        <w:rPr>
          <w:rFonts w:hint="default"/>
        </w:rPr>
      </w:pPr>
      <w:r>
        <w:t>（</w:t>
      </w:r>
      <w:r>
        <w:rPr>
          <w:rFonts w:hint="eastAsia"/>
          <w:lang w:val="en-US" w:eastAsia="zh-CN"/>
        </w:rPr>
        <w:t>6</w:t>
      </w:r>
      <w:r>
        <w:t>）灾害防治及应急管理支出</w:t>
      </w:r>
      <w:r>
        <w:rPr>
          <w:rFonts w:hint="default"/>
        </w:rPr>
        <w:t>2329.27</w:t>
      </w:r>
      <w:r>
        <w:t>万元，占</w:t>
      </w:r>
      <w:r>
        <w:rPr>
          <w:rFonts w:hint="default"/>
        </w:rPr>
        <w:t>92.4%</w:t>
      </w:r>
      <w:r>
        <w:t>，</w:t>
      </w:r>
      <w:r>
        <w:rPr>
          <w:rFonts w:hint="default"/>
        </w:rPr>
        <w:t>较年初预算数减少5143.84万元，下降68.8%</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0"/>
        <w:bidi w:val="0"/>
        <w:rPr>
          <w:rFonts w:hint="default"/>
          <w:lang w:val="en-US" w:eastAsia="zh-CN"/>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default"/>
          <w:lang w:val="en-US" w:eastAsia="zh-CN"/>
        </w:rPr>
        <w:t>部分项目资金未使用，年底财政收回。</w:t>
      </w:r>
      <w:r>
        <w:rPr>
          <w:rFonts w:hint="eastAsia"/>
          <w:lang w:val="en-US" w:eastAsia="zh-CN"/>
        </w:rPr>
        <w:t>均不存在结转结余资金情况。</w:t>
      </w:r>
    </w:p>
    <w:p>
      <w:pPr>
        <w:pStyle w:val="19"/>
        <w:bidi w:val="0"/>
      </w:pPr>
      <w:r>
        <w:rPr>
          <w:rFonts w:hint="eastAsia"/>
        </w:rPr>
        <w:t>（四）一般公共预算财政拨款基本支出决算情况说明</w:t>
      </w:r>
    </w:p>
    <w:p>
      <w:pPr>
        <w:pStyle w:val="20"/>
        <w:bidi w:val="0"/>
        <w:rPr>
          <w:rFonts w:hint="default"/>
          <w:lang w:val="en-US" w:eastAsia="zh-CN"/>
        </w:rPr>
      </w:pPr>
      <w:r>
        <w:rPr>
          <w:rFonts w:hint="default"/>
        </w:rPr>
        <w:t>2024</w:t>
      </w:r>
      <w:r>
        <w:t>年度一般公共财政拨款基本支出</w:t>
      </w:r>
      <w:r>
        <w:rPr>
          <w:rFonts w:hint="default"/>
        </w:rPr>
        <w:t>623.79</w:t>
      </w:r>
      <w:r>
        <w:t>万元。其中：人员经费</w:t>
      </w:r>
      <w:r>
        <w:rPr>
          <w:rFonts w:hint="default"/>
        </w:rPr>
        <w:t>363.77</w:t>
      </w:r>
      <w:r>
        <w:t>万元，</w:t>
      </w:r>
      <w:r>
        <w:rPr>
          <w:rFonts w:hint="default"/>
        </w:rPr>
        <w:t>与2023年度相比，增加21.49万元，增长6.3%</w:t>
      </w:r>
      <w:r>
        <w:t>，主要原因是</w:t>
      </w:r>
      <w:r>
        <w:rPr>
          <w:rFonts w:hint="eastAsia"/>
          <w:lang w:val="en-US" w:eastAsia="zh-CN"/>
        </w:rPr>
        <w:t>2024年社保、公积金基数调整、政策性工资调标。</w:t>
      </w:r>
      <w:r>
        <w:t>人员经费用途主要包括</w:t>
      </w:r>
      <w:r>
        <w:rPr>
          <w:rFonts w:hint="default"/>
          <w:lang w:val="en-US" w:eastAsia="zh-CN"/>
        </w:rPr>
        <w:t>基本工资</w:t>
      </w:r>
      <w:r>
        <w:rPr>
          <w:rFonts w:hint="eastAsia"/>
          <w:lang w:val="en-US" w:eastAsia="zh-CN"/>
        </w:rPr>
        <w:t>、</w:t>
      </w:r>
      <w:r>
        <w:rPr>
          <w:rFonts w:hint="default"/>
          <w:lang w:val="en-US" w:eastAsia="zh-CN"/>
        </w:rPr>
        <w:t>津贴补贴</w:t>
      </w:r>
      <w:r>
        <w:rPr>
          <w:rFonts w:hint="eastAsia"/>
          <w:lang w:val="en-US" w:eastAsia="zh-CN"/>
        </w:rPr>
        <w:t>、</w:t>
      </w:r>
      <w:r>
        <w:rPr>
          <w:rFonts w:hint="default"/>
          <w:lang w:val="en-US" w:eastAsia="zh-CN"/>
        </w:rPr>
        <w:t>奖金</w:t>
      </w:r>
      <w:r>
        <w:rPr>
          <w:rFonts w:hint="eastAsia"/>
          <w:lang w:val="en-US" w:eastAsia="zh-CN"/>
        </w:rPr>
        <w:t>、职业年金缴费、</w:t>
      </w:r>
      <w:r>
        <w:rPr>
          <w:rFonts w:hint="default"/>
          <w:lang w:val="en-US" w:eastAsia="zh-CN"/>
        </w:rPr>
        <w:t>绩效工资</w:t>
      </w:r>
      <w:r>
        <w:rPr>
          <w:rFonts w:hint="eastAsia"/>
          <w:lang w:val="en-US" w:eastAsia="zh-CN"/>
        </w:rPr>
        <w:t>等</w:t>
      </w:r>
      <w:r>
        <w:rPr>
          <w:rFonts w:hint="default"/>
          <w:lang w:val="en-US" w:eastAsia="zh-CN"/>
        </w:rPr>
        <w:t>。</w:t>
      </w:r>
    </w:p>
    <w:p>
      <w:pPr>
        <w:pStyle w:val="20"/>
        <w:bidi w:val="0"/>
        <w:rPr>
          <w:rFonts w:hint="eastAsia"/>
          <w:lang w:val="en-US" w:eastAsia="zh-CN"/>
        </w:rPr>
      </w:pPr>
      <w:r>
        <w:t>公用经费</w:t>
      </w:r>
      <w:r>
        <w:rPr>
          <w:rFonts w:hint="default"/>
        </w:rPr>
        <w:t>260.01</w:t>
      </w:r>
      <w:r>
        <w:t>万元，</w:t>
      </w:r>
      <w:r>
        <w:rPr>
          <w:rFonts w:hint="default"/>
        </w:rPr>
        <w:t>与2023年度相比，增加195.87万元，增长305.4%</w:t>
      </w:r>
      <w:r>
        <w:t>，主要原因是</w:t>
      </w:r>
      <w:r>
        <w:rPr>
          <w:rFonts w:hint="eastAsia"/>
          <w:lang w:eastAsia="zh-CN"/>
        </w:rPr>
        <w:t>应急救援专项经费</w:t>
      </w:r>
      <w:r>
        <w:rPr>
          <w:rFonts w:hint="eastAsia"/>
          <w:lang w:val="en-US" w:eastAsia="zh-CN"/>
        </w:rPr>
        <w:t>200.00万元，2023年科目名称属于项目中的</w:t>
      </w:r>
      <w:r>
        <w:rPr>
          <w:rFonts w:hint="eastAsia" w:ascii="方正仿宋_GBK" w:hAnsi="方正仿宋_GBK"/>
          <w:lang w:val="en-US" w:eastAsia="zh-CN"/>
        </w:rPr>
        <w:t>“</w:t>
      </w:r>
      <w:r>
        <w:rPr>
          <w:rFonts w:hint="eastAsia"/>
          <w:lang w:val="en-US" w:eastAsia="zh-CN"/>
        </w:rPr>
        <w:t>一般行政管理事务</w:t>
      </w:r>
      <w:r>
        <w:rPr>
          <w:rFonts w:hint="eastAsia" w:ascii="方正仿宋_GBK" w:hAnsi="方正仿宋_GBK"/>
          <w:lang w:val="en-US" w:eastAsia="zh-CN"/>
        </w:rPr>
        <w:t>”</w:t>
      </w:r>
      <w:r>
        <w:rPr>
          <w:rFonts w:hint="eastAsia"/>
          <w:lang w:val="en-US" w:eastAsia="zh-CN"/>
        </w:rPr>
        <w:t>，2024年把该项目纳入行政运行中的公用经费，导致本年度公用经费增加。</w:t>
      </w:r>
      <w:r>
        <w:t>公用经费用途主要包括</w:t>
      </w:r>
      <w:r>
        <w:rPr>
          <w:rFonts w:hint="eastAsia"/>
          <w:lang w:val="en-US" w:eastAsia="zh-CN"/>
        </w:rPr>
        <w:t>办公费、印刷费、水费、</w:t>
      </w:r>
    </w:p>
    <w:p>
      <w:pPr>
        <w:pStyle w:val="20"/>
        <w:bidi w:val="0"/>
        <w:ind w:left="0" w:leftChars="0" w:firstLine="0" w:firstLineChars="0"/>
        <w:rPr>
          <w:rFonts w:hint="default"/>
        </w:rPr>
      </w:pPr>
      <w:r>
        <w:rPr>
          <w:rFonts w:hint="default"/>
          <w:lang w:val="en-US" w:eastAsia="zh-CN"/>
        </w:rPr>
        <w:t>电费、差旅费、公务接待费、公务用车运行维护费</w:t>
      </w:r>
      <w:r>
        <w:rPr>
          <w:rFonts w:hint="eastAsia"/>
          <w:lang w:val="en-US" w:eastAsia="zh-CN"/>
        </w:rPr>
        <w:t>等</w:t>
      </w:r>
      <w:r>
        <w:rPr>
          <w:rFonts w:hint="default"/>
          <w:lang w:val="en-US" w:eastAsia="zh-CN"/>
        </w:rPr>
        <w:t>。</w:t>
      </w:r>
    </w:p>
    <w:p>
      <w:pPr>
        <w:pStyle w:val="19"/>
        <w:numPr>
          <w:ilvl w:val="0"/>
          <w:numId w:val="1"/>
        </w:numPr>
        <w:bidi w:val="0"/>
        <w:rPr>
          <w:rFonts w:hint="eastAsia"/>
        </w:rPr>
      </w:pPr>
      <w:r>
        <w:rPr>
          <w:rFonts w:hint="eastAsia"/>
        </w:rPr>
        <w:t>政府性基金预算收支决算情况说明</w:t>
      </w:r>
    </w:p>
    <w:p>
      <w:pPr>
        <w:pStyle w:val="20"/>
        <w:bidi w:val="0"/>
        <w:rPr>
          <w:rFonts w:hint="eastAsia"/>
        </w:rPr>
      </w:pPr>
      <w:r>
        <w:rPr>
          <w:rFonts w:hint="default"/>
        </w:rPr>
        <w:t>2024</w:t>
      </w:r>
      <w:r>
        <w:t>年度政府性基金预算财政拨款年初结转结余</w:t>
      </w:r>
      <w:r>
        <w:rPr>
          <w:rFonts w:hint="default"/>
        </w:rPr>
        <w:t>0.00</w:t>
      </w:r>
    </w:p>
    <w:p>
      <w:pPr>
        <w:pStyle w:val="20"/>
        <w:bidi w:val="0"/>
        <w:ind w:left="0" w:leftChars="0" w:firstLine="0" w:firstLineChars="0"/>
        <w:rPr>
          <w:rFonts w:hint="default"/>
        </w:rPr>
      </w:pP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lang w:val="en-US" w:eastAsia="zh-CN"/>
        </w:rPr>
        <w:t>本单位2023、2024年度均无政府性基金预算财政拨款收支。</w:t>
      </w:r>
      <w:r>
        <w:t>本年支出</w:t>
      </w:r>
      <w:r>
        <w:rPr>
          <w:rFonts w:hint="default"/>
        </w:rPr>
        <w:t>0.00</w:t>
      </w:r>
      <w:r>
        <w:t>万元，</w:t>
      </w:r>
      <w:r>
        <w:rPr>
          <w:rFonts w:hint="default"/>
        </w:rPr>
        <w:t>与2023年度相比，无增减</w:t>
      </w:r>
      <w:r>
        <w:t>，主要原因是</w:t>
      </w:r>
      <w:r>
        <w:rPr>
          <w:rFonts w:hint="eastAsia"/>
          <w:lang w:val="en-US" w:eastAsia="zh-CN"/>
        </w:rPr>
        <w:t>本单位2023、2024年度均无政府性基金预算财政拨款收支。</w:t>
      </w:r>
    </w:p>
    <w:p>
      <w:pPr>
        <w:pStyle w:val="19"/>
        <w:bidi w:val="0"/>
      </w:pPr>
      <w:r>
        <w:rPr>
          <w:rFonts w:hint="eastAsia"/>
        </w:rPr>
        <w:t>（六）国有资本经营预算财政拨款支出决算情况说明</w:t>
      </w:r>
    </w:p>
    <w:p>
      <w:pPr>
        <w:pStyle w:val="20"/>
        <w:bidi w:val="0"/>
        <w:rPr>
          <w:rFonts w:hint="default"/>
        </w:rPr>
      </w:pPr>
      <w:r>
        <w:rPr>
          <w:rFonts w:hint="eastAsia"/>
          <w:lang w:val="en-US" w:eastAsia="zh-CN"/>
        </w:rPr>
        <w:t>本单位2024年度无国有资本经营预算财政拨款支出。</w:t>
      </w:r>
    </w:p>
    <w:p>
      <w:pPr>
        <w:pStyle w:val="18"/>
        <w:bidi w:val="0"/>
        <w:rPr>
          <w:rFonts w:hint="default"/>
        </w:rPr>
      </w:pPr>
      <w:r>
        <w:t>三、</w:t>
      </w:r>
      <w:r>
        <w:rPr>
          <w:rFonts w:hint="eastAsia"/>
          <w:lang w:eastAsia="zh-CN"/>
        </w:rPr>
        <w:t>财政拨款“</w:t>
      </w:r>
      <w:r>
        <w:t>三公</w:t>
      </w:r>
      <w:r>
        <w:rPr>
          <w:rFonts w:hint="eastAsia" w:ascii="方正仿宋_GBK" w:hAnsi="方正仿宋_GBK"/>
          <w:lang w:eastAsia="zh-CN"/>
        </w:rPr>
        <w:t>”</w:t>
      </w:r>
      <w:r>
        <w:t>经费情况说明</w:t>
      </w:r>
    </w:p>
    <w:p>
      <w:pPr>
        <w:pStyle w:val="19"/>
        <w:bidi w:val="0"/>
      </w:pPr>
      <w:r>
        <w:rPr>
          <w:rFonts w:hint="eastAsia"/>
        </w:rPr>
        <w:t>（一）</w:t>
      </w:r>
      <w:r>
        <w:rPr>
          <w:rFonts w:hint="eastAsia" w:ascii="方正仿宋_GBK" w:hAnsi="方正仿宋_GBK" w:cs="Times New Roman"/>
          <w:lang w:eastAsia="zh-CN"/>
        </w:rPr>
        <w:t>“</w:t>
      </w:r>
      <w:r>
        <w:rPr>
          <w:rFonts w:hint="eastAsia"/>
        </w:rPr>
        <w:t>三公</w:t>
      </w:r>
      <w:r>
        <w:rPr>
          <w:rFonts w:hint="eastAsia" w:ascii="方正仿宋_GBK" w:hAnsi="方正仿宋_GBK" w:cs="Times New Roman"/>
          <w:lang w:eastAsia="zh-CN"/>
        </w:rPr>
        <w:t>”</w:t>
      </w:r>
      <w:r>
        <w:rPr>
          <w:rFonts w:hint="eastAsia"/>
        </w:rPr>
        <w:t>经费支出总体情况说明</w:t>
      </w:r>
    </w:p>
    <w:p>
      <w:pPr>
        <w:pStyle w:val="20"/>
        <w:bidi w:val="0"/>
        <w:rPr>
          <w:rFonts w:hint="default"/>
        </w:rPr>
      </w:pPr>
      <w:r>
        <w:rPr>
          <w:rFonts w:hint="default"/>
        </w:rPr>
        <w:t>2024</w:t>
      </w:r>
      <w:r>
        <w:t>年度</w:t>
      </w:r>
      <w:r>
        <w:rPr>
          <w:rFonts w:hint="eastAsia" w:ascii="方正仿宋_GBK" w:hAnsi="方正仿宋_GBK" w:cs="Times New Roman"/>
          <w:lang w:eastAsia="zh-CN"/>
        </w:rPr>
        <w:t>“</w:t>
      </w:r>
      <w:r>
        <w:t>三公</w:t>
      </w:r>
      <w:r>
        <w:rPr>
          <w:rFonts w:hint="eastAsia" w:ascii="方正仿宋_GBK" w:hAnsi="方正仿宋_GBK" w:cs="Times New Roman"/>
          <w:lang w:eastAsia="zh-CN"/>
        </w:rPr>
        <w:t>”</w:t>
      </w:r>
      <w:r>
        <w:t>经费支出共计</w:t>
      </w:r>
      <w:r>
        <w:rPr>
          <w:rFonts w:hint="default"/>
        </w:rPr>
        <w:t>22.33</w:t>
      </w:r>
      <w:r>
        <w:t>万元，</w:t>
      </w:r>
      <w:r>
        <w:rPr>
          <w:rFonts w:hint="default"/>
        </w:rPr>
        <w:t>较年初预算数减少7.20万元，下降24.4%</w:t>
      </w:r>
      <w:r>
        <w:t>，主要原因是</w:t>
      </w:r>
      <w:r>
        <w:rPr>
          <w:rFonts w:hint="default"/>
          <w:lang w:val="en-US" w:eastAsia="zh-CN"/>
        </w:rPr>
        <w:t>认真贯彻落实中央八项规定精神和厉行节约要求，按照只减不增的要求从严控制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r>
        <w:rPr>
          <w:rFonts w:hint="default"/>
        </w:rPr>
        <w:t>较上年支出数减少10.15万元，下降31.3%</w:t>
      </w:r>
      <w:r>
        <w:t>，主要原因是</w:t>
      </w:r>
      <w:r>
        <w:rPr>
          <w:rFonts w:hint="default"/>
          <w:lang w:val="en-US" w:eastAsia="zh-CN"/>
        </w:rPr>
        <w:t>认真贯彻落实中央八项规定精神和厉行节约要求，按照只减不增的要求从严控制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p>
    <w:p>
      <w:pPr>
        <w:pStyle w:val="19"/>
        <w:bidi w:val="0"/>
      </w:pPr>
      <w:r>
        <w:rPr>
          <w:rFonts w:hint="eastAsia"/>
        </w:rPr>
        <w:t>（二）</w:t>
      </w:r>
      <w:r>
        <w:rPr>
          <w:rFonts w:hint="eastAsia"/>
          <w:lang w:eastAsia="zh-CN"/>
        </w:rPr>
        <w:t>“</w:t>
      </w:r>
      <w:r>
        <w:rPr>
          <w:rFonts w:hint="eastAsia"/>
        </w:rPr>
        <w:t>三公</w:t>
      </w:r>
      <w:r>
        <w:rPr>
          <w:rFonts w:hint="eastAsia" w:ascii="方正仿宋_GBK" w:hAnsi="方正仿宋_GBK"/>
          <w:lang w:eastAsia="zh-CN"/>
        </w:rPr>
        <w:t>”</w:t>
      </w:r>
      <w:r>
        <w:rPr>
          <w:rFonts w:hint="eastAsia"/>
        </w:rPr>
        <w:t>经费分项支出情况</w:t>
      </w:r>
    </w:p>
    <w:p>
      <w:pPr>
        <w:pStyle w:val="20"/>
        <w:bidi w:val="0"/>
        <w:rPr>
          <w:rFonts w:hint="eastAsia"/>
          <w:lang w:eastAsia="zh-CN"/>
        </w:rPr>
      </w:pPr>
      <w:r>
        <w:rPr>
          <w:rFonts w:hint="default"/>
        </w:rPr>
        <w:t>2024</w:t>
      </w:r>
      <w:r>
        <w:t>年度本</w:t>
      </w:r>
      <w:r>
        <w:rPr>
          <w:rFonts w:hint="eastAsia"/>
          <w:lang w:eastAsia="zh-CN"/>
        </w:rPr>
        <w:t>单位</w:t>
      </w:r>
      <w:r>
        <w:t>因公出国（境）费用</w:t>
      </w:r>
      <w:r>
        <w:rPr>
          <w:rFonts w:hint="default"/>
        </w:rPr>
        <w:t>0.00</w:t>
      </w:r>
      <w:r>
        <w:t>万元，费用支出</w:t>
      </w:r>
      <w:r>
        <w:rPr>
          <w:rFonts w:hint="default"/>
        </w:rPr>
        <w:t>较年初预算数无增减</w:t>
      </w:r>
      <w:r>
        <w:t>，主要原因</w:t>
      </w:r>
      <w:r>
        <w:rPr>
          <w:rFonts w:hint="default"/>
        </w:rPr>
        <w:t>是</w:t>
      </w:r>
      <w:r>
        <w:rPr>
          <w:rFonts w:hint="eastAsia"/>
          <w:lang w:eastAsia="zh-CN"/>
        </w:rPr>
        <w:t>近两年均</w:t>
      </w:r>
      <w:r>
        <w:rPr>
          <w:rFonts w:hint="eastAsia"/>
          <w:lang w:val="en-US" w:eastAsia="zh-CN"/>
        </w:rPr>
        <w:t>未</w:t>
      </w:r>
      <w:r>
        <w:rPr>
          <w:rFonts w:hint="eastAsia"/>
          <w:lang w:eastAsia="zh-CN"/>
        </w:rPr>
        <w:t>安排人员因公出差。</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安排人员因公出差。</w:t>
      </w:r>
    </w:p>
    <w:p>
      <w:pPr>
        <w:pStyle w:val="20"/>
        <w:bidi w:val="0"/>
        <w:rPr>
          <w:rFonts w:hint="eastAsia"/>
          <w:lang w:eastAsia="zh-CN"/>
        </w:rPr>
      </w:pPr>
      <w:r>
        <w:t>公务</w:t>
      </w:r>
      <w:r>
        <w:rPr>
          <w:rFonts w:hint="eastAsia" w:ascii="方正仿宋_GBK" w:hAnsi="方正仿宋_GBK" w:eastAsia="方正仿宋_GBK" w:cs="方正仿宋_GBK"/>
          <w:lang w:eastAsia="zh-CN"/>
        </w:rPr>
        <w:t>用</w:t>
      </w:r>
      <w:r>
        <w:t>车购置费</w:t>
      </w:r>
      <w:r>
        <w:rPr>
          <w:rFonts w:hint="default"/>
        </w:rPr>
        <w:t>0.00</w:t>
      </w:r>
      <w:r>
        <w:t>万元，费用支出</w:t>
      </w:r>
      <w:r>
        <w:rPr>
          <w:rFonts w:hint="default"/>
        </w:rPr>
        <w:t>较年初预算数无增</w:t>
      </w:r>
    </w:p>
    <w:p>
      <w:pPr>
        <w:pStyle w:val="20"/>
        <w:bidi w:val="0"/>
        <w:ind w:left="0" w:leftChars="0" w:firstLine="0" w:firstLineChars="0"/>
        <w:rPr>
          <w:rFonts w:hint="eastAsia"/>
          <w:lang w:eastAsia="zh-CN"/>
        </w:rPr>
      </w:pPr>
      <w:r>
        <w:rPr>
          <w:rFonts w:hint="default"/>
        </w:rPr>
        <w:t>减</w:t>
      </w:r>
      <w:r>
        <w:t>，主要原因是</w:t>
      </w:r>
      <w:r>
        <w:rPr>
          <w:rFonts w:hint="eastAsia"/>
          <w:lang w:eastAsia="zh-CN"/>
        </w:rPr>
        <w:t>近两年均</w:t>
      </w:r>
      <w:r>
        <w:rPr>
          <w:rFonts w:hint="eastAsia"/>
          <w:lang w:val="en-US" w:eastAsia="zh-CN"/>
        </w:rPr>
        <w:t>未</w:t>
      </w:r>
      <w:r>
        <w:rPr>
          <w:rFonts w:hint="eastAsia"/>
          <w:lang w:eastAsia="zh-CN"/>
        </w:rPr>
        <w:t>购置新车。</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购置新车。</w:t>
      </w:r>
    </w:p>
    <w:p>
      <w:pPr>
        <w:pStyle w:val="20"/>
        <w:bidi w:val="0"/>
        <w:rPr>
          <w:rFonts w:hint="default"/>
          <w:lang w:eastAsia="zh-CN"/>
        </w:rPr>
      </w:pPr>
      <w:r>
        <w:t>公务</w:t>
      </w:r>
      <w:r>
        <w:rPr>
          <w:rFonts w:hint="eastAsia" w:ascii="方正仿宋_GBK" w:hAnsi="方正仿宋_GBK" w:eastAsia="方正仿宋_GBK" w:cs="方正仿宋_GBK"/>
          <w:lang w:eastAsia="zh-CN"/>
        </w:rPr>
        <w:t>用</w:t>
      </w:r>
      <w:r>
        <w:t>车运行维护费</w:t>
      </w:r>
      <w:r>
        <w:rPr>
          <w:rFonts w:hint="default"/>
        </w:rPr>
        <w:t>21.89</w:t>
      </w:r>
      <w:r>
        <w:t>万元，主要用于</w:t>
      </w:r>
      <w:r>
        <w:rPr>
          <w:rFonts w:hint="default"/>
          <w:lang w:val="en-US" w:eastAsia="zh-CN"/>
        </w:rPr>
        <w:t>机要文件交</w:t>
      </w:r>
    </w:p>
    <w:p>
      <w:pPr>
        <w:pStyle w:val="20"/>
        <w:bidi w:val="0"/>
        <w:ind w:left="0" w:leftChars="0" w:firstLine="0" w:firstLineChars="0"/>
        <w:rPr>
          <w:rFonts w:hint="default"/>
        </w:rPr>
      </w:pPr>
      <w:r>
        <w:rPr>
          <w:rFonts w:hint="default"/>
          <w:lang w:val="en-US" w:eastAsia="zh-CN"/>
        </w:rPr>
        <w:t>换、市内因公出行、下乡检查等工作所需车辆的燃料费、维修费、过路费、保险费、年审费等</w:t>
      </w:r>
      <w:r>
        <w:rPr>
          <w:rFonts w:hint="eastAsia"/>
          <w:lang w:val="en-US" w:eastAsia="zh-CN"/>
        </w:rPr>
        <w:t>。</w:t>
      </w:r>
      <w:r>
        <w:t>费用支出</w:t>
      </w:r>
      <w:r>
        <w:rPr>
          <w:rFonts w:hint="default"/>
        </w:rPr>
        <w:t>较年初预算数减少5.11万元，下降18.9%</w:t>
      </w:r>
      <w:r>
        <w:t>，主要原因是</w:t>
      </w:r>
      <w:r>
        <w:rPr>
          <w:rFonts w:hint="default"/>
          <w:lang w:val="en-US" w:eastAsia="zh-CN"/>
        </w:rPr>
        <w:t>认真贯彻落实中央八项规定精神和厉行节约要求，按照只减不增的要求从严控制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r>
        <w:rPr>
          <w:rFonts w:hint="default"/>
        </w:rPr>
        <w:t>较上年支出数减少8.11万元，下降27.0%</w:t>
      </w:r>
      <w:r>
        <w:t>，主要原因是</w:t>
      </w:r>
      <w:r>
        <w:rPr>
          <w:rFonts w:hint="default"/>
          <w:lang w:val="en-US" w:eastAsia="zh-CN"/>
        </w:rPr>
        <w:t>认真贯彻落实中央八项规定精神和厉行节约要求，按照只减不增的要求从严控制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p>
    <w:p>
      <w:pPr>
        <w:pStyle w:val="20"/>
        <w:bidi w:val="0"/>
        <w:rPr>
          <w:rFonts w:hint="default"/>
        </w:rPr>
      </w:pPr>
      <w:r>
        <w:t>公务接待费</w:t>
      </w:r>
      <w:r>
        <w:rPr>
          <w:rFonts w:hint="default"/>
        </w:rPr>
        <w:t>0.43</w:t>
      </w:r>
      <w:r>
        <w:t>万元，主要用于</w:t>
      </w:r>
      <w:r>
        <w:rPr>
          <w:rFonts w:hint="default"/>
          <w:lang w:val="en-US" w:eastAsia="zh-CN"/>
        </w:rPr>
        <w:t>接待市局领导及专家到我县检查工作等支出</w:t>
      </w:r>
      <w:r>
        <w:rPr>
          <w:rFonts w:hint="eastAsia"/>
          <w:lang w:val="en-US" w:eastAsia="zh-CN"/>
        </w:rPr>
        <w:t>。</w:t>
      </w:r>
      <w:r>
        <w:t>费用支出</w:t>
      </w:r>
      <w:r>
        <w:rPr>
          <w:rFonts w:hint="default"/>
        </w:rPr>
        <w:t>较年初预算数减少2.10万元，下降83.0%</w:t>
      </w:r>
      <w:r>
        <w:t>，主要原因是</w:t>
      </w:r>
      <w:r>
        <w:rPr>
          <w:rFonts w:hint="default"/>
          <w:lang w:val="en-US" w:eastAsia="zh-CN"/>
        </w:rPr>
        <w:t>认真贯彻落实中央八项规定精神和厉行节约要求，按照只减不增的要求从严控制</w:t>
      </w:r>
      <w:r>
        <w:rPr>
          <w:rFonts w:hint="eastAsia" w:ascii="方正仿宋_GBK" w:hAnsi="方正仿宋_GBK"/>
          <w:lang w:val="en-US" w:eastAsia="zh-CN"/>
        </w:rPr>
        <w:t>“</w:t>
      </w:r>
      <w:r>
        <w:rPr>
          <w:rFonts w:hint="eastAsia"/>
          <w:lang w:val="en-US" w:eastAsia="zh-CN"/>
        </w:rPr>
        <w:t>三公</w:t>
      </w:r>
      <w:r>
        <w:rPr>
          <w:rFonts w:hint="eastAsia" w:ascii="方正仿宋_GBK" w:hAnsi="方正仿宋_GBK"/>
          <w:lang w:val="en-US" w:eastAsia="zh-CN"/>
        </w:rPr>
        <w:t>”</w:t>
      </w:r>
      <w:r>
        <w:rPr>
          <w:rFonts w:hint="default"/>
          <w:lang w:val="en-US" w:eastAsia="zh-CN"/>
        </w:rPr>
        <w:t>经费</w:t>
      </w:r>
      <w:r>
        <w:rPr>
          <w:rFonts w:hint="eastAsia"/>
          <w:lang w:val="en-US" w:eastAsia="zh-CN"/>
        </w:rPr>
        <w:t>。</w:t>
      </w:r>
      <w:r>
        <w:rPr>
          <w:rFonts w:hint="default"/>
        </w:rPr>
        <w:t>较上年支出数减少2.05万元，下降82.7%</w:t>
      </w:r>
      <w:r>
        <w:t>，主要原因是</w:t>
      </w:r>
      <w:r>
        <w:rPr>
          <w:rFonts w:hint="default"/>
          <w:lang w:val="en-US" w:eastAsia="zh-CN"/>
        </w:rPr>
        <w:t>认真贯彻落实中央八项规定精神和厉行节约要求，按照只减不增的要求从严控制</w:t>
      </w:r>
      <w:r>
        <w:rPr>
          <w:rFonts w:hint="eastAsia" w:ascii="方正仿宋_GBK" w:hAnsi="方正仿宋_GBK" w:cs="Times New Roman"/>
          <w:lang w:val="en-US" w:eastAsia="zh-CN"/>
        </w:rPr>
        <w:t>“</w:t>
      </w:r>
      <w:r>
        <w:rPr>
          <w:rFonts w:hint="eastAsia"/>
          <w:lang w:val="en-US" w:eastAsia="zh-CN"/>
        </w:rPr>
        <w:t>三公</w:t>
      </w:r>
      <w:r>
        <w:rPr>
          <w:rFonts w:hint="eastAsia" w:ascii="方正仿宋_GBK" w:hAnsi="方正仿宋_GBK" w:cs="Times New Roman"/>
          <w:lang w:val="en-US" w:eastAsia="zh-CN"/>
        </w:rPr>
        <w:t>”</w:t>
      </w:r>
      <w:r>
        <w:rPr>
          <w:rFonts w:hint="default"/>
          <w:lang w:val="en-US" w:eastAsia="zh-CN"/>
        </w:rPr>
        <w:t>经费</w:t>
      </w:r>
      <w:r>
        <w:rPr>
          <w:rFonts w:hint="eastAsia"/>
          <w:lang w:val="en-US" w:eastAsia="zh-CN"/>
        </w:rPr>
        <w:t>。</w:t>
      </w:r>
    </w:p>
    <w:p>
      <w:pPr>
        <w:pStyle w:val="19"/>
        <w:bidi w:val="0"/>
      </w:pPr>
      <w:r>
        <w:rPr>
          <w:rFonts w:hint="eastAsia"/>
        </w:rPr>
        <w:t>（三）</w:t>
      </w:r>
      <w:r>
        <w:rPr>
          <w:rFonts w:hint="eastAsia"/>
          <w:lang w:eastAsia="zh-CN"/>
        </w:rPr>
        <w:t>“</w:t>
      </w:r>
      <w:r>
        <w:rPr>
          <w:rFonts w:hint="eastAsia"/>
        </w:rPr>
        <w:t>三公</w:t>
      </w:r>
      <w:r>
        <w:rPr>
          <w:rFonts w:hint="eastAsia" w:ascii="方正仿宋_GBK" w:hAnsi="方正仿宋_GBK"/>
          <w:lang w:eastAsia="zh-CN"/>
        </w:rPr>
        <w:t>”</w:t>
      </w:r>
      <w:r>
        <w:rPr>
          <w:rFonts w:hint="eastAsia"/>
        </w:rPr>
        <w:t>经费实物量情况</w:t>
      </w:r>
    </w:p>
    <w:p>
      <w:pPr>
        <w:pStyle w:val="20"/>
        <w:bidi w:val="0"/>
        <w:rPr>
          <w:rFonts w:hint="default"/>
        </w:rPr>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9</w:t>
      </w:r>
      <w:r>
        <w:t>辆；国内公务接待</w:t>
      </w:r>
      <w:r>
        <w:rPr>
          <w:rFonts w:hint="default"/>
        </w:rPr>
        <w:t>10</w:t>
      </w:r>
      <w:r>
        <w:t>批次</w:t>
      </w:r>
      <w:r>
        <w:rPr>
          <w:rFonts w:hint="default"/>
        </w:rPr>
        <w:t>45</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w:t>
      </w:r>
      <w:r>
        <w:rPr>
          <w:rFonts w:hint="eastAsia"/>
          <w:lang w:eastAsia="zh-CN"/>
        </w:rPr>
        <w:t>单位</w:t>
      </w:r>
      <w:r>
        <w:t>人均接待费</w:t>
      </w:r>
      <w:r>
        <w:rPr>
          <w:rFonts w:hint="default"/>
        </w:rPr>
        <w:t>96.51</w:t>
      </w:r>
      <w:r>
        <w:t>元，车均购置费</w:t>
      </w:r>
      <w:r>
        <w:rPr>
          <w:rFonts w:hint="default"/>
        </w:rPr>
        <w:t>0</w:t>
      </w:r>
      <w:r>
        <w:rPr>
          <w:rFonts w:hint="eastAsia"/>
          <w:lang w:val="en-US" w:eastAsia="zh-CN"/>
        </w:rPr>
        <w:t>.00</w:t>
      </w:r>
      <w:r>
        <w:t>万元，车均维护费</w:t>
      </w:r>
      <w:r>
        <w:rPr>
          <w:rFonts w:hint="default"/>
        </w:rPr>
        <w:t>2.43</w:t>
      </w:r>
      <w:r>
        <w:t>万元。</w:t>
      </w:r>
    </w:p>
    <w:p>
      <w:pPr>
        <w:pStyle w:val="18"/>
        <w:bidi w:val="0"/>
      </w:pPr>
    </w:p>
    <w:p>
      <w:pPr>
        <w:pStyle w:val="18"/>
        <w:bidi w:val="0"/>
        <w:rPr>
          <w:rFonts w:hint="default"/>
        </w:rPr>
      </w:pPr>
      <w:r>
        <w:t>四、其他需要说明的事项</w:t>
      </w:r>
    </w:p>
    <w:p>
      <w:pPr>
        <w:pStyle w:val="19"/>
        <w:bidi w:val="0"/>
        <w:rPr>
          <w:rFonts w:hint="default"/>
        </w:rPr>
      </w:pPr>
      <w:r>
        <w:t>（一）财政拨款会议费、培训费和差旅费情况说明</w:t>
      </w:r>
    </w:p>
    <w:p>
      <w:pPr>
        <w:pStyle w:val="20"/>
        <w:bidi w:val="0"/>
        <w:rPr>
          <w:rFonts w:hint="default"/>
        </w:rPr>
      </w:pPr>
      <w:r>
        <w:t>本年度会议费支出</w:t>
      </w:r>
      <w:r>
        <w:rPr>
          <w:rFonts w:hint="default"/>
        </w:rPr>
        <w:t>1.39</w:t>
      </w:r>
      <w:r>
        <w:t>万元，</w:t>
      </w:r>
      <w:r>
        <w:rPr>
          <w:rFonts w:hint="default"/>
        </w:rPr>
        <w:t>与2023年度相比，减少5.09万元，下降78.6%</w:t>
      </w:r>
      <w:r>
        <w:t>，主要原因是</w:t>
      </w:r>
      <w:r>
        <w:rPr>
          <w:rFonts w:hint="default"/>
          <w:lang w:val="en-US" w:eastAsia="zh-CN"/>
        </w:rPr>
        <w:t>认真贯彻落实中央八项规定精神和厉行节约要求，按照只减不增的要求从严控制</w:t>
      </w:r>
      <w:r>
        <w:rPr>
          <w:rFonts w:hint="eastAsia"/>
          <w:lang w:val="en-US" w:eastAsia="zh-CN"/>
        </w:rPr>
        <w:t>会议费。</w:t>
      </w:r>
      <w:r>
        <w:t>本年度培训费支出</w:t>
      </w:r>
      <w:r>
        <w:rPr>
          <w:rFonts w:hint="default"/>
        </w:rPr>
        <w:t>10.03</w:t>
      </w:r>
      <w:r>
        <w:t>万元，</w:t>
      </w:r>
      <w:r>
        <w:rPr>
          <w:rFonts w:hint="default"/>
        </w:rPr>
        <w:t>与2023年度相比，减少3.33万元，下降24.9%</w:t>
      </w:r>
      <w:r>
        <w:t>，主要原因是</w:t>
      </w:r>
      <w:r>
        <w:rPr>
          <w:rFonts w:hint="default"/>
          <w:lang w:val="en-US" w:eastAsia="zh-CN"/>
        </w:rPr>
        <w:t>认真贯彻落实中央八项规定精神和厉行节约要求，按照只减不增的要求从严控制</w:t>
      </w:r>
      <w:r>
        <w:rPr>
          <w:rFonts w:hint="eastAsia"/>
          <w:lang w:val="en-US" w:eastAsia="zh-CN"/>
        </w:rPr>
        <w:t>培训费。</w:t>
      </w:r>
      <w:r>
        <w:t>本年度差旅费支出</w:t>
      </w:r>
      <w:r>
        <w:rPr>
          <w:rFonts w:hint="default"/>
        </w:rPr>
        <w:t>7.44</w:t>
      </w:r>
      <w:r>
        <w:t>万元，</w:t>
      </w:r>
      <w:r>
        <w:rPr>
          <w:rFonts w:hint="default"/>
        </w:rPr>
        <w:t>与2023年度相比，减少4.21万元，下降36.1%</w:t>
      </w:r>
      <w:r>
        <w:t>，主要原因是</w:t>
      </w:r>
      <w:r>
        <w:rPr>
          <w:rFonts w:hint="default"/>
          <w:lang w:val="en-US" w:eastAsia="zh-CN"/>
        </w:rPr>
        <w:t>认真贯彻落实中央八项规定</w:t>
      </w:r>
      <w:bookmarkStart w:id="0" w:name="_GoBack"/>
      <w:bookmarkEnd w:id="0"/>
      <w:r>
        <w:rPr>
          <w:rFonts w:hint="default"/>
          <w:lang w:val="en-US" w:eastAsia="zh-CN"/>
        </w:rPr>
        <w:t>精神和厉行节约要求，按照只减不增的要求从严控制</w:t>
      </w:r>
      <w:r>
        <w:rPr>
          <w:rFonts w:hint="eastAsia"/>
          <w:lang w:val="en-US" w:eastAsia="zh-CN"/>
        </w:rPr>
        <w:t>差旅费。</w:t>
      </w:r>
    </w:p>
    <w:p>
      <w:pPr>
        <w:pStyle w:val="19"/>
        <w:bidi w:val="0"/>
      </w:pPr>
      <w:r>
        <w:rPr>
          <w:rFonts w:hint="eastAsia"/>
        </w:rPr>
        <w:t>（二）机关运行经费情况说明</w:t>
      </w:r>
    </w:p>
    <w:p>
      <w:pPr>
        <w:pStyle w:val="20"/>
        <w:bidi w:val="0"/>
        <w:rPr>
          <w:rFonts w:hint="default"/>
        </w:rPr>
      </w:pPr>
      <w:r>
        <w:rPr>
          <w:rFonts w:hint="default"/>
        </w:rPr>
        <w:t>2024</w:t>
      </w:r>
      <w:r>
        <w:t>年度本</w:t>
      </w:r>
      <w:r>
        <w:rPr>
          <w:rFonts w:hint="eastAsia"/>
          <w:lang w:eastAsia="zh-CN"/>
        </w:rPr>
        <w:t>单位</w:t>
      </w:r>
      <w:r>
        <w:t>机关运行经费支出</w:t>
      </w:r>
      <w:r>
        <w:rPr>
          <w:rFonts w:hint="default"/>
        </w:rPr>
        <w:t>260.01</w:t>
      </w:r>
      <w:r>
        <w:t>万元，机关运行经费主要用于</w:t>
      </w:r>
      <w:r>
        <w:rPr>
          <w:rFonts w:hint="default"/>
          <w:lang w:val="en-US" w:eastAsia="zh-CN"/>
        </w:rPr>
        <w:t>开支</w:t>
      </w:r>
      <w:r>
        <w:rPr>
          <w:rFonts w:hint="eastAsia"/>
          <w:lang w:val="en-US" w:eastAsia="zh-CN"/>
        </w:rPr>
        <w:t>办公费8.76万元，邮电费4.63万元，差旅费1.33万元，培训费6.08万元，劳务费196.60万元，</w:t>
      </w:r>
      <w:r>
        <w:rPr>
          <w:rFonts w:hint="default"/>
          <w:lang w:val="en-US" w:eastAsia="zh-CN"/>
        </w:rPr>
        <w:t>公务用车运行维护费</w:t>
      </w:r>
      <w:r>
        <w:rPr>
          <w:rFonts w:hint="eastAsia"/>
          <w:lang w:val="en-US" w:eastAsia="zh-CN"/>
        </w:rPr>
        <w:t>21.90</w:t>
      </w:r>
      <w:r>
        <w:rPr>
          <w:rFonts w:hint="default"/>
          <w:lang w:val="en-US" w:eastAsia="zh-CN"/>
        </w:rPr>
        <w:t>万元，</w:t>
      </w:r>
      <w:r>
        <w:rPr>
          <w:rFonts w:hint="eastAsia"/>
          <w:lang w:val="en-US" w:eastAsia="zh-CN"/>
        </w:rPr>
        <w:t>其他交通费用14.43万元，</w:t>
      </w:r>
      <w:r>
        <w:rPr>
          <w:rFonts w:hint="default"/>
          <w:lang w:val="en-US" w:eastAsia="zh-CN"/>
        </w:rPr>
        <w:t>其他商品和服务支出</w:t>
      </w:r>
      <w:r>
        <w:rPr>
          <w:rFonts w:hint="eastAsia"/>
          <w:lang w:val="en-US" w:eastAsia="zh-CN"/>
        </w:rPr>
        <w:t>11.83</w:t>
      </w:r>
      <w:r>
        <w:rPr>
          <w:rFonts w:hint="default"/>
          <w:lang w:val="en-US" w:eastAsia="zh-CN"/>
        </w:rPr>
        <w:t>万元</w:t>
      </w:r>
      <w:r>
        <w:rPr>
          <w:rFonts w:hint="eastAsia"/>
          <w:lang w:val="en-US" w:eastAsia="zh-CN"/>
        </w:rPr>
        <w:t>。</w:t>
      </w:r>
      <w:r>
        <w:t>机关运行经费</w:t>
      </w:r>
      <w:r>
        <w:rPr>
          <w:rFonts w:hint="default"/>
        </w:rPr>
        <w:t>较上年支出数增加195.87万元，增长305.4%</w:t>
      </w:r>
      <w:r>
        <w:t>，主要原因是</w:t>
      </w:r>
      <w:r>
        <w:rPr>
          <w:rFonts w:hint="eastAsia"/>
          <w:lang w:eastAsia="zh-CN"/>
        </w:rPr>
        <w:t>应急救援专项经费</w:t>
      </w:r>
      <w:r>
        <w:rPr>
          <w:rFonts w:hint="eastAsia"/>
          <w:lang w:val="en-US" w:eastAsia="zh-CN"/>
        </w:rPr>
        <w:t>200.00万元，2023年科目名称属于项目中的</w:t>
      </w:r>
      <w:r>
        <w:rPr>
          <w:rFonts w:hint="eastAsia" w:ascii="方正仿宋_GBK" w:hAnsi="方正仿宋_GBK"/>
          <w:lang w:val="en-US" w:eastAsia="zh-CN"/>
        </w:rPr>
        <w:t>“</w:t>
      </w:r>
      <w:r>
        <w:rPr>
          <w:rFonts w:hint="eastAsia"/>
          <w:lang w:val="en-US" w:eastAsia="zh-CN"/>
        </w:rPr>
        <w:t>一般行政管理事务</w:t>
      </w:r>
      <w:r>
        <w:rPr>
          <w:rFonts w:hint="eastAsia" w:ascii="方正仿宋_GBK" w:hAnsi="方正仿宋_GBK"/>
          <w:lang w:val="en-US" w:eastAsia="zh-CN"/>
        </w:rPr>
        <w:t>”</w:t>
      </w:r>
      <w:r>
        <w:rPr>
          <w:rFonts w:hint="eastAsia"/>
          <w:lang w:val="en-US" w:eastAsia="zh-CN"/>
        </w:rPr>
        <w:t>，2024年把该项目纳入行政运行中的公用经费，导致本年度机关运行经费增加。</w:t>
      </w:r>
    </w:p>
    <w:p>
      <w:pPr>
        <w:pStyle w:val="19"/>
        <w:numPr>
          <w:ilvl w:val="0"/>
          <w:numId w:val="2"/>
        </w:numPr>
        <w:bidi w:val="0"/>
        <w:rPr>
          <w:rFonts w:hint="eastAsia"/>
        </w:rPr>
      </w:pPr>
      <w:r>
        <w:rPr>
          <w:rFonts w:hint="eastAsia"/>
        </w:rPr>
        <w:t>国有资产占用情况说明</w:t>
      </w:r>
    </w:p>
    <w:p>
      <w:pPr>
        <w:pStyle w:val="20"/>
        <w:bidi w:val="0"/>
        <w:rPr>
          <w:rFonts w:hint="eastAsia"/>
        </w:rPr>
      </w:pPr>
      <w:r>
        <w:t>截至</w:t>
      </w:r>
      <w:r>
        <w:rPr>
          <w:rFonts w:hint="default"/>
        </w:rPr>
        <w:t>2024</w:t>
      </w:r>
      <w:r>
        <w:t>年</w:t>
      </w:r>
      <w:r>
        <w:rPr>
          <w:rFonts w:hint="default"/>
        </w:rPr>
        <w:t>12</w:t>
      </w:r>
      <w:r>
        <w:t>月</w:t>
      </w:r>
      <w:r>
        <w:rPr>
          <w:rFonts w:hint="default"/>
        </w:rPr>
        <w:t>31</w:t>
      </w:r>
      <w:r>
        <w:t>日，本</w:t>
      </w:r>
      <w:r>
        <w:rPr>
          <w:rFonts w:hint="eastAsia"/>
          <w:lang w:eastAsia="zh-CN"/>
        </w:rPr>
        <w:t>单位</w:t>
      </w:r>
      <w:r>
        <w:t>共有车辆</w:t>
      </w:r>
      <w:r>
        <w:rPr>
          <w:rFonts w:hint="default"/>
        </w:rPr>
        <w:t>9</w:t>
      </w:r>
      <w:r>
        <w:t>辆，其中，</w:t>
      </w:r>
    </w:p>
    <w:p>
      <w:pPr>
        <w:pStyle w:val="20"/>
        <w:bidi w:val="0"/>
        <w:ind w:left="0" w:leftChars="0" w:firstLine="0" w:firstLineChars="0"/>
        <w:rPr>
          <w:rFonts w:hint="default"/>
        </w:rPr>
      </w:pPr>
      <w:r>
        <w:t>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4</w:t>
      </w:r>
      <w:r>
        <w:t>辆、执法执勤用车</w:t>
      </w:r>
      <w:r>
        <w:rPr>
          <w:rFonts w:hint="default"/>
        </w:rPr>
        <w:t>0</w:t>
      </w:r>
      <w:r>
        <w:t>辆，特种专业技术用车</w:t>
      </w:r>
      <w:r>
        <w:rPr>
          <w:rFonts w:hint="default"/>
        </w:rPr>
        <w:t>5</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19"/>
        <w:bidi w:val="0"/>
      </w:pPr>
      <w:r>
        <w:rPr>
          <w:rFonts w:hint="eastAsia"/>
        </w:rPr>
        <w:t>（四）政府采购支出情况说明</w:t>
      </w:r>
    </w:p>
    <w:p>
      <w:pPr>
        <w:pStyle w:val="20"/>
        <w:bidi w:val="0"/>
        <w:rPr>
          <w:rFonts w:hint="default"/>
        </w:rPr>
      </w:pPr>
      <w:r>
        <w:rPr>
          <w:rFonts w:hint="default"/>
        </w:rPr>
        <w:t>2024</w:t>
      </w:r>
      <w:r>
        <w:t>年度本</w:t>
      </w:r>
      <w:r>
        <w:rPr>
          <w:rFonts w:hint="eastAsia"/>
          <w:lang w:eastAsia="zh-CN"/>
        </w:rPr>
        <w:t>单位</w:t>
      </w:r>
      <w:r>
        <w:t>政府采购支出总额</w:t>
      </w:r>
      <w:r>
        <w:rPr>
          <w:rFonts w:hint="default"/>
        </w:rPr>
        <w:t>11.46</w:t>
      </w:r>
      <w:r>
        <w:t>万元，其中：政府采购货物支出</w:t>
      </w:r>
      <w:r>
        <w:rPr>
          <w:rFonts w:hint="default"/>
        </w:rPr>
        <w:t>11.46</w:t>
      </w:r>
      <w:r>
        <w:t>万元、政府采购工程支出</w:t>
      </w:r>
      <w:r>
        <w:rPr>
          <w:rFonts w:hint="default"/>
        </w:rPr>
        <w:t>0.00</w:t>
      </w:r>
      <w:r>
        <w:t>万元、政府采购服务支出</w:t>
      </w:r>
      <w:r>
        <w:rPr>
          <w:rFonts w:hint="default"/>
        </w:rPr>
        <w:t>0.00</w:t>
      </w:r>
      <w:r>
        <w:t>万元。授予中小企业合同金额</w:t>
      </w:r>
      <w:r>
        <w:rPr>
          <w:rFonts w:hint="default"/>
        </w:rPr>
        <w:t>11.46</w:t>
      </w:r>
      <w:r>
        <w:t>万元，占政府采购支出总额的</w:t>
      </w:r>
      <w:r>
        <w:rPr>
          <w:rFonts w:hint="default"/>
        </w:rPr>
        <w:t>100.0%</w:t>
      </w:r>
      <w:r>
        <w:t>，其中：授予小微企业合同金额</w:t>
      </w:r>
      <w:r>
        <w:rPr>
          <w:rFonts w:hint="default"/>
        </w:rPr>
        <w:t>0.93</w:t>
      </w:r>
      <w:r>
        <w:t>万元，占政府采购支出总额的</w:t>
      </w:r>
      <w:r>
        <w:rPr>
          <w:rFonts w:hint="default"/>
        </w:rPr>
        <w:t>8.1 %</w:t>
      </w:r>
      <w:r>
        <w:t>。主要用于</w:t>
      </w:r>
      <w:r>
        <w:rPr>
          <w:rFonts w:hint="eastAsia"/>
          <w:lang w:eastAsia="zh-CN"/>
        </w:rPr>
        <w:t>采购电脑、打印机等。</w:t>
      </w:r>
    </w:p>
    <w:p>
      <w:pPr>
        <w:pStyle w:val="18"/>
        <w:bidi w:val="0"/>
        <w:rPr>
          <w:rFonts w:hint="eastAsia"/>
          <w:lang w:val="en-US" w:eastAsia="zh-CN"/>
        </w:rPr>
      </w:pPr>
      <w:r>
        <w:t>五、</w:t>
      </w:r>
      <w:r>
        <w:rPr>
          <w:rFonts w:hint="eastAsia"/>
          <w:lang w:eastAsia="zh-CN"/>
        </w:rPr>
        <w:t>预算</w:t>
      </w:r>
      <w:r>
        <w:rPr>
          <w:rFonts w:hint="eastAsia"/>
          <w:lang w:val="en-US" w:eastAsia="zh-CN"/>
        </w:rPr>
        <w:t>绩效管理情况说明</w:t>
      </w:r>
    </w:p>
    <w:p>
      <w:pPr>
        <w:pStyle w:val="19"/>
        <w:bidi w:val="0"/>
        <w:rPr>
          <w:rFonts w:hint="default"/>
          <w:lang w:val="en-US" w:eastAsia="zh-CN"/>
        </w:rPr>
      </w:pPr>
      <w:r>
        <w:rPr>
          <w:rFonts w:hint="eastAsia"/>
        </w:rPr>
        <w:t>（一）</w:t>
      </w:r>
      <w:r>
        <w:rPr>
          <w:rFonts w:hint="eastAsia"/>
          <w:lang w:val="en-US" w:eastAsia="zh-CN"/>
        </w:rPr>
        <w:t>单位</w:t>
      </w:r>
      <w:r>
        <w:rPr>
          <w:rFonts w:hint="eastAsia"/>
        </w:rPr>
        <w:t>自评情况</w:t>
      </w:r>
    </w:p>
    <w:p>
      <w:pPr>
        <w:pStyle w:val="20"/>
        <w:bidi w:val="0"/>
        <w:rPr>
          <w:rFonts w:hint="eastAsia"/>
          <w:lang w:eastAsia="zh-CN"/>
        </w:rPr>
      </w:pPr>
      <w:r>
        <w:rPr>
          <w:rFonts w:hint="eastAsia"/>
        </w:rPr>
        <w:t>根据预算绩效管理要求，我</w:t>
      </w:r>
      <w:r>
        <w:rPr>
          <w:rFonts w:hint="eastAsia"/>
          <w:lang w:val="en-US" w:eastAsia="zh-CN"/>
        </w:rPr>
        <w:t>单位</w:t>
      </w:r>
      <w:r>
        <w:rPr>
          <w:rFonts w:hint="eastAsia"/>
        </w:rPr>
        <w:t>对</w:t>
      </w:r>
      <w:r>
        <w:rPr>
          <w:rFonts w:hint="eastAsia"/>
          <w:lang w:val="en-US" w:eastAsia="zh-CN"/>
        </w:rPr>
        <w:t>34</w:t>
      </w:r>
      <w:r>
        <w:rPr>
          <w:rFonts w:hint="eastAsia"/>
        </w:rPr>
        <w:t>个项目开展了绩效自评，涉及项目支出资金</w:t>
      </w:r>
      <w:r>
        <w:rPr>
          <w:rFonts w:hint="eastAsia"/>
          <w:lang w:val="en-US" w:eastAsia="zh-CN"/>
        </w:rPr>
        <w:t>11644.90</w:t>
      </w:r>
      <w:r>
        <w:rPr>
          <w:rFonts w:hint="eastAsia"/>
        </w:rPr>
        <w:t>万元</w:t>
      </w:r>
      <w:r>
        <w:rPr>
          <w:rFonts w:hint="eastAsia"/>
          <w:lang w:eastAsia="zh-CN"/>
        </w:rPr>
        <w:t>。</w:t>
      </w:r>
    </w:p>
    <w:p>
      <w:pPr>
        <w:rPr>
          <w:rFonts w:hint="eastAsia"/>
          <w:lang w:eastAsia="zh-CN"/>
        </w:rPr>
      </w:pPr>
      <w:r>
        <w:rPr>
          <w:rFonts w:hint="eastAsia"/>
          <w:lang w:eastAsia="zh-CN"/>
        </w:rPr>
        <w:br w:type="page"/>
      </w:r>
    </w:p>
    <w:p>
      <w:pPr>
        <w:pStyle w:val="20"/>
        <w:bidi w:val="0"/>
        <w:rPr>
          <w:rFonts w:hint="eastAsia"/>
          <w:lang w:eastAsia="zh-CN"/>
        </w:rPr>
      </w:pPr>
    </w:p>
    <w:tbl>
      <w:tblPr>
        <w:tblStyle w:val="10"/>
        <w:tblW w:w="83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0"/>
        <w:gridCol w:w="353"/>
        <w:gridCol w:w="2008"/>
        <w:gridCol w:w="2"/>
        <w:gridCol w:w="477"/>
        <w:gridCol w:w="2"/>
        <w:gridCol w:w="2448"/>
        <w:gridCol w:w="3"/>
        <w:gridCol w:w="636"/>
        <w:gridCol w:w="8"/>
        <w:gridCol w:w="611"/>
        <w:gridCol w:w="8"/>
        <w:gridCol w:w="463"/>
        <w:gridCol w:w="8"/>
        <w:gridCol w:w="357"/>
        <w:gridCol w:w="8"/>
        <w:gridCol w:w="262"/>
        <w:gridCol w:w="8"/>
        <w:gridCol w:w="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8331" w:type="dxa"/>
            <w:gridSpan w:val="19"/>
            <w:tcBorders>
              <w:top w:val="nil"/>
              <w:left w:val="nil"/>
              <w:bottom w:val="nil"/>
              <w:right w:val="nil"/>
            </w:tcBorders>
            <w:shd w:val="clear" w:color="auto" w:fill="auto"/>
            <w:tcMar>
              <w:top w:w="15" w:type="dxa"/>
              <w:left w:w="15" w:type="dxa"/>
              <w:right w:w="15" w:type="dxa"/>
            </w:tcMar>
            <w:vAlign w:val="top"/>
          </w:tcPr>
          <w:p>
            <w:pPr>
              <w:pStyle w:val="20"/>
              <w:bidi w:val="0"/>
              <w:jc w:val="center"/>
              <w:rPr>
                <w:rFonts w:hint="eastAsia" w:ascii="黑体" w:hAnsi="黑体" w:eastAsia="黑体" w:cs="黑体"/>
                <w:i w:val="0"/>
                <w:color w:val="000000"/>
                <w:sz w:val="24"/>
                <w:szCs w:val="24"/>
                <w:u w:val="none"/>
              </w:rPr>
            </w:pPr>
            <w:r>
              <w:rPr>
                <w:rFonts w:hint="eastAsia" w:ascii="黑体" w:hAnsi="黑体" w:eastAsia="黑体" w:cs="黑体"/>
                <w:sz w:val="24"/>
                <w:szCs w:val="24"/>
                <w:lang w:val="en-US" w:eastAsia="zh-CN"/>
              </w:rPr>
              <w:t>秀山县应急管理局2024年度项目支出绩效自评情况表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8331" w:type="dxa"/>
            <w:gridSpan w:val="19"/>
            <w:tcBorders>
              <w:top w:val="nil"/>
              <w:left w:val="nil"/>
              <w:bottom w:val="nil"/>
              <w:right w:val="nil"/>
            </w:tcBorders>
            <w:shd w:val="clear" w:color="auto" w:fill="auto"/>
            <w:tcMar>
              <w:top w:w="15" w:type="dxa"/>
              <w:left w:w="15" w:type="dxa"/>
              <w:right w:w="15" w:type="dxa"/>
            </w:tcMar>
            <w:vAlign w:val="top"/>
          </w:tcPr>
          <w:p>
            <w:pPr>
              <w:pStyle w:val="20"/>
              <w:bidi w:val="0"/>
              <w:jc w:val="center"/>
              <w:rPr>
                <w:rFonts w:hint="eastAsia" w:ascii="黑体" w:hAnsi="黑体" w:eastAsia="黑体" w:cs="黑体"/>
                <w:i w:val="0"/>
                <w:color w:val="000000"/>
                <w:sz w:val="24"/>
                <w:szCs w:val="24"/>
                <w:u w:val="none"/>
              </w:rPr>
            </w:pPr>
            <w:r>
              <w:rPr>
                <w:rFonts w:hint="eastAsia" w:ascii="黑体" w:hAnsi="黑体" w:eastAsia="黑体" w:cs="黑体"/>
                <w:sz w:val="24"/>
                <w:szCs w:val="24"/>
                <w:lang w:val="en-US" w:eastAsia="zh-CN"/>
              </w:rPr>
              <w:t>（二级项目）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7" w:hRule="atLeast"/>
          <w:jc w:val="center"/>
        </w:trPr>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序号</w:t>
            </w:r>
          </w:p>
        </w:tc>
        <w:tc>
          <w:tcPr>
            <w:tcW w:w="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项目名称</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指标名称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指标性质</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指标值</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计量单位</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指标权重</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全年完成值</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指标得分</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说明</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bottom"/>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未改制工业企业人员经费</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年度预算执行率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等于</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留守人员</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人</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4</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涉及煤矿家数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家</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资金收到之日</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年</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遗留问题得到解决</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满意度</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95</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资金使用管理办法</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定性</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严格按资金管理办法使用</w:t>
            </w:r>
          </w:p>
        </w:tc>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市级自然灾害救助补助资金</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年度预算执行率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等于</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划拨乡镇个数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个</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救助人数</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3000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人</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7996</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救助标准</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元/人</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20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资金使用率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灾区社会秩序稳定率</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90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10</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重大社会负面影响</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件</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当期财政拨款资金</w:t>
            </w:r>
          </w:p>
        </w:tc>
        <w:tc>
          <w:tcPr>
            <w:tcW w:w="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120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万</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120</w:t>
            </w:r>
          </w:p>
        </w:tc>
        <w:tc>
          <w:tcPr>
            <w:tcW w:w="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5</w:t>
            </w:r>
          </w:p>
        </w:tc>
        <w:tc>
          <w:tcPr>
            <w:tcW w:w="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楷体_GBK" w:hAnsi="方正楷体_GBK" w:eastAsia="方正楷体_GBK" w:cs="方正楷体_GBK"/>
                <w:i w:val="0"/>
                <w:color w:val="000000"/>
                <w:sz w:val="22"/>
                <w:szCs w:val="22"/>
                <w:u w:val="none"/>
              </w:rPr>
            </w:pPr>
          </w:p>
        </w:tc>
      </w:tr>
    </w:tbl>
    <w:p>
      <w:pPr>
        <w:pStyle w:val="19"/>
        <w:bidi w:val="0"/>
        <w:rPr>
          <w:rFonts w:hint="eastAsia"/>
        </w:rPr>
      </w:pPr>
      <w:r>
        <w:rPr>
          <w:rFonts w:hint="eastAsia"/>
        </w:rPr>
        <w:t>（二）</w:t>
      </w:r>
      <w:r>
        <w:rPr>
          <w:rFonts w:hint="eastAsia"/>
          <w:lang w:val="en-US" w:eastAsia="zh-CN"/>
        </w:rPr>
        <w:t>单位</w:t>
      </w:r>
      <w:r>
        <w:rPr>
          <w:rFonts w:hint="eastAsia"/>
        </w:rPr>
        <w:t>绩效评价情况</w:t>
      </w:r>
    </w:p>
    <w:p>
      <w:pPr>
        <w:pStyle w:val="20"/>
        <w:bidi w:val="0"/>
        <w:rPr>
          <w:rFonts w:hint="default"/>
        </w:rPr>
      </w:pPr>
      <w:r>
        <w:rPr>
          <w:rFonts w:hint="eastAsia"/>
        </w:rPr>
        <w:t>我</w:t>
      </w:r>
      <w:r>
        <w:rPr>
          <w:rFonts w:hint="eastAsia"/>
          <w:lang w:val="en-US" w:eastAsia="zh-CN"/>
        </w:rPr>
        <w:t>单位</w:t>
      </w:r>
      <w:r>
        <w:rPr>
          <w:rFonts w:hint="eastAsia"/>
        </w:rPr>
        <w:t>对未改制工业企业人员经费</w:t>
      </w:r>
      <w:r>
        <w:rPr>
          <w:rFonts w:hint="eastAsia"/>
          <w:lang w:val="en-US" w:eastAsia="zh-CN"/>
        </w:rPr>
        <w:t>项目</w:t>
      </w:r>
      <w:r>
        <w:rPr>
          <w:rFonts w:hint="eastAsia"/>
        </w:rPr>
        <w:t>开展了绩效评价，涉及财政拨款项目资金</w:t>
      </w:r>
      <w:r>
        <w:rPr>
          <w:rFonts w:hint="eastAsia"/>
          <w:lang w:val="en-US" w:eastAsia="zh-CN"/>
        </w:rPr>
        <w:t>156.68</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对市级自然灾害救助补助资金</w:t>
      </w:r>
      <w:r>
        <w:rPr>
          <w:rFonts w:hint="eastAsia"/>
          <w:lang w:val="en-US" w:eastAsia="zh-CN"/>
        </w:rPr>
        <w:t>项目</w:t>
      </w:r>
      <w:r>
        <w:rPr>
          <w:rFonts w:hint="eastAsia"/>
        </w:rPr>
        <w:t>开展了绩效评价，涉及财政拨款项目资金</w:t>
      </w:r>
      <w:r>
        <w:rPr>
          <w:rFonts w:hint="eastAsia"/>
          <w:lang w:val="en-US" w:eastAsia="zh-CN"/>
        </w:rPr>
        <w:t>119.94</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绩效评价发现了绩效目标编制有待进一步完善</w:t>
      </w:r>
      <w:r>
        <w:rPr>
          <w:rFonts w:hint="eastAsia"/>
          <w:lang w:eastAsia="zh-CN"/>
        </w:rPr>
        <w:t>，</w:t>
      </w:r>
      <w:r>
        <w:rPr>
          <w:rFonts w:hint="eastAsia"/>
        </w:rPr>
        <w:t>项目单位编制的绩效目标缺乏数量指标和时效指标，在编制绩效目标时对绩效指标未进行量化，指标设立不清晰、无法衡量，不便于绩效考核问题，</w:t>
      </w:r>
      <w:r>
        <w:rPr>
          <w:rFonts w:hint="default"/>
        </w:rPr>
        <w:t>在今后工作中我</w:t>
      </w:r>
      <w:r>
        <w:rPr>
          <w:rFonts w:hint="eastAsia"/>
          <w:lang w:val="en-US" w:eastAsia="zh-CN"/>
        </w:rPr>
        <w:t>单位</w:t>
      </w:r>
      <w:r>
        <w:rPr>
          <w:rFonts w:hint="default"/>
        </w:rPr>
        <w:t>将加强领导</w:t>
      </w:r>
      <w:r>
        <w:rPr>
          <w:rFonts w:hint="eastAsia"/>
          <w:lang w:eastAsia="zh-CN"/>
        </w:rPr>
        <w:t>、</w:t>
      </w:r>
      <w:r>
        <w:rPr>
          <w:rFonts w:hint="default"/>
        </w:rPr>
        <w:t>精心组织</w:t>
      </w:r>
      <w:r>
        <w:rPr>
          <w:rFonts w:hint="eastAsia"/>
          <w:lang w:eastAsia="zh-CN"/>
        </w:rPr>
        <w:t>、</w:t>
      </w:r>
      <w:r>
        <w:rPr>
          <w:rFonts w:hint="default"/>
        </w:rPr>
        <w:t>逐步推</w:t>
      </w:r>
      <w:r>
        <w:rPr>
          <w:rFonts w:hint="eastAsia"/>
          <w:lang w:val="en-US" w:eastAsia="zh-CN"/>
        </w:rPr>
        <w:t>进</w:t>
      </w:r>
      <w:r>
        <w:rPr>
          <w:rFonts w:hint="default"/>
        </w:rPr>
        <w:t>，严格执行行政事业单位会计制度，实现编制预算绩效目标全覆盖。加快项目支付审批流程。进一步强化预算管理，严谨科学、结合实际制定</w:t>
      </w:r>
    </w:p>
    <w:p>
      <w:pPr>
        <w:pStyle w:val="20"/>
        <w:bidi w:val="0"/>
        <w:ind w:left="0" w:leftChars="0" w:firstLine="0" w:firstLineChars="0"/>
        <w:rPr>
          <w:rFonts w:hint="default"/>
        </w:rPr>
      </w:pPr>
      <w:r>
        <w:rPr>
          <w:rFonts w:hint="default"/>
        </w:rPr>
        <w:t>年初预算，重大支出项目做到有计划、有监督、有评估。</w:t>
      </w:r>
    </w:p>
    <w:p>
      <w:pPr>
        <w:pStyle w:val="18"/>
        <w:bidi w:val="0"/>
        <w:rPr>
          <w:rFonts w:hint="default"/>
        </w:rPr>
      </w:pPr>
      <w:r>
        <w:rPr>
          <w:rFonts w:hint="eastAsia"/>
          <w:lang w:eastAsia="zh-CN"/>
        </w:rPr>
        <w:t>六</w:t>
      </w:r>
      <w:r>
        <w:t>、专业名词解释</w:t>
      </w:r>
    </w:p>
    <w:p>
      <w:pPr>
        <w:pStyle w:val="7"/>
        <w:snapToGrid w:val="0"/>
        <w:spacing w:before="0" w:beforeAutospacing="0" w:after="0" w:afterAutospacing="0" w:line="596" w:lineRule="exact"/>
        <w:ind w:firstLine="640" w:firstLineChars="200"/>
        <w:jc w:val="both"/>
        <w:rPr>
          <w:rStyle w:val="22"/>
          <w:rFonts w:hint="default"/>
        </w:rPr>
      </w:pPr>
      <w:r>
        <w:rPr>
          <w:rStyle w:val="21"/>
        </w:rPr>
        <w:t>（一）财政拨款收入：</w:t>
      </w:r>
      <w:r>
        <w:rPr>
          <w:rStyle w:val="22"/>
        </w:rPr>
        <w:t>指本年度从本级财政部门取得的财政拨款。</w:t>
      </w:r>
    </w:p>
    <w:p>
      <w:pPr>
        <w:pStyle w:val="7"/>
        <w:snapToGrid w:val="0"/>
        <w:spacing w:before="0" w:beforeAutospacing="0" w:after="0" w:afterAutospacing="0" w:line="596" w:lineRule="exact"/>
        <w:ind w:firstLine="640" w:firstLineChars="200"/>
        <w:jc w:val="both"/>
        <w:rPr>
          <w:rStyle w:val="22"/>
          <w:rFonts w:hint="default"/>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snapToGrid w:val="0"/>
        <w:spacing w:before="0" w:beforeAutospacing="0" w:after="0" w:afterAutospacing="0" w:line="596" w:lineRule="exact"/>
        <w:ind w:firstLine="640" w:firstLineChars="200"/>
        <w:jc w:val="both"/>
        <w:rPr>
          <w:rStyle w:val="22"/>
          <w:rFonts w:hint="default"/>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snapToGrid w:val="0"/>
        <w:spacing w:before="0" w:beforeAutospacing="0" w:after="0" w:afterAutospacing="0" w:line="596" w:lineRule="exact"/>
        <w:ind w:firstLine="640" w:firstLineChars="200"/>
        <w:jc w:val="both"/>
        <w:rPr>
          <w:rStyle w:val="22"/>
          <w:rFonts w:hint="default"/>
        </w:rPr>
      </w:pPr>
      <w:r>
        <w:rPr>
          <w:rStyle w:val="21"/>
        </w:rPr>
        <w:t>（四）其他收入：</w:t>
      </w:r>
      <w:r>
        <w:rPr>
          <w:rStyle w:val="22"/>
        </w:rPr>
        <w:t>指单位取得的除</w:t>
      </w:r>
      <w:r>
        <w:rPr>
          <w:rStyle w:val="22"/>
          <w:rFonts w:hint="eastAsia" w:ascii="方正仿宋_GBK" w:hAnsi="方正仿宋_GBK" w:eastAsia="方正仿宋_GBK"/>
          <w:lang w:eastAsia="zh-CN"/>
        </w:rPr>
        <w:t>“</w:t>
      </w:r>
      <w:r>
        <w:rPr>
          <w:rStyle w:val="22"/>
        </w:rPr>
        <w:t>财政拨款收入</w:t>
      </w:r>
      <w:r>
        <w:rPr>
          <w:rStyle w:val="22"/>
          <w:rFonts w:hint="eastAsia" w:ascii="方正仿宋_GBK" w:hAnsi="方正仿宋_GBK" w:eastAsia="方正仿宋_GBK"/>
          <w:lang w:eastAsia="zh-CN"/>
        </w:rPr>
        <w:t>”</w:t>
      </w:r>
      <w:r>
        <w:rPr>
          <w:rStyle w:val="22"/>
        </w:rPr>
        <w:t>、</w:t>
      </w:r>
      <w:r>
        <w:rPr>
          <w:rStyle w:val="22"/>
          <w:rFonts w:hint="eastAsia" w:ascii="方正仿宋_GBK" w:hAnsi="方正仿宋_GBK" w:eastAsia="方正仿宋_GBK"/>
          <w:lang w:eastAsia="zh-CN"/>
        </w:rPr>
        <w:t>“</w:t>
      </w:r>
      <w:r>
        <w:rPr>
          <w:rStyle w:val="22"/>
        </w:rPr>
        <w:t>事业收入</w:t>
      </w:r>
      <w:r>
        <w:rPr>
          <w:rStyle w:val="22"/>
          <w:rFonts w:hint="eastAsia" w:ascii="方正仿宋_GBK" w:hAnsi="方正仿宋_GBK" w:eastAsia="方正仿宋_GBK"/>
          <w:lang w:eastAsia="zh-CN"/>
        </w:rPr>
        <w:t>”</w:t>
      </w:r>
      <w:r>
        <w:rPr>
          <w:rStyle w:val="22"/>
        </w:rPr>
        <w:t>、</w:t>
      </w:r>
      <w:r>
        <w:rPr>
          <w:rStyle w:val="22"/>
          <w:rFonts w:hint="eastAsia" w:ascii="方正仿宋_GBK" w:hAnsi="方正仿宋_GBK" w:eastAsia="方正仿宋_GBK"/>
          <w:lang w:eastAsia="zh-CN"/>
        </w:rPr>
        <w:t>“</w:t>
      </w:r>
      <w:r>
        <w:rPr>
          <w:rStyle w:val="22"/>
        </w:rPr>
        <w:t>经营收入</w:t>
      </w:r>
      <w:r>
        <w:rPr>
          <w:rStyle w:val="22"/>
          <w:rFonts w:hint="eastAsia" w:ascii="方正仿宋_GBK" w:hAnsi="方正仿宋_GBK" w:eastAsia="方正仿宋_GBK"/>
          <w:lang w:eastAsia="zh-CN"/>
        </w:rPr>
        <w:t>”</w:t>
      </w:r>
      <w:r>
        <w:rPr>
          <w:rStyle w:val="2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snapToGrid w:val="0"/>
        <w:spacing w:before="0" w:beforeAutospacing="0" w:after="0" w:afterAutospacing="0" w:line="596" w:lineRule="exact"/>
        <w:ind w:firstLine="640" w:firstLineChars="200"/>
        <w:jc w:val="both"/>
        <w:rPr>
          <w:rStyle w:val="22"/>
        </w:rPr>
      </w:pPr>
      <w:r>
        <w:rPr>
          <w:rStyle w:val="21"/>
        </w:rPr>
        <w:t>（六）年初结转和结余：</w:t>
      </w:r>
      <w:r>
        <w:rPr>
          <w:rStyle w:val="22"/>
        </w:rPr>
        <w:t>指单位上年结转本年使用的基本支出结转、项目支出结转和结余、经营结余。</w:t>
      </w:r>
    </w:p>
    <w:p>
      <w:pPr>
        <w:pStyle w:val="7"/>
        <w:snapToGrid w:val="0"/>
        <w:spacing w:before="0" w:beforeAutospacing="0" w:after="0" w:afterAutospacing="0" w:line="596" w:lineRule="exact"/>
        <w:ind w:firstLine="640" w:firstLineChars="200"/>
        <w:jc w:val="both"/>
        <w:rPr>
          <w:rStyle w:val="22"/>
        </w:rPr>
      </w:pPr>
      <w:r>
        <w:rPr>
          <w:rStyle w:val="21"/>
        </w:rPr>
        <w:t>（七）结余分配：</w:t>
      </w:r>
      <w:r>
        <w:rPr>
          <w:rStyle w:val="22"/>
        </w:rPr>
        <w:t>指单位按照国家有关规定，缴纳所得</w:t>
      </w:r>
    </w:p>
    <w:p>
      <w:pPr>
        <w:pStyle w:val="7"/>
        <w:snapToGrid w:val="0"/>
        <w:spacing w:before="0" w:beforeAutospacing="0" w:after="0" w:afterAutospacing="0" w:line="596" w:lineRule="exact"/>
        <w:jc w:val="both"/>
        <w:rPr>
          <w:rStyle w:val="22"/>
          <w:rFonts w:hint="eastAsia" w:eastAsia="方正仿宋_GBK"/>
          <w:lang w:val="en-US" w:eastAsia="zh-CN"/>
        </w:rPr>
      </w:pPr>
      <w:r>
        <w:rPr>
          <w:rStyle w:val="22"/>
        </w:rPr>
        <w:t>税、提取专用基金、转入非财政拨款结余等当年结余的</w:t>
      </w:r>
      <w:r>
        <w:rPr>
          <w:rStyle w:val="22"/>
          <w:rFonts w:hint="eastAsia" w:eastAsia="方正仿宋_GBK"/>
          <w:lang w:val="en-US" w:eastAsia="zh-CN"/>
        </w:rPr>
        <w:t>分配</w:t>
      </w:r>
    </w:p>
    <w:p>
      <w:pPr>
        <w:pStyle w:val="7"/>
        <w:snapToGrid w:val="0"/>
        <w:spacing w:before="0" w:beforeAutospacing="0" w:after="0" w:afterAutospacing="0" w:line="596" w:lineRule="exact"/>
        <w:jc w:val="both"/>
        <w:rPr>
          <w:rStyle w:val="22"/>
          <w:rFonts w:hint="default"/>
        </w:rPr>
      </w:pPr>
      <w:r>
        <w:rPr>
          <w:rStyle w:val="22"/>
        </w:rPr>
        <w:t>情况。</w:t>
      </w:r>
    </w:p>
    <w:p>
      <w:pPr>
        <w:pStyle w:val="7"/>
        <w:snapToGrid w:val="0"/>
        <w:spacing w:before="0" w:beforeAutospacing="0" w:after="0" w:afterAutospacing="0" w:line="596" w:lineRule="exact"/>
        <w:ind w:firstLine="640" w:firstLineChars="200"/>
        <w:jc w:val="both"/>
        <w:rPr>
          <w:rStyle w:val="22"/>
          <w:rFonts w:hint="default"/>
        </w:rPr>
      </w:pPr>
      <w:r>
        <w:rPr>
          <w:rStyle w:val="21"/>
        </w:rPr>
        <w:t>（八）年末结转和结余：</w:t>
      </w:r>
      <w:r>
        <w:rPr>
          <w:rStyle w:val="22"/>
        </w:rPr>
        <w:t>指单位结转下年的基本支出结转、项目支出结转和结余、经营结余。</w:t>
      </w:r>
    </w:p>
    <w:p>
      <w:pPr>
        <w:pStyle w:val="7"/>
        <w:snapToGrid w:val="0"/>
        <w:spacing w:before="0" w:beforeAutospacing="0" w:after="0" w:afterAutospacing="0" w:line="596" w:lineRule="exact"/>
        <w:ind w:firstLine="640" w:firstLineChars="200"/>
        <w:jc w:val="both"/>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w:t>
      </w:r>
      <w:r>
        <w:rPr>
          <w:rStyle w:val="22"/>
          <w:rFonts w:hint="eastAsia" w:ascii="方正仿宋_GBK" w:hAnsi="方正仿宋_GBK" w:eastAsia="方正仿宋_GBK"/>
          <w:lang w:eastAsia="zh-CN"/>
        </w:rPr>
        <w:t>“</w:t>
      </w:r>
      <w:r>
        <w:rPr>
          <w:rStyle w:val="22"/>
        </w:rPr>
        <w:t>工资福利支出</w:t>
      </w:r>
      <w:r>
        <w:rPr>
          <w:rStyle w:val="22"/>
          <w:rFonts w:hint="eastAsia" w:ascii="方正仿宋_GBK" w:hAnsi="方正仿宋_GBK" w:eastAsia="方正仿宋_GBK"/>
          <w:lang w:eastAsia="zh-CN"/>
        </w:rPr>
        <w:t>”</w:t>
      </w:r>
      <w:r>
        <w:rPr>
          <w:rStyle w:val="22"/>
        </w:rPr>
        <w:t>和</w:t>
      </w:r>
      <w:r>
        <w:rPr>
          <w:rStyle w:val="22"/>
          <w:rFonts w:hint="eastAsia" w:ascii="方正仿宋_GBK" w:hAnsi="方正仿宋_GBK" w:eastAsia="方正仿宋_GBK"/>
          <w:lang w:eastAsia="zh-CN"/>
        </w:rPr>
        <w:t>“</w:t>
      </w:r>
      <w:r>
        <w:rPr>
          <w:rStyle w:val="22"/>
        </w:rPr>
        <w:t>对个人和家庭的补助</w:t>
      </w:r>
      <w:r>
        <w:rPr>
          <w:rStyle w:val="22"/>
          <w:rFonts w:hint="eastAsia" w:ascii="方正仿宋_GBK" w:hAnsi="方正仿宋_GBK" w:eastAsia="方正仿宋_GBK"/>
          <w:lang w:eastAsia="zh-CN"/>
        </w:rPr>
        <w:t>”</w:t>
      </w:r>
      <w:r>
        <w:rPr>
          <w:rStyle w:val="22"/>
        </w:rPr>
        <w:t>；公用经费指政府收支分类经济科目中除</w:t>
      </w:r>
      <w:r>
        <w:rPr>
          <w:rStyle w:val="22"/>
          <w:rFonts w:hint="eastAsia" w:ascii="方正仿宋_GBK" w:hAnsi="方正仿宋_GBK" w:eastAsia="方正仿宋_GBK"/>
          <w:lang w:eastAsia="zh-CN"/>
        </w:rPr>
        <w:t>“</w:t>
      </w:r>
      <w:r>
        <w:rPr>
          <w:rStyle w:val="22"/>
        </w:rPr>
        <w:t>工资福利支出</w:t>
      </w:r>
      <w:r>
        <w:rPr>
          <w:rStyle w:val="22"/>
          <w:rFonts w:hint="eastAsia" w:ascii="方正仿宋_GBK" w:hAnsi="方正仿宋_GBK" w:eastAsia="方正仿宋_GBK"/>
          <w:lang w:eastAsia="zh-CN"/>
        </w:rPr>
        <w:t>”</w:t>
      </w:r>
      <w:r>
        <w:rPr>
          <w:rStyle w:val="22"/>
        </w:rPr>
        <w:t>和</w:t>
      </w:r>
      <w:r>
        <w:rPr>
          <w:rStyle w:val="22"/>
          <w:rFonts w:hint="eastAsia" w:ascii="方正仿宋_GBK" w:hAnsi="方正仿宋_GBK" w:eastAsia="方正仿宋_GBK"/>
          <w:lang w:eastAsia="zh-CN"/>
        </w:rPr>
        <w:t>“</w:t>
      </w:r>
      <w:r>
        <w:rPr>
          <w:rStyle w:val="22"/>
        </w:rPr>
        <w:t>对个人和家庭的补助</w:t>
      </w:r>
      <w:r>
        <w:rPr>
          <w:rStyle w:val="22"/>
          <w:rFonts w:hint="eastAsia" w:ascii="方正仿宋_GBK" w:hAnsi="方正仿宋_GBK" w:eastAsia="方正仿宋_GBK"/>
          <w:lang w:eastAsia="zh-CN"/>
        </w:rPr>
        <w:t>”</w:t>
      </w:r>
      <w:r>
        <w:rPr>
          <w:rStyle w:val="22"/>
        </w:rPr>
        <w:t>外的其他支出。</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21"/>
        </w:rPr>
        <w:t>（十）项目支出：</w:t>
      </w:r>
      <w:r>
        <w:rPr>
          <w:rStyle w:val="22"/>
        </w:rPr>
        <w:t>指在基本支出之外为完成特定行政任务和事业发展目标所发生的支出。</w:t>
      </w:r>
    </w:p>
    <w:p>
      <w:pPr>
        <w:pStyle w:val="7"/>
        <w:snapToGrid w:val="0"/>
        <w:spacing w:before="0" w:beforeAutospacing="0" w:after="0" w:afterAutospacing="0" w:line="596" w:lineRule="exact"/>
        <w:ind w:firstLine="640" w:firstLineChars="200"/>
        <w:jc w:val="both"/>
        <w:rPr>
          <w:rStyle w:val="22"/>
          <w:rFonts w:hint="default"/>
        </w:rPr>
      </w:pPr>
      <w:r>
        <w:rPr>
          <w:rStyle w:val="21"/>
        </w:rPr>
        <w:t>（十一）经营支出：</w:t>
      </w:r>
      <w:r>
        <w:rPr>
          <w:rStyle w:val="22"/>
        </w:rPr>
        <w:t>指事业单位在专业业务活动及其辅助活动之外开展非独立核算经营活动发生的支出。</w:t>
      </w:r>
    </w:p>
    <w:p>
      <w:pPr>
        <w:pStyle w:val="7"/>
        <w:snapToGrid w:val="0"/>
        <w:spacing w:before="0" w:beforeAutospacing="0" w:after="0" w:afterAutospacing="0" w:line="596" w:lineRule="exact"/>
        <w:ind w:firstLine="640" w:firstLineChars="200"/>
        <w:jc w:val="both"/>
        <w:rPr>
          <w:rStyle w:val="22"/>
          <w:rFonts w:hint="default"/>
        </w:rPr>
      </w:pPr>
      <w:r>
        <w:rPr>
          <w:rStyle w:val="21"/>
        </w:rPr>
        <w:t>（十二）</w:t>
      </w:r>
      <w:r>
        <w:rPr>
          <w:rStyle w:val="21"/>
          <w:rFonts w:hint="eastAsia" w:eastAsia="方正楷体_GBK"/>
          <w:lang w:eastAsia="zh-CN"/>
        </w:rPr>
        <w:t>“</w:t>
      </w:r>
      <w:r>
        <w:rPr>
          <w:rStyle w:val="21"/>
        </w:rPr>
        <w:t>三公</w:t>
      </w:r>
      <w:r>
        <w:rPr>
          <w:rStyle w:val="21"/>
          <w:rFonts w:hint="eastAsia" w:ascii="方正仿宋_GBK" w:hAnsi="方正仿宋_GBK" w:eastAsia="方正楷体_GBK"/>
          <w:lang w:eastAsia="zh-CN"/>
        </w:rPr>
        <w:t>”</w:t>
      </w:r>
      <w:r>
        <w:rPr>
          <w:rStyle w:val="21"/>
        </w:rPr>
        <w:t>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6" w:lineRule="exact"/>
        <w:ind w:firstLine="640" w:firstLineChars="200"/>
        <w:jc w:val="both"/>
        <w:rPr>
          <w:rStyle w:val="22"/>
          <w:rFonts w:hint="default"/>
        </w:rPr>
      </w:pPr>
      <w:r>
        <w:rPr>
          <w:rStyle w:val="21"/>
        </w:rPr>
        <w:t>（十三）机关运行经费：</w:t>
      </w:r>
      <w:r>
        <w:rPr>
          <w:rStyle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6" w:lineRule="exact"/>
        <w:ind w:firstLine="640" w:firstLineChars="200"/>
        <w:jc w:val="both"/>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snapToGrid w:val="0"/>
        <w:spacing w:before="0" w:beforeAutospacing="0" w:after="0" w:afterAutospacing="0" w:line="596" w:lineRule="exact"/>
        <w:ind w:firstLine="640" w:firstLineChars="200"/>
        <w:jc w:val="both"/>
        <w:rPr>
          <w:rStyle w:val="22"/>
          <w:rFonts w:hint="default"/>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snapToGrid w:val="0"/>
        <w:spacing w:before="0" w:beforeAutospacing="0" w:after="0" w:afterAutospacing="0" w:line="596" w:lineRule="exact"/>
        <w:ind w:firstLine="640" w:firstLineChars="200"/>
        <w:jc w:val="both"/>
        <w:rPr>
          <w:rStyle w:val="22"/>
          <w:rFonts w:hint="default"/>
        </w:rPr>
      </w:pPr>
      <w:r>
        <w:rPr>
          <w:rStyle w:val="21"/>
        </w:rPr>
        <w:t>（十六）对个人和家庭的补助（支出经济分类科目类级）：</w:t>
      </w:r>
      <w:r>
        <w:rPr>
          <w:rStyle w:val="22"/>
        </w:rPr>
        <w:t>反映用于对个人和家庭的补助支出。</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21"/>
        </w:rPr>
        <w:t>（十七）其他资本性支出（支出经济分类科目类级）：</w:t>
      </w:r>
      <w:r>
        <w:rPr>
          <w:rStyle w:val="22"/>
        </w:rPr>
        <w:t>反映非各级发展与改革部门集中安排的用于购置固定资产、战略性和应急性储备、土地和无形资产，以及构建基础设施、大型修缮和财政支持企业更新改造所发生的支出。</w:t>
      </w:r>
    </w:p>
    <w:p>
      <w:pPr>
        <w:pStyle w:val="18"/>
        <w:bidi w:val="0"/>
        <w:rPr>
          <w:rFonts w:hint="default"/>
        </w:rPr>
      </w:pPr>
      <w:r>
        <w:rPr>
          <w:rFonts w:hint="eastAsia"/>
          <w:lang w:eastAsia="zh-CN"/>
        </w:rPr>
        <w:t>七</w:t>
      </w:r>
      <w:r>
        <w:t>、决算公开联系方式及信息反馈渠道</w:t>
      </w:r>
    </w:p>
    <w:p>
      <w:pPr>
        <w:pStyle w:val="20"/>
        <w:bidi w:val="0"/>
        <w:rPr>
          <w:rFonts w:hint="default"/>
        </w:rPr>
      </w:pPr>
      <w:r>
        <w:rPr>
          <w:rFonts w:hint="default"/>
        </w:rPr>
        <w:t>本单位决算公开信息反馈和联系方式：</w:t>
      </w:r>
    </w:p>
    <w:p>
      <w:pPr>
        <w:pStyle w:val="20"/>
        <w:bidi w:val="0"/>
        <w:rPr>
          <w:rFonts w:hint="default"/>
          <w:lang w:val="en-US" w:eastAsia="zh-CN"/>
        </w:rPr>
        <w:sectPr>
          <w:headerReference r:id="rId3" w:type="default"/>
          <w:footerReference r:id="rId4" w:type="default"/>
          <w:pgSz w:w="11907" w:h="16839"/>
          <w:pgMar w:top="1440" w:right="1803" w:bottom="1440" w:left="1803" w:header="0" w:footer="283" w:gutter="0"/>
          <w:pgNumType w:fmt="numberInDash"/>
          <w:cols w:space="720" w:num="1"/>
          <w:docGrid w:type="lines" w:linePitch="326" w:charSpace="0"/>
        </w:sect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kern w:val="0"/>
          <w:sz w:val="32"/>
          <w:szCs w:val="32"/>
          <w:lang w:val="en-US" w:eastAsia="zh-CN" w:bidi="ar"/>
        </w:r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秀山土家族苗族自治县应急管理局（本级）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2,535.35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2,535.35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cs="宋体"/>
          <w:sz w:val="20"/>
          <w:szCs w:val="20"/>
        </w:rPr>
      </w:pPr>
      <w:r>
        <w:rPr>
          <w:rFonts w:cs="宋体"/>
          <w:sz w:val="20"/>
          <w:szCs w:val="20"/>
        </w:rPr>
        <w:br w:type="page"/>
      </w:r>
    </w:p>
    <w:p>
      <w:pPr>
        <w:spacing w:line="240" w:lineRule="exact"/>
        <w:rPr>
          <w:rFonts w:hint="default" w:cs="宋体"/>
          <w:sz w:val="20"/>
          <w:szCs w:val="20"/>
        </w:rPr>
      </w:pPr>
      <w:r>
        <w:rPr>
          <w:rFonts w:cs="宋体"/>
          <w:sz w:val="20"/>
          <w:szCs w:val="20"/>
        </w:rPr>
        <w:br w:type="textWrapping"/>
      </w:r>
    </w:p>
    <w:tbl>
      <w:tblPr>
        <w:tblStyle w:val="10"/>
        <w:tblW w:w="13207" w:type="dxa"/>
        <w:tblInd w:w="0" w:type="dxa"/>
        <w:tblLayout w:type="fixed"/>
        <w:tblCellMar>
          <w:top w:w="0" w:type="dxa"/>
          <w:left w:w="0" w:type="dxa"/>
          <w:bottom w:w="0" w:type="dxa"/>
          <w:right w:w="0" w:type="dxa"/>
        </w:tblCellMar>
      </w:tblPr>
      <w:tblGrid>
        <w:gridCol w:w="1392"/>
        <w:gridCol w:w="2620"/>
        <w:gridCol w:w="1115"/>
        <w:gridCol w:w="1162"/>
        <w:gridCol w:w="1070"/>
        <w:gridCol w:w="1070"/>
        <w:gridCol w:w="1125"/>
        <w:gridCol w:w="1072"/>
        <w:gridCol w:w="1183"/>
        <w:gridCol w:w="1398"/>
      </w:tblGrid>
      <w:tr>
        <w:tblPrEx>
          <w:tblLayout w:type="fixed"/>
          <w:tblCellMar>
            <w:top w:w="0" w:type="dxa"/>
            <w:left w:w="0" w:type="dxa"/>
            <w:bottom w:w="0" w:type="dxa"/>
            <w:right w:w="0" w:type="dxa"/>
          </w:tblCellMar>
        </w:tblPrEx>
        <w:trPr>
          <w:trHeight w:val="641" w:hRule="atLeast"/>
        </w:trPr>
        <w:tc>
          <w:tcPr>
            <w:tcW w:w="13207"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12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秀山土家族苗族自治县应急管理局（本级）</w:t>
            </w:r>
          </w:p>
        </w:tc>
        <w:tc>
          <w:tcPr>
            <w:tcW w:w="11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12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0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2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2,362.26</w:t>
            </w:r>
            <w:r>
              <w:rPr>
                <w:rFonts w:ascii="Times New Roman" w:hAnsi="Times New Roman"/>
                <w:b/>
                <w:color w:val="000000"/>
                <w:sz w:val="20"/>
                <w:u w:color="auto"/>
              </w:rPr>
              <w:t xml:space="preserve"> </w:t>
            </w:r>
          </w:p>
        </w:tc>
        <w:tc>
          <w:tcPr>
            <w:tcW w:w="1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2,347.70</w:t>
            </w:r>
            <w:r>
              <w:rPr>
                <w:rFonts w:ascii="Times New Roman" w:hAnsi="Times New Roman"/>
                <w:b/>
                <w:color w:val="000000"/>
                <w:sz w:val="20"/>
                <w:u w:color="auto"/>
              </w:rPr>
              <w:t xml:space="preserve"> </w:t>
            </w:r>
          </w:p>
        </w:tc>
        <w:tc>
          <w:tcPr>
            <w:tcW w:w="10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2,170.74</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2,156.18</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1,185.54</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1,170.98</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281.96</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26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3207" w:type="dxa"/>
        <w:tblInd w:w="0" w:type="dxa"/>
        <w:tblLayout w:type="fixed"/>
        <w:tblCellMar>
          <w:top w:w="0" w:type="dxa"/>
          <w:left w:w="0" w:type="dxa"/>
          <w:bottom w:w="0" w:type="dxa"/>
          <w:right w:w="0" w:type="dxa"/>
        </w:tblCellMar>
      </w:tblPr>
      <w:tblGrid>
        <w:gridCol w:w="1849"/>
        <w:gridCol w:w="3653"/>
        <w:gridCol w:w="1397"/>
        <w:gridCol w:w="943"/>
        <w:gridCol w:w="943"/>
        <w:gridCol w:w="1395"/>
        <w:gridCol w:w="943"/>
        <w:gridCol w:w="2084"/>
      </w:tblGrid>
      <w:tr>
        <w:tblPrEx>
          <w:tblLayout w:type="fixed"/>
          <w:tblCellMar>
            <w:top w:w="0" w:type="dxa"/>
            <w:left w:w="0" w:type="dxa"/>
            <w:bottom w:w="0" w:type="dxa"/>
            <w:right w:w="0" w:type="dxa"/>
          </w:tblCellMar>
        </w:tblPrEx>
        <w:trPr>
          <w:trHeight w:val="654" w:hRule="atLeast"/>
        </w:trPr>
        <w:tc>
          <w:tcPr>
            <w:tcW w:w="1320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9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秀山土家族苗族自治县应急管理局（本级） </w:t>
            </w: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8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9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8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4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5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2,522.75</w:t>
            </w:r>
            <w:r>
              <w:rPr>
                <w:rFonts w:ascii="Times New Roman" w:hAnsi="Times New Roman"/>
                <w:b/>
                <w:color w:val="000000"/>
                <w:sz w:val="20"/>
                <w:u w:color="auto"/>
              </w:rPr>
              <w:t xml:space="preserve"> </w:t>
            </w:r>
          </w:p>
        </w:tc>
        <w:tc>
          <w:tcPr>
            <w:tcW w:w="9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625.75</w:t>
            </w:r>
            <w:r>
              <w:rPr>
                <w:rFonts w:ascii="Times New Roman" w:hAnsi="Times New Roman"/>
                <w:b/>
                <w:color w:val="000000"/>
                <w:sz w:val="20"/>
                <w:u w:color="auto"/>
              </w:rPr>
              <w:t xml:space="preserve"> </w:t>
            </w:r>
          </w:p>
        </w:tc>
        <w:tc>
          <w:tcPr>
            <w:tcW w:w="9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9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2,331.23</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496.41</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1,172.94</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496.41</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3207" w:type="dxa"/>
        <w:tblInd w:w="0" w:type="dxa"/>
        <w:tblLayout w:type="fixed"/>
        <w:tblCellMar>
          <w:top w:w="0" w:type="dxa"/>
          <w:left w:w="0" w:type="dxa"/>
          <w:bottom w:w="0" w:type="dxa"/>
          <w:right w:w="0" w:type="dxa"/>
        </w:tblCellMar>
      </w:tblPr>
      <w:tblGrid>
        <w:gridCol w:w="2668"/>
        <w:gridCol w:w="1368"/>
        <w:gridCol w:w="2861"/>
        <w:gridCol w:w="1521"/>
        <w:gridCol w:w="1521"/>
        <w:gridCol w:w="1521"/>
        <w:gridCol w:w="1747"/>
      </w:tblGrid>
      <w:tr>
        <w:tblPrEx>
          <w:tblLayout w:type="fixed"/>
          <w:tblCellMar>
            <w:top w:w="0" w:type="dxa"/>
            <w:left w:w="0" w:type="dxa"/>
            <w:bottom w:w="0" w:type="dxa"/>
            <w:right w:w="0" w:type="dxa"/>
          </w:tblCellMar>
        </w:tblPrEx>
        <w:trPr>
          <w:trHeight w:val="90" w:hRule="atLeast"/>
        </w:trPr>
        <w:tc>
          <w:tcPr>
            <w:tcW w:w="13207"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689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47"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89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4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1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8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3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8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2,347.70</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2,329.27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2,329.27</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2,347.70</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2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2,520.78</w:t>
            </w:r>
            <w:r>
              <w:rPr>
                <w:rFonts w:ascii="Times New Roman" w:hAnsi="Times New Roman"/>
                <w:color w:val="000000"/>
                <w:sz w:val="18"/>
                <w:u w:color="auto"/>
              </w:rPr>
              <w:t xml:space="preserve"> </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3207" w:type="dxa"/>
        <w:tblInd w:w="0" w:type="dxa"/>
        <w:tblLayout w:type="fixed"/>
        <w:tblCellMar>
          <w:top w:w="0" w:type="dxa"/>
          <w:left w:w="0" w:type="dxa"/>
          <w:bottom w:w="0" w:type="dxa"/>
          <w:right w:w="0" w:type="dxa"/>
        </w:tblCellMar>
      </w:tblPr>
      <w:tblGrid>
        <w:gridCol w:w="1278"/>
        <w:gridCol w:w="3357"/>
        <w:gridCol w:w="2850"/>
        <w:gridCol w:w="2842"/>
        <w:gridCol w:w="2880"/>
      </w:tblGrid>
      <w:tr>
        <w:tblPrEx>
          <w:tblLayout w:type="fixed"/>
          <w:tblCellMar>
            <w:top w:w="0" w:type="dxa"/>
            <w:left w:w="0" w:type="dxa"/>
            <w:bottom w:w="0" w:type="dxa"/>
            <w:right w:w="0" w:type="dxa"/>
          </w:tblCellMar>
        </w:tblPrEx>
        <w:trPr>
          <w:trHeight w:val="510" w:hRule="atLeast"/>
        </w:trPr>
        <w:tc>
          <w:tcPr>
            <w:tcW w:w="13207"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48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28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8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4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8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57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27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28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8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8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27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27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6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2,520.78</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623.79</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76.97</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32.39</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27.52</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27.52</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2,329.27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494.44</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1,170.98</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494.44</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2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2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28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3207" w:type="dxa"/>
        <w:tblInd w:w="0" w:type="dxa"/>
        <w:tblLayout w:type="fixed"/>
        <w:tblCellMar>
          <w:top w:w="0" w:type="dxa"/>
          <w:left w:w="0" w:type="dxa"/>
          <w:bottom w:w="0" w:type="dxa"/>
          <w:right w:w="0" w:type="dxa"/>
        </w:tblCellMar>
      </w:tblPr>
      <w:tblGrid>
        <w:gridCol w:w="518"/>
        <w:gridCol w:w="2356"/>
        <w:gridCol w:w="1183"/>
        <w:gridCol w:w="716"/>
        <w:gridCol w:w="1656"/>
        <w:gridCol w:w="1421"/>
        <w:gridCol w:w="692"/>
        <w:gridCol w:w="3035"/>
        <w:gridCol w:w="1630"/>
      </w:tblGrid>
      <w:tr>
        <w:tblPrEx>
          <w:tblLayout w:type="fixed"/>
          <w:tblCellMar>
            <w:top w:w="0" w:type="dxa"/>
            <w:left w:w="0" w:type="dxa"/>
            <w:bottom w:w="0" w:type="dxa"/>
            <w:right w:w="0" w:type="dxa"/>
          </w:tblCellMar>
        </w:tblPrEx>
        <w:trPr>
          <w:trHeight w:val="90" w:hRule="atLeast"/>
        </w:trPr>
        <w:tc>
          <w:tcPr>
            <w:tcW w:w="13207"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429"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14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69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0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3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429"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2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69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0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3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915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3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ascii="方正仿宋_GBK" w:hAnsi="方正仿宋_GBK" w:cs="宋体"/>
                <w:b/>
                <w:color w:val="000000"/>
                <w:sz w:val="18"/>
                <w:szCs w:val="18"/>
                <w:lang w:eastAsia="zh-CN"/>
              </w:rPr>
              <w:t>”</w:t>
            </w:r>
            <w:r>
              <w:rPr>
                <w:rFonts w:cs="宋体"/>
                <w:b/>
                <w:color w:val="000000"/>
                <w:sz w:val="18"/>
                <w:szCs w:val="18"/>
              </w:rPr>
              <w:t>级功能分类科目）</w:t>
            </w:r>
          </w:p>
        </w:tc>
        <w:tc>
          <w:tcPr>
            <w:tcW w:w="11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ascii="方正仿宋_GBK" w:hAnsi="方正仿宋_GBK" w:cs="宋体"/>
                <w:b/>
                <w:color w:val="000000"/>
                <w:sz w:val="18"/>
                <w:szCs w:val="18"/>
                <w:lang w:eastAsia="zh-CN"/>
              </w:rPr>
              <w:t>”</w:t>
            </w:r>
            <w:r>
              <w:rPr>
                <w:rFonts w:cs="宋体"/>
                <w:b/>
                <w:color w:val="000000"/>
                <w:sz w:val="18"/>
                <w:szCs w:val="18"/>
              </w:rPr>
              <w:t>级功能分类科目）</w:t>
            </w:r>
          </w:p>
        </w:tc>
        <w:tc>
          <w:tcPr>
            <w:tcW w:w="14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6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0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ascii="方正仿宋_GBK" w:hAnsi="方正仿宋_GBK" w:cs="宋体"/>
                <w:b/>
                <w:color w:val="000000"/>
                <w:sz w:val="18"/>
                <w:szCs w:val="18"/>
                <w:lang w:eastAsia="zh-CN"/>
              </w:rPr>
              <w:t>”</w:t>
            </w:r>
            <w:r>
              <w:rPr>
                <w:rFonts w:cs="宋体"/>
                <w:b/>
                <w:color w:val="000000"/>
                <w:sz w:val="18"/>
                <w:szCs w:val="18"/>
              </w:rPr>
              <w:t>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51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3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335.39</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259.09</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81.81</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62.97</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32.39</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28.38</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25.30</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190.60</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w:t>
            </w: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287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1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363.77</w:t>
            </w:r>
            <w:r>
              <w:rPr>
                <w:rFonts w:ascii="Times New Roman" w:hAnsi="Times New Roman"/>
                <w:color w:val="000000"/>
                <w:sz w:val="18"/>
                <w:u w:color="auto"/>
              </w:rPr>
              <w:t xml:space="preserve"> </w:t>
            </w:r>
          </w:p>
        </w:tc>
        <w:tc>
          <w:tcPr>
            <w:tcW w:w="752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3207" w:type="dxa"/>
        <w:tblInd w:w="0" w:type="dxa"/>
        <w:tblLayout w:type="fixed"/>
        <w:tblCellMar>
          <w:top w:w="0" w:type="dxa"/>
          <w:left w:w="0" w:type="dxa"/>
          <w:bottom w:w="0" w:type="dxa"/>
          <w:right w:w="0" w:type="dxa"/>
        </w:tblCellMar>
      </w:tblPr>
      <w:tblGrid>
        <w:gridCol w:w="1407"/>
        <w:gridCol w:w="2832"/>
        <w:gridCol w:w="1466"/>
        <w:gridCol w:w="1466"/>
        <w:gridCol w:w="1466"/>
        <w:gridCol w:w="1466"/>
        <w:gridCol w:w="1519"/>
        <w:gridCol w:w="1585"/>
      </w:tblGrid>
      <w:tr>
        <w:tblPrEx>
          <w:tblLayout w:type="fixed"/>
          <w:tblCellMar>
            <w:top w:w="0" w:type="dxa"/>
            <w:left w:w="0" w:type="dxa"/>
            <w:bottom w:w="0" w:type="dxa"/>
            <w:right w:w="0" w:type="dxa"/>
          </w:tblCellMar>
        </w:tblPrEx>
        <w:trPr>
          <w:trHeight w:val="644" w:hRule="atLeast"/>
        </w:trPr>
        <w:tc>
          <w:tcPr>
            <w:tcW w:w="1320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70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70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46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45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ascii="方正仿宋_GBK" w:hAnsi="方正仿宋_GBK" w:cs="宋体"/>
                <w:b/>
                <w:color w:val="000000"/>
                <w:sz w:val="20"/>
                <w:szCs w:val="20"/>
                <w:lang w:eastAsia="zh-CN"/>
              </w:rPr>
              <w:t>”</w:t>
            </w:r>
            <w:r>
              <w:rPr>
                <w:rFonts w:cs="宋体"/>
                <w:b/>
                <w:color w:val="000000"/>
                <w:sz w:val="20"/>
                <w:szCs w:val="20"/>
              </w:rPr>
              <w:t>级功能分类科目）</w:t>
            </w:r>
          </w:p>
        </w:tc>
        <w:tc>
          <w:tcPr>
            <w:tcW w:w="14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2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2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3207" w:type="dxa"/>
        <w:tblInd w:w="0" w:type="dxa"/>
        <w:tblLayout w:type="fixed"/>
        <w:tblCellMar>
          <w:top w:w="0" w:type="dxa"/>
          <w:left w:w="0" w:type="dxa"/>
          <w:bottom w:w="0" w:type="dxa"/>
          <w:right w:w="0" w:type="dxa"/>
        </w:tblCellMar>
      </w:tblPr>
      <w:tblGrid>
        <w:gridCol w:w="1722"/>
        <w:gridCol w:w="2515"/>
        <w:gridCol w:w="2813"/>
        <w:gridCol w:w="169"/>
        <w:gridCol w:w="2982"/>
        <w:gridCol w:w="69"/>
        <w:gridCol w:w="2937"/>
      </w:tblGrid>
      <w:tr>
        <w:tblPrEx>
          <w:tblLayout w:type="fixed"/>
          <w:tblCellMar>
            <w:top w:w="0" w:type="dxa"/>
            <w:left w:w="0" w:type="dxa"/>
            <w:bottom w:w="0" w:type="dxa"/>
            <w:right w:w="0" w:type="dxa"/>
          </w:tblCellMar>
        </w:tblPrEx>
        <w:trPr>
          <w:trHeight w:val="650" w:hRule="atLeast"/>
        </w:trPr>
        <w:tc>
          <w:tcPr>
            <w:tcW w:w="13207"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05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秀山土家族苗族自治县应急管理局（本级）</w:t>
            </w:r>
          </w:p>
        </w:tc>
        <w:tc>
          <w:tcPr>
            <w:tcW w:w="322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3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05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2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3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89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7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5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298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0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7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7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7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0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9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00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7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5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29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00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3207" w:type="dxa"/>
        <w:tblInd w:w="0" w:type="dxa"/>
        <w:tblLayout w:type="fixed"/>
        <w:tblCellMar>
          <w:top w:w="0" w:type="dxa"/>
          <w:left w:w="170" w:type="dxa"/>
          <w:bottom w:w="0" w:type="dxa"/>
          <w:right w:w="170" w:type="dxa"/>
        </w:tblCellMar>
      </w:tblPr>
      <w:tblGrid>
        <w:gridCol w:w="2969"/>
        <w:gridCol w:w="2258"/>
        <w:gridCol w:w="2219"/>
        <w:gridCol w:w="3431"/>
        <w:gridCol w:w="2330"/>
      </w:tblGrid>
      <w:tr>
        <w:tblPrEx>
          <w:tblLayout w:type="fixed"/>
          <w:tblCellMar>
            <w:top w:w="0" w:type="dxa"/>
            <w:left w:w="170" w:type="dxa"/>
            <w:bottom w:w="0" w:type="dxa"/>
            <w:right w:w="170" w:type="dxa"/>
          </w:tblCellMar>
        </w:tblPrEx>
        <w:trPr>
          <w:trHeight w:val="343" w:hRule="atLeast"/>
        </w:trPr>
        <w:tc>
          <w:tcPr>
            <w:tcW w:w="13207"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6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258"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219"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43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33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22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秀山土家族苗族自治县应急管理局（本级）</w:t>
            </w:r>
          </w:p>
        </w:tc>
        <w:tc>
          <w:tcPr>
            <w:tcW w:w="2219"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43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33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w:t>
            </w:r>
            <w:r>
              <w:rPr>
                <w:rFonts w:cs="宋体"/>
                <w:b/>
                <w:color w:val="000000"/>
                <w:kern w:val="2"/>
                <w:sz w:val="16"/>
                <w:szCs w:val="16"/>
              </w:rPr>
              <w:t>三公</w:t>
            </w:r>
            <w:r>
              <w:rPr>
                <w:rFonts w:hint="eastAsia" w:ascii="方正仿宋_GBK" w:hAnsi="方正仿宋_GBK" w:cs="宋体"/>
                <w:b/>
                <w:color w:val="000000"/>
                <w:kern w:val="2"/>
                <w:sz w:val="16"/>
                <w:szCs w:val="16"/>
                <w:lang w:eastAsia="zh-CN"/>
              </w:rPr>
              <w:t>”</w:t>
            </w:r>
            <w:r>
              <w:rPr>
                <w:rFonts w:cs="宋体"/>
                <w:b/>
                <w:color w:val="000000"/>
                <w:kern w:val="2"/>
                <w:sz w:val="16"/>
                <w:szCs w:val="16"/>
              </w:rPr>
              <w:t>经费支出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10.03</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3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w:t>
      </w:r>
      <w:r>
        <w:rPr>
          <w:rFonts w:cs="宋体"/>
          <w:sz w:val="18"/>
          <w:szCs w:val="18"/>
        </w:rPr>
        <w:t>三公</w:t>
      </w:r>
      <w:r>
        <w:rPr>
          <w:rFonts w:hint="eastAsia" w:ascii="方正仿宋_GBK" w:hAnsi="方正仿宋_GBK" w:cs="宋体"/>
          <w:sz w:val="18"/>
          <w:szCs w:val="18"/>
          <w:lang w:eastAsia="zh-CN"/>
        </w:rPr>
        <w:t>”</w:t>
      </w:r>
      <w:r>
        <w:rPr>
          <w:rFonts w:cs="宋体"/>
          <w:sz w:val="18"/>
          <w:szCs w:val="18"/>
        </w:rPr>
        <w:t>经费支出预决算情况。其中，预算数为</w:t>
      </w:r>
      <w:r>
        <w:rPr>
          <w:rFonts w:hint="eastAsia" w:cs="宋体"/>
          <w:sz w:val="18"/>
          <w:szCs w:val="18"/>
          <w:lang w:eastAsia="zh-CN"/>
        </w:rPr>
        <w:t>“</w:t>
      </w:r>
      <w:r>
        <w:rPr>
          <w:rFonts w:cs="宋体"/>
          <w:sz w:val="18"/>
          <w:szCs w:val="18"/>
        </w:rPr>
        <w:t>三公</w:t>
      </w:r>
      <w:r>
        <w:rPr>
          <w:rFonts w:hint="eastAsia" w:ascii="方正仿宋_GBK" w:hAnsi="方正仿宋_GBK" w:cs="宋体"/>
          <w:sz w:val="18"/>
          <w:szCs w:val="18"/>
          <w:lang w:eastAsia="zh-CN"/>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rPr>
          <w:rFonts w:hint="default"/>
        </w:rPr>
      </w:pPr>
    </w:p>
    <w:p>
      <w:pPr>
        <w:rPr>
          <w:rFonts w:hint="default"/>
        </w:rPr>
      </w:pPr>
    </w:p>
    <w:sectPr>
      <w:headerReference r:id="rId5" w:type="default"/>
      <w:footerReference r:id="rId6" w:type="default"/>
      <w:pgSz w:w="16783" w:h="11850" w:orient="landscape"/>
      <w:pgMar w:top="1440" w:right="1803" w:bottom="1440" w:left="1803"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m0GD7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CC2CFF"/>
    <w:multiLevelType w:val="singleLevel"/>
    <w:tmpl w:val="E6CC2CFF"/>
    <w:lvl w:ilvl="0" w:tentative="0">
      <w:start w:val="3"/>
      <w:numFmt w:val="chineseCounting"/>
      <w:suff w:val="nothing"/>
      <w:lvlText w:val="（%1）"/>
      <w:lvlJc w:val="left"/>
      <w:rPr>
        <w:rFonts w:hint="eastAsia"/>
      </w:rPr>
    </w:lvl>
  </w:abstractNum>
  <w:abstractNum w:abstractNumId="1">
    <w:nsid w:val="5BE3B256"/>
    <w:multiLevelType w:val="singleLevel"/>
    <w:tmpl w:val="5BE3B25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363B70"/>
    <w:rsid w:val="0D673E11"/>
    <w:rsid w:val="0DDA54E4"/>
    <w:rsid w:val="0E3A5F83"/>
    <w:rsid w:val="0F836721"/>
    <w:rsid w:val="0FA25D96"/>
    <w:rsid w:val="0FBD3C60"/>
    <w:rsid w:val="107B59E5"/>
    <w:rsid w:val="10BB5EC0"/>
    <w:rsid w:val="10EC0126"/>
    <w:rsid w:val="10F70B9A"/>
    <w:rsid w:val="111445C7"/>
    <w:rsid w:val="114278C6"/>
    <w:rsid w:val="1158083A"/>
    <w:rsid w:val="11643A4B"/>
    <w:rsid w:val="11D845DC"/>
    <w:rsid w:val="11ED0F98"/>
    <w:rsid w:val="11F03528"/>
    <w:rsid w:val="12C921C4"/>
    <w:rsid w:val="13871C70"/>
    <w:rsid w:val="13A71CB4"/>
    <w:rsid w:val="13AF1D43"/>
    <w:rsid w:val="13CE1647"/>
    <w:rsid w:val="13FD55AB"/>
    <w:rsid w:val="14200702"/>
    <w:rsid w:val="14370EA1"/>
    <w:rsid w:val="145D6F41"/>
    <w:rsid w:val="15600CD0"/>
    <w:rsid w:val="156A49FB"/>
    <w:rsid w:val="163A6CEE"/>
    <w:rsid w:val="173708E3"/>
    <w:rsid w:val="17C374FC"/>
    <w:rsid w:val="182E4AB6"/>
    <w:rsid w:val="189079DC"/>
    <w:rsid w:val="189B0D0B"/>
    <w:rsid w:val="18B43F7C"/>
    <w:rsid w:val="191C433B"/>
    <w:rsid w:val="194A1770"/>
    <w:rsid w:val="19B906A4"/>
    <w:rsid w:val="1B08327F"/>
    <w:rsid w:val="1B6F15B6"/>
    <w:rsid w:val="1BAA2EDC"/>
    <w:rsid w:val="1CA55E64"/>
    <w:rsid w:val="1D014A01"/>
    <w:rsid w:val="1D022362"/>
    <w:rsid w:val="1D1B04B0"/>
    <w:rsid w:val="1D595A4A"/>
    <w:rsid w:val="1D7F281D"/>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287A61"/>
    <w:rsid w:val="235417B6"/>
    <w:rsid w:val="23D7613F"/>
    <w:rsid w:val="24794272"/>
    <w:rsid w:val="24B92327"/>
    <w:rsid w:val="24C14514"/>
    <w:rsid w:val="24F31D14"/>
    <w:rsid w:val="2533755C"/>
    <w:rsid w:val="25791755"/>
    <w:rsid w:val="26396DF4"/>
    <w:rsid w:val="27167136"/>
    <w:rsid w:val="271B442C"/>
    <w:rsid w:val="27B23302"/>
    <w:rsid w:val="280F1CE6"/>
    <w:rsid w:val="29310A5F"/>
    <w:rsid w:val="29C37A35"/>
    <w:rsid w:val="2A076083"/>
    <w:rsid w:val="2A73162E"/>
    <w:rsid w:val="2B167953"/>
    <w:rsid w:val="2B200583"/>
    <w:rsid w:val="2B8209DE"/>
    <w:rsid w:val="2B821C91"/>
    <w:rsid w:val="2BF81A22"/>
    <w:rsid w:val="2C636760"/>
    <w:rsid w:val="2C6762A3"/>
    <w:rsid w:val="2D9B1E86"/>
    <w:rsid w:val="2DF41D09"/>
    <w:rsid w:val="2FCA4B37"/>
    <w:rsid w:val="2FE029D7"/>
    <w:rsid w:val="2FF06E00"/>
    <w:rsid w:val="30586FEC"/>
    <w:rsid w:val="30B240EC"/>
    <w:rsid w:val="315F0B22"/>
    <w:rsid w:val="31932A9B"/>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4254"/>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03D2D"/>
    <w:rsid w:val="3FCD675E"/>
    <w:rsid w:val="4004000C"/>
    <w:rsid w:val="40BD5482"/>
    <w:rsid w:val="411B6CE5"/>
    <w:rsid w:val="412070D7"/>
    <w:rsid w:val="41314E40"/>
    <w:rsid w:val="41E0734B"/>
    <w:rsid w:val="426C1EA8"/>
    <w:rsid w:val="42736402"/>
    <w:rsid w:val="42E86A87"/>
    <w:rsid w:val="43307B09"/>
    <w:rsid w:val="436D44AF"/>
    <w:rsid w:val="43867D3B"/>
    <w:rsid w:val="43931225"/>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0C1CEF"/>
    <w:rsid w:val="495C4A24"/>
    <w:rsid w:val="497135DF"/>
    <w:rsid w:val="49897B1B"/>
    <w:rsid w:val="4A263DF2"/>
    <w:rsid w:val="4A2F278B"/>
    <w:rsid w:val="4A6F6675"/>
    <w:rsid w:val="4B135857"/>
    <w:rsid w:val="4B7951CB"/>
    <w:rsid w:val="4B7C315C"/>
    <w:rsid w:val="4B8970AB"/>
    <w:rsid w:val="4BC93EC7"/>
    <w:rsid w:val="4C005FD2"/>
    <w:rsid w:val="4C124CA1"/>
    <w:rsid w:val="4C9316A8"/>
    <w:rsid w:val="4CD852AC"/>
    <w:rsid w:val="4D1F53CA"/>
    <w:rsid w:val="4DAC4ACA"/>
    <w:rsid w:val="4DBE01D2"/>
    <w:rsid w:val="4DDE62FD"/>
    <w:rsid w:val="4F0C6BA3"/>
    <w:rsid w:val="4F186D58"/>
    <w:rsid w:val="50F06B6E"/>
    <w:rsid w:val="51D21804"/>
    <w:rsid w:val="52234D33"/>
    <w:rsid w:val="522F6E0C"/>
    <w:rsid w:val="52463BA1"/>
    <w:rsid w:val="52F163D4"/>
    <w:rsid w:val="531A2DB4"/>
    <w:rsid w:val="53AE55D0"/>
    <w:rsid w:val="53C0244D"/>
    <w:rsid w:val="53DD4D4E"/>
    <w:rsid w:val="53E578CE"/>
    <w:rsid w:val="541330F0"/>
    <w:rsid w:val="54191B7C"/>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8CB6529"/>
    <w:rsid w:val="5A047285"/>
    <w:rsid w:val="5A3B59D6"/>
    <w:rsid w:val="5AD134D8"/>
    <w:rsid w:val="5BF41F67"/>
    <w:rsid w:val="5C263CE4"/>
    <w:rsid w:val="5C5D2777"/>
    <w:rsid w:val="5CF66BF3"/>
    <w:rsid w:val="5D290C69"/>
    <w:rsid w:val="5DA80C2C"/>
    <w:rsid w:val="5F2D4A41"/>
    <w:rsid w:val="5FC46CFC"/>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0D3978"/>
    <w:rsid w:val="6B474EF5"/>
    <w:rsid w:val="6C022DB1"/>
    <w:rsid w:val="6C0A5AC5"/>
    <w:rsid w:val="6C560CAE"/>
    <w:rsid w:val="6C576495"/>
    <w:rsid w:val="6D233F85"/>
    <w:rsid w:val="6D631327"/>
    <w:rsid w:val="6D903FF5"/>
    <w:rsid w:val="6DA955B8"/>
    <w:rsid w:val="6DE346AB"/>
    <w:rsid w:val="6DE5391A"/>
    <w:rsid w:val="6EFD1324"/>
    <w:rsid w:val="6F5A53AC"/>
    <w:rsid w:val="6FAC003D"/>
    <w:rsid w:val="6FD926BF"/>
    <w:rsid w:val="6FE55E12"/>
    <w:rsid w:val="6FFB2E76"/>
    <w:rsid w:val="708F6F7F"/>
    <w:rsid w:val="70CE4353"/>
    <w:rsid w:val="70D94BD3"/>
    <w:rsid w:val="71574775"/>
    <w:rsid w:val="71C34D91"/>
    <w:rsid w:val="72D378F7"/>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rFonts w:ascii="Times New Roman" w:hAnsi="Times New Roman" w:eastAsia="方正黑体_GBK"/>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eastAsia="方正楷体_GBK"/>
      <w:sz w:val="32"/>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9">
    <w:name w:val="2级"/>
    <w:basedOn w:val="1"/>
    <w:link w:val="21"/>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0">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1">
    <w:name w:val="2级 Char"/>
    <w:link w:val="19"/>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20"/>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8885</Words>
  <Characters>9840</Characters>
  <Lines>186</Lines>
  <Paragraphs>52</Paragraphs>
  <TotalTime>28</TotalTime>
  <ScaleCrop>false</ScaleCrop>
  <LinksUpToDate>false</LinksUpToDate>
  <CharactersWithSpaces>9922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2025-10-27T02:33:02Z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