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880" w:firstLineChars="200"/>
        <w:jc w:val="right"/>
        <w:textAlignment w:val="auto"/>
        <w:rPr>
          <w:rFonts w:hint="eastAsia" w:ascii="方正小标宋_GBK" w:hAnsi="方正小标宋_GBK" w:eastAsia="方正小标宋_GBK" w:cs="方正小标宋_GBK"/>
          <w:b w:val="0"/>
          <w:bCs w:val="0"/>
          <w:sz w:val="44"/>
          <w:szCs w:val="44"/>
          <w:lang w:val="en-US" w:eastAsia="zh-CN"/>
        </w:rPr>
      </w:pPr>
      <w:bookmarkStart w:id="0" w:name="_GoBack"/>
      <w:bookmarkEnd w:id="0"/>
    </w:p>
    <w:p>
      <w:pPr>
        <w:pStyle w:val="8"/>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pacing w:val="-20"/>
          <w:sz w:val="44"/>
          <w:szCs w:val="44"/>
        </w:rPr>
        <w:t>重庆市秀山土家族苗族自治县退役军人事务局</w:t>
      </w:r>
      <w:r>
        <w:rPr>
          <w:rFonts w:hint="default" w:ascii="Times New Roman" w:hAnsi="Times New Roman" w:eastAsia="方正小标宋_GBK" w:cs="Times New Roman"/>
          <w:b w:val="0"/>
          <w:bCs w:val="0"/>
          <w:sz w:val="44"/>
          <w:szCs w:val="44"/>
          <w:shd w:val="clear" w:color="auto" w:fill="FFFFFF"/>
        </w:rPr>
        <w:t>2024年度决算公开说明</w:t>
      </w:r>
    </w:p>
    <w:p>
      <w:pPr>
        <w:pStyle w:val="8"/>
        <w:keepNext w:val="0"/>
        <w:keepLines w:val="0"/>
        <w:pageBreakBefore w:val="0"/>
        <w:widowControl/>
        <w:kinsoku/>
        <w:wordWrap/>
        <w:overflowPunct/>
        <w:topLinePunct w:val="0"/>
        <w:autoSpaceDN/>
        <w:bidi w:val="0"/>
        <w:adjustRightInd/>
        <w:spacing w:before="0" w:beforeAutospacing="0" w:after="0" w:afterAutospacing="0" w:line="560" w:lineRule="exact"/>
        <w:ind w:leftChars="0" w:firstLine="880" w:firstLineChars="200"/>
        <w:jc w:val="left"/>
        <w:textAlignment w:val="auto"/>
        <w:rPr>
          <w:rFonts w:hint="default" w:ascii="Times New Roman" w:hAnsi="Times New Roman" w:eastAsia="方正小标宋_GBK" w:cs="Times New Roman"/>
          <w:b w:val="0"/>
          <w:bCs w:val="0"/>
          <w:sz w:val="44"/>
          <w:szCs w:val="44"/>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w:t>
      </w:r>
      <w:r>
        <w:rPr>
          <w:rStyle w:val="10"/>
          <w:rFonts w:hint="default" w:ascii="Times New Roman" w:hAnsi="Times New Roman" w:eastAsia="方正黑体_GBK" w:cs="Times New Roman"/>
          <w:b w:val="0"/>
          <w:bCs/>
          <w:sz w:val="32"/>
          <w:szCs w:val="32"/>
          <w:shd w:val="clear" w:color="auto" w:fill="FFFFFF"/>
          <w:lang w:eastAsia="zh-CN"/>
        </w:rPr>
        <w:t>部门</w:t>
      </w:r>
      <w:r>
        <w:rPr>
          <w:rStyle w:val="10"/>
          <w:rFonts w:hint="default" w:ascii="Times New Roman" w:hAnsi="Times New Roman" w:eastAsia="方正黑体_GBK" w:cs="Times New Roman"/>
          <w:b w:val="0"/>
          <w:bCs/>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方正楷体_GBK" w:cs="Times New Roman"/>
          <w:b w:val="0"/>
          <w:bCs/>
          <w:sz w:val="32"/>
          <w:szCs w:val="32"/>
          <w:shd w:val="clear" w:color="auto" w:fill="auto"/>
        </w:rPr>
      </w:pPr>
      <w:r>
        <w:rPr>
          <w:rStyle w:val="10"/>
          <w:rFonts w:hint="default" w:ascii="Times New Roman" w:hAnsi="Times New Roman" w:eastAsia="方正楷体_GBK" w:cs="Times New Roman"/>
          <w:b w:val="0"/>
          <w:bCs/>
          <w:sz w:val="32"/>
          <w:szCs w:val="32"/>
          <w:shd w:val="clear" w:color="auto" w:fill="auto"/>
        </w:rPr>
        <w:t>（一）职能职责</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shd w:val="clear" w:color="auto" w:fill="auto"/>
        </w:rPr>
        <w:t>退役军人事务局职能职责为组织实施退役军人思想政治、管理保障和安置优抚等工作，负责军队转业干部、复员干部、离退休干部、退役士兵和无军籍退休退职职工的移交安置工作和自主择业、就业退役军人服务管理、待遇保障工作，组织开展退役军人教育培训、优待抚恤、帮扶援助等，组织开展全县拥军优属工作，负责烈士及退役军人荣誉奖励、军人公墓维护以及纪念活动等职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楷体_GBK" w:cs="Times New Roman"/>
          <w:b w:val="0"/>
          <w:bCs/>
          <w:sz w:val="32"/>
          <w:szCs w:val="32"/>
          <w:shd w:val="clear" w:color="auto" w:fill="auto"/>
        </w:rPr>
      </w:pPr>
      <w:r>
        <w:rPr>
          <w:rStyle w:val="10"/>
          <w:rFonts w:hint="default" w:ascii="Times New Roman" w:hAnsi="Times New Roman" w:eastAsia="方正楷体_GBK" w:cs="Times New Roman"/>
          <w:b w:val="0"/>
          <w:bCs/>
          <w:sz w:val="32"/>
          <w:szCs w:val="32"/>
          <w:shd w:val="clear" w:color="auto" w:fill="auto"/>
        </w:rPr>
        <w:t>（二）机构设置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hd w:val="clear" w:color="auto" w:fill="auto"/>
        </w:rPr>
      </w:pPr>
      <w:r>
        <w:rPr>
          <w:rFonts w:hint="default" w:ascii="Times New Roman" w:hAnsi="Times New Roman" w:eastAsia="方正仿宋_GBK" w:cs="Times New Roman"/>
          <w:sz w:val="32"/>
          <w:shd w:val="clear" w:color="auto" w:fill="auto"/>
        </w:rPr>
        <w:t>我局内设办公室、安置科、权益维护科、优抚科三科一室，另我单位下设下属机构有秀山土家族苗族自治县退役军人服务中心和秀山土家族苗族自治县军队转业干部服务中心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w:t>
      </w:r>
      <w:r>
        <w:rPr>
          <w:rStyle w:val="10"/>
          <w:rFonts w:hint="default" w:ascii="Times New Roman" w:hAnsi="Times New Roman" w:eastAsia="方正黑体_GBK" w:cs="Times New Roman"/>
          <w:b w:val="0"/>
          <w:bCs/>
          <w:sz w:val="32"/>
          <w:szCs w:val="32"/>
          <w:shd w:val="clear" w:color="auto" w:fill="FFFFFF"/>
          <w:lang w:eastAsia="zh-CN"/>
        </w:rPr>
        <w:t>部门</w:t>
      </w:r>
      <w:r>
        <w:rPr>
          <w:rStyle w:val="10"/>
          <w:rFonts w:hint="default" w:ascii="Times New Roman" w:hAnsi="Times New Roman" w:eastAsia="方正黑体_GBK" w:cs="Times New Roman"/>
          <w:b w:val="0"/>
          <w:bCs/>
          <w:sz w:val="32"/>
          <w:szCs w:val="32"/>
          <w:shd w:val="clear" w:color="auto" w:fill="FFFFFF"/>
        </w:rPr>
        <w:t>决算</w:t>
      </w:r>
      <w:r>
        <w:rPr>
          <w:rStyle w:val="10"/>
          <w:rFonts w:hint="default" w:ascii="Times New Roman" w:hAnsi="Times New Roman" w:eastAsia="方正黑体_GBK" w:cs="Times New Roman"/>
          <w:b w:val="0"/>
          <w:bCs/>
          <w:sz w:val="32"/>
          <w:szCs w:val="32"/>
          <w:shd w:val="clear" w:color="auto" w:fill="FFFFFF"/>
          <w:lang w:eastAsia="zh-CN"/>
        </w:rPr>
        <w:t>收支</w:t>
      </w:r>
      <w:r>
        <w:rPr>
          <w:rStyle w:val="10"/>
          <w:rFonts w:hint="default" w:ascii="Times New Roman" w:hAnsi="Times New Roman" w:eastAsia="方正黑体_GBK" w:cs="Times New Roman"/>
          <w:b w:val="0"/>
          <w:bCs/>
          <w:sz w:val="32"/>
          <w:szCs w:val="32"/>
          <w:shd w:val="clear" w:color="auto" w:fill="FFFFFF"/>
        </w:rPr>
        <w:t>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楷体_GBK" w:cs="Times New Roman"/>
          <w:b w:val="0"/>
          <w:bCs/>
          <w:sz w:val="32"/>
          <w:szCs w:val="32"/>
          <w:shd w:val="clear" w:color="auto" w:fill="auto"/>
        </w:rPr>
      </w:pPr>
      <w:r>
        <w:rPr>
          <w:rStyle w:val="10"/>
          <w:rFonts w:hint="default" w:ascii="Times New Roman" w:hAnsi="Times New Roman" w:eastAsia="方正楷体_GBK" w:cs="Times New Roman"/>
          <w:b w:val="0"/>
          <w:bCs/>
          <w:sz w:val="32"/>
          <w:szCs w:val="32"/>
          <w:shd w:val="clear" w:color="auto" w:fill="auto"/>
          <w:lang w:eastAsia="zh-CN"/>
        </w:rPr>
        <w:t>（</w:t>
      </w:r>
      <w:r>
        <w:rPr>
          <w:rStyle w:val="10"/>
          <w:rFonts w:hint="default" w:ascii="Times New Roman" w:hAnsi="Times New Roman" w:eastAsia="方正楷体_GBK" w:cs="Times New Roman"/>
          <w:b w:val="0"/>
          <w:bCs/>
          <w:sz w:val="32"/>
          <w:szCs w:val="32"/>
          <w:shd w:val="clear" w:color="auto" w:fill="auto"/>
        </w:rPr>
        <w:t>一）收入支出决算总体情况说明</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6401.12万元。收、支与2023年度相比，增加454.00万元，增长7.6%，主要原因是</w:t>
      </w:r>
      <w:r>
        <w:rPr>
          <w:rFonts w:hint="default" w:ascii="Times New Roman" w:hAnsi="Times New Roman" w:eastAsia="方正仿宋_GBK" w:cs="Times New Roman"/>
          <w:sz w:val="32"/>
          <w:szCs w:val="32"/>
          <w:shd w:val="clear" w:color="auto" w:fill="FFFFFF"/>
          <w:lang w:val="en-US" w:eastAsia="zh-CN"/>
        </w:rPr>
        <w:t>人员工资福利支出增加，优抚抚恤补助待遇调整及退役士兵一次性经济补助和家庭优待金支出增加。</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Chars="0" w:firstLine="643" w:firstLineChars="200"/>
        <w:jc w:val="left"/>
        <w:textAlignment w:val="auto"/>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rPr>
        <w:t>1</w:t>
      </w:r>
      <w:r>
        <w:rPr>
          <w:rStyle w:val="10"/>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2024年度收入合计6401.11万元，与2023年度相比，增加455.70万元，增长7.7%，主要原因是</w:t>
      </w:r>
      <w:r>
        <w:rPr>
          <w:rFonts w:hint="default" w:ascii="Times New Roman" w:hAnsi="Times New Roman" w:eastAsia="方正仿宋_GBK" w:cs="Times New Roman"/>
          <w:sz w:val="32"/>
          <w:szCs w:val="32"/>
          <w:shd w:val="clear" w:color="auto" w:fill="FFFFFF"/>
          <w:lang w:val="en-US" w:eastAsia="zh-CN"/>
        </w:rPr>
        <w:t>人员工资福利支出增加，优抚抚恤补助待遇调整及退役士兵一次性经济补助和家庭优待金支出增加。</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其中：财政拨款收入6395.95万元，占99.9%；事业收入0.00万元，占0.0%；经营收入0.00万元，占0.0%；其他收入5.16万元，占0.1%。此外，使用非财政拨款结余（含专用结余）0.00万元，年初结转和结余0.01万元。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3" w:firstLineChars="200"/>
        <w:jc w:val="left"/>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rPr>
        <w:t>2</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2024年度支出合计6401.12万元，与2023年度相比，增加454.01万元，增长7.6%，主要原因是</w:t>
      </w:r>
      <w:r>
        <w:rPr>
          <w:rFonts w:hint="default" w:ascii="Times New Roman" w:hAnsi="Times New Roman" w:eastAsia="方正仿宋_GBK" w:cs="Times New Roman"/>
          <w:sz w:val="32"/>
          <w:szCs w:val="32"/>
          <w:shd w:val="clear" w:color="auto" w:fill="FFFFFF"/>
          <w:lang w:val="en-US" w:eastAsia="zh-CN"/>
        </w:rPr>
        <w:t>基本支出比上年增加86.39万元，主要为人员工资福利支出增加，项目支出比上年增加367.21万元主要为优抚抚恤补助待遇调整及退役士兵一次性经济补助和家庭优待金支出增加。</w:t>
      </w:r>
      <w:r>
        <w:rPr>
          <w:rFonts w:hint="default" w:ascii="Times New Roman" w:hAnsi="Times New Roman" w:eastAsia="方正仿宋_GBK" w:cs="Times New Roman"/>
          <w:sz w:val="32"/>
          <w:szCs w:val="32"/>
          <w:shd w:val="clear" w:color="auto" w:fill="FFFFFF"/>
        </w:rPr>
        <w:t>其中：基本支出493.44万元，占7.7%；项目支出5907.67万元，占92.3%；经营支出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3" w:firstLineChars="200"/>
        <w:jc w:val="left"/>
        <w:textAlignment w:val="auto"/>
        <w:rPr>
          <w:rFonts w:hint="default" w:ascii="Times New Roman" w:hAnsi="Times New Roman" w:eastAsia="方正仿宋_GBK" w:cs="Times New Roman"/>
          <w:sz w:val="32"/>
          <w:szCs w:val="32"/>
          <w:lang w:val="en-US" w:eastAsia="zh-CN"/>
        </w:rPr>
      </w:pPr>
      <w:r>
        <w:rPr>
          <w:rStyle w:val="10"/>
          <w:rFonts w:hint="default" w:ascii="Times New Roman" w:hAnsi="Times New Roman" w:eastAsia="方正仿宋_GBK" w:cs="Times New Roman"/>
          <w:sz w:val="32"/>
          <w:szCs w:val="32"/>
          <w:shd w:val="clear" w:color="auto" w:fill="FFFFFF"/>
          <w:lang w:val="en-US" w:eastAsia="zh-CN"/>
        </w:rPr>
        <w:t>3</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2024年度年末结转和结余0.00万元，与2023年度相比，减少0.01万元，下降100.0%，主要原因是</w:t>
      </w:r>
      <w:r>
        <w:rPr>
          <w:rFonts w:hint="default" w:ascii="Times New Roman" w:hAnsi="Times New Roman" w:eastAsia="方正仿宋_GBK" w:cs="Times New Roman"/>
          <w:sz w:val="32"/>
          <w:szCs w:val="32"/>
          <w:shd w:val="clear" w:color="auto" w:fill="FFFFFF"/>
          <w:lang w:val="en-US" w:eastAsia="zh-CN"/>
        </w:rPr>
        <w:t>本年收支平衡未结余。</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楷体_GBK" w:cs="Times New Roman"/>
          <w:b w:val="0"/>
          <w:bCs/>
          <w:sz w:val="32"/>
          <w:szCs w:val="32"/>
          <w:shd w:val="clear" w:color="auto" w:fill="auto"/>
        </w:rPr>
      </w:pPr>
      <w:r>
        <w:rPr>
          <w:rStyle w:val="10"/>
          <w:rFonts w:hint="default" w:ascii="Times New Roman" w:hAnsi="Times New Roman" w:eastAsia="方正楷体_GBK" w:cs="Times New Roman"/>
          <w:b w:val="0"/>
          <w:bCs/>
          <w:sz w:val="32"/>
          <w:szCs w:val="32"/>
          <w:shd w:val="clear" w:color="auto" w:fill="auto"/>
        </w:rPr>
        <w:t>（二）财政拨款收入支出决算总体情况说明</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2024年度财政拨款收、支总计均为6395.96万元。与2023年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相比，财政拨款收、支总计各增加449.85万元，增长7.6%。主要原因是</w:t>
      </w:r>
      <w:r>
        <w:rPr>
          <w:rFonts w:hint="default" w:ascii="Times New Roman" w:hAnsi="Times New Roman" w:eastAsia="方正仿宋_GBK" w:cs="Times New Roman"/>
          <w:sz w:val="32"/>
          <w:szCs w:val="32"/>
          <w:shd w:val="clear" w:color="auto" w:fill="FFFFFF"/>
          <w:lang w:val="en-US" w:eastAsia="zh-CN"/>
        </w:rPr>
        <w:t>人员工资福利支出增加，优抚抚恤补助待遇调整及退役士兵一次性经济补助和家庭优待金支出增加。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楷体_GBK" w:cs="Times New Roman"/>
          <w:b w:val="0"/>
          <w:bCs/>
          <w:sz w:val="32"/>
          <w:szCs w:val="32"/>
          <w:shd w:val="clear" w:color="auto" w:fill="auto"/>
        </w:rPr>
      </w:pPr>
      <w:r>
        <w:rPr>
          <w:rStyle w:val="10"/>
          <w:rFonts w:hint="default" w:ascii="Times New Roman" w:hAnsi="Times New Roman" w:eastAsia="方正楷体_GBK" w:cs="Times New Roman"/>
          <w:b w:val="0"/>
          <w:bCs/>
          <w:sz w:val="32"/>
          <w:szCs w:val="32"/>
          <w:shd w:val="clear" w:color="auto" w:fill="auto"/>
        </w:rPr>
        <w:t>（三）一般公共预算财政拨款收入支出决算情况说明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3" w:firstLineChars="200"/>
        <w:jc w:val="left"/>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2024年度一般公共预算财政拨款收入6148.04万元，与2023年度相比，增加594.50万元，增长10.7%。主要原因是</w:t>
      </w:r>
      <w:r>
        <w:rPr>
          <w:rFonts w:hint="default" w:ascii="Times New Roman" w:hAnsi="Times New Roman" w:eastAsia="方正仿宋_GBK" w:cs="Times New Roman"/>
          <w:sz w:val="32"/>
          <w:szCs w:val="32"/>
          <w:shd w:val="clear" w:color="auto" w:fill="FFFFFF"/>
          <w:lang w:val="en-US" w:eastAsia="zh-CN"/>
        </w:rPr>
        <w:t>人员工资福利支出增加及优抚抚恤待遇调整、退役士兵一次性经济补助增加和家庭优待金增加。</w:t>
      </w:r>
      <w:r>
        <w:rPr>
          <w:rFonts w:hint="default" w:ascii="Times New Roman" w:hAnsi="Times New Roman" w:eastAsia="方正仿宋_GBK" w:cs="Times New Roman"/>
          <w:sz w:val="32"/>
          <w:szCs w:val="32"/>
          <w:shd w:val="clear" w:color="auto" w:fill="FFFFFF"/>
        </w:rPr>
        <w:t>较年初预算数减少42.58万元，下降0.7%。主要原因是</w:t>
      </w:r>
      <w:r>
        <w:rPr>
          <w:rFonts w:hint="default" w:ascii="Times New Roman" w:hAnsi="Times New Roman" w:eastAsia="方正仿宋_GBK" w:cs="Times New Roman"/>
          <w:sz w:val="32"/>
          <w:szCs w:val="32"/>
          <w:shd w:val="clear" w:color="auto" w:fill="FFFFFF"/>
          <w:lang w:val="en-US" w:eastAsia="zh-CN"/>
        </w:rPr>
        <w:t>部分项目调整后不再执行。</w:t>
      </w:r>
      <w:r>
        <w:rPr>
          <w:rFonts w:hint="default" w:ascii="Times New Roman" w:hAnsi="Times New Roman" w:eastAsia="方正仿宋_GBK" w:cs="Times New Roman"/>
          <w:sz w:val="32"/>
          <w:szCs w:val="32"/>
          <w:shd w:val="clear" w:color="auto" w:fill="FFFFFF"/>
        </w:rPr>
        <w:t>此外，年初财政拨款结转和结余0.01万元。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3" w:firstLineChars="200"/>
        <w:jc w:val="left"/>
        <w:textAlignment w:val="auto"/>
        <w:rPr>
          <w:rFonts w:hint="default" w:ascii="Times New Roman" w:hAnsi="Times New Roman" w:eastAsia="方正仿宋_GBK" w:cs="Times New Roman"/>
          <w:color w:val="FF0000"/>
          <w:sz w:val="32"/>
          <w:szCs w:val="32"/>
          <w:shd w:val="clear" w:color="auto" w:fill="FFFFFF"/>
          <w:lang w:val="en-US"/>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2024年度一般公共预算财政拨款支出6148.05万元，与2023年度相比，增加593.80万元，增长10.7%。主要原因是</w:t>
      </w:r>
      <w:r>
        <w:rPr>
          <w:rFonts w:hint="default" w:ascii="Times New Roman" w:hAnsi="Times New Roman" w:eastAsia="方正仿宋_GBK" w:cs="Times New Roman"/>
          <w:sz w:val="32"/>
          <w:szCs w:val="32"/>
          <w:shd w:val="clear" w:color="auto" w:fill="FFFFFF"/>
          <w:lang w:val="en-US" w:eastAsia="zh-CN"/>
        </w:rPr>
        <w:t>人员工资福利支出增加及优抚抚恤待遇调整、退役士兵一次性经济补助增加和家庭优待金增加。</w:t>
      </w:r>
      <w:r>
        <w:rPr>
          <w:rFonts w:hint="default" w:ascii="Times New Roman" w:hAnsi="Times New Roman" w:eastAsia="方正仿宋_GBK" w:cs="Times New Roman"/>
          <w:sz w:val="32"/>
          <w:szCs w:val="32"/>
          <w:shd w:val="clear" w:color="auto" w:fill="FFFFFF"/>
        </w:rPr>
        <w:t>较年初预算数减少42.57万元，下降0.7%。主要原因是</w:t>
      </w:r>
      <w:r>
        <w:rPr>
          <w:rFonts w:hint="default" w:ascii="Times New Roman" w:hAnsi="Times New Roman" w:eastAsia="方正仿宋_GBK" w:cs="Times New Roman"/>
          <w:sz w:val="32"/>
          <w:szCs w:val="32"/>
          <w:shd w:val="clear" w:color="auto" w:fill="FFFFFF"/>
          <w:lang w:val="en-US" w:eastAsia="zh-CN"/>
        </w:rPr>
        <w:t>部分项目调整后不再执行以及部分项目</w:t>
      </w:r>
      <w:r>
        <w:rPr>
          <w:rFonts w:hint="default" w:ascii="Times New Roman" w:hAnsi="Times New Roman" w:eastAsia="仿宋_GB2312" w:cs="Times New Roman"/>
          <w:sz w:val="32"/>
          <w:szCs w:val="32"/>
          <w:lang w:val="en-US" w:eastAsia="zh-CN"/>
        </w:rPr>
        <w:t>完成后处于验收阶段，未能及时付款，转下年执行。</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8"/>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一般公共服务支出0.30万元，占0.0%，较年初预算数增加0.30万元，增长100.0%，主要原因是</w:t>
      </w:r>
      <w:r>
        <w:rPr>
          <w:rFonts w:hint="default" w:ascii="Times New Roman" w:hAnsi="Times New Roman" w:eastAsia="方正仿宋_GBK" w:cs="Times New Roman"/>
          <w:sz w:val="32"/>
          <w:szCs w:val="32"/>
          <w:shd w:val="clear" w:color="auto" w:fill="FFFFFF"/>
          <w:lang w:val="en-US" w:eastAsia="zh-CN"/>
        </w:rPr>
        <w:t>公务员奖励金增加。</w:t>
      </w:r>
    </w:p>
    <w:p>
      <w:pPr>
        <w:pStyle w:val="8"/>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就业支出5758.72万元，占93.7%，较年初预算数减少103.78万元，下降1.8%，主要原因是</w:t>
      </w:r>
      <w:r>
        <w:rPr>
          <w:rFonts w:hint="default" w:ascii="Times New Roman" w:hAnsi="Times New Roman" w:eastAsia="方正仿宋_GBK" w:cs="Times New Roman"/>
          <w:sz w:val="32"/>
          <w:szCs w:val="32"/>
          <w:shd w:val="clear" w:color="auto" w:fill="FFFFFF"/>
          <w:lang w:val="en-US" w:eastAsia="zh-CN"/>
        </w:rPr>
        <w:t>部分项目调整不再执行。</w:t>
      </w:r>
    </w:p>
    <w:p>
      <w:pPr>
        <w:pStyle w:val="8"/>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）卫生健康支出360.79万元，占5.9%，较年初预算数增加61.45万元，增长20.5%，主要原因是</w:t>
      </w:r>
      <w:r>
        <w:rPr>
          <w:rFonts w:hint="default" w:ascii="Times New Roman" w:hAnsi="Times New Roman" w:eastAsia="方正仿宋_GBK" w:cs="Times New Roman"/>
          <w:sz w:val="32"/>
          <w:szCs w:val="32"/>
          <w:shd w:val="clear" w:color="auto" w:fill="FFFFFF"/>
          <w:lang w:val="en-US" w:eastAsia="zh-CN"/>
        </w:rPr>
        <w:t>医保缴费基数调整导致医保支出增加。</w:t>
      </w:r>
    </w:p>
    <w:p>
      <w:pPr>
        <w:keepNext w:val="0"/>
        <w:keepLines w:val="0"/>
        <w:pageBreakBefore w:val="0"/>
        <w:widowControl/>
        <w:kinsoku/>
        <w:wordWrap/>
        <w:overflowPunct/>
        <w:topLinePunct w:val="0"/>
        <w:autoSpaceDN/>
        <w:bidi w:val="0"/>
        <w:adjustRightInd/>
        <w:spacing w:line="560" w:lineRule="exact"/>
        <w:ind w:lef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28.24万元，占0.5%，较年初预算数减少0.54万元，下降1.9%，主要原因是</w:t>
      </w:r>
      <w:r>
        <w:rPr>
          <w:rFonts w:hint="default" w:ascii="Times New Roman" w:hAnsi="Times New Roman" w:eastAsia="方正仿宋_GBK" w:cs="Times New Roman"/>
          <w:sz w:val="32"/>
          <w:szCs w:val="32"/>
          <w:shd w:val="clear" w:color="auto" w:fill="FFFFFF"/>
          <w:lang w:val="en-US" w:eastAsia="zh-CN"/>
        </w:rPr>
        <w:t>年中退休一人，减少住房保障支出。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3" w:firstLineChars="200"/>
        <w:jc w:val="left"/>
        <w:textAlignment w:val="auto"/>
        <w:rPr>
          <w:rFonts w:hint="default" w:ascii="Times New Roman" w:hAnsi="Times New Roman" w:eastAsia="方正仿宋_GBK" w:cs="Times New Roman"/>
          <w:color w:val="FF0000"/>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3.结转结余情况。2</w:t>
      </w:r>
      <w:r>
        <w:rPr>
          <w:rFonts w:hint="default" w:ascii="Times New Roman" w:hAnsi="Times New Roman" w:eastAsia="方正仿宋_GBK" w:cs="Times New Roman"/>
          <w:sz w:val="32"/>
          <w:szCs w:val="32"/>
          <w:shd w:val="clear" w:color="auto" w:fill="FFFFFF"/>
        </w:rPr>
        <w:t>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楷体_GBK" w:cs="Times New Roman"/>
          <w:b w:val="0"/>
          <w:bCs/>
          <w:sz w:val="32"/>
          <w:szCs w:val="32"/>
          <w:shd w:val="clear" w:color="auto" w:fill="auto"/>
        </w:rPr>
      </w:pPr>
      <w:r>
        <w:rPr>
          <w:rStyle w:val="10"/>
          <w:rFonts w:hint="default" w:ascii="Times New Roman" w:hAnsi="Times New Roman" w:eastAsia="方正楷体_GBK" w:cs="Times New Roman"/>
          <w:b w:val="0"/>
          <w:bCs/>
          <w:sz w:val="32"/>
          <w:szCs w:val="32"/>
          <w:shd w:val="clear" w:color="auto" w:fill="auto"/>
        </w:rPr>
        <w:t>（四）一般公共预算财政拨款基本支出决算情况说明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2024年度一般公共财政拨款基本支出493.44万元。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人员经费427.92万元，与2023年度相比，增加65.19万元，增长18.0%，主要原因是</w:t>
      </w:r>
      <w:r>
        <w:rPr>
          <w:rFonts w:hint="default" w:ascii="Times New Roman" w:hAnsi="Times New Roman" w:eastAsia="方正仿宋_GBK" w:cs="Times New Roman"/>
          <w:sz w:val="32"/>
          <w:szCs w:val="32"/>
          <w:shd w:val="clear" w:color="auto" w:fill="FFFFFF"/>
          <w:lang w:val="en-US" w:eastAsia="zh-CN"/>
        </w:rPr>
        <w:t>人员工资及社保缴费调整增加。</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人员工资、养老保险缴费、职业年金缴费、医疗保险缴费和住房公积金缴费。</w:t>
      </w:r>
      <w:r>
        <w:rPr>
          <w:rFonts w:hint="default" w:ascii="Times New Roman" w:hAnsi="Times New Roman" w:eastAsia="方正仿宋_GBK" w:cs="Times New Roman"/>
          <w:sz w:val="32"/>
          <w:szCs w:val="32"/>
          <w:shd w:val="clear" w:color="auto" w:fill="FFFFFF"/>
        </w:rPr>
        <w:t>公用经费65.52万元，与2023年度相比，增加21.60万元，增长49.2%，主要原因是</w:t>
      </w:r>
      <w:r>
        <w:rPr>
          <w:rFonts w:hint="default" w:ascii="Times New Roman" w:hAnsi="Times New Roman" w:eastAsia="方正仿宋_GBK" w:cs="Times New Roman"/>
          <w:sz w:val="32"/>
          <w:szCs w:val="32"/>
          <w:shd w:val="clear" w:color="auto" w:fill="FFFFFF"/>
          <w:lang w:val="en-US" w:eastAsia="zh-CN"/>
        </w:rPr>
        <w:t>向机关事务管理局支付新车购置费24.8万元。</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auto"/>
          <w:lang w:eastAsia="zh-CN"/>
        </w:rPr>
        <w:t>办公用电、办公用水、公务用车运行维护费、办公用品、物业管理、公务接待等。</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楷体_GBK" w:cs="Times New Roman"/>
          <w:b w:val="0"/>
          <w:bCs/>
          <w:sz w:val="32"/>
          <w:szCs w:val="32"/>
          <w:shd w:val="clear" w:color="auto" w:fill="auto"/>
        </w:rPr>
      </w:pPr>
      <w:r>
        <w:rPr>
          <w:rStyle w:val="10"/>
          <w:rFonts w:hint="default" w:ascii="Times New Roman" w:hAnsi="Times New Roman" w:eastAsia="方正楷体_GBK" w:cs="Times New Roman"/>
          <w:b w:val="0"/>
          <w:bCs/>
          <w:sz w:val="32"/>
          <w:szCs w:val="32"/>
          <w:shd w:val="clear" w:color="auto" w:fill="auto"/>
        </w:rPr>
        <w:t>（五）政府性基金预算收支决算情况说明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2024年度政府性基金预算财政拨款年初结转结余0.00万元，年末结转结余0.00万元。本年收入247.91万元，与2023年度相比，减少143.95万元，下降36.7%，主要原因是</w:t>
      </w:r>
      <w:r>
        <w:rPr>
          <w:rFonts w:hint="default" w:ascii="Times New Roman" w:hAnsi="Times New Roman" w:eastAsia="方正仿宋_GBK" w:cs="Times New Roman"/>
          <w:sz w:val="32"/>
          <w:szCs w:val="32"/>
          <w:shd w:val="clear" w:color="auto" w:fill="FFFFFF"/>
          <w:lang w:val="en-US" w:eastAsia="zh-CN"/>
        </w:rPr>
        <w:t>政府性基金安排减少。</w:t>
      </w:r>
      <w:r>
        <w:rPr>
          <w:rFonts w:hint="default" w:ascii="Times New Roman" w:hAnsi="Times New Roman" w:eastAsia="方正仿宋_GBK" w:cs="Times New Roman"/>
          <w:sz w:val="32"/>
          <w:szCs w:val="32"/>
          <w:shd w:val="clear" w:color="auto" w:fill="FFFFFF"/>
        </w:rPr>
        <w:t>本年支出247.91万元，与2023年度相比，减少143.95万元，下降36.7%，主要原因是</w:t>
      </w:r>
      <w:r>
        <w:rPr>
          <w:rFonts w:hint="default" w:ascii="Times New Roman" w:hAnsi="Times New Roman" w:eastAsia="方正仿宋_GBK" w:cs="Times New Roman"/>
          <w:sz w:val="32"/>
          <w:szCs w:val="32"/>
          <w:shd w:val="clear" w:color="auto" w:fill="FFFFFF"/>
          <w:lang w:val="en-US" w:eastAsia="zh-CN"/>
        </w:rPr>
        <w:t>政府性基金安排减少。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楷体_GBK" w:cs="Times New Roman"/>
          <w:b w:val="0"/>
          <w:bCs/>
          <w:sz w:val="32"/>
          <w:szCs w:val="32"/>
          <w:shd w:val="clear" w:color="auto" w:fill="auto"/>
        </w:rPr>
      </w:pPr>
      <w:r>
        <w:rPr>
          <w:rStyle w:val="10"/>
          <w:rFonts w:hint="default" w:ascii="Times New Roman" w:hAnsi="Times New Roman" w:eastAsia="方正楷体_GBK" w:cs="Times New Roman"/>
          <w:b w:val="0"/>
          <w:bCs/>
          <w:sz w:val="32"/>
          <w:szCs w:val="32"/>
          <w:shd w:val="clear" w:color="auto" w:fill="auto"/>
        </w:rPr>
        <w:t>（六）国有资本经营预算财政拨款支出决算情况说明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三、</w:t>
      </w:r>
      <w:r>
        <w:rPr>
          <w:rStyle w:val="10"/>
          <w:rFonts w:hint="default" w:ascii="Times New Roman" w:hAnsi="Times New Roman" w:eastAsia="方正黑体_GBK" w:cs="Times New Roman"/>
          <w:b w:val="0"/>
          <w:bCs/>
          <w:sz w:val="32"/>
          <w:szCs w:val="32"/>
          <w:shd w:val="clear" w:color="auto" w:fill="FFFFFF"/>
          <w:lang w:eastAsia="zh-CN"/>
        </w:rPr>
        <w:t>财政拨款</w:t>
      </w:r>
      <w:r>
        <w:rPr>
          <w:rStyle w:val="10"/>
          <w:rFonts w:hint="default" w:ascii="Times New Roman" w:hAnsi="Times New Roman" w:eastAsia="方正黑体_GBK" w:cs="Times New Roman"/>
          <w:b w:val="0"/>
          <w:bCs/>
          <w:sz w:val="32"/>
          <w:szCs w:val="32"/>
          <w:shd w:val="clear" w:color="auto" w:fill="FFFFFF"/>
        </w:rPr>
        <w:t>“三公”经费情况说明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楷体_GBK" w:cs="Times New Roman"/>
          <w:b w:val="0"/>
          <w:bCs/>
          <w:sz w:val="32"/>
          <w:szCs w:val="32"/>
          <w:shd w:val="clear" w:color="auto" w:fill="auto"/>
        </w:rPr>
      </w:pPr>
      <w:r>
        <w:rPr>
          <w:rStyle w:val="10"/>
          <w:rFonts w:hint="default" w:ascii="Times New Roman" w:hAnsi="Times New Roman" w:eastAsia="方正楷体_GBK" w:cs="Times New Roman"/>
          <w:b w:val="0"/>
          <w:bCs/>
          <w:sz w:val="32"/>
          <w:szCs w:val="32"/>
          <w:shd w:val="clear" w:color="auto" w:fill="auto"/>
        </w:rPr>
        <w:t>（一）“三公”经费支出总体情况说明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2024年度“三公”经费支出共计2.76万元，较年初预算数减少4.74万元，下降63.2%，主要原因是</w:t>
      </w:r>
      <w:r>
        <w:rPr>
          <w:rFonts w:hint="default" w:ascii="Times New Roman" w:hAnsi="Times New Roman" w:eastAsia="方正仿宋_GBK" w:cs="Times New Roman"/>
          <w:sz w:val="32"/>
          <w:szCs w:val="32"/>
          <w:shd w:val="clear" w:color="auto" w:fill="FFFFFF"/>
          <w:lang w:val="en-US" w:eastAsia="zh-CN"/>
        </w:rPr>
        <w:t>公务接待减少及公务用车出售后未增加减少公务用车运行维护费支出。</w:t>
      </w:r>
      <w:r>
        <w:rPr>
          <w:rFonts w:hint="default" w:ascii="Times New Roman" w:hAnsi="Times New Roman" w:eastAsia="方正仿宋_GBK" w:cs="Times New Roman"/>
          <w:sz w:val="32"/>
          <w:szCs w:val="32"/>
          <w:shd w:val="clear" w:color="auto" w:fill="FFFFFF"/>
        </w:rPr>
        <w:t>较上年支出数减少3.55万元，下降56.3%，主要原因是</w:t>
      </w:r>
      <w:r>
        <w:rPr>
          <w:rFonts w:hint="default" w:ascii="Times New Roman" w:hAnsi="Times New Roman" w:eastAsia="方正仿宋_GBK" w:cs="Times New Roman"/>
          <w:sz w:val="32"/>
          <w:szCs w:val="32"/>
          <w:shd w:val="clear" w:color="auto" w:fill="FFFFFF"/>
          <w:lang w:val="en-US" w:eastAsia="zh-CN"/>
        </w:rPr>
        <w:t>公务接待减少及公务用车出售后未增加减少公务用车运行维护费支出。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楷体_GBK" w:cs="Times New Roman"/>
          <w:b w:val="0"/>
          <w:bCs/>
          <w:sz w:val="32"/>
          <w:szCs w:val="32"/>
          <w:shd w:val="clear" w:color="auto" w:fill="auto"/>
        </w:rPr>
      </w:pPr>
      <w:r>
        <w:rPr>
          <w:rStyle w:val="10"/>
          <w:rFonts w:hint="default" w:ascii="Times New Roman" w:hAnsi="Times New Roman" w:eastAsia="方正楷体_GBK" w:cs="Times New Roman"/>
          <w:b w:val="0"/>
          <w:bCs/>
          <w:sz w:val="32"/>
          <w:szCs w:val="32"/>
          <w:shd w:val="clear" w:color="auto" w:fill="auto"/>
        </w:rPr>
        <w:t>（二）“三公”经费分项支出情况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2024年度本部门因公出国（境）费用0.00万元，费用支出较年初预算数无增减，与2023年度相比，无增减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车运行维护费2.00万元，主要用于</w:t>
      </w:r>
      <w:r>
        <w:rPr>
          <w:rFonts w:hint="default" w:ascii="Times New Roman" w:hAnsi="Times New Roman" w:eastAsia="方正仿宋_GBK" w:cs="Times New Roman"/>
          <w:sz w:val="32"/>
          <w:szCs w:val="32"/>
          <w:shd w:val="clear" w:color="auto" w:fill="FFFFFF"/>
          <w:lang w:val="en-US" w:eastAsia="zh-CN"/>
        </w:rPr>
        <w:t>公务用车过关费、保险费及公务用车用油。</w:t>
      </w:r>
      <w:r>
        <w:rPr>
          <w:rFonts w:hint="default" w:ascii="Times New Roman" w:hAnsi="Times New Roman" w:eastAsia="方正仿宋_GBK" w:cs="Times New Roman"/>
          <w:sz w:val="32"/>
          <w:szCs w:val="32"/>
          <w:shd w:val="clear" w:color="auto" w:fill="FFFFFF"/>
        </w:rPr>
        <w:t>费用支出较年初预算数减少2.50万元，下降55.6%，主要原因是</w:t>
      </w:r>
      <w:r>
        <w:rPr>
          <w:rFonts w:hint="default" w:ascii="Times New Roman" w:hAnsi="Times New Roman" w:eastAsia="仿宋_GB2312" w:cs="Times New Roman"/>
          <w:color w:val="000000"/>
          <w:sz w:val="32"/>
          <w:szCs w:val="32"/>
          <w:lang w:val="en-US" w:eastAsia="zh-CN"/>
        </w:rPr>
        <w:t>车辆出售减少的公务用车运行维护。</w:t>
      </w:r>
      <w:r>
        <w:rPr>
          <w:rFonts w:hint="default" w:ascii="Times New Roman" w:hAnsi="Times New Roman" w:eastAsia="方正仿宋_GBK" w:cs="Times New Roman"/>
          <w:sz w:val="32"/>
          <w:szCs w:val="32"/>
          <w:shd w:val="clear" w:color="auto" w:fill="FFFFFF"/>
        </w:rPr>
        <w:t>较上年支出数减少3.00万元，下降60.0%，主要原因是</w:t>
      </w:r>
      <w:r>
        <w:rPr>
          <w:rFonts w:hint="default" w:ascii="Times New Roman" w:hAnsi="Times New Roman" w:eastAsia="仿宋_GB2312" w:cs="Times New Roman"/>
          <w:color w:val="000000"/>
          <w:sz w:val="32"/>
          <w:szCs w:val="32"/>
          <w:lang w:val="en-US" w:eastAsia="zh-CN"/>
        </w:rPr>
        <w:t>车辆出售减少的公务用车运行维护。</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公务接待费0.76万元，主要用于接待</w:t>
      </w:r>
      <w:r>
        <w:rPr>
          <w:rFonts w:hint="default" w:ascii="Times New Roman" w:hAnsi="Times New Roman" w:eastAsia="方正仿宋_GBK" w:cs="Times New Roman"/>
          <w:sz w:val="32"/>
          <w:szCs w:val="32"/>
          <w:shd w:val="clear" w:color="auto" w:fill="FFFFFF"/>
          <w:lang w:val="en-US" w:eastAsia="zh-CN"/>
        </w:rPr>
        <w:t>公务用餐，</w:t>
      </w:r>
      <w:r>
        <w:rPr>
          <w:rFonts w:hint="default" w:ascii="Times New Roman" w:hAnsi="Times New Roman" w:eastAsia="方正仿宋_GBK" w:cs="Times New Roman"/>
          <w:sz w:val="32"/>
          <w:szCs w:val="32"/>
          <w:shd w:val="clear" w:color="auto" w:fill="FFFFFF"/>
        </w:rPr>
        <w:t>费用支出较年初预算数减少2.24万元，下降74.7%，主要原因是</w:t>
      </w:r>
      <w:r>
        <w:rPr>
          <w:rFonts w:hint="default" w:ascii="Times New Roman" w:hAnsi="Times New Roman" w:eastAsia="方正仿宋_GBK" w:cs="Times New Roman"/>
          <w:sz w:val="32"/>
          <w:szCs w:val="32"/>
          <w:shd w:val="clear" w:color="auto" w:fill="FFFFFF"/>
          <w:lang w:val="en-US" w:eastAsia="zh-CN"/>
        </w:rPr>
        <w:t>接待次数及人数较上年减少。</w:t>
      </w:r>
      <w:r>
        <w:rPr>
          <w:rFonts w:hint="default" w:ascii="Times New Roman" w:hAnsi="Times New Roman" w:eastAsia="方正仿宋_GBK" w:cs="Times New Roman"/>
          <w:sz w:val="32"/>
          <w:szCs w:val="32"/>
          <w:shd w:val="clear" w:color="auto" w:fill="FFFFFF"/>
        </w:rPr>
        <w:t>较上年支出数减少0.55万元，下降42.0%，主要原因是</w:t>
      </w:r>
      <w:r>
        <w:rPr>
          <w:rFonts w:hint="default" w:ascii="Times New Roman" w:hAnsi="Times New Roman" w:eastAsia="方正仿宋_GBK" w:cs="Times New Roman"/>
          <w:sz w:val="32"/>
          <w:szCs w:val="32"/>
          <w:shd w:val="clear" w:color="auto" w:fill="FFFFFF"/>
          <w:lang w:val="en-US" w:eastAsia="zh-CN"/>
        </w:rPr>
        <w:t>接待次数及人数较上年减少。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楷体_GBK" w:cs="Times New Roman"/>
          <w:b w:val="0"/>
          <w:bCs/>
          <w:sz w:val="32"/>
          <w:szCs w:val="32"/>
          <w:shd w:val="clear" w:color="auto" w:fill="auto"/>
        </w:rPr>
      </w:pPr>
      <w:r>
        <w:rPr>
          <w:rStyle w:val="10"/>
          <w:rFonts w:hint="default" w:ascii="Times New Roman" w:hAnsi="Times New Roman" w:eastAsia="方正楷体_GBK" w:cs="Times New Roman"/>
          <w:b w:val="0"/>
          <w:bCs/>
          <w:sz w:val="32"/>
          <w:szCs w:val="32"/>
          <w:shd w:val="clear" w:color="auto" w:fill="auto"/>
        </w:rPr>
        <w:t>（三）“三公”经费实物量情况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0个团组，0人；公务用车购置0辆，公务车保有量为0辆；国内公务接待7批次65人，其中：国内外事接待0批次，0人；国（境）外公务接待0批次，0人。2024年本部门人均接待费116.51元，车均购置费0万元，车均维护费</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楷体_GBK" w:cs="Times New Roman"/>
          <w:b w:val="0"/>
          <w:bCs/>
          <w:sz w:val="32"/>
          <w:szCs w:val="32"/>
          <w:shd w:val="clear" w:color="auto" w:fill="auto"/>
        </w:rPr>
      </w:pPr>
      <w:r>
        <w:rPr>
          <w:rStyle w:val="10"/>
          <w:rFonts w:hint="default" w:ascii="Times New Roman" w:hAnsi="Times New Roman" w:eastAsia="方正楷体_GBK" w:cs="Times New Roman"/>
          <w:b w:val="0"/>
          <w:bCs/>
          <w:sz w:val="32"/>
          <w:szCs w:val="32"/>
          <w:shd w:val="clear" w:color="auto" w:fill="auto"/>
        </w:rPr>
        <w:t>（一）财政拨款会议费、培训费和差旅费情况说明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本年度会议费支出0.00万元，与2023年度相比，无增减，本年度培训费支出0.17万元，与2023年度相比，减少1.10万元，下降86.6%，主要原因是</w:t>
      </w:r>
      <w:r>
        <w:rPr>
          <w:rFonts w:hint="default" w:ascii="Times New Roman" w:hAnsi="Times New Roman" w:eastAsia="方正仿宋_GBK" w:cs="Times New Roman"/>
          <w:sz w:val="32"/>
          <w:szCs w:val="32"/>
          <w:shd w:val="clear" w:color="auto" w:fill="FFFFFF"/>
          <w:lang w:val="en-US" w:eastAsia="zh-CN"/>
        </w:rPr>
        <w:t>培训减少。</w:t>
      </w:r>
      <w:r>
        <w:rPr>
          <w:rFonts w:hint="default" w:ascii="Times New Roman" w:hAnsi="Times New Roman" w:eastAsia="方正仿宋_GBK" w:cs="Times New Roman"/>
          <w:sz w:val="32"/>
          <w:szCs w:val="32"/>
          <w:shd w:val="clear" w:color="auto" w:fill="FFFFFF"/>
        </w:rPr>
        <w:t>本年度差旅费支出5.95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与2023年度相比，增加2.34万元，增长64.8%，主要原因是</w:t>
      </w:r>
      <w:r>
        <w:rPr>
          <w:rFonts w:hint="default" w:ascii="Times New Roman" w:hAnsi="Times New Roman" w:eastAsia="方正仿宋_GBK" w:cs="Times New Roman"/>
          <w:sz w:val="32"/>
          <w:szCs w:val="32"/>
          <w:shd w:val="clear" w:color="auto" w:fill="FFFFFF"/>
          <w:lang w:val="en-US" w:eastAsia="zh-CN"/>
        </w:rPr>
        <w:t>出差次数及人数增加。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楷体_GBK" w:cs="Times New Roman"/>
          <w:b w:val="0"/>
          <w:bCs/>
          <w:sz w:val="32"/>
          <w:szCs w:val="32"/>
          <w:shd w:val="clear" w:color="auto" w:fill="auto"/>
        </w:rPr>
      </w:pPr>
      <w:r>
        <w:rPr>
          <w:rStyle w:val="10"/>
          <w:rFonts w:hint="default" w:ascii="Times New Roman" w:hAnsi="Times New Roman" w:eastAsia="方正楷体_GBK" w:cs="Times New Roman"/>
          <w:b w:val="0"/>
          <w:bCs/>
          <w:sz w:val="32"/>
          <w:szCs w:val="32"/>
          <w:shd w:val="clear" w:color="auto" w:fill="auto"/>
        </w:rPr>
        <w:t>（二）机关运行经费情况说明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2024年度本部门机关运行经费支出56.28万元，机关运行经费主要用于开支</w:t>
      </w:r>
      <w:r>
        <w:rPr>
          <w:rFonts w:hint="default" w:ascii="Times New Roman" w:hAnsi="Times New Roman" w:eastAsia="方正仿宋_GBK" w:cs="Times New Roman"/>
          <w:sz w:val="32"/>
          <w:szCs w:val="32"/>
          <w:shd w:val="clear" w:color="auto" w:fill="auto"/>
          <w:lang w:eastAsia="zh-CN"/>
        </w:rPr>
        <w:t>办公用水、电、办公用品、</w:t>
      </w:r>
      <w:r>
        <w:rPr>
          <w:rFonts w:hint="default" w:ascii="Times New Roman" w:hAnsi="Times New Roman" w:eastAsia="方正仿宋_GBK" w:cs="Times New Roman"/>
          <w:sz w:val="32"/>
          <w:szCs w:val="32"/>
          <w:shd w:val="clear" w:color="auto" w:fill="auto"/>
          <w:lang w:val="en-US" w:eastAsia="zh-CN"/>
        </w:rPr>
        <w:t>网络通讯费、物业管理费</w:t>
      </w:r>
      <w:r>
        <w:rPr>
          <w:rFonts w:hint="default" w:ascii="Times New Roman" w:hAnsi="Times New Roman" w:eastAsia="方正仿宋_GBK" w:cs="Times New Roman"/>
          <w:sz w:val="32"/>
          <w:szCs w:val="32"/>
          <w:shd w:val="clear" w:color="auto" w:fill="auto"/>
          <w:lang w:eastAsia="zh-CN"/>
        </w:rPr>
        <w:t>等。</w:t>
      </w:r>
      <w:r>
        <w:rPr>
          <w:rFonts w:hint="default" w:ascii="Times New Roman" w:hAnsi="Times New Roman" w:eastAsia="方正仿宋_GBK" w:cs="Times New Roman"/>
          <w:sz w:val="32"/>
          <w:szCs w:val="32"/>
          <w:shd w:val="clear" w:color="auto" w:fill="FFFFFF"/>
        </w:rPr>
        <w:t>机关运行经费较上年支出数增加21.61万元，增长62.3%，主要原因是</w:t>
      </w:r>
      <w:r>
        <w:rPr>
          <w:rFonts w:hint="default" w:ascii="Times New Roman" w:hAnsi="Times New Roman" w:eastAsia="方正仿宋_GBK" w:cs="Times New Roman"/>
          <w:sz w:val="32"/>
          <w:szCs w:val="32"/>
          <w:shd w:val="clear" w:color="auto" w:fill="FFFFFF"/>
          <w:lang w:val="en-US" w:eastAsia="zh-CN"/>
        </w:rPr>
        <w:t>向机关事务管理局支付了24.8万元车辆购置费。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楷体_GBK" w:cs="Times New Roman"/>
          <w:b w:val="0"/>
          <w:bCs/>
          <w:sz w:val="32"/>
          <w:szCs w:val="32"/>
          <w:shd w:val="clear" w:color="auto" w:fill="auto"/>
        </w:rPr>
      </w:pPr>
      <w:r>
        <w:rPr>
          <w:rStyle w:val="10"/>
          <w:rFonts w:hint="default" w:ascii="Times New Roman" w:hAnsi="Times New Roman" w:eastAsia="方正楷体_GBK" w:cs="Times New Roman"/>
          <w:b w:val="0"/>
          <w:bCs/>
          <w:sz w:val="32"/>
          <w:szCs w:val="32"/>
          <w:shd w:val="clear" w:color="auto" w:fill="auto"/>
        </w:rPr>
        <w:t>（三）国有资产占用情况说明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pPr>
        <w:pStyle w:val="13"/>
        <w:keepNext w:val="0"/>
        <w:keepLines w:val="0"/>
        <w:pageBreakBefore w:val="0"/>
        <w:widowControl/>
        <w:kinsoku/>
        <w:wordWrap/>
        <w:overflowPunct/>
        <w:topLinePunct w:val="0"/>
        <w:autoSpaceDE w:val="0"/>
        <w:autoSpaceDN/>
        <w:bidi w:val="0"/>
        <w:adjustRightInd/>
        <w:snapToGrid/>
        <w:spacing w:line="560" w:lineRule="exact"/>
        <w:ind w:leftChars="0" w:firstLine="640" w:firstLineChars="200"/>
        <w:jc w:val="left"/>
        <w:textAlignment w:val="auto"/>
        <w:rPr>
          <w:rFonts w:hint="default" w:ascii="Times New Roman" w:hAnsi="Times New Roman" w:eastAsia="方正楷体_GBK" w:cs="Times New Roman"/>
          <w:b w:val="0"/>
          <w:bCs w:val="0"/>
          <w:sz w:val="32"/>
          <w:szCs w:val="32"/>
          <w:shd w:val="clear" w:color="auto" w:fill="FFFFFF"/>
          <w:lang w:val="en-US" w:eastAsia="zh-CN"/>
        </w:rPr>
      </w:pPr>
      <w:r>
        <w:rPr>
          <w:rFonts w:hint="default" w:ascii="Times New Roman" w:hAnsi="Times New Roman" w:eastAsia="方正楷体_GBK" w:cs="Times New Roman"/>
          <w:b w:val="0"/>
          <w:bCs w:val="0"/>
          <w:sz w:val="32"/>
          <w:szCs w:val="32"/>
          <w:shd w:val="clear" w:color="auto" w:fill="FFFFFF"/>
        </w:rPr>
        <w:t>（</w:t>
      </w:r>
      <w:r>
        <w:rPr>
          <w:rFonts w:hint="default" w:ascii="Times New Roman" w:hAnsi="Times New Roman" w:eastAsia="方正楷体_GBK" w:cs="Times New Roman"/>
          <w:b w:val="0"/>
          <w:bCs w:val="0"/>
          <w:sz w:val="32"/>
          <w:szCs w:val="32"/>
          <w:shd w:val="clear" w:color="auto" w:fill="FFFFFF"/>
          <w:lang w:val="en-US" w:eastAsia="zh-CN"/>
        </w:rPr>
        <w:t>四）政府采购支出情况说明</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38" w:leftChars="266" w:firstLine="0" w:firstLineChars="0"/>
        <w:jc w:val="both"/>
        <w:textAlignment w:val="auto"/>
        <w:rPr>
          <w:rStyle w:val="10"/>
          <w:rFonts w:hint="default" w:ascii="Times New Roman" w:hAnsi="Times New Roman" w:eastAsia="黑体"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2024年度我部门未发生政府采购事项，无相关经费支出。</w:t>
      </w:r>
      <w:r>
        <w:rPr>
          <w:rStyle w:val="10"/>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pPr>
        <w:pStyle w:val="8"/>
        <w:keepNext w:val="0"/>
        <w:keepLines w:val="0"/>
        <w:pageBreakBefore w:val="0"/>
        <w:widowControl/>
        <w:numPr>
          <w:ilvl w:val="0"/>
          <w:numId w:val="0"/>
        </w:numPr>
        <w:shd w:val="clear" w:color="auto" w:fill="FFFFFF"/>
        <w:kinsoku/>
        <w:wordWrap/>
        <w:overflowPunct/>
        <w:topLinePunct w:val="0"/>
        <w:autoSpaceDN/>
        <w:bidi w:val="0"/>
        <w:adjustRightInd/>
        <w:spacing w:beforeAutospacing="0" w:after="0" w:afterAutospacing="0" w:line="560" w:lineRule="exact"/>
        <w:ind w:leftChars="0" w:firstLine="640" w:firstLineChars="200"/>
        <w:jc w:val="left"/>
        <w:textAlignment w:val="auto"/>
        <w:rPr>
          <w:rStyle w:val="10"/>
          <w:rFonts w:hint="default" w:ascii="Times New Roman" w:hAnsi="Times New Roman" w:eastAsia="黑体"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rPr>
        <w:t>我</w:t>
      </w:r>
      <w:r>
        <w:rPr>
          <w:rFonts w:hint="eastAsia" w:ascii="Times New Roman" w:hAnsi="Times New Roman" w:eastAsia="方正仿宋_GBK" w:cs="Times New Roman"/>
          <w:sz w:val="32"/>
          <w:szCs w:val="32"/>
          <w:shd w:val="clear" w:color="auto" w:fill="FFFFFF"/>
          <w:lang w:val="en-US" w:eastAsia="zh-CN"/>
        </w:rPr>
        <w:t>部门</w:t>
      </w:r>
      <w:r>
        <w:rPr>
          <w:rFonts w:hint="default" w:ascii="Times New Roman" w:hAnsi="Times New Roman" w:eastAsia="方正仿宋_GBK" w:cs="Times New Roman"/>
          <w:sz w:val="32"/>
          <w:szCs w:val="32"/>
          <w:shd w:val="clear" w:color="auto" w:fill="FFFFFF"/>
          <w:lang w:val="en-US" w:eastAsia="zh-CN"/>
        </w:rPr>
        <w:t>所涉项目为重点专项，按照市退役军人事务局统一要求进行绩效评价并不予以公开。</w:t>
      </w:r>
    </w:p>
    <w:p>
      <w:pPr>
        <w:pStyle w:val="13"/>
        <w:keepNext w:val="0"/>
        <w:keepLines w:val="0"/>
        <w:pageBreakBefore w:val="0"/>
        <w:widowControl/>
        <w:kinsoku/>
        <w:wordWrap/>
        <w:overflowPunct/>
        <w:topLinePunct w:val="0"/>
        <w:autoSpaceDE w:val="0"/>
        <w:autoSpaceDN/>
        <w:bidi w:val="0"/>
        <w:adjustRightInd/>
        <w:snapToGrid/>
        <w:spacing w:line="560" w:lineRule="exact"/>
        <w:ind w:leftChars="0" w:firstLine="640" w:firstLineChars="200"/>
        <w:jc w:val="left"/>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w:t>
      </w:r>
      <w:r>
        <w:rPr>
          <w:rFonts w:hint="eastAsia" w:ascii="Times New Roman" w:hAnsi="Times New Roman" w:eastAsia="方正楷体_GBK" w:cs="Times New Roman"/>
          <w:b w:val="0"/>
          <w:bCs w:val="0"/>
          <w:sz w:val="32"/>
          <w:szCs w:val="32"/>
          <w:shd w:val="clear" w:color="auto" w:fill="FFFFFF"/>
          <w:lang w:val="en-US" w:eastAsia="zh-CN"/>
        </w:rPr>
        <w:t>部门</w:t>
      </w:r>
      <w:r>
        <w:rPr>
          <w:rFonts w:hint="default" w:ascii="Times New Roman" w:hAnsi="Times New Roman" w:eastAsia="方正楷体_GBK" w:cs="Times New Roman"/>
          <w:b w:val="0"/>
          <w:bCs w:val="0"/>
          <w:sz w:val="32"/>
          <w:szCs w:val="32"/>
          <w:shd w:val="clear" w:color="auto" w:fill="FFFFFF"/>
        </w:rPr>
        <w:t>自评情况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根据预算绩效管理要求，我部门对</w:t>
      </w:r>
      <w:r>
        <w:rPr>
          <w:rFonts w:hint="default" w:ascii="Times New Roman" w:hAnsi="Times New Roman" w:eastAsia="方正仿宋_GBK" w:cs="Times New Roman"/>
          <w:kern w:val="0"/>
          <w:sz w:val="32"/>
          <w:szCs w:val="32"/>
          <w:shd w:val="clear" w:fill="FFFFFF"/>
          <w:lang w:val="en-US" w:eastAsia="zh-CN"/>
        </w:rPr>
        <w:t>19</w:t>
      </w:r>
      <w:r>
        <w:rPr>
          <w:rFonts w:hint="default" w:ascii="Times New Roman" w:hAnsi="Times New Roman" w:eastAsia="方正仿宋_GBK" w:cs="Times New Roman"/>
          <w:kern w:val="0"/>
          <w:sz w:val="32"/>
          <w:szCs w:val="32"/>
          <w:shd w:val="clear" w:fill="FFFFFF"/>
        </w:rPr>
        <w:t>个项目开展了绩效自评，涉及财政拨款项目支出资金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5967.07</w:t>
      </w:r>
      <w:r>
        <w:rPr>
          <w:rFonts w:hint="default" w:ascii="Times New Roman" w:hAnsi="Times New Roman" w:eastAsia="方正仿宋_GBK" w:cs="Times New Roman"/>
          <w:kern w:val="0"/>
          <w:sz w:val="32"/>
          <w:szCs w:val="32"/>
          <w:shd w:val="clear" w:fill="FFFFFF"/>
        </w:rPr>
        <w:t>万元</w:t>
      </w:r>
    </w:p>
    <w:p>
      <w:pPr>
        <w:pStyle w:val="13"/>
        <w:keepNext w:val="0"/>
        <w:keepLines w:val="0"/>
        <w:pageBreakBefore w:val="0"/>
        <w:widowControl/>
        <w:kinsoku/>
        <w:wordWrap/>
        <w:overflowPunct/>
        <w:topLinePunct w:val="0"/>
        <w:autoSpaceDE w:val="0"/>
        <w:autoSpaceDN/>
        <w:bidi w:val="0"/>
        <w:adjustRightInd/>
        <w:snapToGrid/>
        <w:spacing w:line="560" w:lineRule="exact"/>
        <w:ind w:leftChars="0" w:firstLine="640" w:firstLineChars="200"/>
        <w:jc w:val="left"/>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（二）部门绩效评价情况</w:t>
      </w:r>
    </w:p>
    <w:p>
      <w:pPr>
        <w:pStyle w:val="13"/>
        <w:keepNext w:val="0"/>
        <w:keepLines w:val="0"/>
        <w:pageBreakBefore w:val="0"/>
        <w:widowControl/>
        <w:kinsoku/>
        <w:wordWrap/>
        <w:overflowPunct/>
        <w:topLinePunct w:val="0"/>
        <w:autoSpaceDE w:val="0"/>
        <w:autoSpaceDN/>
        <w:bidi w:val="0"/>
        <w:adjustRightInd/>
        <w:spacing w:beforeAutospacing="0" w:afterAutospacing="0" w:line="560" w:lineRule="exact"/>
        <w:ind w:leftChars="0" w:firstLine="640" w:firstLineChars="200"/>
        <w:jc w:val="left"/>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按照市退役军人事务局统一要求，自评情况不予公开。</w:t>
      </w:r>
    </w:p>
    <w:p>
      <w:pPr>
        <w:pStyle w:val="13"/>
        <w:keepNext w:val="0"/>
        <w:keepLines w:val="0"/>
        <w:pageBreakBefore w:val="0"/>
        <w:widowControl/>
        <w:kinsoku/>
        <w:wordWrap/>
        <w:overflowPunct/>
        <w:topLinePunct w:val="0"/>
        <w:autoSpaceDE w:val="0"/>
        <w:autoSpaceDN/>
        <w:bidi w:val="0"/>
        <w:adjustRightInd/>
        <w:snapToGrid/>
        <w:spacing w:line="560" w:lineRule="exact"/>
        <w:ind w:leftChars="0" w:firstLine="640" w:firstLineChars="200"/>
        <w:jc w:val="left"/>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val="en-US" w:eastAsia="zh-CN"/>
        </w:rPr>
        <w:t>（三）财政绩效评价情况</w:t>
      </w:r>
    </w:p>
    <w:p>
      <w:pPr>
        <w:pStyle w:val="13"/>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left"/>
        <w:textAlignment w:val="auto"/>
        <w:rPr>
          <w:rStyle w:val="10"/>
          <w:rFonts w:hint="default" w:ascii="Times New Roman" w:hAnsi="Times New Roman" w:eastAsia="黑体"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w:t>
      </w:r>
      <w:r>
        <w:rPr>
          <w:rFonts w:hint="eastAsia" w:ascii="Times New Roman" w:hAnsi="Times New Roman" w:eastAsia="方正仿宋_GBK" w:cs="Times New Roman"/>
          <w:sz w:val="32"/>
          <w:szCs w:val="32"/>
          <w:shd w:val="clear" w:color="auto" w:fill="FFFFFF"/>
          <w:lang w:val="en-US" w:eastAsia="zh-CN" w:bidi="ar-SA"/>
        </w:rPr>
        <w:t>部门</w:t>
      </w:r>
      <w:r>
        <w:rPr>
          <w:rFonts w:hint="default" w:ascii="Times New Roman" w:hAnsi="Times New Roman" w:eastAsia="方正仿宋_GBK" w:cs="Times New Roman"/>
          <w:sz w:val="32"/>
          <w:szCs w:val="32"/>
          <w:shd w:val="clear" w:color="auto" w:fill="FFFFFF"/>
          <w:lang w:val="en-US" w:eastAsia="zh-CN" w:bidi="ar-SA"/>
        </w:rPr>
        <w:t>开展绩效评价。</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lang w:eastAsia="zh-CN"/>
        </w:rPr>
        <w:t>六</w:t>
      </w:r>
      <w:r>
        <w:rPr>
          <w:rStyle w:val="10"/>
          <w:rFonts w:hint="default" w:ascii="Times New Roman" w:hAnsi="Times New Roman" w:eastAsia="方正黑体_GBK" w:cs="Times New Roman"/>
          <w:b w:val="0"/>
          <w:bCs/>
          <w:sz w:val="32"/>
          <w:szCs w:val="32"/>
          <w:shd w:val="clear" w:color="auto" w:fill="FFFFFF"/>
        </w:rPr>
        <w:t>、专业名词解释</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（二）事业收入：指</w:t>
      </w:r>
      <w:r>
        <w:rPr>
          <w:rFonts w:hint="default" w:ascii="Times New Roman" w:hAnsi="Times New Roman" w:eastAsia="方正仿宋_GBK" w:cs="Times New Roman"/>
          <w:sz w:val="32"/>
          <w:szCs w:val="32"/>
          <w:shd w:val="clear" w:color="auto" w:fill="FFFFFF"/>
        </w:rPr>
        <w:t>事业单位开展专业业务活动及其辅助活动取得的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（三）经营收入：指</w:t>
      </w:r>
      <w:r>
        <w:rPr>
          <w:rFonts w:hint="default" w:ascii="Times New Roman" w:hAnsi="Times New Roman" w:eastAsia="方正仿宋_GBK" w:cs="Times New Roman"/>
          <w:sz w:val="32"/>
          <w:szCs w:val="32"/>
          <w:shd w:val="clear" w:color="auto" w:fill="FFFFFF"/>
        </w:rPr>
        <w:t>事业单位在专业业务活动及其辅助活动之外开展非独立核算经营活动取得的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（五）使用非财政拨款结余（含专用结余）：指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pPr>
        <w:pStyle w:val="13"/>
        <w:keepNext w:val="0"/>
        <w:keepLines w:val="0"/>
        <w:pageBreakBefore w:val="0"/>
        <w:widowControl/>
        <w:kinsoku/>
        <w:wordWrap/>
        <w:overflowPunct/>
        <w:topLinePunct w:val="0"/>
        <w:autoSpaceDE w:val="0"/>
        <w:autoSpaceDN/>
        <w:bidi w:val="0"/>
        <w:adjustRightInd/>
        <w:snapToGrid/>
        <w:spacing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lang w:eastAsia="zh-CN"/>
        </w:rPr>
        <w:t>七</w:t>
      </w:r>
      <w:r>
        <w:rPr>
          <w:rStyle w:val="10"/>
          <w:rFonts w:hint="default" w:ascii="Times New Roman" w:hAnsi="Times New Roman" w:eastAsia="方正黑体_GBK" w:cs="Times New Roman"/>
          <w:b w:val="0"/>
          <w:bCs/>
          <w:sz w:val="32"/>
          <w:szCs w:val="32"/>
          <w:shd w:val="clear" w:color="auto" w:fill="FFFFFF"/>
        </w:rPr>
        <w:t>、决算公开联系方式及信息反馈渠道</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本部门决算公开信息反馈和联系方式：</w:t>
      </w:r>
      <w:r>
        <w:rPr>
          <w:rFonts w:hint="default" w:ascii="Times New Roman" w:hAnsi="Times New Roman" w:eastAsia="方正仿宋_GBK" w:cs="Times New Roman"/>
          <w:sz w:val="32"/>
          <w:szCs w:val="32"/>
          <w:shd w:val="clear" w:color="auto" w:fill="FFFFFF"/>
          <w:lang w:val="en-US" w:eastAsia="zh-CN"/>
        </w:rPr>
        <w:t>023-76895079</w:t>
      </w:r>
    </w:p>
    <w:p>
      <w:pPr>
        <w:pStyle w:val="8"/>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p>
    <w:p>
      <w:pPr>
        <w:pStyle w:val="13"/>
        <w:autoSpaceDE w:val="0"/>
        <w:spacing w:line="596" w:lineRule="exact"/>
        <w:ind w:firstLine="640"/>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秀山土家族苗族自治县退役军人事务局</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6,148.04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5,763.88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6,401.11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6,401.12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6,401.12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6,401.12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秀山土家族苗族自治县退役军人事务局</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6,401.11</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6,395.95</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5,763.87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5,758.71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4,192.36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4,192.36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126.86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126.86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伤残抚恤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666.44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666.44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620.06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620.06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农村籍退役士兵老年生活补助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860.42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860.42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褒扬纪念</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958.75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953.60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退役士兵安置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军队移交政府的离退休人员安置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军队移交政府离退休干部管理机构</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退役士兵管理教育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军队转业干部安置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554.55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554.54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214.13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214.13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191.21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191.21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360.79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360.79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334.72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334.72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p>
    <w:tbl>
      <w:tblPr>
        <w:tblStyle w:val="11"/>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秀山土家族苗族自治县退役军人事务局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6,401.12</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493.44</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5,907.67</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5,763.88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438.83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5,325.05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4,192.36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4,192.36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126.86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伤残抚恤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666.44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666.44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732.20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620.06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620.06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农村籍退役士兵老年生活补助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860.42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860.42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褒扬纪念</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1,166.60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958.75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931.75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退役士兵安置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809.88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军队移交政府的离退休人员安置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军队移交政府离退休干部管理机构</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退役士兵管理教育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军队转业干部安置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554.55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353.62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214.13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214.13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191.21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360.79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334.72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334.72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秀山土家族苗族自治县退役军人事务局</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6,148.04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247.91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5,758.72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5,758.72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247.91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6,395.95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6,395.96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6,148.05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247.91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6,395.96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6,395.96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6,148.05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247.91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秀山土家族苗族自治县退役军人事务局</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6,148.05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493.44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5,654.61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5,758.72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438.83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5,319.90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4,192.36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4,192.36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126.86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伤残抚恤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666.44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666.44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732.20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732.20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620.06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农村籍退役士兵老年生活补助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860.42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褒扬纪念</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953.60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926.60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退役士兵安置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809.88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809.88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军队移交政府的离退休人员安置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军队移交政府离退休干部管理机构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退役士兵管理教育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军队转业干部安置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554.54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353.61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200.93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214.13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214.13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105.49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105.49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191.21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334.72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334.72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秀山土家族苗族自治县退役军人事务局</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95.17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427.92</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65.52</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秀山土家族苗族自治县退役军人事务局</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247.91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秀山土家族苗族自治县退役军人事务局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秀山土家族苗族自治县退役军人事务局</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56.28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44.00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5.95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C6E287"/>
    <w:multiLevelType w:val="singleLevel"/>
    <w:tmpl w:val="D8C6E28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910989"/>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0F49D0"/>
    <w:rsid w:val="14200702"/>
    <w:rsid w:val="14907817"/>
    <w:rsid w:val="163A6CEE"/>
    <w:rsid w:val="173708E3"/>
    <w:rsid w:val="174C19C7"/>
    <w:rsid w:val="17C374FC"/>
    <w:rsid w:val="17D130BE"/>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03480A"/>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B854E57"/>
    <w:rsid w:val="5C0F7EC4"/>
    <w:rsid w:val="5C263CE4"/>
    <w:rsid w:val="5C5D2777"/>
    <w:rsid w:val="5CF66BF3"/>
    <w:rsid w:val="5D290C69"/>
    <w:rsid w:val="5F2D4A41"/>
    <w:rsid w:val="60C74F6C"/>
    <w:rsid w:val="60F81AB5"/>
    <w:rsid w:val="61025A59"/>
    <w:rsid w:val="613D5BBC"/>
    <w:rsid w:val="61536C39"/>
    <w:rsid w:val="61E64F4A"/>
    <w:rsid w:val="623E0993"/>
    <w:rsid w:val="62944DD7"/>
    <w:rsid w:val="62991E05"/>
    <w:rsid w:val="6319381F"/>
    <w:rsid w:val="63236436"/>
    <w:rsid w:val="63303185"/>
    <w:rsid w:val="63C25DC5"/>
    <w:rsid w:val="63C62057"/>
    <w:rsid w:val="64571EF5"/>
    <w:rsid w:val="64CB0157"/>
    <w:rsid w:val="64FB113D"/>
    <w:rsid w:val="65036946"/>
    <w:rsid w:val="653B4EBD"/>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6FFB8F7B"/>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0574F"/>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uiPriority w:val="0"/>
    <w:pPr>
      <w:jc w:val="left"/>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19</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2025-06-26T23:40:00Z</dcterms:created>
  <dc:creator>Administrator</dc:creator>
  <cp:lastModifiedBy>国库科</cp:lastModifiedBy>
  <dcterms:modified xsi:type="dcterms:W3CDTF">2025-10-14T09:13:36Z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