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8"/>
        <w:spacing w:before="0" w:beforeAutospacing="0" w:after="0" w:afterAutospacing="0" w:line="596" w:lineRule="exact"/>
        <w:jc w:val="center"/>
        <w:rPr>
          <w:rFonts w:hint="eastAsia" w:ascii="方正小标宋_GBK" w:hAnsi="方正小标宋_GBK" w:eastAsia="方正小标宋_GBK" w:cs="方正小标宋_GBK"/>
          <w:b w:val="0"/>
          <w:bCs w:val="0"/>
          <w:spacing w:val="-20"/>
          <w:sz w:val="44"/>
          <w:szCs w:val="44"/>
        </w:rPr>
      </w:pPr>
      <w:r>
        <w:rPr>
          <w:rFonts w:hint="eastAsia" w:ascii="方正小标宋_GBK" w:hAnsi="方正小标宋_GBK" w:eastAsia="方正小标宋_GBK" w:cs="方正小标宋_GBK"/>
          <w:b w:val="0"/>
          <w:bCs w:val="0"/>
          <w:spacing w:val="-34"/>
          <w:w w:val="90"/>
          <w:sz w:val="44"/>
          <w:szCs w:val="44"/>
        </w:rPr>
        <w:t>重庆市秀山土家族苗族自治县退役军人事务局（本级）</w:t>
      </w:r>
      <w:r>
        <w:rPr>
          <w:rFonts w:hint="default" w:ascii="方正小标宋_GBK" w:hAnsi="方正小标宋_GBK" w:eastAsia="方正小标宋_GBK" w:cs="方正小标宋_GBK"/>
          <w:b w:val="0"/>
          <w:bCs w:val="0"/>
          <w:spacing w:val="-20"/>
          <w:sz w:val="44"/>
          <w:szCs w:val="44"/>
        </w:rPr>
        <w:t>2024</w:t>
      </w:r>
      <w:r>
        <w:rPr>
          <w:rFonts w:hint="eastAsia" w:ascii="方正小标宋_GBK" w:hAnsi="方正小标宋_GBK" w:eastAsia="方正小标宋_GBK" w:cs="方正小标宋_GBK"/>
          <w:b w:val="0"/>
          <w:bCs w:val="0"/>
          <w:spacing w:val="-20"/>
          <w:sz w:val="44"/>
          <w:szCs w:val="44"/>
        </w:rPr>
        <w:t>年度决算公开说明</w:t>
      </w:r>
    </w:p>
    <w:p>
      <w:pPr>
        <w:pStyle w:val="8"/>
        <w:keepNext w:val="0"/>
        <w:keepLines w:val="0"/>
        <w:pageBreakBefore w:val="0"/>
        <w:widowControl/>
        <w:kinsoku/>
        <w:wordWrap/>
        <w:overflowPunct/>
        <w:topLinePunct w:val="0"/>
        <w:autoSpaceDN/>
        <w:bidi w:val="0"/>
        <w:adjustRightInd/>
        <w:spacing w:before="0" w:beforeAutospacing="0" w:after="0" w:afterAutospacing="0" w:line="560" w:lineRule="exact"/>
        <w:ind w:leftChars="0" w:firstLine="560" w:firstLineChars="200"/>
        <w:jc w:val="left"/>
        <w:textAlignment w:val="auto"/>
        <w:rPr>
          <w:rFonts w:hint="default" w:ascii="Times New Roman" w:hAnsi="Times New Roman" w:eastAsia="方正仿宋_GBK" w:cs="Times New Roman"/>
          <w:b w:val="0"/>
          <w:bCs w:val="0"/>
          <w:spacing w:val="-20"/>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val="en-US"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退役军人事务局职能职责为组织实施退役军人思想政治、管理保障和安置优抚等工作，负责军队转业干部、复员干部、离退休干部、退役士兵和无军籍退休退职职工的移交安置工作和自主择业、就业退役军人服务管理、待遇保障工作，组织开展退役军人教育培训、优待抚恤、帮扶援助等，组织开展全县拥军优属工作，负责烈士及退役军人荣誉奖励、军人公墓维护以及纪念活动等职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N/>
        <w:bidi w:val="0"/>
        <w:adjustRightInd/>
        <w:snapToGrid w:val="0"/>
        <w:spacing w:beforeAutospacing="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我局内设办公室、安置科、权益维护科、优抚科三科一室。</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val="en-US" w:eastAsia="zh-CN"/>
        </w:rPr>
        <w:t>单位</w:t>
      </w:r>
      <w:r>
        <w:rPr>
          <w:rStyle w:val="10"/>
          <w:rFonts w:hint="default" w:ascii="方正黑体_GBK" w:hAnsi="方正黑体_GBK" w:eastAsia="方正黑体_GBK" w:cs="方正黑体_GBK"/>
          <w:b w:val="0"/>
          <w:bCs/>
          <w:sz w:val="32"/>
          <w:szCs w:val="32"/>
          <w:shd w:val="clear" w:color="auto" w:fill="FFFFFF"/>
        </w:rPr>
        <w:t>决算</w:t>
      </w:r>
      <w:r>
        <w:rPr>
          <w:rStyle w:val="10"/>
          <w:rFonts w:hint="default" w:ascii="方正黑体_GBK" w:hAnsi="方正黑体_GBK" w:eastAsia="方正黑体_GBK" w:cs="方正黑体_GBK"/>
          <w:b w:val="0"/>
          <w:bCs/>
          <w:sz w:val="32"/>
          <w:szCs w:val="32"/>
          <w:shd w:val="clear" w:color="auto" w:fill="FFFFFF"/>
          <w:lang w:eastAsia="zh-CN"/>
        </w:rPr>
        <w:t>收支</w:t>
      </w:r>
      <w:r>
        <w:rPr>
          <w:rStyle w:val="10"/>
          <w:rFonts w:hint="default" w:ascii="方正黑体_GBK" w:hAnsi="方正黑体_GBK" w:eastAsia="方正黑体_GBK" w:cs="方正黑体_GBK"/>
          <w:b w:val="0"/>
          <w:bCs/>
          <w:sz w:val="32"/>
          <w:szCs w:val="32"/>
          <w:shd w:val="clear" w:color="auto" w:fill="FFFFFF"/>
        </w:rPr>
        <w:t>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（一）收入支出决算总体情况说明</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2024年度收</w:t>
      </w:r>
      <w:r>
        <w:rPr>
          <w:rFonts w:hint="default" w:ascii="Times New Roman" w:hAnsi="Times New Roman" w:eastAsia="方正仿宋_GBK" w:cs="Times New Roman"/>
          <w:b w:val="0"/>
          <w:bCs/>
          <w:sz w:val="32"/>
          <w:szCs w:val="32"/>
          <w:shd w:val="clear" w:color="auto" w:fill="FFFFFF"/>
          <w:lang w:eastAsia="zh-CN"/>
        </w:rPr>
        <w:t>、支</w:t>
      </w:r>
      <w:r>
        <w:rPr>
          <w:rFonts w:hint="default" w:ascii="Times New Roman" w:hAnsi="Times New Roman" w:eastAsia="方正仿宋_GBK" w:cs="Times New Roman"/>
          <w:b w:val="0"/>
          <w:bCs/>
          <w:sz w:val="32"/>
          <w:szCs w:val="32"/>
          <w:shd w:val="clear" w:color="auto" w:fill="FFFFFF"/>
        </w:rPr>
        <w:t>总计</w:t>
      </w:r>
      <w:r>
        <w:rPr>
          <w:rFonts w:hint="default" w:ascii="Times New Roman" w:hAnsi="Times New Roman" w:eastAsia="方正仿宋_GBK" w:cs="Times New Roman"/>
          <w:b w:val="0"/>
          <w:bCs/>
          <w:sz w:val="32"/>
          <w:szCs w:val="32"/>
          <w:shd w:val="clear" w:color="auto" w:fill="FFFFFF"/>
          <w:lang w:eastAsia="zh-CN"/>
        </w:rPr>
        <w:t>均为</w:t>
      </w:r>
      <w:r>
        <w:rPr>
          <w:rFonts w:hint="default" w:ascii="Times New Roman" w:hAnsi="Times New Roman" w:eastAsia="方正仿宋_GBK" w:cs="Times New Roman"/>
          <w:b w:val="0"/>
          <w:bCs/>
          <w:sz w:val="32"/>
          <w:szCs w:val="32"/>
          <w:shd w:val="clear" w:color="auto" w:fill="FFFFFF"/>
        </w:rPr>
        <w:t>6147.71万元。收、支与2023年度相比，增加454.66万元，增长8.0%，</w:t>
      </w:r>
      <w:r>
        <w:rPr>
          <w:rFonts w:hint="default" w:ascii="Times New Roman" w:hAnsi="Times New Roman" w:eastAsia="方正仿宋_GBK" w:cs="Times New Roman"/>
          <w:b w:val="0"/>
          <w:bCs/>
          <w:sz w:val="32"/>
          <w:szCs w:val="32"/>
          <w:shd w:val="clear" w:color="auto" w:fill="FFFFFF"/>
          <w:lang w:val="en-US" w:eastAsia="zh-CN"/>
        </w:rPr>
        <w:t>主要原因是人员工资福利增加、优抚抚恤增加、退役士兵一次性经济补助增加及家庭优待金增加。</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lang w:val="en-US" w:eastAsia="zh-CN"/>
        </w:rPr>
        <w:t>1</w:t>
      </w:r>
      <w:r>
        <w:rPr>
          <w:rStyle w:val="10"/>
          <w:rFonts w:hint="default" w:ascii="Times New Roman" w:hAnsi="Times New Roman" w:eastAsia="方正仿宋_GBK" w:cs="Times New Roman"/>
          <w:b/>
          <w:bCs w:val="0"/>
          <w:sz w:val="32"/>
          <w:szCs w:val="32"/>
          <w:shd w:val="clear" w:color="auto" w:fill="FFFFFF"/>
        </w:rPr>
        <w:t>.收入情况。</w:t>
      </w:r>
      <w:r>
        <w:rPr>
          <w:rFonts w:hint="default" w:ascii="Times New Roman" w:hAnsi="Times New Roman" w:eastAsia="方正仿宋_GBK" w:cs="Times New Roman"/>
          <w:b w:val="0"/>
          <w:bCs/>
          <w:sz w:val="32"/>
          <w:szCs w:val="32"/>
          <w:shd w:val="clear" w:color="auto" w:fill="FFFFFF"/>
        </w:rPr>
        <w:t>2024年度收入合计6147.70万元，与2023年度相比，增加456.37万元，增长8.0%，主要原因是</w:t>
      </w:r>
      <w:r>
        <w:rPr>
          <w:rFonts w:hint="default" w:ascii="Times New Roman" w:hAnsi="Times New Roman" w:eastAsia="方正仿宋_GBK" w:cs="Times New Roman"/>
          <w:b w:val="0"/>
          <w:bCs/>
          <w:sz w:val="32"/>
          <w:szCs w:val="32"/>
          <w:shd w:val="clear" w:color="auto" w:fill="FFFFFF"/>
          <w:lang w:val="en-US" w:eastAsia="zh-CN"/>
        </w:rPr>
        <w:t>主要原因是人员工资福利增加、优抚抚恤增加、退役士兵一次性经济补助增加及家庭优待金增加。其</w:t>
      </w:r>
      <w:r>
        <w:rPr>
          <w:rFonts w:hint="default" w:ascii="Times New Roman" w:hAnsi="Times New Roman" w:eastAsia="方正仿宋_GBK" w:cs="Times New Roman"/>
          <w:b w:val="0"/>
          <w:bCs/>
          <w:sz w:val="32"/>
          <w:szCs w:val="32"/>
          <w:shd w:val="clear" w:color="auto" w:fill="FFFFFF"/>
        </w:rPr>
        <w:t>中：财政拨款收入6142.54万元，占99.9%；事业收入0.00万元，占0.0%；经营收入0.00万元，占0.0%；其他收入5.16万元，占0.1%。此外，使用非财政拨款结余（含专用结余）0.00万元，年初结转和结余0.01万元。</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lang w:val="en-US" w:eastAsia="zh-CN"/>
        </w:rPr>
        <w:t>2.支出情况。</w:t>
      </w:r>
      <w:r>
        <w:rPr>
          <w:rFonts w:hint="default" w:ascii="Times New Roman" w:hAnsi="Times New Roman" w:eastAsia="方正仿宋_GBK" w:cs="Times New Roman"/>
          <w:b w:val="0"/>
          <w:bCs/>
          <w:sz w:val="32"/>
          <w:szCs w:val="32"/>
          <w:shd w:val="clear" w:color="auto" w:fill="FFFFFF"/>
        </w:rPr>
        <w:t>2024年度支出合计6147.71万元，与2023年度相比，增加454.67万元，增长8.0%，主要原因是</w:t>
      </w:r>
      <w:r>
        <w:rPr>
          <w:rFonts w:hint="default" w:ascii="Times New Roman" w:hAnsi="Times New Roman" w:eastAsia="方正仿宋_GBK" w:cs="Times New Roman"/>
          <w:b w:val="0"/>
          <w:bCs/>
          <w:sz w:val="32"/>
          <w:szCs w:val="32"/>
          <w:shd w:val="clear" w:color="auto" w:fill="FFFFFF"/>
          <w:lang w:val="en-US" w:eastAsia="zh-CN"/>
        </w:rPr>
        <w:t>主要原因是人员工资福利增加、优抚抚恤增加、退役士兵一次性经济补助增加及家庭优待金增加。</w:t>
      </w:r>
      <w:r>
        <w:rPr>
          <w:rFonts w:hint="default" w:ascii="Times New Roman" w:hAnsi="Times New Roman" w:eastAsia="方正仿宋_GBK" w:cs="Times New Roman"/>
          <w:b w:val="0"/>
          <w:bCs/>
          <w:sz w:val="32"/>
          <w:szCs w:val="32"/>
          <w:shd w:val="clear" w:color="auto" w:fill="FFFFFF"/>
        </w:rPr>
        <w:t>其中：基本支出240.03万元，占3.9%；项目支出5907.67万元，占96.1%；经营支出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万元，占0.0%。此外，结余分配0.00万元。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b w:val="0"/>
          <w:bCs/>
          <w:sz w:val="32"/>
          <w:szCs w:val="32"/>
        </w:rPr>
      </w:pPr>
      <w:r>
        <w:rPr>
          <w:rStyle w:val="10"/>
          <w:rFonts w:hint="default" w:ascii="Times New Roman" w:hAnsi="Times New Roman" w:eastAsia="方正仿宋_GBK" w:cs="Times New Roman"/>
          <w:b/>
          <w:bCs w:val="0"/>
          <w:sz w:val="32"/>
          <w:szCs w:val="32"/>
          <w:shd w:val="clear" w:color="auto" w:fill="FFFFFF"/>
          <w:lang w:val="en-US" w:eastAsia="zh-CN"/>
        </w:rPr>
        <w:t>3.结转结余情况。</w:t>
      </w:r>
      <w:r>
        <w:rPr>
          <w:rFonts w:hint="default" w:ascii="Times New Roman" w:hAnsi="Times New Roman" w:eastAsia="方正仿宋_GBK" w:cs="Times New Roman"/>
          <w:b w:val="0"/>
          <w:bCs/>
          <w:sz w:val="32"/>
          <w:szCs w:val="32"/>
          <w:shd w:val="clear" w:color="auto" w:fill="FFFFFF"/>
        </w:rPr>
        <w:t>2024年度年末结转和结余0.00万元，与2023年度相比，减少0.01万元，下降100.0%，主要原因是</w:t>
      </w:r>
      <w:r>
        <w:rPr>
          <w:rFonts w:hint="default" w:ascii="Times New Roman" w:hAnsi="Times New Roman" w:eastAsia="方正仿宋_GBK" w:cs="Times New Roman"/>
          <w:b w:val="0"/>
          <w:bCs/>
          <w:sz w:val="32"/>
          <w:szCs w:val="32"/>
          <w:shd w:val="clear" w:color="auto" w:fill="FFFFFF"/>
          <w:lang w:val="en-US" w:eastAsia="zh-CN"/>
        </w:rPr>
        <w:t>本年收支平衡未结余。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w:t>
      </w:r>
      <w:r>
        <w:rPr>
          <w:rStyle w:val="10"/>
          <w:rFonts w:hint="default" w:ascii="方正楷体_GBK" w:hAnsi="方正楷体_GBK" w:eastAsia="方正楷体_GBK" w:cs="方正楷体_GBK"/>
          <w:b w:val="0"/>
          <w:bCs/>
          <w:sz w:val="32"/>
          <w:szCs w:val="32"/>
          <w:shd w:val="clear" w:color="auto" w:fill="FFFFFF"/>
          <w:lang w:val="en-US" w:eastAsia="zh-CN"/>
        </w:rPr>
        <w:t>二）财政拨款收入支出决算总体情况说明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2024年度财政拨款收、支总计均为6142.55万元。与2023年</w:t>
      </w:r>
      <w:r>
        <w:rPr>
          <w:rFonts w:hint="default" w:ascii="Times New Roman" w:hAnsi="Times New Roman" w:eastAsia="方正仿宋_GBK" w:cs="Times New Roman"/>
          <w:b w:val="0"/>
          <w:bCs/>
          <w:sz w:val="32"/>
          <w:szCs w:val="32"/>
          <w:shd w:val="clear" w:color="auto" w:fill="FFFFFF"/>
          <w:lang w:eastAsia="zh-CN"/>
        </w:rPr>
        <w:t>度</w:t>
      </w:r>
      <w:r>
        <w:rPr>
          <w:rFonts w:hint="default" w:ascii="Times New Roman" w:hAnsi="Times New Roman" w:eastAsia="方正仿宋_GBK" w:cs="Times New Roman"/>
          <w:b w:val="0"/>
          <w:bCs/>
          <w:sz w:val="32"/>
          <w:szCs w:val="32"/>
          <w:shd w:val="clear" w:color="auto" w:fill="FFFFFF"/>
        </w:rPr>
        <w:t>相比，财政拨款收、支总计各增加450.51万元，增长7.9%。主要原因是</w:t>
      </w:r>
      <w:r>
        <w:rPr>
          <w:rFonts w:hint="default" w:ascii="Times New Roman" w:hAnsi="Times New Roman" w:eastAsia="方正仿宋_GBK" w:cs="Times New Roman"/>
          <w:b w:val="0"/>
          <w:bCs/>
          <w:sz w:val="32"/>
          <w:szCs w:val="32"/>
          <w:shd w:val="clear" w:color="auto" w:fill="FFFFFF"/>
          <w:lang w:val="en-US" w:eastAsia="zh-CN"/>
        </w:rPr>
        <w:t>人员工资福利增加、优抚抚恤增加、退役士兵一次性经济补助增加及家庭优待金增加。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（三）一般公共预算财政拨款收入支出决算情况说明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b w:val="0"/>
          <w:bCs/>
          <w:color w:val="FF0000"/>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lang w:val="en-US" w:eastAsia="zh-CN"/>
        </w:rPr>
        <w:t>1.收入情况。</w:t>
      </w:r>
      <w:r>
        <w:rPr>
          <w:rFonts w:hint="default" w:ascii="Times New Roman" w:hAnsi="Times New Roman" w:eastAsia="方正仿宋_GBK" w:cs="Times New Roman"/>
          <w:b w:val="0"/>
          <w:bCs/>
          <w:sz w:val="32"/>
          <w:szCs w:val="32"/>
          <w:shd w:val="clear" w:color="auto" w:fill="FFFFFF"/>
        </w:rPr>
        <w:t>2024年度一般公共预算财政拨款收入5894.63万元，与2023年度相比，增加595.17万元，增长11.2%。主要原因是</w:t>
      </w:r>
      <w:r>
        <w:rPr>
          <w:rFonts w:hint="default" w:ascii="Times New Roman" w:hAnsi="Times New Roman" w:eastAsia="方正仿宋_GBK" w:cs="Times New Roman"/>
          <w:b w:val="0"/>
          <w:bCs/>
          <w:sz w:val="32"/>
          <w:szCs w:val="32"/>
          <w:shd w:val="clear" w:color="auto" w:fill="FFFFFF"/>
          <w:lang w:val="en-US" w:eastAsia="zh-CN"/>
        </w:rPr>
        <w:t>人员工资福利增加、优抚抚恤增加、退役士兵一次性经济补助增加及家庭优待金增加。</w:t>
      </w:r>
      <w:r>
        <w:rPr>
          <w:rFonts w:hint="default" w:ascii="Times New Roman" w:hAnsi="Times New Roman" w:eastAsia="方正仿宋_GBK" w:cs="Times New Roman"/>
          <w:b w:val="0"/>
          <w:bCs/>
          <w:sz w:val="32"/>
          <w:szCs w:val="32"/>
          <w:shd w:val="clear" w:color="auto" w:fill="FFFFFF"/>
        </w:rPr>
        <w:t>较年初预算数减少53.47万元，下降0.9%。主要原因是</w:t>
      </w:r>
      <w:r>
        <w:rPr>
          <w:rFonts w:hint="default" w:ascii="Times New Roman" w:hAnsi="Times New Roman" w:eastAsia="方正仿宋_GBK" w:cs="Times New Roman"/>
          <w:b w:val="0"/>
          <w:bCs/>
          <w:sz w:val="32"/>
          <w:szCs w:val="32"/>
          <w:shd w:val="clear" w:color="auto" w:fill="FFFFFF"/>
          <w:lang w:val="en-US" w:eastAsia="zh-CN"/>
        </w:rPr>
        <w:t>部分项目调整后不再执行以及部分项目</w:t>
      </w:r>
      <w:r>
        <w:rPr>
          <w:rFonts w:hint="default" w:ascii="Times New Roman" w:hAnsi="Times New Roman" w:eastAsia="方正仿宋_GBK" w:cs="Times New Roman"/>
          <w:b w:val="0"/>
          <w:bCs/>
          <w:sz w:val="32"/>
          <w:szCs w:val="32"/>
          <w:lang w:val="en-US" w:eastAsia="zh-CN"/>
        </w:rPr>
        <w:t>完成后处于验收阶段，未能及时付款，转下年执行。</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此外，年初财政拨款结转和结余0.01万元。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b w:val="0"/>
          <w:bCs/>
          <w:color w:val="FF0000"/>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lang w:val="en-US" w:eastAsia="zh-CN"/>
        </w:rPr>
        <w:t>2.支出情况。</w:t>
      </w:r>
      <w:r>
        <w:rPr>
          <w:rFonts w:hint="default" w:ascii="Times New Roman" w:hAnsi="Times New Roman" w:eastAsia="方正仿宋_GBK" w:cs="Times New Roman"/>
          <w:b w:val="0"/>
          <w:bCs/>
          <w:sz w:val="32"/>
          <w:szCs w:val="32"/>
          <w:shd w:val="clear" w:color="auto" w:fill="FFFFFF"/>
        </w:rPr>
        <w:t>2024年度一般公共预算财政拨款支出5894.64万元，与2023年度相比，增加594.46万元，增长11.2%。主要原因是</w:t>
      </w:r>
      <w:r>
        <w:rPr>
          <w:rFonts w:hint="default" w:ascii="Times New Roman" w:hAnsi="Times New Roman" w:eastAsia="方正仿宋_GBK" w:cs="Times New Roman"/>
          <w:b w:val="0"/>
          <w:bCs/>
          <w:sz w:val="32"/>
          <w:szCs w:val="32"/>
          <w:shd w:val="clear" w:color="auto" w:fill="FFFFFF"/>
          <w:lang w:val="en-US" w:eastAsia="zh-CN"/>
        </w:rPr>
        <w:t>人员工资福利增加、优抚抚恤增加、退役士兵一次性经济补助增加及家庭优待金增加。</w:t>
      </w:r>
      <w:r>
        <w:rPr>
          <w:rFonts w:hint="default" w:ascii="Times New Roman" w:hAnsi="Times New Roman" w:eastAsia="方正仿宋_GBK" w:cs="Times New Roman"/>
          <w:b w:val="0"/>
          <w:bCs/>
          <w:sz w:val="32"/>
          <w:szCs w:val="32"/>
          <w:shd w:val="clear" w:color="auto" w:fill="FFFFFF"/>
        </w:rPr>
        <w:t>较年初预算数减少53.46万元，下降0.9%。主要原因是</w:t>
      </w:r>
      <w:r>
        <w:rPr>
          <w:rFonts w:hint="default" w:ascii="Times New Roman" w:hAnsi="Times New Roman" w:eastAsia="方正仿宋_GBK" w:cs="Times New Roman"/>
          <w:b w:val="0"/>
          <w:bCs/>
          <w:sz w:val="32"/>
          <w:szCs w:val="32"/>
          <w:shd w:val="clear" w:color="auto" w:fill="FFFFFF"/>
          <w:lang w:val="en-US" w:eastAsia="zh-CN"/>
        </w:rPr>
        <w:t>部分项目调整后不再执行以及部分项目</w:t>
      </w:r>
      <w:r>
        <w:rPr>
          <w:rFonts w:hint="default" w:ascii="Times New Roman" w:hAnsi="Times New Roman" w:eastAsia="方正仿宋_GBK" w:cs="Times New Roman"/>
          <w:b w:val="0"/>
          <w:bCs/>
          <w:sz w:val="32"/>
          <w:szCs w:val="32"/>
          <w:lang w:val="en-US" w:eastAsia="zh-CN"/>
        </w:rPr>
        <w:t>完成后处于验收阶段，未能及时付款，转下年执行。</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highlight w:val="none"/>
          <w:shd w:val="clear" w:color="auto" w:fill="FFFFFF"/>
        </w:rPr>
      </w:pPr>
      <w:r>
        <w:rPr>
          <w:rFonts w:hint="default" w:ascii="Times New Roman" w:hAnsi="Times New Roman" w:eastAsia="方正仿宋_GBK" w:cs="Times New Roman"/>
          <w:b w:val="0"/>
          <w:bCs/>
          <w:sz w:val="32"/>
          <w:szCs w:val="32"/>
          <w:highlight w:val="none"/>
          <w:shd w:val="clear" w:color="auto" w:fill="FFFFFF"/>
        </w:rPr>
        <w:t>一般公共预算财政拨款支出主要</w:t>
      </w:r>
      <w:r>
        <w:rPr>
          <w:rFonts w:hint="default" w:ascii="Times New Roman" w:hAnsi="Times New Roman" w:eastAsia="方正仿宋_GBK" w:cs="Times New Roman"/>
          <w:b w:val="0"/>
          <w:bCs/>
          <w:sz w:val="32"/>
          <w:szCs w:val="32"/>
          <w:highlight w:val="none"/>
          <w:shd w:val="clear" w:color="auto" w:fill="FFFFFF"/>
          <w:lang w:eastAsia="zh-CN"/>
        </w:rPr>
        <w:t>用途如下</w:t>
      </w:r>
      <w:r>
        <w:rPr>
          <w:rFonts w:hint="default" w:ascii="Times New Roman" w:hAnsi="Times New Roman" w:eastAsia="方正仿宋_GBK" w:cs="Times New Roman"/>
          <w:b w:val="0"/>
          <w:bCs/>
          <w:sz w:val="32"/>
          <w:szCs w:val="32"/>
          <w:highlight w:val="none"/>
          <w:shd w:val="clear" w:color="auto" w:fill="FFFFFF"/>
        </w:rPr>
        <w:t>：</w:t>
      </w:r>
    </w:p>
    <w:p>
      <w:pPr>
        <w:pStyle w:val="8"/>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一般公共服务支出0.30万元，占0.0%，较年初预算数增加0.30万元，增长100.0%，主要原因是</w:t>
      </w:r>
      <w:r>
        <w:rPr>
          <w:rFonts w:hint="default" w:ascii="Times New Roman" w:hAnsi="Times New Roman" w:eastAsia="方正仿宋_GBK" w:cs="Times New Roman"/>
          <w:b w:val="0"/>
          <w:bCs/>
          <w:sz w:val="32"/>
          <w:szCs w:val="32"/>
          <w:shd w:val="clear" w:color="auto" w:fill="FFFFFF"/>
          <w:lang w:val="en-US" w:eastAsia="zh-CN"/>
        </w:rPr>
        <w:t>公务员奖励金增加。</w:t>
      </w:r>
    </w:p>
    <w:p>
      <w:pPr>
        <w:pStyle w:val="8"/>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color w:val="FF0000"/>
          <w:sz w:val="32"/>
          <w:szCs w:val="32"/>
          <w:shd w:val="clear" w:color="auto" w:fill="FFFFFF"/>
          <w:lang w:val="en-US"/>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）社会保障</w:t>
      </w:r>
      <w:r>
        <w:rPr>
          <w:rFonts w:hint="default" w:ascii="Times New Roman" w:hAnsi="Times New Roman" w:eastAsia="方正仿宋_GBK" w:cs="Times New Roman"/>
          <w:b w:val="0"/>
          <w:bCs/>
          <w:sz w:val="32"/>
          <w:szCs w:val="32"/>
          <w:shd w:val="clear" w:color="auto" w:fill="FFFFFF"/>
          <w:lang w:eastAsia="zh-CN"/>
        </w:rPr>
        <w:t>和</w:t>
      </w:r>
      <w:r>
        <w:rPr>
          <w:rFonts w:hint="default" w:ascii="Times New Roman" w:hAnsi="Times New Roman" w:eastAsia="方正仿宋_GBK" w:cs="Times New Roman"/>
          <w:b w:val="0"/>
          <w:bCs/>
          <w:sz w:val="32"/>
          <w:szCs w:val="32"/>
          <w:shd w:val="clear" w:color="auto" w:fill="FFFFFF"/>
        </w:rPr>
        <w:t>就业支出5535.47万元，占93.9%，较年初预算数减少114.70万元，下降2.0%，主要原因是</w:t>
      </w:r>
      <w:r>
        <w:rPr>
          <w:rFonts w:hint="default" w:ascii="Times New Roman" w:hAnsi="Times New Roman" w:eastAsia="方正仿宋_GBK" w:cs="Times New Roman"/>
          <w:b w:val="0"/>
          <w:bCs/>
          <w:sz w:val="32"/>
          <w:szCs w:val="32"/>
          <w:shd w:val="clear" w:color="auto" w:fill="FFFFFF"/>
          <w:lang w:val="en-US" w:eastAsia="zh-CN"/>
        </w:rPr>
        <w:t>部分项目调整不再执行以及部分项目</w:t>
      </w:r>
      <w:r>
        <w:rPr>
          <w:rFonts w:hint="default" w:ascii="Times New Roman" w:hAnsi="Times New Roman" w:eastAsia="方正仿宋_GBK" w:cs="Times New Roman"/>
          <w:b w:val="0"/>
          <w:bCs/>
          <w:sz w:val="32"/>
          <w:szCs w:val="32"/>
          <w:lang w:val="en-US" w:eastAsia="zh-CN"/>
        </w:rPr>
        <w:t>完成后处于验收阶段，未能及时付款，转下年执行。</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）卫生健康支出345.92万元，占5.9%，较年初预算数增加61.45万元，增长21.6%，主要原因是</w:t>
      </w:r>
      <w:r>
        <w:rPr>
          <w:rFonts w:hint="default" w:ascii="Times New Roman" w:hAnsi="Times New Roman" w:eastAsia="方正仿宋_GBK" w:cs="Times New Roman"/>
          <w:b w:val="0"/>
          <w:bCs/>
          <w:sz w:val="32"/>
          <w:szCs w:val="32"/>
          <w:shd w:val="clear" w:color="auto" w:fill="FFFFFF"/>
          <w:lang w:val="en-US" w:eastAsia="zh-CN"/>
        </w:rPr>
        <w:t>社保缴费基数调高。</w:t>
      </w:r>
    </w:p>
    <w:p>
      <w:pPr>
        <w:keepNext w:val="0"/>
        <w:keepLines w:val="0"/>
        <w:pageBreakBefore w:val="0"/>
        <w:widowControl/>
        <w:kinsoku/>
        <w:wordWrap/>
        <w:overflowPunct/>
        <w:topLinePunct w:val="0"/>
        <w:autoSpaceDN/>
        <w:bidi w:val="0"/>
        <w:adjustRightInd/>
        <w:spacing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w:t>
      </w:r>
      <w:r>
        <w:rPr>
          <w:rFonts w:hint="default" w:ascii="Times New Roman" w:hAnsi="Times New Roman" w:eastAsia="方正仿宋_GBK" w:cs="Times New Roman"/>
          <w:b w:val="0"/>
          <w:bCs/>
          <w:sz w:val="32"/>
          <w:szCs w:val="32"/>
          <w:shd w:val="clear" w:color="auto" w:fill="FFFFFF"/>
        </w:rPr>
        <w:t>12.96万元，占0.2%，较年初预算数减少0.50万元，下降3.7%，主要原因是</w:t>
      </w:r>
      <w:r>
        <w:rPr>
          <w:rFonts w:hint="default" w:ascii="Times New Roman" w:hAnsi="Times New Roman" w:eastAsia="方正仿宋_GBK" w:cs="Times New Roman"/>
          <w:b w:val="0"/>
          <w:bCs/>
          <w:sz w:val="32"/>
          <w:szCs w:val="32"/>
          <w:shd w:val="clear" w:color="auto" w:fill="FFFFFF"/>
          <w:lang w:val="en-US" w:eastAsia="zh-CN"/>
        </w:rPr>
        <w:t>年中退休一人，减少住房保障支出。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3" w:firstLineChars="200"/>
        <w:jc w:val="left"/>
        <w:textAlignment w:val="auto"/>
        <w:rPr>
          <w:rFonts w:hint="default" w:ascii="Times New Roman" w:hAnsi="Times New Roman" w:eastAsia="方正仿宋_GBK" w:cs="Times New Roman"/>
          <w:b w:val="0"/>
          <w:bCs/>
          <w:color w:val="FF0000"/>
          <w:sz w:val="32"/>
          <w:szCs w:val="32"/>
          <w:shd w:val="clear" w:color="auto" w:fill="FFFFFF"/>
        </w:rPr>
      </w:pPr>
      <w:r>
        <w:rPr>
          <w:rStyle w:val="10"/>
          <w:rFonts w:hint="default" w:ascii="Times New Roman" w:hAnsi="Times New Roman" w:eastAsia="方正仿宋_GBK" w:cs="Times New Roman"/>
          <w:b/>
          <w:bCs w:val="0"/>
          <w:sz w:val="32"/>
          <w:szCs w:val="32"/>
          <w:shd w:val="clear" w:color="auto" w:fill="FFFFFF"/>
          <w:lang w:val="en-US" w:eastAsia="zh-CN"/>
        </w:rPr>
        <w:t>3.结转结余情况。</w:t>
      </w:r>
      <w:r>
        <w:rPr>
          <w:rFonts w:hint="default" w:ascii="Times New Roman" w:hAnsi="Times New Roman" w:eastAsia="方正仿宋_GBK" w:cs="Times New Roman"/>
          <w:b w:val="0"/>
          <w:bCs/>
          <w:sz w:val="32"/>
          <w:szCs w:val="32"/>
          <w:shd w:val="clear" w:color="auto" w:fill="FFFFFF"/>
        </w:rPr>
        <w:t>2024年度年末一般公共预算财政拨款结转和结余0.00万元，与2023年度相比，无增减，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2024年度一般公共财政拨款基本支出240.03万元。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其中：</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人员经费196.03万元，与2023年度相比，增加44.94万元，增长29.7%，主要原因是</w:t>
      </w:r>
      <w:r>
        <w:rPr>
          <w:rFonts w:hint="default" w:ascii="Times New Roman" w:hAnsi="Times New Roman" w:eastAsia="方正仿宋_GBK" w:cs="Times New Roman"/>
          <w:b w:val="0"/>
          <w:bCs/>
          <w:sz w:val="32"/>
          <w:szCs w:val="32"/>
          <w:shd w:val="clear" w:color="auto" w:fill="FFFFFF"/>
          <w:lang w:val="en-US" w:eastAsia="zh-CN"/>
        </w:rPr>
        <w:t>人员工资及社保缴费调整增加。</w:t>
      </w:r>
      <w:r>
        <w:rPr>
          <w:rFonts w:hint="default" w:ascii="Times New Roman" w:hAnsi="Times New Roman" w:eastAsia="方正仿宋_GBK" w:cs="Times New Roman"/>
          <w:b w:val="0"/>
          <w:bCs/>
          <w:sz w:val="32"/>
          <w:szCs w:val="32"/>
          <w:shd w:val="clear" w:color="auto" w:fill="FFFFFF"/>
        </w:rPr>
        <w:t>人员经费用途主要包括</w:t>
      </w:r>
      <w:r>
        <w:rPr>
          <w:rFonts w:hint="default" w:ascii="Times New Roman" w:hAnsi="Times New Roman" w:eastAsia="方正仿宋_GBK" w:cs="Times New Roman"/>
          <w:b w:val="0"/>
          <w:bCs/>
          <w:sz w:val="32"/>
          <w:szCs w:val="32"/>
          <w:shd w:val="clear" w:color="auto" w:fill="FFFFFF"/>
          <w:lang w:val="en-US" w:eastAsia="zh-CN"/>
        </w:rPr>
        <w:t>人员工资、养老保险缴费、职业年金缴费、医疗保险缴费和住房公积金缴费。</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公用经费44.00万元，与2023年度相比，增加21.41万元，增长94.8%，主要原因是</w:t>
      </w:r>
      <w:r>
        <w:rPr>
          <w:rFonts w:hint="default" w:ascii="Times New Roman" w:hAnsi="Times New Roman" w:eastAsia="方正仿宋_GBK" w:cs="Times New Roman"/>
          <w:b w:val="0"/>
          <w:bCs/>
          <w:sz w:val="32"/>
          <w:szCs w:val="32"/>
          <w:shd w:val="clear" w:color="auto" w:fill="FFFFFF"/>
          <w:lang w:val="en-US" w:eastAsia="zh-CN"/>
        </w:rPr>
        <w:t>向机关事务管理局支付新车购置费24.8万元。</w:t>
      </w:r>
      <w:r>
        <w:rPr>
          <w:rFonts w:hint="default" w:ascii="Times New Roman" w:hAnsi="Times New Roman" w:eastAsia="方正仿宋_GBK" w:cs="Times New Roman"/>
          <w:b w:val="0"/>
          <w:bCs/>
          <w:sz w:val="32"/>
          <w:szCs w:val="32"/>
          <w:shd w:val="clear" w:color="auto" w:fill="FFFFFF"/>
        </w:rPr>
        <w:t>公用经费用途主要包括</w:t>
      </w:r>
      <w:r>
        <w:rPr>
          <w:rFonts w:hint="default" w:ascii="Times New Roman" w:hAnsi="Times New Roman" w:eastAsia="方正仿宋_GBK" w:cs="Times New Roman"/>
          <w:b w:val="0"/>
          <w:bCs/>
          <w:sz w:val="32"/>
          <w:szCs w:val="32"/>
          <w:shd w:val="clear" w:color="auto" w:fill="auto"/>
          <w:lang w:eastAsia="zh-CN"/>
        </w:rPr>
        <w:t>办公用电、办公用水、公务用车运行维护费、办公用品、物业管理、公务接待等。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2024年度政府性基金预算财政拨款年初结转结余0.00万元，年末结转结余0.00万元。本年收入247.91万元，与2023年度相比，减少143.95万元，下降36.7%，主要原因是</w:t>
      </w:r>
      <w:r>
        <w:rPr>
          <w:rFonts w:hint="default" w:ascii="Times New Roman" w:hAnsi="Times New Roman" w:eastAsia="方正仿宋_GBK" w:cs="Times New Roman"/>
          <w:b w:val="0"/>
          <w:bCs/>
          <w:sz w:val="32"/>
          <w:szCs w:val="32"/>
          <w:shd w:val="clear" w:color="auto" w:fill="FFFFFF"/>
          <w:lang w:val="en-US" w:eastAsia="zh-CN"/>
        </w:rPr>
        <w:t>政府性基金安排减少。</w:t>
      </w:r>
      <w:r>
        <w:rPr>
          <w:rFonts w:hint="default" w:ascii="Times New Roman" w:hAnsi="Times New Roman" w:eastAsia="方正仿宋_GBK" w:cs="Times New Roman"/>
          <w:b w:val="0"/>
          <w:bCs/>
          <w:sz w:val="32"/>
          <w:szCs w:val="32"/>
          <w:shd w:val="clear" w:color="auto" w:fill="FFFFFF"/>
        </w:rPr>
        <w:t>本年支出247.91万元，与2023年度相比，减少143.95万元，下降36.7%，主要原因是</w:t>
      </w:r>
      <w:r>
        <w:rPr>
          <w:rFonts w:hint="default" w:ascii="Times New Roman" w:hAnsi="Times New Roman" w:eastAsia="方正仿宋_GBK" w:cs="Times New Roman"/>
          <w:b w:val="0"/>
          <w:bCs/>
          <w:sz w:val="32"/>
          <w:szCs w:val="32"/>
          <w:shd w:val="clear" w:color="auto" w:fill="FFFFFF"/>
          <w:lang w:val="en-US" w:eastAsia="zh-CN"/>
        </w:rPr>
        <w:t>政府性基金安排减少。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w:t>
      </w:r>
      <w:r>
        <w:rPr>
          <w:rStyle w:val="10"/>
          <w:rFonts w:hint="default" w:ascii="方正楷体_GBK" w:hAnsi="方正楷体_GBK" w:eastAsia="方正楷体_GBK" w:cs="方正楷体_GBK"/>
          <w:b w:val="0"/>
          <w:bCs/>
          <w:sz w:val="32"/>
          <w:szCs w:val="32"/>
          <w:shd w:val="clear" w:color="auto" w:fill="FFFFFF"/>
          <w:lang w:val="en-US" w:eastAsia="zh-CN"/>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三、</w:t>
      </w:r>
      <w:r>
        <w:rPr>
          <w:rStyle w:val="10"/>
          <w:rFonts w:hint="default" w:ascii="方正黑体_GBK" w:hAnsi="方正黑体_GBK" w:eastAsia="方正黑体_GBK" w:cs="方正黑体_GBK"/>
          <w:b w:val="0"/>
          <w:bCs/>
          <w:sz w:val="32"/>
          <w:szCs w:val="32"/>
          <w:shd w:val="clear" w:color="auto" w:fill="FFFFFF"/>
          <w:lang w:eastAsia="zh-CN"/>
        </w:rPr>
        <w:t>财政拨款</w:t>
      </w:r>
      <w:r>
        <w:rPr>
          <w:rStyle w:val="10"/>
          <w:rFonts w:hint="default" w:ascii="方正黑体_GBK" w:hAnsi="方正黑体_GBK" w:eastAsia="方正黑体_GBK" w:cs="方正黑体_GBK"/>
          <w:b w:val="0"/>
          <w:bCs/>
          <w:sz w:val="32"/>
          <w:szCs w:val="32"/>
          <w:shd w:val="clear" w:color="auto" w:fill="FFFFFF"/>
        </w:rPr>
        <w:t>“三公”经费情况说明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（一）“三公”经费支出总体情况说明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2024年度“三公”经费支出共计2.76万元，较年初预算数减少4.74万元，下降63.2%，主要原因是</w:t>
      </w:r>
      <w:r>
        <w:rPr>
          <w:rFonts w:hint="default" w:ascii="Times New Roman" w:hAnsi="Times New Roman" w:eastAsia="方正仿宋_GBK" w:cs="Times New Roman"/>
          <w:b w:val="0"/>
          <w:bCs/>
          <w:sz w:val="32"/>
          <w:szCs w:val="32"/>
          <w:shd w:val="clear" w:color="auto" w:fill="FFFFFF"/>
          <w:lang w:val="en-US" w:eastAsia="zh-CN"/>
        </w:rPr>
        <w:t>公务接待减少及公务用车出售后未增加减少公务用车运行维护费支出</w:t>
      </w:r>
      <w:r>
        <w:rPr>
          <w:rFonts w:hint="default" w:ascii="Times New Roman" w:hAnsi="Times New Roman" w:eastAsia="方正仿宋_GBK" w:cs="Times New Roman"/>
          <w:b w:val="0"/>
          <w:bCs/>
          <w:sz w:val="32"/>
          <w:szCs w:val="32"/>
          <w:shd w:val="clear" w:color="auto" w:fill="FFFFFF"/>
        </w:rPr>
        <w:t>较上年支出数减少3.55万元，下降56.3%，主要原因是</w:t>
      </w:r>
      <w:r>
        <w:rPr>
          <w:rFonts w:hint="default" w:ascii="Times New Roman" w:hAnsi="Times New Roman" w:eastAsia="方正仿宋_GBK" w:cs="Times New Roman"/>
          <w:b w:val="0"/>
          <w:bCs/>
          <w:sz w:val="32"/>
          <w:szCs w:val="32"/>
          <w:shd w:val="clear" w:color="auto" w:fill="FFFFFF"/>
          <w:lang w:val="en-US" w:eastAsia="zh-CN"/>
        </w:rPr>
        <w:t>公务接待减少及公务用车出售后未增加减少公务用车运行维护费支出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（二）“三公”经费分项支出情况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2024年度本</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因公出国（境）费用0.00万元，费用支出较年初预算数无增减，较上年支出数无增减</w:t>
      </w:r>
      <w:r>
        <w:rPr>
          <w:rFonts w:hint="default" w:ascii="Times New Roman" w:hAnsi="Times New Roman" w:eastAsia="方正仿宋_GBK" w:cs="Times New Roman"/>
          <w:b w:val="0"/>
          <w:bCs/>
          <w:sz w:val="32"/>
          <w:szCs w:val="32"/>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公务</w:t>
      </w:r>
      <w:r>
        <w:rPr>
          <w:rFonts w:hint="default" w:ascii="Times New Roman" w:hAnsi="Times New Roman" w:eastAsia="方正仿宋_GBK" w:cs="Times New Roman"/>
          <w:b w:val="0"/>
          <w:bCs/>
          <w:sz w:val="32"/>
          <w:szCs w:val="32"/>
          <w:shd w:val="clear" w:color="auto" w:fill="FFFFFF"/>
          <w:lang w:eastAsia="zh-CN"/>
        </w:rPr>
        <w:t>用</w:t>
      </w:r>
      <w:r>
        <w:rPr>
          <w:rFonts w:hint="default" w:ascii="Times New Roman" w:hAnsi="Times New Roman" w:eastAsia="方正仿宋_GBK" w:cs="Times New Roman"/>
          <w:b w:val="0"/>
          <w:bCs/>
          <w:sz w:val="32"/>
          <w:szCs w:val="32"/>
          <w:shd w:val="clear" w:color="auto" w:fill="FFFFFF"/>
        </w:rPr>
        <w:t>车购置费0.00万元，费用支出较年初预算数无增减，较上年支出数无增减</w:t>
      </w:r>
      <w:r>
        <w:rPr>
          <w:rFonts w:hint="default" w:ascii="Times New Roman" w:hAnsi="Times New Roman" w:eastAsia="方正仿宋_GBK" w:cs="Times New Roman"/>
          <w:b w:val="0"/>
          <w:bCs/>
          <w:sz w:val="32"/>
          <w:szCs w:val="32"/>
          <w:shd w:val="clear" w:color="auto" w:fill="FFFFFF"/>
          <w:lang w:eastAsia="zh-CN"/>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sz w:val="32"/>
          <w:szCs w:val="32"/>
          <w:shd w:val="clear" w:color="auto" w:fill="FFFFFF"/>
        </w:rPr>
        <w:t>公务</w:t>
      </w:r>
      <w:r>
        <w:rPr>
          <w:rFonts w:hint="default" w:ascii="Times New Roman" w:hAnsi="Times New Roman" w:eastAsia="方正仿宋_GBK" w:cs="Times New Roman"/>
          <w:b w:val="0"/>
          <w:bCs/>
          <w:sz w:val="32"/>
          <w:szCs w:val="32"/>
          <w:shd w:val="clear" w:color="auto" w:fill="FFFFFF"/>
          <w:lang w:eastAsia="zh-CN"/>
        </w:rPr>
        <w:t>用</w:t>
      </w:r>
      <w:r>
        <w:rPr>
          <w:rFonts w:hint="default" w:ascii="Times New Roman" w:hAnsi="Times New Roman" w:eastAsia="方正仿宋_GBK" w:cs="Times New Roman"/>
          <w:b w:val="0"/>
          <w:bCs/>
          <w:sz w:val="32"/>
          <w:szCs w:val="32"/>
          <w:shd w:val="clear" w:color="auto" w:fill="FFFFFF"/>
        </w:rPr>
        <w:t>车运行维护费2.00万元，主要用于</w:t>
      </w:r>
      <w:r>
        <w:rPr>
          <w:rFonts w:hint="default" w:ascii="Times New Roman" w:hAnsi="Times New Roman" w:eastAsia="方正仿宋_GBK" w:cs="Times New Roman"/>
          <w:b w:val="0"/>
          <w:bCs/>
          <w:sz w:val="32"/>
          <w:szCs w:val="32"/>
          <w:shd w:val="clear" w:color="auto" w:fill="FFFFFF"/>
          <w:lang w:val="en-US" w:eastAsia="zh-CN"/>
        </w:rPr>
        <w:t>公务用车过关费、保险费及公务用车用油。</w:t>
      </w:r>
      <w:r>
        <w:rPr>
          <w:rFonts w:hint="default" w:ascii="Times New Roman" w:hAnsi="Times New Roman" w:eastAsia="方正仿宋_GBK" w:cs="Times New Roman"/>
          <w:b w:val="0"/>
          <w:bCs/>
          <w:sz w:val="32"/>
          <w:szCs w:val="32"/>
          <w:shd w:val="clear" w:color="auto" w:fill="FFFFFF"/>
        </w:rPr>
        <w:t>费用支出较年初预算数减少2.50万元，下降55.6%，主要原因是</w:t>
      </w:r>
      <w:r>
        <w:rPr>
          <w:rFonts w:hint="default" w:ascii="Times New Roman" w:hAnsi="Times New Roman" w:eastAsia="方正仿宋_GBK" w:cs="Times New Roman"/>
          <w:b w:val="0"/>
          <w:bCs/>
          <w:color w:val="000000"/>
          <w:sz w:val="32"/>
          <w:szCs w:val="32"/>
          <w:lang w:val="en-US" w:eastAsia="zh-CN"/>
        </w:rPr>
        <w:t>车辆出售减少的公务用车运行维护。</w:t>
      </w:r>
      <w:r>
        <w:rPr>
          <w:rFonts w:hint="default" w:ascii="Times New Roman" w:hAnsi="Times New Roman" w:eastAsia="方正仿宋_GBK" w:cs="Times New Roman"/>
          <w:b w:val="0"/>
          <w:bCs/>
          <w:sz w:val="32"/>
          <w:szCs w:val="32"/>
          <w:shd w:val="clear" w:color="auto" w:fill="FFFFFF"/>
        </w:rPr>
        <w:t>较上年支出数减少3.00万元，下降60.0%，主要原因是</w:t>
      </w:r>
      <w:r>
        <w:rPr>
          <w:rFonts w:hint="default" w:ascii="Times New Roman" w:hAnsi="Times New Roman" w:eastAsia="方正仿宋_GBK" w:cs="Times New Roman"/>
          <w:b w:val="0"/>
          <w:bCs/>
          <w:color w:val="000000"/>
          <w:sz w:val="32"/>
          <w:szCs w:val="32"/>
          <w:lang w:val="en-US" w:eastAsia="zh-CN"/>
        </w:rPr>
        <w:t>车辆出售减少的公务用车运行维护。</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公务接待费0.76万元，主要用于接待</w:t>
      </w:r>
      <w:r>
        <w:rPr>
          <w:rFonts w:hint="default" w:ascii="Times New Roman" w:hAnsi="Times New Roman" w:eastAsia="方正仿宋_GBK" w:cs="Times New Roman"/>
          <w:b w:val="0"/>
          <w:bCs/>
          <w:sz w:val="32"/>
          <w:szCs w:val="32"/>
          <w:shd w:val="clear" w:color="auto" w:fill="FFFFFF"/>
          <w:lang w:val="en-US" w:eastAsia="zh-CN"/>
        </w:rPr>
        <w:t>公务用餐。</w:t>
      </w:r>
      <w:r>
        <w:rPr>
          <w:rFonts w:hint="default" w:ascii="Times New Roman" w:hAnsi="Times New Roman" w:eastAsia="方正仿宋_GBK" w:cs="Times New Roman"/>
          <w:b w:val="0"/>
          <w:bCs/>
          <w:sz w:val="32"/>
          <w:szCs w:val="32"/>
          <w:shd w:val="clear" w:color="auto" w:fill="FFFFFF"/>
        </w:rPr>
        <w:t>费用支出较年初预算数减少2.24万元，下降74.7%，主要原因是</w:t>
      </w:r>
      <w:r>
        <w:rPr>
          <w:rFonts w:hint="default" w:ascii="Times New Roman" w:hAnsi="Times New Roman" w:eastAsia="方正仿宋_GBK" w:cs="Times New Roman"/>
          <w:b w:val="0"/>
          <w:bCs/>
          <w:sz w:val="32"/>
          <w:szCs w:val="32"/>
          <w:shd w:val="clear" w:color="auto" w:fill="FFFFFF"/>
          <w:lang w:val="en-US" w:eastAsia="zh-CN"/>
        </w:rPr>
        <w:t>接待次数及人数较上年减少。</w:t>
      </w:r>
      <w:r>
        <w:rPr>
          <w:rFonts w:hint="default" w:ascii="Times New Roman" w:hAnsi="Times New Roman" w:eastAsia="方正仿宋_GBK" w:cs="Times New Roman"/>
          <w:b w:val="0"/>
          <w:bCs/>
          <w:sz w:val="32"/>
          <w:szCs w:val="32"/>
          <w:shd w:val="clear" w:color="auto" w:fill="FFFFFF"/>
        </w:rPr>
        <w:t>较上年支出数减少0.55万元，下降42.0%，主要原因是</w:t>
      </w:r>
      <w:r>
        <w:rPr>
          <w:rFonts w:hint="default" w:ascii="Times New Roman" w:hAnsi="Times New Roman" w:eastAsia="方正仿宋_GBK" w:cs="Times New Roman"/>
          <w:b w:val="0"/>
          <w:bCs/>
          <w:sz w:val="32"/>
          <w:szCs w:val="32"/>
          <w:shd w:val="clear" w:color="auto" w:fill="FFFFFF"/>
          <w:lang w:val="en-US" w:eastAsia="zh-CN"/>
        </w:rPr>
        <w:t>接待次数及人数较上年减少。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（三）“三公”经费实物量情况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2024年度本</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因公出国（境）共计0个团组，0人；公务用车购置0辆，公务车保有量为0辆；国内公务接待7批次65人，其中：国内外事接待0批次，0人；国（境）外公务接待0批次，0人。2024年本</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人均接待费116.51元，车均购置费0万元，车均维护费0万元。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（一）财政拨款会议费、培训费和差旅费情况说明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本年度会议费支出0.00万元，与2023年度相比，无增减，本年度培训费支出0.16万元，与2023年度相比，减少0.43万元，下降72.9%，主要原因是</w:t>
      </w:r>
      <w:r>
        <w:rPr>
          <w:rFonts w:hint="default" w:ascii="Times New Roman" w:hAnsi="Times New Roman" w:eastAsia="方正仿宋_GBK" w:cs="Times New Roman"/>
          <w:b w:val="0"/>
          <w:bCs/>
          <w:sz w:val="32"/>
          <w:szCs w:val="32"/>
          <w:shd w:val="clear" w:color="auto" w:fill="FFFFFF"/>
          <w:lang w:val="en-US" w:eastAsia="zh-CN"/>
        </w:rPr>
        <w:t>培训减少。</w:t>
      </w:r>
      <w:r>
        <w:rPr>
          <w:rFonts w:hint="default" w:ascii="Times New Roman" w:hAnsi="Times New Roman" w:eastAsia="方正仿宋_GBK" w:cs="Times New Roman"/>
          <w:b w:val="0"/>
          <w:bCs/>
          <w:sz w:val="32"/>
          <w:szCs w:val="32"/>
          <w:shd w:val="clear" w:color="auto" w:fill="FFFFFF"/>
        </w:rPr>
        <w:t>本年度差旅费支出5.36</w:t>
      </w:r>
      <w:r>
        <w:rPr>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b w:val="0"/>
          <w:bCs/>
          <w:sz w:val="32"/>
          <w:szCs w:val="32"/>
          <w:shd w:val="clear" w:color="auto" w:fill="FFFFFF"/>
        </w:rPr>
        <w:t>与2023年度相比，增加1.75万元，增长48.5%，主要原因是</w:t>
      </w:r>
      <w:r>
        <w:rPr>
          <w:rFonts w:hint="default" w:ascii="Times New Roman" w:hAnsi="Times New Roman" w:eastAsia="方正仿宋_GBK" w:cs="Times New Roman"/>
          <w:b w:val="0"/>
          <w:bCs/>
          <w:sz w:val="32"/>
          <w:szCs w:val="32"/>
          <w:shd w:val="clear" w:color="auto" w:fill="FFFFFF"/>
          <w:lang w:val="en-US" w:eastAsia="zh-CN"/>
        </w:rPr>
        <w:t>出差次数及人数增加。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（二）机关运行经费情况说明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color w:val="auto"/>
          <w:sz w:val="32"/>
          <w:szCs w:val="32"/>
          <w:highlight w:val="yellow"/>
        </w:rPr>
      </w:pPr>
      <w:r>
        <w:rPr>
          <w:rFonts w:hint="default" w:ascii="Times New Roman" w:hAnsi="Times New Roman" w:eastAsia="方正仿宋_GBK" w:cs="Times New Roman"/>
          <w:b w:val="0"/>
          <w:bCs/>
          <w:sz w:val="32"/>
          <w:szCs w:val="32"/>
          <w:shd w:val="clear" w:color="auto" w:fill="FFFFFF"/>
        </w:rPr>
        <w:t>2024年度本</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机关运行经费支出44.00万元，机关运行经费主要用于开支</w:t>
      </w:r>
      <w:r>
        <w:rPr>
          <w:rFonts w:hint="default" w:ascii="Times New Roman" w:hAnsi="Times New Roman" w:eastAsia="方正仿宋_GBK" w:cs="Times New Roman"/>
          <w:b w:val="0"/>
          <w:bCs/>
          <w:sz w:val="32"/>
          <w:szCs w:val="32"/>
          <w:shd w:val="clear" w:color="auto" w:fill="auto"/>
          <w:lang w:eastAsia="zh-CN"/>
        </w:rPr>
        <w:t>办公用水、电、办公用品、</w:t>
      </w:r>
      <w:r>
        <w:rPr>
          <w:rFonts w:hint="default" w:ascii="Times New Roman" w:hAnsi="Times New Roman" w:eastAsia="方正仿宋_GBK" w:cs="Times New Roman"/>
          <w:b w:val="0"/>
          <w:bCs/>
          <w:sz w:val="32"/>
          <w:szCs w:val="32"/>
          <w:shd w:val="clear" w:color="auto" w:fill="auto"/>
          <w:lang w:val="en-US" w:eastAsia="zh-CN"/>
        </w:rPr>
        <w:t>网络通讯费、物业管理费</w:t>
      </w:r>
      <w:r>
        <w:rPr>
          <w:rFonts w:hint="default" w:ascii="Times New Roman" w:hAnsi="Times New Roman" w:eastAsia="方正仿宋_GBK" w:cs="Times New Roman"/>
          <w:b w:val="0"/>
          <w:bCs/>
          <w:sz w:val="32"/>
          <w:szCs w:val="32"/>
          <w:shd w:val="clear" w:color="auto" w:fill="auto"/>
          <w:lang w:eastAsia="zh-CN"/>
        </w:rPr>
        <w:t>等。</w:t>
      </w:r>
      <w:r>
        <w:rPr>
          <w:rFonts w:hint="default" w:ascii="Times New Roman" w:hAnsi="Times New Roman" w:eastAsia="方正仿宋_GBK" w:cs="Times New Roman"/>
          <w:b w:val="0"/>
          <w:bCs/>
          <w:sz w:val="32"/>
          <w:szCs w:val="32"/>
          <w:shd w:val="clear" w:color="auto" w:fill="FFFFFF"/>
        </w:rPr>
        <w:t>机关运行经费较上年支出数增加21.41万元，增长94.8%，主要原因是</w:t>
      </w:r>
      <w:r>
        <w:rPr>
          <w:rFonts w:hint="default" w:ascii="Times New Roman" w:hAnsi="Times New Roman" w:eastAsia="方正仿宋_GBK" w:cs="Times New Roman"/>
          <w:b w:val="0"/>
          <w:bCs/>
          <w:sz w:val="32"/>
          <w:szCs w:val="32"/>
          <w:shd w:val="clear" w:color="auto" w:fill="FFFFFF"/>
          <w:lang w:val="en-US" w:eastAsia="zh-CN"/>
        </w:rPr>
        <w:t>向机关事务管理局支付了24.8万元车辆购置费。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（三）国有资产占用情况说明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截至2024年12月31日，本</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（四）政府采购支出情况说明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40" w:hanging="640" w:hangingChars="200"/>
        <w:jc w:val="left"/>
        <w:textAlignment w:val="auto"/>
        <w:rPr>
          <w:rFonts w:hint="eastAsia"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2024年度我</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未发生政府采购事项，无相关经费支出</w:t>
      </w:r>
      <w:r>
        <w:rPr>
          <w:rFonts w:hint="eastAsia" w:ascii="Times New Roman" w:hAnsi="Times New Roman" w:eastAsia="方正仿宋_GBK" w:cs="Times New Roman"/>
          <w:b w:val="0"/>
          <w:bCs/>
          <w:sz w:val="32"/>
          <w:szCs w:val="32"/>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jc w:val="left"/>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w:t>
      </w:r>
      <w:r>
        <w:rPr>
          <w:rStyle w:val="10"/>
          <w:rFonts w:hint="default" w:ascii="方正黑体_GBK" w:hAnsi="方正黑体_GBK" w:eastAsia="方正黑体_GBK" w:cs="方正黑体_GBK"/>
          <w:b w:val="0"/>
          <w:bCs/>
          <w:sz w:val="32"/>
          <w:szCs w:val="32"/>
          <w:shd w:val="clear" w:color="auto" w:fill="FFFFFF"/>
          <w:lang w:val="en-US" w:eastAsia="zh-CN"/>
        </w:rPr>
        <w:t>2024年度预算绩效管理情况说明</w:t>
      </w:r>
    </w:p>
    <w:p>
      <w:pPr>
        <w:pStyle w:val="8"/>
        <w:keepNext w:val="0"/>
        <w:keepLines w:val="0"/>
        <w:pageBreakBefore w:val="0"/>
        <w:widowControl/>
        <w:numPr>
          <w:ilvl w:val="0"/>
          <w:numId w:val="0"/>
        </w:numPr>
        <w:shd w:val="clear" w:color="auto" w:fill="FFFFFF"/>
        <w:kinsoku/>
        <w:wordWrap/>
        <w:overflowPunct/>
        <w:topLinePunct w:val="0"/>
        <w:autoSpaceDN/>
        <w:bidi w:val="0"/>
        <w:adjustRightInd/>
        <w:spacing w:beforeAutospacing="0" w:after="0" w:afterAutospacing="0" w:line="560" w:lineRule="exact"/>
        <w:ind w:leftChars="0" w:firstLine="640" w:firstLineChars="200"/>
        <w:jc w:val="left"/>
        <w:textAlignment w:val="auto"/>
        <w:rPr>
          <w:rStyle w:val="10"/>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rPr>
        <w:t>我单位所涉项目为重点专项，按照市退役军人事务局统一要求进行绩效评价并不予以公开。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（一）单位自评情况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kern w:val="0"/>
          <w:sz w:val="32"/>
          <w:szCs w:val="32"/>
          <w:shd w:val="clear" w:fill="FFFFFF"/>
        </w:rPr>
      </w:pPr>
      <w:r>
        <w:rPr>
          <w:rFonts w:hint="default" w:ascii="Times New Roman" w:hAnsi="Times New Roman" w:eastAsia="方正仿宋_GBK" w:cs="Times New Roman"/>
          <w:b w:val="0"/>
          <w:bCs/>
          <w:kern w:val="0"/>
          <w:sz w:val="32"/>
          <w:szCs w:val="32"/>
          <w:shd w:val="clear" w:fill="FFFFFF"/>
        </w:rPr>
        <w:t>根据预算绩效管理要求，我单位对</w:t>
      </w:r>
      <w:r>
        <w:rPr>
          <w:rFonts w:hint="default" w:ascii="Times New Roman" w:hAnsi="Times New Roman" w:eastAsia="方正仿宋_GBK" w:cs="Times New Roman"/>
          <w:b w:val="0"/>
          <w:bCs/>
          <w:kern w:val="0"/>
          <w:sz w:val="32"/>
          <w:szCs w:val="32"/>
          <w:shd w:val="clear" w:fill="FFFFFF"/>
          <w:lang w:val="en-US" w:eastAsia="zh-CN"/>
        </w:rPr>
        <w:t>19</w:t>
      </w:r>
      <w:r>
        <w:rPr>
          <w:rFonts w:hint="default" w:ascii="Times New Roman" w:hAnsi="Times New Roman" w:eastAsia="方正仿宋_GBK" w:cs="Times New Roman"/>
          <w:b w:val="0"/>
          <w:bCs/>
          <w:kern w:val="0"/>
          <w:sz w:val="32"/>
          <w:szCs w:val="32"/>
          <w:shd w:val="clear" w:fill="FFFFFF"/>
        </w:rPr>
        <w:t>个项目开展了绩效自评，涉及财政拨款项目支出资金</w:t>
      </w:r>
      <w:r>
        <w:rPr>
          <w:rFonts w:hint="default" w:ascii="Times New Roman" w:hAnsi="Times New Roman" w:eastAsia="方正仿宋_GBK" w:cs="Times New Roman"/>
          <w:b w:val="0"/>
          <w:bCs/>
          <w:kern w:val="0"/>
          <w:sz w:val="32"/>
          <w:szCs w:val="32"/>
          <w:shd w:val="clear" w:fill="FFFFFF"/>
          <w:lang w:val="en-US" w:eastAsia="zh-CN"/>
        </w:rPr>
        <w:t>5967.07</w:t>
      </w:r>
      <w:r>
        <w:rPr>
          <w:rFonts w:hint="default" w:ascii="Times New Roman" w:hAnsi="Times New Roman" w:eastAsia="方正仿宋_GBK" w:cs="Times New Roman"/>
          <w:b w:val="0"/>
          <w:bCs/>
          <w:kern w:val="0"/>
          <w:sz w:val="32"/>
          <w:szCs w:val="32"/>
          <w:shd w:val="clear"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w:t>
      </w:r>
      <w:r>
        <w:rPr>
          <w:rStyle w:val="10"/>
          <w:rFonts w:hint="eastAsia" w:ascii="方正楷体_GBK" w:hAnsi="方正楷体_GBK" w:eastAsia="方正楷体_GBK" w:cs="方正楷体_GBK"/>
          <w:b w:val="0"/>
          <w:bCs/>
          <w:sz w:val="32"/>
          <w:szCs w:val="32"/>
          <w:shd w:val="clear" w:color="auto" w:fill="FFFFFF"/>
          <w:lang w:val="en-US" w:eastAsia="zh-CN"/>
        </w:rPr>
        <w:t>单位</w:t>
      </w:r>
      <w:r>
        <w:rPr>
          <w:rStyle w:val="10"/>
          <w:rFonts w:hint="default" w:ascii="方正楷体_GBK" w:hAnsi="方正楷体_GBK" w:eastAsia="方正楷体_GBK" w:cs="方正楷体_GBK"/>
          <w:b w:val="0"/>
          <w:bCs/>
          <w:sz w:val="32"/>
          <w:szCs w:val="32"/>
          <w:shd w:val="clear" w:color="auto" w:fill="FFFFFF"/>
        </w:rPr>
        <w:t>绩效评价情况</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按照市退役军人事务局统一要求，自评情况不予公开。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lang w:val="en-US" w:eastAsia="zh-CN"/>
        </w:rPr>
        <w:t>（三）财政绩效评价情况</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bidi="ar-SA"/>
        </w:rPr>
        <w:t>县财政局未委托第三方对我单位开展绩效评价。</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lang w:eastAsia="zh-CN"/>
        </w:rPr>
        <w:t>六</w:t>
      </w:r>
      <w:r>
        <w:rPr>
          <w:rStyle w:val="10"/>
          <w:rFonts w:hint="default" w:ascii="方正黑体_GBK" w:hAnsi="方正黑体_GBK" w:eastAsia="方正黑体_GBK" w:cs="方正黑体_GBK"/>
          <w:b w:val="0"/>
          <w:bCs/>
          <w:sz w:val="32"/>
          <w:szCs w:val="32"/>
          <w:shd w:val="clear" w:color="auto" w:fill="FFFFFF"/>
        </w:rPr>
        <w:t>、专业名词解释</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b w:val="0"/>
          <w:bCs/>
          <w:sz w:val="32"/>
          <w:szCs w:val="32"/>
          <w:shd w:val="clear" w:color="auto" w:fill="FFFFFF"/>
        </w:rPr>
        <w:t>指本年度从本级财政部门取得的财政拨款。</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b w:val="0"/>
          <w:bCs/>
          <w:sz w:val="32"/>
          <w:szCs w:val="32"/>
          <w:shd w:val="clear" w:color="auto" w:fill="FFFFFF"/>
        </w:rPr>
        <w:t>指事业单位开展专业业务活动及其辅助活动取得的</w:t>
      </w:r>
      <w:r>
        <w:rPr>
          <w:rFonts w:hint="default" w:ascii="Times New Roman" w:hAnsi="Times New Roman" w:eastAsia="方正仿宋_GBK" w:cs="Times New Roman"/>
          <w:b w:val="0"/>
          <w:bCs/>
          <w:sz w:val="32"/>
          <w:szCs w:val="32"/>
          <w:shd w:val="clear" w:color="auto" w:fill="FFFFFF"/>
          <w:lang w:eastAsia="zh-CN"/>
        </w:rPr>
        <w:t>收入</w:t>
      </w:r>
      <w:r>
        <w:rPr>
          <w:rFonts w:hint="default" w:ascii="Times New Roman" w:hAnsi="Times New Roman" w:eastAsia="方正仿宋_GBK" w:cs="Times New Roman"/>
          <w:b w:val="0"/>
          <w:bCs/>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sz w:val="32"/>
          <w:szCs w:val="32"/>
          <w:shd w:val="clear" w:color="auto" w:fill="FFFFFF"/>
          <w:lang w:eastAsia="zh-CN"/>
        </w:rPr>
        <w:t>收入</w:t>
      </w:r>
      <w:r>
        <w:rPr>
          <w:rFonts w:hint="default" w:ascii="Times New Roman" w:hAnsi="Times New Roman" w:eastAsia="方正仿宋_GBK" w:cs="Times New Roman"/>
          <w:b w:val="0"/>
          <w:bCs/>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（五）使用非财政拨款结余</w:t>
      </w:r>
      <w:r>
        <w:rPr>
          <w:rStyle w:val="10"/>
          <w:rFonts w:hint="default" w:ascii="方正楷体_GBK" w:hAnsi="方正楷体_GBK" w:eastAsia="方正楷体_GBK" w:cs="方正楷体_GBK"/>
          <w:b w:val="0"/>
          <w:bCs/>
          <w:sz w:val="32"/>
          <w:szCs w:val="32"/>
          <w:shd w:val="clear" w:color="auto" w:fill="FFFFFF"/>
          <w:lang w:eastAsia="zh-CN"/>
        </w:rPr>
        <w:t>（含专用结余）</w:t>
      </w:r>
      <w:r>
        <w:rPr>
          <w:rStyle w:val="10"/>
          <w:rFonts w:hint="default"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rPr>
        <w:t>指</w:t>
      </w:r>
      <w:r>
        <w:rPr>
          <w:rFonts w:hint="default" w:ascii="Times New Roman" w:hAnsi="Times New Roman" w:eastAsia="方正仿宋_GBK" w:cs="Times New Roman"/>
          <w:b w:val="0"/>
          <w:bCs/>
          <w:sz w:val="32"/>
          <w:szCs w:val="32"/>
          <w:shd w:val="clear" w:color="auto" w:fill="FFFFFF"/>
          <w:lang w:eastAsia="zh-CN"/>
        </w:rPr>
        <w:t>事业单位按照预算管理要求使用非财政拨款结余弥补收支差额的金额，以及使用专用结余安排支出的金额。</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b w:val="0"/>
          <w:bCs/>
          <w:sz w:val="32"/>
          <w:szCs w:val="32"/>
          <w:shd w:val="clear" w:color="auto" w:fill="FFFFFF"/>
        </w:rPr>
        <w:t>指单位上年结转本年使用的基本支出结转、项目支出结转和结余、经营结余。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b w:val="0"/>
          <w:bCs/>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b w:val="0"/>
          <w:bCs/>
          <w:sz w:val="32"/>
          <w:szCs w:val="32"/>
          <w:shd w:val="clear" w:color="auto" w:fill="FFFFFF"/>
        </w:rPr>
        <w:t>指单位结转下年的基本支出结转、项目支出结转和结余、经营结余。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b w:val="0"/>
          <w:bCs/>
          <w:sz w:val="32"/>
          <w:szCs w:val="32"/>
          <w:shd w:val="clear" w:color="auto" w:fill="FFFFFF"/>
        </w:rPr>
        <w:t>指在基本支出之外为完成特定行政任务和事业发展目标所发生的支出。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b w:val="0"/>
          <w:bCs/>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b w:val="0"/>
          <w:bCs/>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rPr>
      </w:pPr>
      <w:r>
        <w:rPr>
          <w:rStyle w:val="10"/>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b w:val="0"/>
          <w:bCs/>
          <w:sz w:val="32"/>
          <w:szCs w:val="32"/>
          <w:shd w:val="clear" w:color="auto" w:fill="FFFFFF"/>
        </w:rPr>
        <w:t>反映用于对个人和家庭的补助支出。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lang w:eastAsia="zh-CN"/>
        </w:rPr>
        <w:t>七</w:t>
      </w:r>
      <w:r>
        <w:rPr>
          <w:rStyle w:val="10"/>
          <w:rFonts w:hint="default" w:ascii="方正黑体_GBK" w:hAnsi="方正黑体_GBK" w:eastAsia="方正黑体_GBK" w:cs="方正黑体_GBK"/>
          <w:b w:val="0"/>
          <w:bCs/>
          <w:sz w:val="32"/>
          <w:szCs w:val="32"/>
          <w:shd w:val="clear" w:color="auto" w:fill="FFFFFF"/>
        </w:rPr>
        <w:t>、决算公开联系方式及信息反馈渠道</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本</w:t>
      </w:r>
      <w:r>
        <w:rPr>
          <w:rFonts w:hint="eastAsia" w:ascii="Times New Roman" w:hAnsi="Times New Roman" w:eastAsia="方正仿宋_GBK" w:cs="Times New Roman"/>
          <w:b w:val="0"/>
          <w:bCs/>
          <w:sz w:val="32"/>
          <w:szCs w:val="32"/>
          <w:shd w:val="clear" w:color="auto" w:fill="FFFFFF"/>
          <w:lang w:val="en-US" w:eastAsia="zh-CN"/>
        </w:rPr>
        <w:t>单位</w:t>
      </w:r>
      <w:r>
        <w:rPr>
          <w:rFonts w:hint="default" w:ascii="Times New Roman" w:hAnsi="Times New Roman" w:eastAsia="方正仿宋_GBK" w:cs="Times New Roman"/>
          <w:b w:val="0"/>
          <w:bCs/>
          <w:sz w:val="32"/>
          <w:szCs w:val="32"/>
          <w:shd w:val="clear" w:color="auto" w:fill="FFFFFF"/>
        </w:rPr>
        <w:t>决算公开信息反馈和联系方式：</w:t>
      </w:r>
      <w:r>
        <w:rPr>
          <w:rFonts w:hint="default" w:ascii="Times New Roman" w:hAnsi="Times New Roman" w:eastAsia="方正仿宋_GBK" w:cs="Times New Roman"/>
          <w:b w:val="0"/>
          <w:bCs/>
          <w:sz w:val="32"/>
          <w:szCs w:val="32"/>
          <w:shd w:val="clear" w:color="auto" w:fill="FFFFFF"/>
          <w:lang w:val="en-US" w:eastAsia="zh-CN"/>
        </w:rPr>
        <w:t>023-76895079</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Chars="0"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p>
    <w:p>
      <w:pPr>
        <w:pStyle w:val="13"/>
        <w:autoSpaceDE w:val="0"/>
        <w:spacing w:line="596" w:lineRule="exact"/>
        <w:ind w:left="0" w:leftChars="0" w:firstLine="0" w:firstLineChars="0"/>
        <w:jc w:val="both"/>
        <w:rPr>
          <w:rFonts w:hint="default" w:ascii="Times New Roman" w:hAnsi="Times New Roman" w:eastAsia="方正仿宋_GBK" w:cs="Times New Roman"/>
          <w:b w:val="0"/>
          <w:bCs/>
          <w:sz w:val="32"/>
          <w:szCs w:val="32"/>
          <w:shd w:val="clear" w:color="auto" w:fill="FFFF00"/>
        </w:rPr>
      </w:pPr>
    </w:p>
    <w:p>
      <w:pPr>
        <w:pStyle w:val="13"/>
        <w:autoSpaceDE w:val="0"/>
        <w:spacing w:line="596" w:lineRule="exact"/>
        <w:ind w:left="0" w:leftChars="0" w:firstLine="0" w:firstLineChars="0"/>
        <w:jc w:val="both"/>
        <w:rPr>
          <w:rFonts w:hint="default" w:ascii="Times New Roman" w:hAnsi="Times New Roman" w:eastAsia="方正仿宋_GBK" w:cs="Times New Roman"/>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秀山土家族苗族自治县退役军人事务局（本级）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5,894.63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5,540.62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6,147.70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6,147.71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6,147.71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6,147.71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秀山土家族苗族自治县退役军人事务局（本级）</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6,147.70</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6,142.54</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5,540.62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5,535.46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农村籍退役士兵老年生活补助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褒扬纪念</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958.75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953.60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军队移交政府的离退休人员安置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军队移交政府离退休干部管理机构</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退役士兵管理教育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军队转业干部安置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345.92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345.92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秀山土家族苗族自治县退役军人事务局（本级）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6,147.71</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240.03</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5,907.67</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5,540.62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农村籍退役士兵老年生活补助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褒扬纪念</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958.75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931.75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军队移交政府的离退休人员安置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军队移交政府离退休干部管理机构</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退役士兵管理教育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军队转业干部安置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165.29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345.92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秀山土家族苗族自治县退役军人事务局（本级）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5,894.63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5,535.47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5,535.47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6,142.54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6,142.55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5,894.64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6,142.55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6,142.55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5,894.64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秀山土家族苗族自治县退役军人事务局（本级）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5,894.64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5,654.61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5,535.47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5,319.90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4,192.36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伤残抚恤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农村籍退役士兵老年生活补助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褒扬纪念</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军队移交政府的离退休人员安置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军队移交政府离退休干部管理机构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退役士兵管理教育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军队转业干部安置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200.93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345.92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334.72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秀山土家族苗族自治县退役军人事务局（本级）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196.03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秀山土家族苗族自治县退役军人事务局（本级）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247.91</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秀山土家族苗族自治县退役军人事务局（本级）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秀山土家族苗族自治县退役军人事务局（本级）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82928"/>
    <w:multiLevelType w:val="singleLevel"/>
    <w:tmpl w:val="85A8292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4FD1A02"/>
    <w:rsid w:val="05061BC9"/>
    <w:rsid w:val="05BC6D49"/>
    <w:rsid w:val="06194FF1"/>
    <w:rsid w:val="06A2550B"/>
    <w:rsid w:val="06F80EE2"/>
    <w:rsid w:val="07001CCA"/>
    <w:rsid w:val="075678DB"/>
    <w:rsid w:val="079D7CC7"/>
    <w:rsid w:val="08051BCA"/>
    <w:rsid w:val="086C12F4"/>
    <w:rsid w:val="087B3940"/>
    <w:rsid w:val="08BA052C"/>
    <w:rsid w:val="08C419AB"/>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650A10"/>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07B9E"/>
    <w:rsid w:val="772E1EBA"/>
    <w:rsid w:val="77678E27"/>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 w:val="BDFBF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4</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国库科</cp:lastModifiedBy>
  <dcterms:modified xsi:type="dcterms:W3CDTF">2025-10-14T09:13:54Z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