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spacing w:before="0" w:beforeAutospacing="0" w:after="0" w:afterAutospacing="0" w:line="596" w:lineRule="exact"/>
        <w:jc w:val="center"/>
        <w:rPr>
          <w:rFonts w:hint="default" w:ascii="Times New Roman" w:hAnsi="Times New Roman" w:eastAsia="方正小标宋_GBK" w:cs="Times New Roman"/>
          <w:b w:val="0"/>
          <w:bCs w:val="0"/>
          <w:sz w:val="36"/>
          <w:szCs w:val="36"/>
        </w:rPr>
      </w:pPr>
      <w:r>
        <w:rPr>
          <w:rFonts w:hint="default" w:ascii="Times New Roman" w:hAnsi="Times New Roman" w:eastAsia="方正小标宋_GBK" w:cs="Times New Roman"/>
          <w:b w:val="0"/>
          <w:bCs w:val="0"/>
          <w:sz w:val="36"/>
          <w:szCs w:val="36"/>
        </w:rPr>
        <w:t>重庆市秀山土家族苗族自治县就业和人才中心</w:t>
      </w:r>
    </w:p>
    <w:p>
      <w:pPr>
        <w:pStyle w:val="6"/>
        <w:spacing w:before="0" w:beforeAutospacing="0" w:after="0" w:afterAutospacing="0" w:line="596" w:lineRule="exact"/>
        <w:jc w:val="center"/>
        <w:rPr>
          <w:rFonts w:hint="default" w:ascii="Times New Roman" w:hAnsi="Times New Roman" w:eastAsia="方正小标宋_GBK" w:cs="Times New Roman"/>
          <w:b w:val="0"/>
          <w:bCs w:val="0"/>
          <w:sz w:val="36"/>
          <w:szCs w:val="36"/>
          <w:shd w:val="clear" w:color="auto" w:fill="FFFFFF"/>
        </w:rPr>
      </w:pPr>
      <w:r>
        <w:rPr>
          <w:rFonts w:hint="default" w:ascii="Times New Roman" w:hAnsi="Times New Roman" w:eastAsia="方正小标宋_GBK" w:cs="Times New Roman"/>
          <w:b w:val="0"/>
          <w:bCs w:val="0"/>
          <w:sz w:val="36"/>
          <w:szCs w:val="36"/>
          <w:shd w:val="clear" w:color="auto" w:fill="FFFFFF"/>
        </w:rPr>
        <w:t>2024年度决算公开说明</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8"/>
          <w:rFonts w:hint="default" w:ascii="Times New Roman" w:hAnsi="Times New Roman" w:eastAsia="黑体" w:cs="Times New Roman"/>
          <w:b/>
          <w:bCs w:val="0"/>
          <w:sz w:val="32"/>
          <w:szCs w:val="32"/>
          <w:shd w:val="clear" w:color="auto" w:fill="FFFFFF"/>
        </w:rPr>
      </w:pPr>
      <w:r>
        <w:rPr>
          <w:rStyle w:val="8"/>
          <w:rFonts w:hint="default" w:ascii="Times New Roman" w:hAnsi="Times New Roman" w:eastAsia="黑体" w:cs="Times New Roman"/>
          <w:b/>
          <w:bCs w:val="0"/>
          <w:sz w:val="32"/>
          <w:szCs w:val="32"/>
          <w:shd w:val="clear" w:color="auto" w:fill="FFFFFF"/>
        </w:rPr>
        <w:t>一、</w:t>
      </w:r>
      <w:r>
        <w:rPr>
          <w:rStyle w:val="8"/>
          <w:rFonts w:hint="default" w:ascii="Times New Roman" w:hAnsi="Times New Roman" w:eastAsia="黑体" w:cs="Times New Roman"/>
          <w:b/>
          <w:bCs w:val="0"/>
          <w:sz w:val="32"/>
          <w:szCs w:val="32"/>
          <w:shd w:val="clear" w:color="auto" w:fill="FFFFFF"/>
          <w:lang w:eastAsia="zh-CN"/>
        </w:rPr>
        <w:t>部门</w:t>
      </w:r>
      <w:r>
        <w:rPr>
          <w:rStyle w:val="8"/>
          <w:rFonts w:hint="default" w:ascii="Times New Roman" w:hAnsi="Times New Roman" w:eastAsia="黑体" w:cs="Times New Roman"/>
          <w:b/>
          <w:bCs w:val="0"/>
          <w:sz w:val="32"/>
          <w:szCs w:val="32"/>
          <w:shd w:val="clear" w:color="auto" w:fill="FFFFFF"/>
        </w:rPr>
        <w:t>基本情况</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Fonts w:hint="default" w:ascii="Times New Roman" w:hAnsi="Times New Roman" w:eastAsia="方正仿宋_GBK" w:cs="Times New Roman"/>
          <w:sz w:val="32"/>
          <w:szCs w:val="32"/>
        </w:rPr>
      </w:pPr>
      <w:r>
        <w:rPr>
          <w:rStyle w:val="8"/>
          <w:rFonts w:hint="default" w:ascii="Times New Roman" w:hAnsi="Times New Roman" w:eastAsia="楷体" w:cs="Times New Roman"/>
          <w:sz w:val="32"/>
          <w:szCs w:val="32"/>
          <w:shd w:val="clear" w:color="auto" w:fill="FFFFFF"/>
        </w:rPr>
        <w:t>（一）职能职责</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default" w:ascii="Times New Roman" w:hAnsi="Times New Roman" w:eastAsia="方正仿宋_GBK" w:cs="Times New Roman"/>
          <w:b w:val="0"/>
          <w:kern w:val="0"/>
          <w:sz w:val="32"/>
          <w:szCs w:val="32"/>
          <w:shd w:val="clear" w:color="auto" w:fill="FFFFFF"/>
          <w:lang w:val="en-US" w:eastAsia="zh-CN" w:bidi="ar"/>
        </w:rPr>
      </w:pPr>
      <w:r>
        <w:rPr>
          <w:rFonts w:hint="default" w:ascii="Times New Roman" w:hAnsi="Times New Roman" w:eastAsia="方正仿宋_GBK" w:cs="Times New Roman"/>
          <w:b w:val="0"/>
          <w:kern w:val="0"/>
          <w:sz w:val="32"/>
          <w:szCs w:val="32"/>
          <w:shd w:val="clear" w:color="auto" w:fill="FFFFFF"/>
          <w:lang w:val="en-US" w:eastAsia="zh-CN" w:bidi="ar"/>
        </w:rPr>
        <w:t>（1）贯彻执行国家和上级劳动就业创业有关方针、政策和失业保险法律法规，研究拟定我县促进就业和发展劳务经济的政策措施，制定长远规划和年度计划并组织实施。</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default" w:ascii="Times New Roman" w:hAnsi="Times New Roman" w:eastAsia="方正仿宋_GBK" w:cs="Times New Roman"/>
          <w:b w:val="0"/>
          <w:kern w:val="0"/>
          <w:sz w:val="32"/>
          <w:szCs w:val="32"/>
          <w:shd w:val="clear" w:color="auto" w:fill="FFFFFF"/>
          <w:lang w:val="en-US" w:eastAsia="zh-CN" w:bidi="ar"/>
        </w:rPr>
      </w:pPr>
      <w:r>
        <w:rPr>
          <w:rFonts w:hint="default" w:ascii="Times New Roman" w:hAnsi="Times New Roman" w:eastAsia="方正仿宋_GBK" w:cs="Times New Roman"/>
          <w:b w:val="0"/>
          <w:kern w:val="0"/>
          <w:sz w:val="32"/>
          <w:szCs w:val="32"/>
          <w:shd w:val="clear" w:color="auto" w:fill="FFFFFF"/>
          <w:lang w:val="en-US" w:eastAsia="zh-CN" w:bidi="ar"/>
        </w:rPr>
        <w:t>（2）组织实施全县城乡就业工作，负责城乡就业工作目标管理及考核，提供公益性就业创业服务，对就业困难群体和重点群体提供就业服务。</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default" w:ascii="Times New Roman" w:hAnsi="Times New Roman" w:eastAsia="方正仿宋_GBK" w:cs="Times New Roman"/>
          <w:b w:val="0"/>
          <w:kern w:val="0"/>
          <w:sz w:val="32"/>
          <w:szCs w:val="32"/>
          <w:shd w:val="clear" w:color="auto" w:fill="FFFFFF"/>
          <w:lang w:val="en-US" w:eastAsia="zh-CN" w:bidi="ar"/>
        </w:rPr>
      </w:pPr>
      <w:r>
        <w:rPr>
          <w:rFonts w:hint="default" w:ascii="Times New Roman" w:hAnsi="Times New Roman" w:eastAsia="方正仿宋_GBK" w:cs="Times New Roman"/>
          <w:b w:val="0"/>
          <w:kern w:val="0"/>
          <w:sz w:val="32"/>
          <w:szCs w:val="32"/>
          <w:shd w:val="clear" w:color="auto" w:fill="FFFFFF"/>
          <w:lang w:val="en-US" w:eastAsia="zh-CN" w:bidi="ar"/>
        </w:rPr>
        <w:t>（3）统一管理城乡劳动力资源，组织实施劳务品牌和劳动力输出基地建设。负责指导乡镇（街道）劳务产业工作。负责劳务派出机构管理工作。</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default" w:ascii="Times New Roman" w:hAnsi="Times New Roman" w:eastAsia="方正仿宋_GBK" w:cs="Times New Roman"/>
          <w:b w:val="0"/>
          <w:kern w:val="0"/>
          <w:sz w:val="32"/>
          <w:szCs w:val="32"/>
          <w:shd w:val="clear" w:color="auto" w:fill="FFFFFF"/>
          <w:lang w:val="en-US" w:eastAsia="zh-CN" w:bidi="ar"/>
        </w:rPr>
      </w:pPr>
      <w:r>
        <w:rPr>
          <w:rFonts w:hint="default" w:ascii="Times New Roman" w:hAnsi="Times New Roman" w:eastAsia="方正仿宋_GBK" w:cs="Times New Roman"/>
          <w:b w:val="0"/>
          <w:kern w:val="0"/>
          <w:sz w:val="32"/>
          <w:szCs w:val="32"/>
          <w:shd w:val="clear" w:color="auto" w:fill="FFFFFF"/>
          <w:lang w:val="en-US" w:eastAsia="zh-CN" w:bidi="ar"/>
        </w:rPr>
        <w:t>（4）按规定使用就业专项资金和失业保险基金，承担失业保险政策宣传及参保登记、管理和待遇发放及有关经办服务工作，拟定并组织实施失业保险扩面计划。</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default" w:ascii="Times New Roman" w:hAnsi="Times New Roman" w:eastAsia="方正仿宋_GBK" w:cs="Times New Roman"/>
          <w:b w:val="0"/>
          <w:kern w:val="0"/>
          <w:sz w:val="32"/>
          <w:szCs w:val="32"/>
          <w:shd w:val="clear" w:color="auto" w:fill="FFFFFF"/>
          <w:lang w:val="en-US" w:eastAsia="zh-CN" w:bidi="ar"/>
        </w:rPr>
      </w:pPr>
      <w:r>
        <w:rPr>
          <w:rFonts w:hint="default" w:ascii="Times New Roman" w:hAnsi="Times New Roman" w:eastAsia="方正仿宋_GBK" w:cs="Times New Roman"/>
          <w:b w:val="0"/>
          <w:kern w:val="0"/>
          <w:sz w:val="32"/>
          <w:szCs w:val="32"/>
          <w:shd w:val="clear" w:color="auto" w:fill="FFFFFF"/>
          <w:lang w:val="en-US" w:eastAsia="zh-CN" w:bidi="ar"/>
        </w:rPr>
        <w:t>（5）拟定人力资源市场发展规划，建立人力资源市场运行机制。负责县、乡镇（街道）、村（社区）三级就业服务体系建设。指导基层公共就业服务工作平台、人力资源基础台账建设工作。建设人力资源市场，为用人单位、求职者提供招聘、求职等服务；加强信息化建设，开展城乡就业统计及人力资源市场供求信息监测工作。</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default" w:ascii="Times New Roman" w:hAnsi="Times New Roman" w:eastAsia="方正仿宋_GBK" w:cs="Times New Roman"/>
          <w:b w:val="0"/>
          <w:kern w:val="0"/>
          <w:sz w:val="32"/>
          <w:szCs w:val="32"/>
          <w:shd w:val="clear" w:color="auto" w:fill="FFFFFF"/>
          <w:lang w:val="en-US" w:eastAsia="zh-CN" w:bidi="ar"/>
        </w:rPr>
      </w:pPr>
      <w:r>
        <w:rPr>
          <w:rFonts w:hint="default" w:ascii="Times New Roman" w:hAnsi="Times New Roman" w:eastAsia="方正仿宋_GBK" w:cs="Times New Roman"/>
          <w:b w:val="0"/>
          <w:kern w:val="0"/>
          <w:sz w:val="32"/>
          <w:szCs w:val="32"/>
          <w:shd w:val="clear" w:color="auto" w:fill="FFFFFF"/>
          <w:lang w:val="en-US" w:eastAsia="zh-CN" w:bidi="ar"/>
        </w:rPr>
        <w:t>（6）拟定全县就业创业培训工作发展规划和年度计划；负责牵头组织各类就业培训和管理；统一管理劳动力培训资金；承担职业能力建设相关业务经办工作。</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default" w:ascii="Times New Roman" w:hAnsi="Times New Roman" w:eastAsia="方正仿宋_GBK" w:cs="Times New Roman"/>
          <w:b w:val="0"/>
          <w:kern w:val="0"/>
          <w:sz w:val="32"/>
          <w:szCs w:val="32"/>
          <w:shd w:val="clear" w:color="auto" w:fill="FFFFFF"/>
          <w:lang w:val="en-US" w:eastAsia="zh-CN" w:bidi="ar"/>
        </w:rPr>
      </w:pPr>
      <w:r>
        <w:rPr>
          <w:rFonts w:hint="default" w:ascii="Times New Roman" w:hAnsi="Times New Roman" w:eastAsia="方正仿宋_GBK" w:cs="Times New Roman"/>
          <w:b w:val="0"/>
          <w:kern w:val="0"/>
          <w:sz w:val="32"/>
          <w:szCs w:val="32"/>
          <w:shd w:val="clear" w:color="auto" w:fill="FFFFFF"/>
          <w:lang w:val="en-US" w:eastAsia="zh-CN" w:bidi="ar"/>
        </w:rPr>
        <w:t>（7）承担各类群体创业指导和咨询等服务工作。</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default" w:ascii="Times New Roman" w:hAnsi="Times New Roman" w:eastAsia="方正仿宋_GBK" w:cs="Times New Roman"/>
          <w:b w:val="0"/>
          <w:kern w:val="0"/>
          <w:sz w:val="32"/>
          <w:szCs w:val="32"/>
          <w:shd w:val="clear" w:color="auto" w:fill="FFFFFF"/>
          <w:lang w:val="en-US" w:eastAsia="zh-CN" w:bidi="ar"/>
        </w:rPr>
      </w:pPr>
      <w:r>
        <w:rPr>
          <w:rFonts w:hint="default" w:ascii="Times New Roman" w:hAnsi="Times New Roman" w:eastAsia="方正仿宋_GBK" w:cs="Times New Roman"/>
          <w:b w:val="0"/>
          <w:kern w:val="0"/>
          <w:sz w:val="32"/>
          <w:szCs w:val="32"/>
          <w:shd w:val="clear" w:color="auto" w:fill="FFFFFF"/>
          <w:lang w:val="en-US" w:eastAsia="zh-CN" w:bidi="ar"/>
        </w:rPr>
        <w:t>（8）负责拟定人才项目的计划及实施；开展流动人员人事档案、人事代理、身份认定工作；负责企业、企业化管理事业单位人员的年度统计、培训、日常管理和服务工作。</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default" w:ascii="Times New Roman" w:hAnsi="Times New Roman" w:eastAsia="方正仿宋_GBK" w:cs="Times New Roman"/>
          <w:b w:val="0"/>
          <w:kern w:val="0"/>
          <w:sz w:val="32"/>
          <w:szCs w:val="32"/>
          <w:shd w:val="clear" w:color="auto" w:fill="FFFFFF"/>
          <w:lang w:val="en-US" w:eastAsia="zh-CN" w:bidi="ar"/>
        </w:rPr>
      </w:pPr>
      <w:r>
        <w:rPr>
          <w:rFonts w:hint="default" w:ascii="Times New Roman" w:hAnsi="Times New Roman" w:eastAsia="方正仿宋_GBK" w:cs="Times New Roman"/>
          <w:b w:val="0"/>
          <w:kern w:val="0"/>
          <w:sz w:val="32"/>
          <w:szCs w:val="32"/>
          <w:shd w:val="clear" w:color="auto" w:fill="FFFFFF"/>
          <w:lang w:val="en-US" w:eastAsia="zh-CN" w:bidi="ar"/>
        </w:rPr>
        <w:t>（9）承担全县就业培训、创业指导、失业保险、农村劳动力转移、劳服企业经营情况等统计数据的汇总、分析和统计工作。</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default" w:ascii="Times New Roman" w:hAnsi="Times New Roman" w:eastAsia="方正仿宋_GBK" w:cs="Times New Roman"/>
          <w:b w:val="0"/>
          <w:kern w:val="0"/>
          <w:sz w:val="32"/>
          <w:szCs w:val="32"/>
          <w:shd w:val="clear" w:color="auto" w:fill="FFFFFF"/>
          <w:lang w:val="en-US" w:eastAsia="zh-CN" w:bidi="ar"/>
        </w:rPr>
      </w:pPr>
      <w:r>
        <w:rPr>
          <w:rFonts w:hint="default" w:ascii="Times New Roman" w:hAnsi="Times New Roman" w:eastAsia="方正仿宋_GBK" w:cs="Times New Roman"/>
          <w:b w:val="0"/>
          <w:kern w:val="0"/>
          <w:sz w:val="32"/>
          <w:szCs w:val="32"/>
          <w:shd w:val="clear" w:color="auto" w:fill="FFFFFF"/>
          <w:lang w:val="en-US" w:eastAsia="zh-CN" w:bidi="ar"/>
        </w:rPr>
        <w:t>（10）承办上级部门交办的其他事项。</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Fonts w:hint="default" w:ascii="Times New Roman" w:hAnsi="Times New Roman" w:eastAsia="楷体" w:cs="Times New Roman"/>
          <w:sz w:val="32"/>
          <w:szCs w:val="32"/>
        </w:rPr>
      </w:pPr>
      <w:r>
        <w:rPr>
          <w:rStyle w:val="8"/>
          <w:rFonts w:hint="default" w:ascii="Times New Roman" w:hAnsi="Times New Roman" w:eastAsia="楷体" w:cs="Times New Roman"/>
          <w:sz w:val="32"/>
          <w:szCs w:val="32"/>
          <w:shd w:val="clear" w:color="auto" w:fill="FFFFFF"/>
        </w:rPr>
        <w:t>（二）机构设置</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机构改革后，因职能职责调整，</w:t>
      </w:r>
      <w:r>
        <w:rPr>
          <w:rFonts w:hint="eastAsia" w:ascii="Times New Roman" w:hAnsi="Times New Roman" w:eastAsia="方正仿宋_GBK" w:cs="Times New Roman"/>
          <w:sz w:val="32"/>
          <w:szCs w:val="32"/>
          <w:lang w:eastAsia="zh-CN"/>
        </w:rPr>
        <w:t>本部门</w:t>
      </w:r>
      <w:r>
        <w:rPr>
          <w:rFonts w:hint="default" w:ascii="Times New Roman" w:hAnsi="Times New Roman" w:eastAsia="方正仿宋_GBK" w:cs="Times New Roman"/>
          <w:sz w:val="32"/>
          <w:szCs w:val="32"/>
        </w:rPr>
        <w:t>现有内设机构9个，分别是：综合科、</w:t>
      </w:r>
      <w:r>
        <w:rPr>
          <w:rFonts w:hint="default" w:ascii="Times New Roman" w:hAnsi="Times New Roman" w:eastAsia="方正仿宋_GBK" w:cs="Times New Roman"/>
          <w:b w:val="0"/>
          <w:bCs w:val="0"/>
          <w:color w:val="auto"/>
          <w:sz w:val="32"/>
          <w:szCs w:val="32"/>
          <w:lang w:val="en-US" w:eastAsia="zh-CN"/>
        </w:rPr>
        <w:t>重点群体就业科</w:t>
      </w:r>
      <w:r>
        <w:rPr>
          <w:rFonts w:hint="default" w:ascii="Times New Roman" w:hAnsi="Times New Roman" w:eastAsia="方正仿宋_GBK" w:cs="Times New Roman"/>
          <w:sz w:val="32"/>
          <w:szCs w:val="32"/>
        </w:rPr>
        <w:t>、失业保险科、创业指导科、劳务开发科、职业培训科、</w:t>
      </w:r>
      <w:r>
        <w:rPr>
          <w:rFonts w:hint="default" w:ascii="Times New Roman" w:hAnsi="Times New Roman" w:eastAsia="方正仿宋_GBK" w:cs="Times New Roman"/>
          <w:b w:val="0"/>
          <w:bCs w:val="0"/>
          <w:color w:val="auto"/>
          <w:sz w:val="32"/>
          <w:szCs w:val="32"/>
          <w:lang w:val="en-US" w:eastAsia="zh-CN"/>
        </w:rPr>
        <w:t>就业援助科</w:t>
      </w:r>
      <w:r>
        <w:rPr>
          <w:rFonts w:hint="default" w:ascii="Times New Roman" w:hAnsi="Times New Roman" w:eastAsia="方正仿宋_GBK" w:cs="Times New Roman"/>
          <w:sz w:val="32"/>
          <w:szCs w:val="32"/>
        </w:rPr>
        <w:t>、档案管理科、</w:t>
      </w:r>
      <w:r>
        <w:rPr>
          <w:rFonts w:hint="default" w:ascii="Times New Roman" w:hAnsi="Times New Roman" w:eastAsia="方正仿宋_GBK" w:cs="Times New Roman"/>
          <w:b w:val="0"/>
          <w:bCs w:val="0"/>
          <w:color w:val="auto"/>
          <w:sz w:val="32"/>
          <w:szCs w:val="32"/>
          <w:lang w:val="en-US" w:eastAsia="zh-CN"/>
        </w:rPr>
        <w:t>公共信息科</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 xml:space="preserve">  </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8"/>
          <w:rFonts w:hint="default" w:ascii="Times New Roman" w:hAnsi="Times New Roman" w:eastAsia="黑体" w:cs="Times New Roman"/>
          <w:b/>
          <w:bCs w:val="0"/>
          <w:sz w:val="32"/>
          <w:szCs w:val="32"/>
          <w:shd w:val="clear" w:color="auto" w:fill="FFFFFF"/>
        </w:rPr>
      </w:pPr>
      <w:r>
        <w:rPr>
          <w:rStyle w:val="8"/>
          <w:rFonts w:hint="default" w:ascii="Times New Roman" w:hAnsi="Times New Roman" w:eastAsia="黑体" w:cs="Times New Roman"/>
          <w:b/>
          <w:bCs w:val="0"/>
          <w:sz w:val="32"/>
          <w:szCs w:val="32"/>
          <w:shd w:val="clear" w:color="auto" w:fill="FFFFFF"/>
        </w:rPr>
        <w:t>二、</w:t>
      </w:r>
      <w:r>
        <w:rPr>
          <w:rStyle w:val="8"/>
          <w:rFonts w:hint="default" w:ascii="Times New Roman" w:hAnsi="Times New Roman" w:eastAsia="黑体" w:cs="Times New Roman"/>
          <w:b/>
          <w:bCs w:val="0"/>
          <w:sz w:val="32"/>
          <w:szCs w:val="32"/>
          <w:shd w:val="clear" w:color="auto" w:fill="FFFFFF"/>
          <w:lang w:eastAsia="zh-CN"/>
        </w:rPr>
        <w:t>部门</w:t>
      </w:r>
      <w:r>
        <w:rPr>
          <w:rStyle w:val="8"/>
          <w:rFonts w:hint="default" w:ascii="Times New Roman" w:hAnsi="Times New Roman" w:eastAsia="黑体" w:cs="Times New Roman"/>
          <w:b/>
          <w:bCs w:val="0"/>
          <w:sz w:val="32"/>
          <w:szCs w:val="32"/>
          <w:shd w:val="clear" w:color="auto" w:fill="FFFFFF"/>
        </w:rPr>
        <w:t>决算</w:t>
      </w:r>
      <w:r>
        <w:rPr>
          <w:rStyle w:val="8"/>
          <w:rFonts w:hint="default" w:ascii="Times New Roman" w:hAnsi="Times New Roman" w:eastAsia="黑体" w:cs="Times New Roman"/>
          <w:b/>
          <w:bCs w:val="0"/>
          <w:sz w:val="32"/>
          <w:szCs w:val="32"/>
          <w:shd w:val="clear" w:color="auto" w:fill="FFFFFF"/>
          <w:lang w:eastAsia="zh-CN"/>
        </w:rPr>
        <w:t>收支</w:t>
      </w:r>
      <w:r>
        <w:rPr>
          <w:rStyle w:val="8"/>
          <w:rFonts w:hint="default" w:ascii="Times New Roman" w:hAnsi="Times New Roman" w:eastAsia="黑体" w:cs="Times New Roman"/>
          <w:b/>
          <w:bCs w:val="0"/>
          <w:sz w:val="32"/>
          <w:szCs w:val="32"/>
          <w:shd w:val="clear" w:color="auto" w:fill="FFFFFF"/>
        </w:rPr>
        <w:t>情况说明</w:t>
      </w:r>
    </w:p>
    <w:p>
      <w:pPr>
        <w:pStyle w:val="11"/>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（一）收入支出决算总体情况说明</w:t>
      </w:r>
    </w:p>
    <w:p>
      <w:pPr>
        <w:pStyle w:val="6"/>
        <w:shd w:val="clear" w:color="auto" w:fill="FFFFFF"/>
        <w:spacing w:before="0" w:beforeAutospacing="0" w:after="0" w:afterAutospacing="0" w:line="596" w:lineRule="exact"/>
        <w:ind w:firstLine="640" w:firstLineChars="200"/>
        <w:jc w:val="both"/>
        <w:rPr>
          <w:rFonts w:hint="default" w:ascii="Times New Roman" w:hAnsi="Times New Roman" w:eastAsia="方正仿宋_GBK" w:cs="Times New Roman"/>
          <w:b w:val="0"/>
          <w:kern w:val="0"/>
          <w:sz w:val="32"/>
          <w:szCs w:val="32"/>
          <w:shd w:val="clear" w:color="auto" w:fill="FFFFFF"/>
          <w:lang w:val="en-US" w:eastAsia="zh-CN" w:bidi="ar"/>
        </w:rPr>
      </w:pPr>
      <w:r>
        <w:rPr>
          <w:rFonts w:hint="default" w:ascii="Times New Roman" w:hAnsi="Times New Roman" w:eastAsia="方正仿宋_GBK" w:cs="Times New Roman"/>
          <w:sz w:val="32"/>
          <w:szCs w:val="32"/>
          <w:shd w:val="clear" w:color="auto" w:fill="FFFFFF"/>
        </w:rPr>
        <w:t>2024年度收</w:t>
      </w:r>
      <w:r>
        <w:rPr>
          <w:rFonts w:hint="default" w:ascii="Times New Roman" w:hAnsi="Times New Roman" w:eastAsia="方正仿宋_GBK" w:cs="Times New Roman"/>
          <w:sz w:val="32"/>
          <w:szCs w:val="32"/>
          <w:shd w:val="clear" w:color="auto" w:fill="FFFFFF"/>
          <w:lang w:eastAsia="zh-CN"/>
        </w:rPr>
        <w:t>、支</w:t>
      </w:r>
      <w:r>
        <w:rPr>
          <w:rFonts w:hint="default" w:ascii="Times New Roman" w:hAnsi="Times New Roman" w:eastAsia="方正仿宋_GBK" w:cs="Times New Roman"/>
          <w:sz w:val="32"/>
          <w:szCs w:val="32"/>
          <w:shd w:val="clear" w:color="auto" w:fill="FFFFFF"/>
        </w:rPr>
        <w:t>总计</w:t>
      </w:r>
      <w:r>
        <w:rPr>
          <w:rFonts w:hint="default" w:ascii="Times New Roman" w:hAnsi="Times New Roman" w:eastAsia="方正仿宋_GBK" w:cs="Times New Roman"/>
          <w:sz w:val="32"/>
          <w:szCs w:val="32"/>
          <w:shd w:val="clear" w:color="auto" w:fill="FFFFFF"/>
          <w:lang w:eastAsia="zh-CN"/>
        </w:rPr>
        <w:t>均为</w:t>
      </w:r>
      <w:r>
        <w:rPr>
          <w:rFonts w:hint="default" w:ascii="Times New Roman" w:hAnsi="Times New Roman" w:eastAsia="方正仿宋_GBK" w:cs="Times New Roman"/>
          <w:b w:val="0"/>
          <w:kern w:val="0"/>
          <w:sz w:val="32"/>
          <w:szCs w:val="32"/>
          <w:shd w:val="clear" w:color="auto" w:fill="FFFFFF"/>
          <w:lang w:val="en-US" w:eastAsia="zh-CN" w:bidi="ar"/>
        </w:rPr>
        <w:t>6218.71</w:t>
      </w:r>
      <w:r>
        <w:rPr>
          <w:rFonts w:hint="default" w:ascii="Times New Roman" w:hAnsi="Times New Roman" w:eastAsia="方正仿宋_GBK" w:cs="Times New Roman"/>
          <w:sz w:val="32"/>
          <w:szCs w:val="32"/>
          <w:shd w:val="clear" w:color="auto" w:fill="FFFFFF"/>
        </w:rPr>
        <w:t>万元。收、支与2023年度相比，增加224.69万元，增长3.</w:t>
      </w:r>
      <w:r>
        <w:rPr>
          <w:rFonts w:hint="default" w:ascii="Times New Roman" w:hAnsi="Times New Roman" w:eastAsia="方正仿宋_GBK" w:cs="Times New Roman"/>
          <w:color w:val="auto"/>
          <w:sz w:val="32"/>
          <w:szCs w:val="32"/>
          <w:shd w:val="clear" w:color="auto" w:fill="FFFFFF"/>
        </w:rPr>
        <w:t>8%，主要原因是本年度就业专项资金</w:t>
      </w:r>
      <w:r>
        <w:rPr>
          <w:rFonts w:hint="default" w:ascii="Times New Roman" w:hAnsi="Times New Roman" w:eastAsia="方正仿宋_GBK" w:cs="Times New Roman"/>
          <w:color w:val="auto"/>
          <w:sz w:val="32"/>
          <w:szCs w:val="32"/>
          <w:shd w:val="clear" w:color="auto" w:fill="FFFFFF"/>
          <w:lang w:val="en-US" w:eastAsia="zh-CN"/>
        </w:rPr>
        <w:t>增加</w:t>
      </w:r>
      <w:r>
        <w:rPr>
          <w:rFonts w:hint="default" w:ascii="Times New Roman" w:hAnsi="Times New Roman" w:eastAsia="方正仿宋_GBK" w:cs="Times New Roman"/>
          <w:color w:val="auto"/>
          <w:sz w:val="32"/>
          <w:szCs w:val="32"/>
          <w:shd w:val="clear" w:color="auto" w:fill="FFFFFF"/>
        </w:rPr>
        <w:t>。</w:t>
      </w:r>
    </w:p>
    <w:p>
      <w:pPr>
        <w:pStyle w:val="6"/>
        <w:shd w:val="clear" w:color="auto" w:fill="FFFFFF"/>
        <w:spacing w:before="0" w:beforeAutospacing="0" w:after="0" w:afterAutospacing="0" w:line="596" w:lineRule="exact"/>
        <w:ind w:firstLine="640" w:firstLineChars="200"/>
        <w:jc w:val="both"/>
        <w:rPr>
          <w:rFonts w:hint="default" w:ascii="Times New Roman" w:hAnsi="Times New Roman" w:eastAsia="方正仿宋_GBK" w:cs="Times New Roman"/>
          <w:sz w:val="32"/>
          <w:szCs w:val="32"/>
          <w:shd w:val="clear" w:color="auto" w:fill="FFFFFF"/>
        </w:rPr>
      </w:pPr>
      <w:r>
        <w:rPr>
          <w:rStyle w:val="8"/>
          <w:rFonts w:hint="default" w:ascii="Times New Roman" w:hAnsi="Times New Roman" w:eastAsia="方正仿宋_GBK" w:cs="Times New Roman"/>
          <w:sz w:val="32"/>
          <w:szCs w:val="32"/>
          <w:shd w:val="clear" w:color="auto" w:fill="FFFFFF"/>
          <w:lang w:val="en-US" w:eastAsia="zh-CN"/>
        </w:rPr>
        <w:t>1</w:t>
      </w:r>
      <w:r>
        <w:rPr>
          <w:rStyle w:val="8"/>
          <w:rFonts w:hint="default" w:ascii="Times New Roman" w:hAnsi="Times New Roman" w:eastAsia="方正仿宋_GBK" w:cs="Times New Roman"/>
          <w:sz w:val="32"/>
          <w:szCs w:val="32"/>
          <w:shd w:val="clear" w:color="auto" w:fill="FFFFFF"/>
        </w:rPr>
        <w:t>.收入情况。</w:t>
      </w:r>
      <w:r>
        <w:rPr>
          <w:rFonts w:hint="default" w:ascii="Times New Roman" w:hAnsi="Times New Roman" w:eastAsia="方正仿宋_GBK" w:cs="Times New Roman"/>
          <w:sz w:val="32"/>
          <w:szCs w:val="32"/>
          <w:shd w:val="clear" w:color="auto" w:fill="FFFFFF"/>
        </w:rPr>
        <w:t>2024年度收入合计6204.72万元，与2023年度相比，增加275.10万元，增长4.6%，主要原因是</w:t>
      </w:r>
      <w:r>
        <w:rPr>
          <w:rFonts w:hint="default" w:ascii="Times New Roman" w:hAnsi="Times New Roman" w:eastAsia="方正仿宋_GBK" w:cs="Times New Roman"/>
          <w:color w:val="auto"/>
          <w:sz w:val="32"/>
          <w:szCs w:val="32"/>
          <w:shd w:val="clear" w:color="auto" w:fill="FFFFFF"/>
        </w:rPr>
        <w:t>本年度就业专项资金</w:t>
      </w:r>
      <w:r>
        <w:rPr>
          <w:rFonts w:hint="default" w:ascii="Times New Roman" w:hAnsi="Times New Roman" w:eastAsia="方正仿宋_GBK" w:cs="Times New Roman"/>
          <w:color w:val="auto"/>
          <w:sz w:val="32"/>
          <w:szCs w:val="32"/>
          <w:shd w:val="clear" w:color="auto" w:fill="FFFFFF"/>
          <w:lang w:val="en-US" w:eastAsia="zh-CN"/>
        </w:rPr>
        <w:t>增加</w:t>
      </w:r>
      <w:r>
        <w:rPr>
          <w:rFonts w:hint="default" w:ascii="Times New Roman" w:hAnsi="Times New Roman" w:eastAsia="方正仿宋_GBK" w:cs="Times New Roman"/>
          <w:color w:val="auto"/>
          <w:sz w:val="32"/>
          <w:szCs w:val="32"/>
          <w:shd w:val="clear" w:color="auto" w:fill="FFFFFF"/>
        </w:rPr>
        <w:t>。</w:t>
      </w:r>
      <w:r>
        <w:rPr>
          <w:rFonts w:hint="default" w:ascii="Times New Roman" w:hAnsi="Times New Roman" w:eastAsia="方正仿宋_GBK" w:cs="Times New Roman"/>
          <w:sz w:val="32"/>
          <w:szCs w:val="32"/>
          <w:shd w:val="clear" w:color="auto" w:fill="FFFFFF"/>
        </w:rPr>
        <w:t>其中：财政拨款收入6204.72万元，占100.0%；事业收入0.00万元，占0.0%；经营收入0.00万元，占0.0%；其他收入0.00万元，占0.0%。此外，使用非财政拨款结余（含专用结余）0.00万元，年初结转和结余13.99万元。</w:t>
      </w:r>
    </w:p>
    <w:p>
      <w:pPr>
        <w:pStyle w:val="6"/>
        <w:shd w:val="clear" w:color="auto" w:fill="FFFFFF"/>
        <w:spacing w:before="0" w:beforeAutospacing="0" w:after="0" w:afterAutospacing="0" w:line="596" w:lineRule="exact"/>
        <w:ind w:firstLine="640" w:firstLineChars="200"/>
        <w:jc w:val="both"/>
        <w:rPr>
          <w:rFonts w:hint="default" w:ascii="Times New Roman" w:hAnsi="Times New Roman" w:eastAsia="方正仿宋_GBK" w:cs="Times New Roman"/>
          <w:sz w:val="32"/>
          <w:szCs w:val="32"/>
          <w:shd w:val="clear" w:color="auto" w:fill="FFFFFF"/>
        </w:rPr>
      </w:pPr>
      <w:r>
        <w:rPr>
          <w:rStyle w:val="8"/>
          <w:rFonts w:hint="default" w:ascii="Times New Roman" w:hAnsi="Times New Roman" w:eastAsia="方正仿宋_GBK" w:cs="Times New Roman"/>
          <w:sz w:val="32"/>
          <w:szCs w:val="32"/>
          <w:shd w:val="clear" w:color="auto" w:fill="FFFFFF"/>
          <w:lang w:val="en-US" w:eastAsia="zh-CN"/>
        </w:rPr>
        <w:t>2</w:t>
      </w:r>
      <w:r>
        <w:rPr>
          <w:rStyle w:val="8"/>
          <w:rFonts w:hint="default" w:ascii="Times New Roman" w:hAnsi="Times New Roman" w:eastAsia="方正仿宋_GBK" w:cs="Times New Roman"/>
          <w:sz w:val="32"/>
          <w:szCs w:val="32"/>
          <w:shd w:val="clear" w:color="auto" w:fill="FFFFFF"/>
        </w:rPr>
        <w:t>.支出情况。</w:t>
      </w:r>
      <w:r>
        <w:rPr>
          <w:rFonts w:hint="default" w:ascii="Times New Roman" w:hAnsi="Times New Roman" w:eastAsia="方正仿宋_GBK" w:cs="Times New Roman"/>
          <w:sz w:val="32"/>
          <w:szCs w:val="32"/>
          <w:shd w:val="clear" w:color="auto" w:fill="FFFFFF"/>
        </w:rPr>
        <w:t>2024年度支出合计6212.32万元，与2023年度相比，增加232.29万元，增长3.9%，主要原因是</w:t>
      </w:r>
      <w:r>
        <w:rPr>
          <w:rFonts w:hint="default" w:ascii="Times New Roman" w:hAnsi="Times New Roman" w:eastAsia="方正仿宋_GBK" w:cs="Times New Roman"/>
          <w:color w:val="auto"/>
          <w:sz w:val="32"/>
          <w:szCs w:val="32"/>
          <w:shd w:val="clear" w:color="auto" w:fill="FFFFFF"/>
        </w:rPr>
        <w:t>本年度就业专项资金</w:t>
      </w:r>
      <w:r>
        <w:rPr>
          <w:rFonts w:hint="default" w:ascii="Times New Roman" w:hAnsi="Times New Roman" w:eastAsia="方正仿宋_GBK" w:cs="Times New Roman"/>
          <w:color w:val="auto"/>
          <w:sz w:val="32"/>
          <w:szCs w:val="32"/>
          <w:shd w:val="clear" w:color="auto" w:fill="FFFFFF"/>
          <w:lang w:val="en-US" w:eastAsia="zh-CN"/>
        </w:rPr>
        <w:t>增加。</w:t>
      </w:r>
      <w:r>
        <w:rPr>
          <w:rFonts w:hint="default" w:ascii="Times New Roman" w:hAnsi="Times New Roman" w:eastAsia="方正仿宋_GBK" w:cs="Times New Roman"/>
          <w:sz w:val="32"/>
          <w:szCs w:val="32"/>
          <w:shd w:val="clear" w:color="auto" w:fill="FFFFFF"/>
        </w:rPr>
        <w:t>其中</w:t>
      </w:r>
      <w:r>
        <w:rPr>
          <w:rFonts w:hint="default" w:ascii="Times New Roman" w:hAnsi="Times New Roman" w:eastAsia="方正仿宋_GBK" w:cs="Times New Roman"/>
          <w:sz w:val="32"/>
          <w:szCs w:val="32"/>
          <w:shd w:val="clear" w:color="auto" w:fill="FFFFFF"/>
          <w:lang w:val="en-US" w:eastAsia="zh-CN"/>
        </w:rPr>
        <w:t>：</w:t>
      </w:r>
      <w:r>
        <w:rPr>
          <w:rFonts w:hint="default" w:ascii="Times New Roman" w:hAnsi="Times New Roman" w:eastAsia="方正仿宋_GBK" w:cs="Times New Roman"/>
          <w:sz w:val="32"/>
          <w:szCs w:val="32"/>
          <w:shd w:val="clear" w:color="auto" w:fill="FFFFFF"/>
        </w:rPr>
        <w:t>基本支出619.66万元，占10.0%；项目支出5592.66万元，占90.0%；经营支出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万元，占0.0%。此外，结余分配0.00万元。</w:t>
      </w:r>
    </w:p>
    <w:p>
      <w:pPr>
        <w:pStyle w:val="6"/>
        <w:snapToGrid w:val="0"/>
        <w:spacing w:before="0" w:beforeAutospacing="0" w:after="0" w:afterAutospacing="0" w:line="596" w:lineRule="exact"/>
        <w:ind w:firstLine="640" w:firstLineChars="200"/>
        <w:jc w:val="both"/>
        <w:rPr>
          <w:rFonts w:hint="default" w:ascii="Times New Roman" w:hAnsi="Times New Roman" w:eastAsia="方正仿宋_GBK" w:cs="Times New Roman"/>
          <w:sz w:val="32"/>
          <w:szCs w:val="32"/>
          <w:lang w:eastAsia="zh-CN"/>
        </w:rPr>
      </w:pPr>
      <w:r>
        <w:rPr>
          <w:rStyle w:val="8"/>
          <w:rFonts w:hint="default" w:ascii="Times New Roman" w:hAnsi="Times New Roman" w:eastAsia="方正仿宋_GBK" w:cs="Times New Roman"/>
          <w:sz w:val="32"/>
          <w:szCs w:val="32"/>
          <w:shd w:val="clear" w:color="auto" w:fill="FFFFFF"/>
          <w:lang w:val="en-US" w:eastAsia="zh-CN"/>
        </w:rPr>
        <w:t>3</w:t>
      </w:r>
      <w:r>
        <w:rPr>
          <w:rStyle w:val="8"/>
          <w:rFonts w:hint="default" w:ascii="Times New Roman" w:hAnsi="Times New Roman" w:eastAsia="方正仿宋_GBK" w:cs="Times New Roman"/>
          <w:sz w:val="32"/>
          <w:szCs w:val="32"/>
          <w:shd w:val="clear" w:color="auto" w:fill="FFFFFF"/>
        </w:rPr>
        <w:t>.结转结余情况。</w:t>
      </w:r>
      <w:r>
        <w:rPr>
          <w:rFonts w:hint="default" w:ascii="Times New Roman" w:hAnsi="Times New Roman" w:eastAsia="方正仿宋_GBK" w:cs="Times New Roman"/>
          <w:sz w:val="32"/>
          <w:szCs w:val="32"/>
          <w:shd w:val="clear" w:color="auto" w:fill="FFFFFF"/>
        </w:rPr>
        <w:t>2024年度年末结转和结余6.40万元，与2023年度相比，减少7.59万元，下降54.3%，主要原因是</w:t>
      </w:r>
      <w:r>
        <w:rPr>
          <w:rFonts w:hint="default" w:ascii="Times New Roman" w:hAnsi="Times New Roman" w:eastAsia="方正仿宋_GBK" w:cs="Times New Roman"/>
          <w:sz w:val="32"/>
          <w:szCs w:val="32"/>
          <w:shd w:val="clear" w:color="auto" w:fill="FFFFFF"/>
          <w:lang w:eastAsia="zh-CN"/>
        </w:rPr>
        <w:t>本年度监测经费未作收入。</w:t>
      </w:r>
    </w:p>
    <w:p>
      <w:pPr>
        <w:pStyle w:val="11"/>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（二）财政拨款收入支出决算总体情况说明</w:t>
      </w:r>
    </w:p>
    <w:p>
      <w:pPr>
        <w:pStyle w:val="6"/>
        <w:snapToGrid w:val="0"/>
        <w:spacing w:before="0" w:beforeAutospacing="0" w:after="0" w:afterAutospacing="0" w:line="596"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2024年度财政拨款收、支总计均为6204.72万元</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与2023年</w:t>
      </w:r>
      <w:r>
        <w:rPr>
          <w:rFonts w:hint="default" w:ascii="Times New Roman" w:hAnsi="Times New Roman" w:eastAsia="方正仿宋_GBK" w:cs="Times New Roman"/>
          <w:sz w:val="32"/>
          <w:szCs w:val="32"/>
          <w:shd w:val="clear" w:color="auto" w:fill="FFFFFF"/>
          <w:lang w:eastAsia="zh-CN"/>
        </w:rPr>
        <w:t>度</w:t>
      </w:r>
      <w:r>
        <w:rPr>
          <w:rFonts w:hint="default" w:ascii="Times New Roman" w:hAnsi="Times New Roman" w:eastAsia="方正仿宋_GBK" w:cs="Times New Roman"/>
          <w:sz w:val="32"/>
          <w:szCs w:val="32"/>
          <w:shd w:val="clear" w:color="auto" w:fill="FFFFFF"/>
        </w:rPr>
        <w:t>相比，财政拨款收、支总计各增加262.56万元，增长4.4%</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主要原因是</w:t>
      </w:r>
      <w:r>
        <w:rPr>
          <w:rFonts w:hint="default" w:ascii="Times New Roman" w:hAnsi="Times New Roman" w:eastAsia="方正仿宋_GBK" w:cs="Times New Roman"/>
          <w:color w:val="auto"/>
          <w:sz w:val="32"/>
          <w:szCs w:val="32"/>
          <w:shd w:val="clear" w:color="auto" w:fill="FFFFFF"/>
        </w:rPr>
        <w:t>本年度就业专项资金</w:t>
      </w:r>
      <w:r>
        <w:rPr>
          <w:rFonts w:hint="default" w:ascii="Times New Roman" w:hAnsi="Times New Roman" w:eastAsia="方正仿宋_GBK" w:cs="Times New Roman"/>
          <w:color w:val="auto"/>
          <w:sz w:val="32"/>
          <w:szCs w:val="32"/>
          <w:shd w:val="clear" w:color="auto" w:fill="FFFFFF"/>
          <w:lang w:val="en-US" w:eastAsia="zh-CN"/>
        </w:rPr>
        <w:t>增加。</w:t>
      </w:r>
    </w:p>
    <w:p>
      <w:pPr>
        <w:pStyle w:val="11"/>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（三）一般公共预算财政拨款收入支出决算情况说明</w:t>
      </w:r>
    </w:p>
    <w:p>
      <w:pPr>
        <w:pStyle w:val="6"/>
        <w:snapToGrid w:val="0"/>
        <w:spacing w:before="0" w:beforeAutospacing="0" w:after="0" w:afterAutospacing="0" w:line="596" w:lineRule="exact"/>
        <w:ind w:firstLine="640" w:firstLineChars="200"/>
        <w:jc w:val="both"/>
        <w:rPr>
          <w:rFonts w:hint="default" w:ascii="Times New Roman" w:hAnsi="Times New Roman" w:eastAsia="方正仿宋_GBK" w:cs="Times New Roman"/>
          <w:sz w:val="32"/>
          <w:szCs w:val="32"/>
        </w:rPr>
      </w:pPr>
      <w:r>
        <w:rPr>
          <w:rStyle w:val="8"/>
          <w:rFonts w:hint="default" w:ascii="Times New Roman" w:hAnsi="Times New Roman" w:eastAsia="方正仿宋_GBK" w:cs="Times New Roman"/>
          <w:sz w:val="32"/>
          <w:szCs w:val="32"/>
          <w:shd w:val="clear" w:color="auto" w:fill="FFFFFF"/>
        </w:rPr>
        <w:t>1.收入情况。</w:t>
      </w:r>
      <w:r>
        <w:rPr>
          <w:rFonts w:hint="default" w:ascii="Times New Roman" w:hAnsi="Times New Roman" w:eastAsia="方正仿宋_GBK" w:cs="Times New Roman"/>
          <w:sz w:val="32"/>
          <w:szCs w:val="32"/>
          <w:shd w:val="clear" w:color="auto" w:fill="FFFFFF"/>
        </w:rPr>
        <w:t>2024年度一般公共预算财政拨款收入6204.72万元，与2023年度相比，增加295.34万元，增长5.0%</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主要原因是</w:t>
      </w:r>
      <w:r>
        <w:rPr>
          <w:rFonts w:hint="default" w:ascii="Times New Roman" w:hAnsi="Times New Roman" w:eastAsia="方正仿宋_GBK" w:cs="Times New Roman"/>
          <w:color w:val="auto"/>
          <w:sz w:val="32"/>
          <w:szCs w:val="32"/>
          <w:shd w:val="clear" w:color="auto" w:fill="FFFFFF"/>
        </w:rPr>
        <w:t>本年度就业专项资金</w:t>
      </w:r>
      <w:r>
        <w:rPr>
          <w:rFonts w:hint="default" w:ascii="Times New Roman" w:hAnsi="Times New Roman" w:eastAsia="方正仿宋_GBK" w:cs="Times New Roman"/>
          <w:color w:val="auto"/>
          <w:sz w:val="32"/>
          <w:szCs w:val="32"/>
          <w:shd w:val="clear" w:color="auto" w:fill="FFFFFF"/>
          <w:lang w:val="en-US" w:eastAsia="zh-CN"/>
        </w:rPr>
        <w:t>增加。</w:t>
      </w:r>
      <w:r>
        <w:rPr>
          <w:rFonts w:hint="default" w:ascii="Times New Roman" w:hAnsi="Times New Roman" w:eastAsia="方正仿宋_GBK" w:cs="Times New Roman"/>
          <w:sz w:val="32"/>
          <w:szCs w:val="32"/>
          <w:shd w:val="clear" w:color="auto" w:fill="FFFFFF"/>
        </w:rPr>
        <w:t>较年初预算数增加2198.16万元，增长54.9%</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主要原因是本年度</w:t>
      </w:r>
      <w:r>
        <w:rPr>
          <w:rFonts w:hint="default" w:ascii="Times New Roman" w:hAnsi="Times New Roman" w:eastAsia="方正仿宋_GBK" w:cs="Times New Roman"/>
          <w:sz w:val="32"/>
          <w:szCs w:val="32"/>
          <w:shd w:val="clear" w:color="auto" w:fill="FFFFFF"/>
          <w:lang w:eastAsia="zh-CN"/>
        </w:rPr>
        <w:t>追加</w:t>
      </w:r>
      <w:r>
        <w:rPr>
          <w:rFonts w:hint="default" w:ascii="Times New Roman" w:hAnsi="Times New Roman" w:eastAsia="方正仿宋_GBK" w:cs="Times New Roman"/>
          <w:sz w:val="32"/>
          <w:szCs w:val="32"/>
          <w:shd w:val="clear" w:color="auto" w:fill="FFFFFF"/>
        </w:rPr>
        <w:t>就业专项资金。此外，年初财政拨款结转和结余0.00万元。</w:t>
      </w:r>
    </w:p>
    <w:p>
      <w:pPr>
        <w:pStyle w:val="6"/>
        <w:snapToGrid w:val="0"/>
        <w:spacing w:before="0" w:beforeAutospacing="0" w:after="0" w:afterAutospacing="0" w:line="596" w:lineRule="exact"/>
        <w:ind w:firstLine="640" w:firstLineChars="200"/>
        <w:jc w:val="both"/>
        <w:rPr>
          <w:rFonts w:hint="default" w:ascii="Times New Roman" w:hAnsi="Times New Roman" w:eastAsia="方正仿宋_GBK" w:cs="Times New Roman"/>
          <w:color w:val="FF0000"/>
          <w:sz w:val="32"/>
          <w:szCs w:val="32"/>
          <w:shd w:val="clear" w:color="auto" w:fill="FFFFFF"/>
        </w:rPr>
      </w:pPr>
      <w:r>
        <w:rPr>
          <w:rStyle w:val="8"/>
          <w:rFonts w:hint="default" w:ascii="Times New Roman" w:hAnsi="Times New Roman" w:eastAsia="方正仿宋_GBK" w:cs="Times New Roman"/>
          <w:sz w:val="32"/>
          <w:szCs w:val="32"/>
          <w:shd w:val="clear" w:color="auto" w:fill="FFFFFF"/>
        </w:rPr>
        <w:t>2.支出情况。</w:t>
      </w:r>
      <w:r>
        <w:rPr>
          <w:rFonts w:hint="default" w:ascii="Times New Roman" w:hAnsi="Times New Roman" w:eastAsia="方正仿宋_GBK" w:cs="Times New Roman"/>
          <w:sz w:val="32"/>
          <w:szCs w:val="32"/>
          <w:shd w:val="clear" w:color="auto" w:fill="FFFFFF"/>
        </w:rPr>
        <w:t>2024年度一般公共预算财政拨款支出6204.72万元，与2023年度相比，增加262.56万元，增长4.4%</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主要原因是</w:t>
      </w:r>
      <w:r>
        <w:rPr>
          <w:rFonts w:hint="default" w:ascii="Times New Roman" w:hAnsi="Times New Roman" w:eastAsia="方正仿宋_GBK" w:cs="Times New Roman"/>
          <w:color w:val="auto"/>
          <w:sz w:val="32"/>
          <w:szCs w:val="32"/>
          <w:shd w:val="clear" w:color="auto" w:fill="FFFFFF"/>
        </w:rPr>
        <w:t>本年度就业专项资金</w:t>
      </w:r>
      <w:r>
        <w:rPr>
          <w:rFonts w:hint="default" w:ascii="Times New Roman" w:hAnsi="Times New Roman" w:eastAsia="方正仿宋_GBK" w:cs="Times New Roman"/>
          <w:color w:val="auto"/>
          <w:sz w:val="32"/>
          <w:szCs w:val="32"/>
          <w:shd w:val="clear" w:color="auto" w:fill="FFFFFF"/>
          <w:lang w:val="en-US" w:eastAsia="zh-CN"/>
        </w:rPr>
        <w:t>增加。</w:t>
      </w:r>
      <w:r>
        <w:rPr>
          <w:rFonts w:hint="default" w:ascii="Times New Roman" w:hAnsi="Times New Roman" w:eastAsia="方正仿宋_GBK" w:cs="Times New Roman"/>
          <w:sz w:val="32"/>
          <w:szCs w:val="32"/>
          <w:shd w:val="clear" w:color="auto" w:fill="FFFFFF"/>
        </w:rPr>
        <w:t>较年初预算数增加2198.16万元，增长54.9%</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主要原因是本年度</w:t>
      </w:r>
      <w:r>
        <w:rPr>
          <w:rFonts w:hint="default" w:ascii="Times New Roman" w:hAnsi="Times New Roman" w:eastAsia="方正仿宋_GBK" w:cs="Times New Roman"/>
          <w:sz w:val="32"/>
          <w:szCs w:val="32"/>
          <w:shd w:val="clear" w:color="auto" w:fill="FFFFFF"/>
          <w:lang w:eastAsia="zh-CN"/>
        </w:rPr>
        <w:t>追加</w:t>
      </w:r>
      <w:r>
        <w:rPr>
          <w:rFonts w:hint="default" w:ascii="Times New Roman" w:hAnsi="Times New Roman" w:eastAsia="方正仿宋_GBK" w:cs="Times New Roman"/>
          <w:sz w:val="32"/>
          <w:szCs w:val="32"/>
          <w:shd w:val="clear" w:color="auto" w:fill="FFFFFF"/>
        </w:rPr>
        <w:t>就业专项资金。</w:t>
      </w:r>
    </w:p>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0" w:firstLineChars="200"/>
        <w:jc w:val="both"/>
        <w:textAlignment w:val="auto"/>
        <w:rPr>
          <w:rFonts w:hint="default" w:ascii="Times New Roman" w:hAnsi="Times New Roman" w:eastAsia="方正仿宋_GBK" w:cs="Times New Roman"/>
          <w:sz w:val="32"/>
          <w:szCs w:val="32"/>
          <w:highlight w:val="none"/>
          <w:shd w:val="clear" w:color="auto" w:fill="FFFFFF"/>
        </w:rPr>
      </w:pPr>
      <w:r>
        <w:rPr>
          <w:rFonts w:hint="default" w:ascii="Times New Roman" w:hAnsi="Times New Roman" w:eastAsia="方正仿宋_GBK" w:cs="Times New Roman"/>
          <w:sz w:val="32"/>
          <w:szCs w:val="32"/>
          <w:highlight w:val="none"/>
          <w:shd w:val="clear" w:color="auto" w:fill="FFFFFF"/>
        </w:rPr>
        <w:t>一般公共预算财政拨款支出主要</w:t>
      </w:r>
      <w:r>
        <w:rPr>
          <w:rFonts w:hint="default" w:ascii="Times New Roman" w:hAnsi="Times New Roman" w:eastAsia="方正仿宋_GBK" w:cs="Times New Roman"/>
          <w:sz w:val="32"/>
          <w:szCs w:val="32"/>
          <w:highlight w:val="none"/>
          <w:shd w:val="clear" w:color="auto" w:fill="FFFFFF"/>
          <w:lang w:eastAsia="zh-CN"/>
        </w:rPr>
        <w:t>用途如下</w:t>
      </w:r>
      <w:r>
        <w:rPr>
          <w:rFonts w:hint="default" w:ascii="Times New Roman" w:hAnsi="Times New Roman" w:eastAsia="方正仿宋_GBK" w:cs="Times New Roman"/>
          <w:sz w:val="32"/>
          <w:szCs w:val="32"/>
          <w:highlight w:val="none"/>
          <w:shd w:val="clear" w:color="auto" w:fill="FFFFFF"/>
        </w:rPr>
        <w:t>：</w:t>
      </w:r>
    </w:p>
    <w:p>
      <w:pPr>
        <w:pStyle w:val="6"/>
        <w:snapToGrid w:val="0"/>
        <w:spacing w:before="0" w:beforeAutospacing="0" w:after="0" w:afterAutospacing="0" w:line="596" w:lineRule="exact"/>
        <w:ind w:firstLine="640" w:firstLineChars="200"/>
        <w:jc w:val="both"/>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sz w:val="32"/>
          <w:szCs w:val="32"/>
          <w:shd w:val="clear" w:color="auto" w:fill="FFFFFF"/>
        </w:rPr>
        <w:t>（1）一般公共服务支出0.45万元，占0.0%，较年初预算数增加0.45万元，增长100.0%，主要原因是</w:t>
      </w:r>
      <w:r>
        <w:rPr>
          <w:rFonts w:hint="default" w:ascii="Times New Roman" w:hAnsi="Times New Roman" w:eastAsia="方正仿宋_GBK" w:cs="Times New Roman"/>
          <w:color w:val="auto"/>
          <w:sz w:val="32"/>
          <w:szCs w:val="32"/>
          <w:shd w:val="clear" w:color="auto" w:fill="FFFFFF"/>
          <w:lang w:eastAsia="zh-CN"/>
        </w:rPr>
        <w:t>优秀公务员奖励计入该支出功能分类。</w:t>
      </w:r>
    </w:p>
    <w:p>
      <w:pPr>
        <w:pStyle w:val="6"/>
        <w:snapToGrid w:val="0"/>
        <w:spacing w:before="0" w:beforeAutospacing="0" w:after="0" w:afterAutospacing="0" w:line="596" w:lineRule="exact"/>
        <w:ind w:firstLine="640" w:firstLineChars="200"/>
        <w:jc w:val="both"/>
        <w:rPr>
          <w:rFonts w:hint="default" w:ascii="Times New Roman" w:hAnsi="Times New Roman" w:eastAsia="方正仿宋_GBK" w:cs="Times New Roman"/>
          <w:color w:val="FF0000"/>
          <w:sz w:val="32"/>
          <w:szCs w:val="32"/>
          <w:shd w:val="clear" w:color="auto" w:fill="FFFFFF"/>
        </w:rPr>
      </w:pPr>
      <w:r>
        <w:rPr>
          <w:rFonts w:hint="default" w:ascii="Times New Roman" w:hAnsi="Times New Roman" w:eastAsia="方正仿宋_GBK" w:cs="Times New Roman"/>
          <w:sz w:val="32"/>
          <w:szCs w:val="32"/>
          <w:shd w:val="clear" w:color="auto" w:fill="FFFFFF"/>
        </w:rPr>
        <w:t>（2）社会保障</w:t>
      </w:r>
      <w:r>
        <w:rPr>
          <w:rFonts w:hint="default" w:ascii="Times New Roman" w:hAnsi="Times New Roman" w:eastAsia="方正仿宋_GBK" w:cs="Times New Roman"/>
          <w:sz w:val="32"/>
          <w:szCs w:val="32"/>
          <w:shd w:val="clear" w:color="auto" w:fill="FFFFFF"/>
          <w:lang w:eastAsia="zh-CN"/>
        </w:rPr>
        <w:t>和</w:t>
      </w:r>
      <w:r>
        <w:rPr>
          <w:rFonts w:hint="default" w:ascii="Times New Roman" w:hAnsi="Times New Roman" w:eastAsia="方正仿宋_GBK" w:cs="Times New Roman"/>
          <w:sz w:val="32"/>
          <w:szCs w:val="32"/>
          <w:shd w:val="clear" w:color="auto" w:fill="FFFFFF"/>
        </w:rPr>
        <w:t>就业支出5219.41万元，占84.1%，较年初预算数增加1705.50万元，增长48.5%，主要原因是本年度</w:t>
      </w:r>
      <w:r>
        <w:rPr>
          <w:rFonts w:hint="default" w:ascii="Times New Roman" w:hAnsi="Times New Roman" w:eastAsia="方正仿宋_GBK" w:cs="Times New Roman"/>
          <w:sz w:val="32"/>
          <w:szCs w:val="32"/>
          <w:shd w:val="clear" w:color="auto" w:fill="FFFFFF"/>
          <w:lang w:eastAsia="zh-CN"/>
        </w:rPr>
        <w:t>追加</w:t>
      </w:r>
      <w:r>
        <w:rPr>
          <w:rFonts w:hint="default" w:ascii="Times New Roman" w:hAnsi="Times New Roman" w:eastAsia="方正仿宋_GBK" w:cs="Times New Roman"/>
          <w:sz w:val="32"/>
          <w:szCs w:val="32"/>
          <w:shd w:val="clear" w:color="auto" w:fill="FFFFFF"/>
        </w:rPr>
        <w:t>就业专项资金。</w:t>
      </w:r>
    </w:p>
    <w:p>
      <w:pPr>
        <w:pStyle w:val="6"/>
        <w:snapToGrid w:val="0"/>
        <w:spacing w:before="0" w:beforeAutospacing="0" w:after="0" w:afterAutospacing="0" w:line="596" w:lineRule="exact"/>
        <w:ind w:firstLine="640" w:firstLineChars="200"/>
        <w:jc w:val="both"/>
        <w:rPr>
          <w:rFonts w:hint="default" w:ascii="Times New Roman" w:hAnsi="Times New Roman" w:eastAsia="方正仿宋_GBK" w:cs="Times New Roman"/>
          <w:color w:val="auto"/>
          <w:sz w:val="32"/>
          <w:szCs w:val="32"/>
          <w:shd w:val="clear" w:color="auto" w:fill="FFFFFF"/>
          <w:lang w:eastAsia="zh-CN"/>
        </w:rPr>
      </w:pPr>
      <w:r>
        <w:rPr>
          <w:rFonts w:hint="default" w:ascii="Times New Roman" w:hAnsi="Times New Roman" w:eastAsia="方正仿宋_GBK" w:cs="Times New Roman"/>
          <w:color w:val="auto"/>
          <w:sz w:val="32"/>
          <w:szCs w:val="32"/>
          <w:shd w:val="clear" w:color="auto" w:fill="FFFFFF"/>
        </w:rPr>
        <w:t>（</w:t>
      </w:r>
      <w:r>
        <w:rPr>
          <w:rFonts w:hint="default" w:ascii="Times New Roman" w:hAnsi="Times New Roman" w:eastAsia="方正仿宋_GBK" w:cs="Times New Roman"/>
          <w:color w:val="auto"/>
          <w:sz w:val="32"/>
          <w:szCs w:val="32"/>
          <w:shd w:val="clear" w:color="auto" w:fill="FFFFFF"/>
          <w:lang w:val="en-US" w:eastAsia="zh-CN"/>
        </w:rPr>
        <w:t>3</w:t>
      </w:r>
      <w:r>
        <w:rPr>
          <w:rFonts w:hint="default" w:ascii="Times New Roman" w:hAnsi="Times New Roman" w:eastAsia="方正仿宋_GBK" w:cs="Times New Roman"/>
          <w:color w:val="auto"/>
          <w:sz w:val="32"/>
          <w:szCs w:val="32"/>
          <w:shd w:val="clear" w:color="auto" w:fill="FFFFFF"/>
        </w:rPr>
        <w:t>）卫生健康支出34.37万元，占0.6%，较年初预算数增加0.24万元，增长0.7%，主要原因是</w:t>
      </w:r>
      <w:r>
        <w:rPr>
          <w:rFonts w:hint="default" w:ascii="Times New Roman" w:hAnsi="Times New Roman" w:eastAsia="方正仿宋_GBK" w:cs="Times New Roman"/>
          <w:color w:val="auto"/>
          <w:sz w:val="32"/>
          <w:szCs w:val="32"/>
          <w:shd w:val="clear" w:color="auto" w:fill="FFFFFF"/>
          <w:lang w:eastAsia="zh-CN"/>
        </w:rPr>
        <w:t>新招录一名参公人员。</w:t>
      </w:r>
    </w:p>
    <w:p>
      <w:pPr>
        <w:pStyle w:val="6"/>
        <w:snapToGrid w:val="0"/>
        <w:spacing w:before="0" w:beforeAutospacing="0" w:after="0" w:afterAutospacing="0" w:line="596" w:lineRule="exact"/>
        <w:ind w:firstLine="640" w:firstLineChars="200"/>
        <w:jc w:val="both"/>
        <w:rPr>
          <w:rFonts w:hint="default" w:ascii="Times New Roman" w:hAnsi="Times New Roman" w:eastAsia="方正仿宋_GBK" w:cs="Times New Roman"/>
          <w:color w:val="auto"/>
          <w:sz w:val="32"/>
          <w:szCs w:val="32"/>
          <w:shd w:val="clear" w:color="auto" w:fill="FFFFFF"/>
          <w:lang w:eastAsia="zh-CN"/>
        </w:rPr>
      </w:pPr>
      <w:r>
        <w:rPr>
          <w:rFonts w:hint="default" w:ascii="Times New Roman" w:hAnsi="Times New Roman" w:eastAsia="方正仿宋_GBK" w:cs="Times New Roman"/>
          <w:color w:val="auto"/>
          <w:sz w:val="32"/>
          <w:szCs w:val="32"/>
          <w:shd w:val="clear" w:color="auto" w:fill="FFFFFF"/>
        </w:rPr>
        <w:t>（</w:t>
      </w:r>
      <w:r>
        <w:rPr>
          <w:rFonts w:hint="default" w:ascii="Times New Roman" w:hAnsi="Times New Roman" w:eastAsia="方正仿宋_GBK" w:cs="Times New Roman"/>
          <w:color w:val="auto"/>
          <w:sz w:val="32"/>
          <w:szCs w:val="32"/>
          <w:shd w:val="clear" w:color="auto" w:fill="FFFFFF"/>
          <w:lang w:val="en-US" w:eastAsia="zh-CN"/>
        </w:rPr>
        <w:t>4</w:t>
      </w:r>
      <w:r>
        <w:rPr>
          <w:rFonts w:hint="default" w:ascii="Times New Roman" w:hAnsi="Times New Roman" w:eastAsia="方正仿宋_GBK" w:cs="Times New Roman"/>
          <w:color w:val="auto"/>
          <w:sz w:val="32"/>
          <w:szCs w:val="32"/>
          <w:shd w:val="clear" w:color="auto" w:fill="FFFFFF"/>
        </w:rPr>
        <w:t>）农林水支出910.89万元，占14.7%，较年初预算数增加491.05万元，增长117.0%，主要原因</w:t>
      </w:r>
      <w:r>
        <w:rPr>
          <w:rFonts w:hint="default" w:ascii="Times New Roman" w:hAnsi="Times New Roman" w:eastAsia="方正仿宋_GBK" w:cs="Times New Roman"/>
          <w:color w:val="auto"/>
          <w:sz w:val="32"/>
          <w:szCs w:val="32"/>
          <w:shd w:val="clear" w:color="auto" w:fill="FFFFFF"/>
          <w:lang w:eastAsia="zh-CN"/>
        </w:rPr>
        <w:t>一</w:t>
      </w:r>
      <w:r>
        <w:rPr>
          <w:rFonts w:hint="default" w:ascii="Times New Roman" w:hAnsi="Times New Roman" w:eastAsia="方正仿宋_GBK" w:cs="Times New Roman"/>
          <w:color w:val="auto"/>
          <w:sz w:val="32"/>
          <w:szCs w:val="32"/>
          <w:shd w:val="clear" w:color="auto" w:fill="FFFFFF"/>
        </w:rPr>
        <w:t>是</w:t>
      </w:r>
      <w:r>
        <w:rPr>
          <w:rFonts w:hint="default" w:ascii="Times New Roman" w:hAnsi="Times New Roman" w:eastAsia="方正仿宋_GBK" w:cs="Times New Roman"/>
          <w:color w:val="auto"/>
          <w:sz w:val="32"/>
          <w:szCs w:val="32"/>
          <w:shd w:val="clear" w:color="auto" w:fill="FFFFFF"/>
          <w:lang w:eastAsia="zh-CN"/>
        </w:rPr>
        <w:t>本年度追加跨区域交通补助，二是年初时德州、合川帮扶资金还未下达。</w:t>
      </w:r>
    </w:p>
    <w:p>
      <w:pPr>
        <w:pStyle w:val="6"/>
        <w:snapToGrid w:val="0"/>
        <w:spacing w:before="0" w:beforeAutospacing="0" w:after="0" w:afterAutospacing="0" w:line="596" w:lineRule="exact"/>
        <w:ind w:firstLine="640" w:firstLineChars="200"/>
        <w:jc w:val="both"/>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w:t>
      </w:r>
      <w:r>
        <w:rPr>
          <w:rFonts w:hint="default" w:ascii="Times New Roman" w:hAnsi="Times New Roman" w:eastAsia="方正仿宋_GBK" w:cs="Times New Roman"/>
          <w:color w:val="auto"/>
          <w:sz w:val="32"/>
          <w:szCs w:val="32"/>
          <w:shd w:val="clear" w:color="auto" w:fill="FFFFFF"/>
          <w:lang w:val="en-US" w:eastAsia="zh-CN"/>
        </w:rPr>
        <w:t>5</w:t>
      </w:r>
      <w:r>
        <w:rPr>
          <w:rFonts w:hint="default" w:ascii="Times New Roman" w:hAnsi="Times New Roman" w:eastAsia="方正仿宋_GBK" w:cs="Times New Roman"/>
          <w:color w:val="auto"/>
          <w:sz w:val="32"/>
          <w:szCs w:val="32"/>
          <w:shd w:val="clear" w:color="auto" w:fill="FFFFFF"/>
        </w:rPr>
        <w:t>）</w:t>
      </w:r>
      <w:r>
        <w:rPr>
          <w:rFonts w:hint="default" w:ascii="Times New Roman" w:hAnsi="Times New Roman" w:eastAsia="方正仿宋_GBK" w:cs="Times New Roman"/>
          <w:color w:val="auto"/>
          <w:sz w:val="32"/>
          <w:szCs w:val="32"/>
        </w:rPr>
        <w:t>住房保障支出</w:t>
      </w:r>
      <w:r>
        <w:rPr>
          <w:rFonts w:hint="default" w:ascii="Times New Roman" w:hAnsi="Times New Roman" w:eastAsia="方正仿宋_GBK" w:cs="Times New Roman"/>
          <w:color w:val="auto"/>
          <w:sz w:val="32"/>
          <w:szCs w:val="32"/>
          <w:shd w:val="clear" w:color="auto" w:fill="FFFFFF"/>
        </w:rPr>
        <w:t>39.60万元，占0.6%，较年初预算数增加0.91万元，增长2.4%，主要原因是</w:t>
      </w:r>
      <w:r>
        <w:rPr>
          <w:rFonts w:hint="default" w:ascii="Times New Roman" w:hAnsi="Times New Roman" w:eastAsia="方正仿宋_GBK" w:cs="Times New Roman"/>
          <w:color w:val="auto"/>
          <w:sz w:val="32"/>
          <w:szCs w:val="32"/>
          <w:shd w:val="clear" w:color="auto" w:fill="FFFFFF"/>
          <w:lang w:eastAsia="zh-CN"/>
        </w:rPr>
        <w:t>新招录一名参公人员。</w:t>
      </w:r>
    </w:p>
    <w:p>
      <w:pPr>
        <w:pStyle w:val="6"/>
        <w:snapToGrid w:val="0"/>
        <w:spacing w:before="0" w:beforeAutospacing="0" w:after="0" w:afterAutospacing="0" w:line="596" w:lineRule="exact"/>
        <w:ind w:firstLine="640" w:firstLineChars="200"/>
        <w:jc w:val="both"/>
        <w:rPr>
          <w:rFonts w:hint="default" w:ascii="Times New Roman" w:hAnsi="Times New Roman" w:eastAsia="方正仿宋_GBK" w:cs="Times New Roman"/>
          <w:color w:val="FF0000"/>
          <w:sz w:val="32"/>
          <w:szCs w:val="32"/>
          <w:shd w:val="clear" w:color="auto" w:fill="FFFFFF"/>
          <w:lang w:eastAsia="zh-CN"/>
        </w:rPr>
      </w:pPr>
      <w:r>
        <w:rPr>
          <w:rStyle w:val="8"/>
          <w:rFonts w:hint="default" w:ascii="Times New Roman" w:hAnsi="Times New Roman" w:eastAsia="方正仿宋_GBK" w:cs="Times New Roman"/>
          <w:sz w:val="32"/>
          <w:szCs w:val="32"/>
          <w:shd w:val="clear" w:color="auto" w:fill="FFFFFF"/>
        </w:rPr>
        <w:t>3.结转结余情况。</w:t>
      </w:r>
      <w:r>
        <w:rPr>
          <w:rFonts w:hint="default" w:ascii="Times New Roman" w:hAnsi="Times New Roman" w:eastAsia="方正仿宋_GBK" w:cs="Times New Roman"/>
          <w:sz w:val="32"/>
          <w:szCs w:val="32"/>
          <w:shd w:val="clear" w:color="auto" w:fill="FFFFFF"/>
        </w:rPr>
        <w:t>2024年度年末一般公共预算财政拨款结转和结余0.00万元，与2023年度相比，无增减</w:t>
      </w:r>
      <w:r>
        <w:rPr>
          <w:rFonts w:hint="default" w:ascii="Times New Roman" w:hAnsi="Times New Roman" w:eastAsia="方正仿宋_GBK" w:cs="Times New Roman"/>
          <w:sz w:val="32"/>
          <w:szCs w:val="32"/>
          <w:shd w:val="clear" w:color="auto" w:fill="FFFFFF"/>
          <w:lang w:eastAsia="zh-CN"/>
        </w:rPr>
        <w:t>。</w:t>
      </w:r>
    </w:p>
    <w:p>
      <w:pPr>
        <w:pStyle w:val="11"/>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（四）一般公共预算财政拨款基本支出决算情况说明</w:t>
      </w:r>
    </w:p>
    <w:p>
      <w:pPr>
        <w:pStyle w:val="6"/>
        <w:snapToGrid w:val="0"/>
        <w:spacing w:before="0" w:beforeAutospacing="0" w:after="0" w:afterAutospacing="0" w:line="596" w:lineRule="exact"/>
        <w:ind w:firstLine="640" w:firstLineChars="200"/>
        <w:jc w:val="both"/>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2024年度一般公共财政拨款基本支出619.60万元。</w:t>
      </w:r>
    </w:p>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0" w:firstLineChars="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其中：</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kern w:val="0"/>
          <w:sz w:val="32"/>
          <w:szCs w:val="32"/>
          <w:shd w:val="clear" w:color="auto" w:fill="FFFFFF"/>
          <w:lang w:val="en-US" w:eastAsia="zh-CN" w:bidi="ar"/>
        </w:rPr>
      </w:pPr>
      <w:r>
        <w:rPr>
          <w:rFonts w:hint="default" w:ascii="Times New Roman" w:hAnsi="Times New Roman" w:eastAsia="方正仿宋_GBK" w:cs="Times New Roman"/>
          <w:sz w:val="32"/>
          <w:szCs w:val="32"/>
          <w:shd w:val="clear" w:color="auto" w:fill="FFFFFF"/>
        </w:rPr>
        <w:t>人员经费525.97万元，与2023年度相比，增加6.26万元，增长1.2%，主要原因是</w:t>
      </w:r>
      <w:r>
        <w:rPr>
          <w:rFonts w:hint="default" w:ascii="Times New Roman" w:hAnsi="Times New Roman" w:eastAsia="方正仿宋_GBK" w:cs="Times New Roman"/>
          <w:color w:val="auto"/>
          <w:sz w:val="32"/>
          <w:szCs w:val="32"/>
          <w:shd w:val="clear" w:color="auto" w:fill="FFFFFF"/>
          <w:lang w:eastAsia="zh-CN"/>
        </w:rPr>
        <w:t>新招录一名参公人员。</w:t>
      </w:r>
      <w:r>
        <w:rPr>
          <w:rFonts w:hint="default" w:ascii="Times New Roman" w:hAnsi="Times New Roman" w:eastAsia="方正仿宋_GBK" w:cs="Times New Roman"/>
          <w:sz w:val="32"/>
          <w:szCs w:val="32"/>
          <w:shd w:val="clear" w:color="auto" w:fill="FFFFFF"/>
        </w:rPr>
        <w:t>人员经费用途主要包括</w:t>
      </w:r>
      <w:r>
        <w:rPr>
          <w:rFonts w:hint="default" w:ascii="Times New Roman" w:hAnsi="Times New Roman" w:eastAsia="方正仿宋_GBK" w:cs="Times New Roman"/>
          <w:b w:val="0"/>
          <w:kern w:val="0"/>
          <w:sz w:val="32"/>
          <w:szCs w:val="32"/>
          <w:shd w:val="clear" w:color="auto" w:fill="FFFFFF"/>
          <w:lang w:val="en-US" w:eastAsia="zh-CN" w:bidi="ar"/>
        </w:rPr>
        <w:t>基本工资、津贴补贴、奖金、机关事业单位基本养老保险费、职业年金缴费、职工基本医疗保险缴费、其他社会保障缴费、住房公积金、医疗费、其他工资福利支出、生活补助、医疗费等。</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val="0"/>
        <w:autoSpaceDN/>
        <w:bidi w:val="0"/>
        <w:adjustRightInd/>
        <w:snapToGrid/>
        <w:spacing w:before="0" w:beforeAutospacing="0" w:after="0" w:afterAutospacing="0" w:line="560" w:lineRule="exact"/>
        <w:ind w:left="0" w:right="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公用经费93.63万元，与2023年度相比，增加20.24万元，增长27.6%，主要原因是</w:t>
      </w:r>
      <w:r>
        <w:rPr>
          <w:rFonts w:hint="default" w:ascii="Times New Roman" w:hAnsi="Times New Roman" w:eastAsia="方正仿宋_GBK" w:cs="Times New Roman"/>
          <w:sz w:val="32"/>
          <w:szCs w:val="32"/>
          <w:shd w:val="clear" w:color="auto" w:fill="FFFFFF"/>
          <w:lang w:eastAsia="zh-CN"/>
        </w:rPr>
        <w:t>新增事业发展经费、事业服务经费</w:t>
      </w:r>
      <w:r>
        <w:rPr>
          <w:rFonts w:hint="default" w:ascii="Times New Roman" w:hAnsi="Times New Roman" w:eastAsia="方正仿宋_GBK" w:cs="Times New Roman"/>
          <w:color w:val="auto"/>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公用经费用途主要包括</w:t>
      </w:r>
      <w:r>
        <w:rPr>
          <w:rFonts w:hint="default" w:ascii="Times New Roman" w:hAnsi="Times New Roman" w:eastAsia="方正仿宋_GBK" w:cs="Times New Roman"/>
          <w:b w:val="0"/>
          <w:kern w:val="0"/>
          <w:sz w:val="32"/>
          <w:szCs w:val="32"/>
          <w:shd w:val="clear" w:color="auto" w:fill="FFFFFF"/>
          <w:lang w:val="en-US" w:eastAsia="zh-CN" w:bidi="ar"/>
        </w:rPr>
        <w:t>办公费、水费、电费、邮电费、物业管理费、差旅费、因公出国（境）费用、会议费、培训费、公务接待费、工会经费、其他交通费用、其他商品和服务支出、办公设备购置等。</w:t>
      </w:r>
    </w:p>
    <w:p>
      <w:pPr>
        <w:pStyle w:val="11"/>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（五）政府性基金预算收支决算情况说明</w:t>
      </w:r>
    </w:p>
    <w:p>
      <w:pPr>
        <w:pStyle w:val="6"/>
        <w:snapToGrid w:val="0"/>
        <w:spacing w:before="0" w:beforeAutospacing="0" w:after="0" w:afterAutospacing="0" w:line="596" w:lineRule="exact"/>
        <w:ind w:firstLine="640" w:firstLineChars="200"/>
        <w:jc w:val="both"/>
        <w:rPr>
          <w:rFonts w:hint="default" w:ascii="Times New Roman" w:hAnsi="Times New Roman" w:eastAsia="方正仿宋_GBK" w:cs="Times New Roman"/>
          <w:b w:val="0"/>
          <w:kern w:val="0"/>
          <w:sz w:val="32"/>
          <w:szCs w:val="32"/>
          <w:shd w:val="clear" w:color="auto" w:fill="FFFFFF"/>
          <w:lang w:val="en-US" w:eastAsia="zh-CN" w:bidi="ar"/>
        </w:rPr>
      </w:pPr>
      <w:r>
        <w:rPr>
          <w:rFonts w:hint="default" w:ascii="Times New Roman" w:hAnsi="Times New Roman" w:eastAsia="方正仿宋_GBK" w:cs="Times New Roman"/>
          <w:b w:val="0"/>
          <w:kern w:val="0"/>
          <w:sz w:val="32"/>
          <w:szCs w:val="32"/>
          <w:shd w:val="clear" w:color="auto" w:fill="FFFFFF"/>
          <w:lang w:val="en-US" w:eastAsia="zh-CN" w:bidi="ar"/>
        </w:rPr>
        <w:t>本</w:t>
      </w:r>
      <w:r>
        <w:rPr>
          <w:rFonts w:hint="eastAsia" w:ascii="Times New Roman" w:hAnsi="Times New Roman" w:eastAsia="方正仿宋_GBK" w:cs="Times New Roman"/>
          <w:b w:val="0"/>
          <w:kern w:val="0"/>
          <w:sz w:val="32"/>
          <w:szCs w:val="32"/>
          <w:shd w:val="clear" w:color="auto" w:fill="FFFFFF"/>
          <w:lang w:val="en-US" w:eastAsia="zh-CN" w:bidi="ar"/>
        </w:rPr>
        <w:t>部门</w:t>
      </w:r>
      <w:r>
        <w:rPr>
          <w:rFonts w:hint="default" w:ascii="Times New Roman" w:hAnsi="Times New Roman" w:eastAsia="方正仿宋_GBK" w:cs="Times New Roman"/>
          <w:b w:val="0"/>
          <w:kern w:val="0"/>
          <w:sz w:val="32"/>
          <w:szCs w:val="32"/>
          <w:shd w:val="clear" w:color="auto" w:fill="FFFFFF"/>
          <w:lang w:val="en-US" w:eastAsia="zh-CN" w:bidi="ar"/>
        </w:rPr>
        <w:t>2024年度无政府性基金预算财政拨款收支。</w:t>
      </w:r>
    </w:p>
    <w:p>
      <w:pPr>
        <w:pStyle w:val="11"/>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（六）国有资本经营预算财政拨款支出决算情况说明</w:t>
      </w:r>
    </w:p>
    <w:p>
      <w:pPr>
        <w:pStyle w:val="6"/>
        <w:snapToGrid w:val="0"/>
        <w:spacing w:before="0" w:beforeAutospacing="0" w:after="0" w:afterAutospacing="0" w:line="596" w:lineRule="exact"/>
        <w:ind w:firstLine="640" w:firstLineChars="200"/>
        <w:jc w:val="both"/>
        <w:rPr>
          <w:rFonts w:hint="default" w:ascii="Times New Roman" w:hAnsi="Times New Roman" w:eastAsia="方正仿宋_GBK" w:cs="Times New Roman"/>
          <w:b w:val="0"/>
          <w:kern w:val="0"/>
          <w:sz w:val="32"/>
          <w:szCs w:val="32"/>
          <w:shd w:val="clear" w:color="auto" w:fill="FFFFFF"/>
          <w:lang w:val="en-US" w:eastAsia="zh-CN" w:bidi="ar"/>
        </w:rPr>
      </w:pPr>
      <w:r>
        <w:rPr>
          <w:rFonts w:hint="eastAsia" w:ascii="Times New Roman" w:hAnsi="Times New Roman" w:eastAsia="方正仿宋_GBK" w:cs="Times New Roman"/>
          <w:b w:val="0"/>
          <w:kern w:val="0"/>
          <w:sz w:val="32"/>
          <w:szCs w:val="32"/>
          <w:shd w:val="clear" w:color="auto" w:fill="FFFFFF"/>
          <w:lang w:val="en-US" w:eastAsia="zh-CN" w:bidi="ar"/>
        </w:rPr>
        <w:t>本部门</w:t>
      </w:r>
      <w:r>
        <w:rPr>
          <w:rFonts w:hint="default" w:ascii="Times New Roman" w:hAnsi="Times New Roman" w:eastAsia="方正仿宋_GBK" w:cs="Times New Roman"/>
          <w:b w:val="0"/>
          <w:kern w:val="0"/>
          <w:sz w:val="32"/>
          <w:szCs w:val="32"/>
          <w:shd w:val="clear" w:color="auto" w:fill="FFFFFF"/>
          <w:lang w:val="en-US" w:eastAsia="zh-CN" w:bidi="ar"/>
        </w:rPr>
        <w:t>2024年度无国有资本经营预算财政拨款支出。</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8"/>
          <w:rFonts w:hint="default" w:ascii="Times New Roman" w:hAnsi="Times New Roman" w:eastAsia="黑体" w:cs="Times New Roman"/>
          <w:b/>
          <w:bCs w:val="0"/>
          <w:sz w:val="32"/>
          <w:szCs w:val="32"/>
          <w:shd w:val="clear" w:color="auto" w:fill="FFFFFF"/>
        </w:rPr>
      </w:pPr>
      <w:r>
        <w:rPr>
          <w:rStyle w:val="8"/>
          <w:rFonts w:hint="default" w:ascii="Times New Roman" w:hAnsi="Times New Roman" w:eastAsia="黑体" w:cs="Times New Roman"/>
          <w:b/>
          <w:bCs w:val="0"/>
          <w:sz w:val="32"/>
          <w:szCs w:val="32"/>
          <w:shd w:val="clear" w:color="auto" w:fill="FFFFFF"/>
        </w:rPr>
        <w:t>三、</w:t>
      </w:r>
      <w:r>
        <w:rPr>
          <w:rStyle w:val="8"/>
          <w:rFonts w:hint="default" w:ascii="Times New Roman" w:hAnsi="Times New Roman" w:eastAsia="黑体" w:cs="Times New Roman"/>
          <w:b/>
          <w:bCs w:val="0"/>
          <w:sz w:val="32"/>
          <w:szCs w:val="32"/>
          <w:shd w:val="clear" w:color="auto" w:fill="FFFFFF"/>
          <w:lang w:eastAsia="zh-CN"/>
        </w:rPr>
        <w:t>财政拨款</w:t>
      </w:r>
      <w:r>
        <w:rPr>
          <w:rStyle w:val="8"/>
          <w:rFonts w:hint="default" w:ascii="Times New Roman" w:hAnsi="Times New Roman" w:eastAsia="黑体" w:cs="Times New Roman"/>
          <w:b/>
          <w:bCs w:val="0"/>
          <w:sz w:val="32"/>
          <w:szCs w:val="32"/>
          <w:shd w:val="clear" w:color="auto" w:fill="FFFFFF"/>
        </w:rPr>
        <w:t>“三公”经费情况说明</w:t>
      </w:r>
    </w:p>
    <w:p>
      <w:pPr>
        <w:pStyle w:val="11"/>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（一）“三公”经费支出总体情况说明</w:t>
      </w:r>
    </w:p>
    <w:p>
      <w:pPr>
        <w:pStyle w:val="6"/>
        <w:snapToGrid w:val="0"/>
        <w:spacing w:before="0" w:beforeAutospacing="0" w:after="0" w:afterAutospacing="0" w:line="596"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2024年度“三公”经费支出共计4.09万元，较年初预算数减少6.91万元，下降62.8%，较上年支出数减少0.41万元，下降9.1%，主要原因是一是认真贯彻落实中央八项规定精神，从严控制“三公”经费。二是强化公务接待支出管理，严格遵守公务接待开支范围和开支标准，严格控制陪餐人数。三是进一步规范因公出国（境）活动，今年未安排人员出国出访。</w:t>
      </w:r>
    </w:p>
    <w:p>
      <w:pPr>
        <w:pStyle w:val="11"/>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（二）“三公”经费分项支出情况</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val="0"/>
        <w:autoSpaceDN/>
        <w:bidi w:val="0"/>
        <w:adjustRightInd/>
        <w:snapToGrid/>
        <w:spacing w:before="0" w:beforeAutospacing="0" w:after="0" w:afterAutospacing="0" w:line="560" w:lineRule="exact"/>
        <w:ind w:left="0" w:right="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2024年度</w:t>
      </w:r>
      <w:r>
        <w:rPr>
          <w:rFonts w:hint="eastAsia" w:ascii="Times New Roman" w:hAnsi="Times New Roman" w:eastAsia="方正仿宋_GBK" w:cs="Times New Roman"/>
          <w:sz w:val="32"/>
          <w:szCs w:val="32"/>
          <w:shd w:val="clear" w:color="auto" w:fill="FFFFFF"/>
          <w:lang w:eastAsia="zh-CN"/>
        </w:rPr>
        <w:t>本部门</w:t>
      </w:r>
      <w:r>
        <w:rPr>
          <w:rFonts w:hint="default" w:ascii="Times New Roman" w:hAnsi="Times New Roman" w:eastAsia="方正仿宋_GBK" w:cs="Times New Roman"/>
          <w:sz w:val="32"/>
          <w:szCs w:val="32"/>
          <w:shd w:val="clear" w:color="auto" w:fill="FFFFFF"/>
        </w:rPr>
        <w:t>因公出国（境）费用0.00万元，支出较年初预算数无增减，较上年支出数无增减，主要原因是</w:t>
      </w:r>
      <w:r>
        <w:rPr>
          <w:rFonts w:hint="default" w:ascii="Times New Roman" w:hAnsi="Times New Roman" w:eastAsia="方正仿宋_GBK" w:cs="Times New Roman"/>
          <w:b w:val="0"/>
          <w:kern w:val="0"/>
          <w:sz w:val="32"/>
          <w:szCs w:val="32"/>
          <w:shd w:val="clear" w:color="auto" w:fill="FFFFFF"/>
          <w:lang w:val="en-US" w:eastAsia="zh-CN" w:bidi="ar"/>
        </w:rPr>
        <w:t>本年度未安排人员出国出访。</w:t>
      </w:r>
    </w:p>
    <w:p>
      <w:pPr>
        <w:pStyle w:val="6"/>
        <w:snapToGrid w:val="0"/>
        <w:spacing w:before="0" w:beforeAutospacing="0" w:after="0" w:afterAutospacing="0" w:line="596" w:lineRule="exact"/>
        <w:ind w:firstLine="640" w:firstLineChars="200"/>
        <w:jc w:val="both"/>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sz w:val="32"/>
          <w:szCs w:val="32"/>
          <w:shd w:val="clear" w:color="auto" w:fill="FFFFFF"/>
        </w:rPr>
        <w:t>公务</w:t>
      </w:r>
      <w:r>
        <w:rPr>
          <w:rFonts w:hint="default" w:ascii="Times New Roman" w:hAnsi="Times New Roman" w:eastAsia="方正仿宋_GBK" w:cs="Times New Roman"/>
          <w:sz w:val="32"/>
          <w:szCs w:val="32"/>
          <w:shd w:val="clear" w:color="auto" w:fill="FFFFFF"/>
          <w:lang w:eastAsia="zh-CN"/>
        </w:rPr>
        <w:t>用</w:t>
      </w:r>
      <w:r>
        <w:rPr>
          <w:rFonts w:hint="default" w:ascii="Times New Roman" w:hAnsi="Times New Roman" w:eastAsia="方正仿宋_GBK" w:cs="Times New Roman"/>
          <w:sz w:val="32"/>
          <w:szCs w:val="32"/>
          <w:shd w:val="clear" w:color="auto" w:fill="FFFFFF"/>
        </w:rPr>
        <w:t>车购置费0.00万元，主要用于</w:t>
      </w:r>
      <w:r>
        <w:rPr>
          <w:rFonts w:hint="default" w:ascii="Times New Roman" w:hAnsi="Times New Roman" w:eastAsia="方正仿宋_GBK" w:cs="Times New Roman"/>
          <w:b w:val="0"/>
          <w:color w:val="auto"/>
          <w:kern w:val="0"/>
          <w:sz w:val="32"/>
          <w:szCs w:val="32"/>
          <w:shd w:val="clear" w:color="auto" w:fill="FFFFFF"/>
          <w:lang w:val="en-US" w:eastAsia="zh-CN" w:bidi="ar"/>
        </w:rPr>
        <w:t>购置</w:t>
      </w:r>
      <w:r>
        <w:rPr>
          <w:rFonts w:hint="eastAsia" w:ascii="Times New Roman" w:hAnsi="Times New Roman" w:eastAsia="方正仿宋_GBK" w:cs="Times New Roman"/>
          <w:b w:val="0"/>
          <w:color w:val="auto"/>
          <w:kern w:val="0"/>
          <w:sz w:val="32"/>
          <w:szCs w:val="32"/>
          <w:shd w:val="clear" w:color="auto" w:fill="FFFFFF"/>
          <w:lang w:val="en-US" w:eastAsia="zh-CN" w:bidi="ar"/>
        </w:rPr>
        <w:t>部门</w:t>
      </w:r>
      <w:r>
        <w:rPr>
          <w:rFonts w:hint="default" w:ascii="Times New Roman" w:hAnsi="Times New Roman" w:eastAsia="方正仿宋_GBK" w:cs="Times New Roman"/>
          <w:b w:val="0"/>
          <w:color w:val="auto"/>
          <w:kern w:val="0"/>
          <w:sz w:val="32"/>
          <w:szCs w:val="32"/>
          <w:shd w:val="clear" w:color="auto" w:fill="FFFFFF"/>
          <w:lang w:val="en-US" w:eastAsia="zh-CN" w:bidi="ar"/>
        </w:rPr>
        <w:t>公务用车及相关支出。</w:t>
      </w:r>
      <w:r>
        <w:rPr>
          <w:rFonts w:hint="default" w:ascii="Times New Roman" w:hAnsi="Times New Roman" w:eastAsia="方正仿宋_GBK" w:cs="Times New Roman"/>
          <w:sz w:val="32"/>
          <w:szCs w:val="32"/>
          <w:shd w:val="clear" w:color="auto" w:fill="FFFFFF"/>
        </w:rPr>
        <w:t>费用支出较年初预算数无增减，较上年支出数无增减，主要原因</w:t>
      </w:r>
      <w:r>
        <w:rPr>
          <w:rFonts w:hint="default" w:ascii="Times New Roman" w:hAnsi="Times New Roman" w:eastAsia="方正仿宋_GBK" w:cs="Times New Roman"/>
          <w:color w:val="auto"/>
          <w:sz w:val="32"/>
          <w:szCs w:val="32"/>
          <w:shd w:val="clear" w:color="auto" w:fill="FFFFFF"/>
        </w:rPr>
        <w:t>是</w:t>
      </w:r>
      <w:r>
        <w:rPr>
          <w:rFonts w:hint="default" w:ascii="Times New Roman" w:hAnsi="Times New Roman" w:eastAsia="方正仿宋_GBK" w:cs="Times New Roman"/>
          <w:color w:val="auto"/>
          <w:sz w:val="32"/>
          <w:szCs w:val="32"/>
          <w:shd w:val="clear" w:color="auto" w:fill="FFFFFF"/>
          <w:lang w:eastAsia="zh-CN"/>
        </w:rPr>
        <w:t>本年度未产生相关支出。</w:t>
      </w:r>
    </w:p>
    <w:p>
      <w:pPr>
        <w:pStyle w:val="6"/>
        <w:snapToGrid w:val="0"/>
        <w:spacing w:before="0" w:beforeAutospacing="0" w:after="0" w:afterAutospacing="0" w:line="596" w:lineRule="exact"/>
        <w:ind w:firstLine="640" w:firstLineChars="200"/>
        <w:jc w:val="both"/>
        <w:rPr>
          <w:rFonts w:hint="default" w:ascii="Times New Roman" w:hAnsi="Times New Roman" w:eastAsia="方正仿宋_GBK" w:cs="Times New Roman"/>
          <w:color w:val="auto"/>
          <w:sz w:val="32"/>
          <w:szCs w:val="32"/>
          <w:shd w:val="clear" w:color="auto" w:fill="FFFFFF"/>
          <w:lang w:eastAsia="zh-CN"/>
        </w:rPr>
      </w:pPr>
      <w:r>
        <w:rPr>
          <w:rFonts w:hint="default" w:ascii="Times New Roman" w:hAnsi="Times New Roman" w:eastAsia="方正仿宋_GBK" w:cs="Times New Roman"/>
          <w:color w:val="auto"/>
          <w:sz w:val="32"/>
          <w:szCs w:val="32"/>
          <w:shd w:val="clear" w:color="auto" w:fill="FFFFFF"/>
        </w:rPr>
        <w:t>公务</w:t>
      </w:r>
      <w:r>
        <w:rPr>
          <w:rFonts w:hint="default" w:ascii="Times New Roman" w:hAnsi="Times New Roman" w:eastAsia="方正仿宋_GBK" w:cs="Times New Roman"/>
          <w:color w:val="auto"/>
          <w:sz w:val="32"/>
          <w:szCs w:val="32"/>
          <w:shd w:val="clear" w:color="auto" w:fill="FFFFFF"/>
          <w:lang w:eastAsia="zh-CN"/>
        </w:rPr>
        <w:t>用</w:t>
      </w:r>
      <w:r>
        <w:rPr>
          <w:rFonts w:hint="default" w:ascii="Times New Roman" w:hAnsi="Times New Roman" w:eastAsia="方正仿宋_GBK" w:cs="Times New Roman"/>
          <w:color w:val="auto"/>
          <w:sz w:val="32"/>
          <w:szCs w:val="32"/>
          <w:shd w:val="clear" w:color="auto" w:fill="FFFFFF"/>
        </w:rPr>
        <w:t>车运行维护费3.63万元，主要用于</w:t>
      </w:r>
      <w:r>
        <w:rPr>
          <w:rFonts w:hint="eastAsia" w:ascii="Times New Roman" w:hAnsi="Times New Roman" w:eastAsia="方正仿宋_GBK" w:cs="Times New Roman"/>
          <w:b w:val="0"/>
          <w:color w:val="auto"/>
          <w:kern w:val="0"/>
          <w:sz w:val="32"/>
          <w:szCs w:val="32"/>
          <w:shd w:val="clear" w:color="auto" w:fill="FFFFFF"/>
          <w:lang w:val="en-US" w:eastAsia="zh-CN" w:bidi="ar"/>
        </w:rPr>
        <w:t>部门</w:t>
      </w:r>
      <w:r>
        <w:rPr>
          <w:rFonts w:hint="default" w:ascii="Times New Roman" w:hAnsi="Times New Roman" w:eastAsia="方正仿宋_GBK" w:cs="Times New Roman"/>
          <w:b w:val="0"/>
          <w:color w:val="auto"/>
          <w:kern w:val="0"/>
          <w:sz w:val="32"/>
          <w:szCs w:val="32"/>
          <w:shd w:val="clear" w:color="auto" w:fill="FFFFFF"/>
          <w:lang w:val="en-US" w:eastAsia="zh-CN" w:bidi="ar"/>
        </w:rPr>
        <w:t>公务用车运行维护。</w:t>
      </w:r>
      <w:r>
        <w:rPr>
          <w:rFonts w:hint="default" w:ascii="Times New Roman" w:hAnsi="Times New Roman" w:eastAsia="方正仿宋_GBK" w:cs="Times New Roman"/>
          <w:color w:val="auto"/>
          <w:sz w:val="32"/>
          <w:szCs w:val="32"/>
          <w:shd w:val="clear" w:color="auto" w:fill="FFFFFF"/>
        </w:rPr>
        <w:t>费用支出较年初预算数减少0.87万元，下降19.3%，主要原因是</w:t>
      </w:r>
      <w:r>
        <w:rPr>
          <w:rFonts w:hint="default" w:ascii="Times New Roman" w:hAnsi="Times New Roman" w:eastAsia="方正仿宋_GBK" w:cs="Times New Roman"/>
          <w:b w:val="0"/>
          <w:color w:val="auto"/>
          <w:kern w:val="0"/>
          <w:sz w:val="32"/>
          <w:szCs w:val="32"/>
          <w:shd w:val="clear" w:color="auto" w:fill="FFFFFF"/>
          <w:lang w:val="en-US" w:eastAsia="zh-CN" w:bidi="ar"/>
        </w:rPr>
        <w:t>强化公务用车管理</w:t>
      </w:r>
      <w:r>
        <w:rPr>
          <w:rFonts w:hint="default" w:ascii="Times New Roman" w:hAnsi="Times New Roman" w:eastAsia="方正仿宋_GBK" w:cs="Times New Roman"/>
          <w:color w:val="auto"/>
          <w:sz w:val="32"/>
          <w:szCs w:val="32"/>
          <w:shd w:val="clear" w:color="auto" w:fill="FFFFFF"/>
          <w:lang w:eastAsia="zh-CN"/>
        </w:rPr>
        <w:t>。</w:t>
      </w:r>
      <w:r>
        <w:rPr>
          <w:rFonts w:hint="default" w:ascii="Times New Roman" w:hAnsi="Times New Roman" w:eastAsia="方正仿宋_GBK" w:cs="Times New Roman"/>
          <w:color w:val="auto"/>
          <w:sz w:val="32"/>
          <w:szCs w:val="32"/>
          <w:shd w:val="clear" w:color="auto" w:fill="FFFFFF"/>
        </w:rPr>
        <w:t>较上年支出数增加0.47万元，增长14.9%，主要原因是</w:t>
      </w:r>
      <w:r>
        <w:rPr>
          <w:rFonts w:hint="default" w:ascii="Times New Roman" w:hAnsi="Times New Roman" w:eastAsia="方正仿宋_GBK" w:cs="Times New Roman"/>
          <w:color w:val="auto"/>
          <w:sz w:val="32"/>
          <w:szCs w:val="32"/>
          <w:shd w:val="clear" w:color="auto" w:fill="FFFFFF"/>
          <w:lang w:eastAsia="zh-CN"/>
        </w:rPr>
        <w:t>公务用车使用增加。</w:t>
      </w:r>
    </w:p>
    <w:p>
      <w:pPr>
        <w:pStyle w:val="6"/>
        <w:snapToGrid w:val="0"/>
        <w:spacing w:before="0" w:beforeAutospacing="0" w:after="0" w:afterAutospacing="0" w:line="596"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公务接待费0.47万元，主要用于接待</w:t>
      </w:r>
      <w:r>
        <w:rPr>
          <w:rFonts w:hint="default" w:ascii="Times New Roman" w:hAnsi="Times New Roman" w:eastAsia="方正仿宋_GBK" w:cs="Times New Roman"/>
          <w:b w:val="0"/>
          <w:kern w:val="0"/>
          <w:sz w:val="32"/>
          <w:szCs w:val="32"/>
          <w:shd w:val="clear" w:color="auto" w:fill="FFFFFF"/>
          <w:lang w:val="en-US" w:eastAsia="zh-CN" w:bidi="ar"/>
        </w:rPr>
        <w:t>国内其他省县部门到</w:t>
      </w:r>
      <w:r>
        <w:rPr>
          <w:rFonts w:hint="eastAsia" w:ascii="Times New Roman" w:hAnsi="Times New Roman" w:eastAsia="方正仿宋_GBK" w:cs="Times New Roman"/>
          <w:sz w:val="32"/>
          <w:szCs w:val="32"/>
          <w:shd w:val="clear" w:color="auto" w:fill="FFFFFF"/>
          <w:lang w:val="zh-CN" w:eastAsia="zh-CN" w:bidi="ar-SA"/>
        </w:rPr>
        <w:t>本部门</w:t>
      </w:r>
      <w:r>
        <w:rPr>
          <w:rFonts w:hint="default" w:ascii="Times New Roman" w:hAnsi="Times New Roman" w:eastAsia="方正仿宋_GBK" w:cs="Times New Roman"/>
          <w:b w:val="0"/>
          <w:kern w:val="0"/>
          <w:sz w:val="32"/>
          <w:szCs w:val="32"/>
          <w:shd w:val="clear" w:color="auto" w:fill="FFFFFF"/>
          <w:lang w:val="en-US" w:eastAsia="zh-CN" w:bidi="ar"/>
        </w:rPr>
        <w:t>考察调研，接受相关部门检查指导工作发生的接待支出。</w:t>
      </w:r>
      <w:r>
        <w:rPr>
          <w:rFonts w:hint="default" w:ascii="Times New Roman" w:hAnsi="Times New Roman" w:eastAsia="方正仿宋_GBK" w:cs="Times New Roman"/>
          <w:sz w:val="32"/>
          <w:szCs w:val="32"/>
          <w:shd w:val="clear" w:color="auto" w:fill="FFFFFF"/>
        </w:rPr>
        <w:t>费用支出较年初预算数减少6.03万元，下降92.8%，较上年支出数减少0.86万元，下降64.7%，主要原因是</w:t>
      </w:r>
      <w:r>
        <w:rPr>
          <w:rFonts w:hint="default" w:ascii="Times New Roman" w:hAnsi="Times New Roman" w:eastAsia="方正仿宋_GBK" w:cs="Times New Roman"/>
          <w:b w:val="0"/>
          <w:kern w:val="0"/>
          <w:sz w:val="32"/>
          <w:szCs w:val="32"/>
          <w:shd w:val="clear" w:color="auto" w:fill="FFFFFF"/>
          <w:lang w:val="en-US" w:eastAsia="zh-CN" w:bidi="ar"/>
        </w:rPr>
        <w:t>强化公务接待支出管理，严格遵守公务接待开支范围和开支标准，严格控制陪餐人数。</w:t>
      </w:r>
    </w:p>
    <w:p>
      <w:pPr>
        <w:pStyle w:val="11"/>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（三）“三公”经费实物量情况</w:t>
      </w:r>
    </w:p>
    <w:p>
      <w:pPr>
        <w:pStyle w:val="6"/>
        <w:snapToGrid w:val="0"/>
        <w:spacing w:before="0" w:beforeAutospacing="0" w:after="0" w:afterAutospacing="0" w:line="596"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2024年度</w:t>
      </w:r>
      <w:r>
        <w:rPr>
          <w:rFonts w:hint="eastAsia" w:ascii="Times New Roman" w:hAnsi="Times New Roman" w:eastAsia="方正仿宋_GBK" w:cs="Times New Roman"/>
          <w:sz w:val="32"/>
          <w:szCs w:val="32"/>
          <w:shd w:val="clear" w:color="auto" w:fill="FFFFFF"/>
          <w:lang w:eastAsia="zh-CN"/>
        </w:rPr>
        <w:t>本部门</w:t>
      </w:r>
      <w:r>
        <w:rPr>
          <w:rFonts w:hint="default" w:ascii="Times New Roman" w:hAnsi="Times New Roman" w:eastAsia="方正仿宋_GBK" w:cs="Times New Roman"/>
          <w:sz w:val="32"/>
          <w:szCs w:val="32"/>
          <w:shd w:val="clear" w:color="auto" w:fill="FFFFFF"/>
        </w:rPr>
        <w:t>因公出国（境）共计0个团组，0人；公务用车购置0辆，公务车保有量为1辆；国内公务接待4批次44人，其中：国内外事接待0批次，0人；国（境）外公务接待0批次，0人。2024年</w:t>
      </w:r>
      <w:r>
        <w:rPr>
          <w:rFonts w:hint="eastAsia" w:ascii="Times New Roman" w:hAnsi="Times New Roman" w:eastAsia="方正仿宋_GBK" w:cs="Times New Roman"/>
          <w:sz w:val="32"/>
          <w:szCs w:val="32"/>
          <w:shd w:val="clear" w:color="auto" w:fill="FFFFFF"/>
          <w:lang w:eastAsia="zh-CN"/>
        </w:rPr>
        <w:t>本部门</w:t>
      </w:r>
      <w:r>
        <w:rPr>
          <w:rFonts w:hint="default" w:ascii="Times New Roman" w:hAnsi="Times New Roman" w:eastAsia="方正仿宋_GBK" w:cs="Times New Roman"/>
          <w:sz w:val="32"/>
          <w:szCs w:val="32"/>
          <w:shd w:val="clear" w:color="auto" w:fill="FFFFFF"/>
        </w:rPr>
        <w:t>人均接待费105.95元，车均购置费0万元，车均维护费3.63万元。</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8"/>
          <w:rFonts w:hint="default" w:ascii="Times New Roman" w:hAnsi="Times New Roman" w:eastAsia="黑体" w:cs="Times New Roman"/>
          <w:b/>
          <w:bCs w:val="0"/>
          <w:sz w:val="32"/>
          <w:szCs w:val="32"/>
          <w:shd w:val="clear" w:color="auto" w:fill="FFFFFF"/>
        </w:rPr>
      </w:pPr>
      <w:r>
        <w:rPr>
          <w:rStyle w:val="8"/>
          <w:rFonts w:hint="default" w:ascii="Times New Roman" w:hAnsi="Times New Roman" w:eastAsia="黑体" w:cs="Times New Roman"/>
          <w:b/>
          <w:bCs w:val="0"/>
          <w:sz w:val="32"/>
          <w:szCs w:val="32"/>
          <w:shd w:val="clear" w:color="auto" w:fill="FFFFFF"/>
        </w:rPr>
        <w:t>四、其他需要说明的事项</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jc w:val="both"/>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（一）财政拨款会议费、培训费和差旅费情况说明</w:t>
      </w:r>
    </w:p>
    <w:p>
      <w:pPr>
        <w:pStyle w:val="6"/>
        <w:snapToGrid w:val="0"/>
        <w:spacing w:before="0" w:beforeAutospacing="0" w:after="0" w:afterAutospacing="0" w:line="596" w:lineRule="exact"/>
        <w:ind w:firstLine="640" w:firstLineChars="200"/>
        <w:jc w:val="both"/>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sz w:val="32"/>
          <w:szCs w:val="32"/>
          <w:shd w:val="clear" w:color="auto" w:fill="FFFFFF"/>
        </w:rPr>
        <w:t>本年度会议费支出0.00万元，与2023年度相比，减少0.15万元，下降100.0%，主要</w:t>
      </w:r>
      <w:r>
        <w:rPr>
          <w:rFonts w:hint="default" w:ascii="Times New Roman" w:hAnsi="Times New Roman" w:eastAsia="方正仿宋_GBK" w:cs="Times New Roman"/>
          <w:color w:val="auto"/>
          <w:sz w:val="32"/>
          <w:szCs w:val="32"/>
          <w:shd w:val="clear" w:color="auto" w:fill="FFFFFF"/>
        </w:rPr>
        <w:t>原因是</w:t>
      </w:r>
      <w:r>
        <w:rPr>
          <w:rFonts w:hint="default" w:ascii="Times New Roman" w:hAnsi="Times New Roman" w:eastAsia="方正仿宋_GBK" w:cs="Times New Roman"/>
          <w:color w:val="auto"/>
          <w:sz w:val="32"/>
          <w:szCs w:val="32"/>
          <w:shd w:val="clear" w:color="auto" w:fill="FFFFFF"/>
          <w:lang w:eastAsia="zh-CN"/>
        </w:rPr>
        <w:t>本年度未产生相关支出</w:t>
      </w:r>
      <w:r>
        <w:rPr>
          <w:rFonts w:hint="default" w:ascii="Times New Roman" w:hAnsi="Times New Roman" w:eastAsia="方正仿宋_GBK" w:cs="Times New Roman"/>
          <w:color w:val="auto"/>
          <w:sz w:val="32"/>
          <w:szCs w:val="32"/>
          <w:shd w:val="clear" w:color="auto" w:fill="FFFFFF"/>
        </w:rPr>
        <w:t>。本年度培训费支出2.43万元，与2023年度相比，减少0.27万元，下降10.0%，主要原因是</w:t>
      </w:r>
      <w:r>
        <w:rPr>
          <w:rFonts w:hint="default" w:ascii="Times New Roman" w:hAnsi="Times New Roman" w:eastAsia="方正仿宋_GBK" w:cs="Times New Roman"/>
          <w:color w:val="auto"/>
          <w:sz w:val="32"/>
          <w:szCs w:val="32"/>
          <w:shd w:val="clear" w:color="auto" w:fill="FFFFFF"/>
          <w:lang w:eastAsia="zh-CN"/>
        </w:rPr>
        <w:t>本年度培训减少</w:t>
      </w:r>
      <w:r>
        <w:rPr>
          <w:rFonts w:hint="default" w:ascii="Times New Roman" w:hAnsi="Times New Roman" w:eastAsia="方正仿宋_GBK" w:cs="Times New Roman"/>
          <w:color w:val="auto"/>
          <w:sz w:val="32"/>
          <w:szCs w:val="32"/>
          <w:shd w:val="clear" w:color="auto" w:fill="FFFFFF"/>
        </w:rPr>
        <w:t>。本年度差旅费支出3.59</w:t>
      </w:r>
      <w:r>
        <w:rPr>
          <w:rFonts w:hint="default" w:ascii="Times New Roman" w:hAnsi="Times New Roman" w:eastAsia="方正仿宋_GBK" w:cs="Times New Roman"/>
          <w:color w:val="auto"/>
          <w:sz w:val="32"/>
          <w:szCs w:val="32"/>
        </w:rPr>
        <w:t>万元，</w:t>
      </w:r>
      <w:r>
        <w:rPr>
          <w:rFonts w:hint="default" w:ascii="Times New Roman" w:hAnsi="Times New Roman" w:eastAsia="方正仿宋_GBK" w:cs="Times New Roman"/>
          <w:color w:val="auto"/>
          <w:sz w:val="32"/>
          <w:szCs w:val="32"/>
          <w:shd w:val="clear" w:color="auto" w:fill="FFFFFF"/>
        </w:rPr>
        <w:t>与2023年度相比，增加0.61万元，增长20.5%，主要原因是</w:t>
      </w:r>
      <w:r>
        <w:rPr>
          <w:rFonts w:hint="default" w:ascii="Times New Roman" w:hAnsi="Times New Roman" w:eastAsia="方正仿宋_GBK" w:cs="Times New Roman"/>
          <w:color w:val="auto"/>
          <w:sz w:val="32"/>
          <w:szCs w:val="32"/>
          <w:shd w:val="clear" w:color="auto" w:fill="FFFFFF"/>
          <w:lang w:eastAsia="zh-CN"/>
        </w:rPr>
        <w:t>职工出差增加</w:t>
      </w:r>
      <w:r>
        <w:rPr>
          <w:rFonts w:hint="default" w:ascii="Times New Roman" w:hAnsi="Times New Roman" w:eastAsia="方正仿宋_GBK" w:cs="Times New Roman"/>
          <w:color w:val="auto"/>
          <w:sz w:val="32"/>
          <w:szCs w:val="32"/>
          <w:shd w:val="clear" w:color="auto" w:fill="FFFFFF"/>
        </w:rPr>
        <w:t>。</w:t>
      </w:r>
    </w:p>
    <w:p>
      <w:pPr>
        <w:pStyle w:val="11"/>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（二）机关运行经费情况说明</w:t>
      </w:r>
    </w:p>
    <w:p>
      <w:pPr>
        <w:pStyle w:val="6"/>
        <w:snapToGrid w:val="0"/>
        <w:spacing w:before="0" w:beforeAutospacing="0" w:after="0" w:afterAutospacing="0" w:line="596"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2024年度</w:t>
      </w:r>
      <w:r>
        <w:rPr>
          <w:rFonts w:hint="eastAsia" w:ascii="Times New Roman" w:hAnsi="Times New Roman" w:eastAsia="方正仿宋_GBK" w:cs="Times New Roman"/>
          <w:sz w:val="32"/>
          <w:szCs w:val="32"/>
          <w:shd w:val="clear" w:color="auto" w:fill="FFFFFF"/>
          <w:lang w:eastAsia="zh-CN"/>
        </w:rPr>
        <w:t>本部门</w:t>
      </w:r>
      <w:r>
        <w:rPr>
          <w:rFonts w:hint="default" w:ascii="Times New Roman" w:hAnsi="Times New Roman" w:eastAsia="方正仿宋_GBK" w:cs="Times New Roman"/>
          <w:sz w:val="32"/>
          <w:szCs w:val="32"/>
          <w:shd w:val="clear" w:color="auto" w:fill="FFFFFF"/>
        </w:rPr>
        <w:t>机关运行经费支出93.63万元，机关运行经费主要用于开支</w:t>
      </w:r>
      <w:r>
        <w:rPr>
          <w:rFonts w:hint="default" w:ascii="Times New Roman" w:hAnsi="Times New Roman" w:eastAsia="方正仿宋_GBK" w:cs="Times New Roman"/>
          <w:color w:val="auto"/>
          <w:sz w:val="32"/>
          <w:szCs w:val="32"/>
          <w:shd w:val="clear" w:color="auto" w:fill="FFFFFF"/>
        </w:rPr>
        <w:t>办公费、电费、邮电费、劳务费、其他交通费用等。</w:t>
      </w:r>
      <w:r>
        <w:rPr>
          <w:rFonts w:hint="default" w:ascii="Times New Roman" w:hAnsi="Times New Roman" w:eastAsia="方正仿宋_GBK" w:cs="Times New Roman"/>
          <w:sz w:val="32"/>
          <w:szCs w:val="32"/>
          <w:shd w:val="clear" w:color="auto" w:fill="FFFFFF"/>
        </w:rPr>
        <w:t>机关运行经费较上年支出数增加20.24万元，增长27.6%，主要原</w:t>
      </w:r>
      <w:r>
        <w:rPr>
          <w:rFonts w:hint="default" w:ascii="Times New Roman" w:hAnsi="Times New Roman" w:eastAsia="方正仿宋_GBK" w:cs="Times New Roman"/>
          <w:color w:val="auto"/>
          <w:sz w:val="32"/>
          <w:szCs w:val="32"/>
          <w:shd w:val="clear" w:color="auto" w:fill="FFFFFF"/>
        </w:rPr>
        <w:t>因是</w:t>
      </w:r>
      <w:r>
        <w:rPr>
          <w:rFonts w:hint="default" w:ascii="Times New Roman" w:hAnsi="Times New Roman" w:eastAsia="方正仿宋_GBK" w:cs="Times New Roman"/>
          <w:sz w:val="32"/>
          <w:szCs w:val="32"/>
          <w:shd w:val="clear" w:color="auto" w:fill="FFFFFF"/>
          <w:lang w:eastAsia="zh-CN"/>
        </w:rPr>
        <w:t>新增事业发展经费、事业服务经费</w:t>
      </w:r>
      <w:r>
        <w:rPr>
          <w:rFonts w:hint="default" w:ascii="Times New Roman" w:hAnsi="Times New Roman" w:eastAsia="方正仿宋_GBK" w:cs="Times New Roman"/>
          <w:color w:val="auto"/>
          <w:sz w:val="32"/>
          <w:szCs w:val="32"/>
          <w:shd w:val="clear" w:color="auto" w:fill="FFFFFF"/>
        </w:rPr>
        <w:t>。</w:t>
      </w:r>
    </w:p>
    <w:p>
      <w:pPr>
        <w:pStyle w:val="11"/>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（三）国有资产占用情况说明</w:t>
      </w:r>
    </w:p>
    <w:p>
      <w:pPr>
        <w:pStyle w:val="6"/>
        <w:snapToGrid w:val="0"/>
        <w:spacing w:before="0" w:beforeAutospacing="0" w:after="0" w:afterAutospacing="0" w:line="596" w:lineRule="exact"/>
        <w:ind w:firstLine="640" w:firstLineChars="200"/>
        <w:jc w:val="both"/>
        <w:rPr>
          <w:rFonts w:hint="default" w:ascii="Times New Roman" w:hAnsi="Times New Roman" w:eastAsia="方正仿宋_GBK" w:cs="Times New Roman"/>
          <w:b/>
          <w:bCs/>
          <w:color w:val="auto"/>
          <w:sz w:val="32"/>
          <w:szCs w:val="32"/>
          <w:highlight w:val="yellow"/>
        </w:rPr>
      </w:pPr>
      <w:r>
        <w:rPr>
          <w:rFonts w:hint="default" w:ascii="Times New Roman" w:hAnsi="Times New Roman" w:eastAsia="方正仿宋_GBK" w:cs="Times New Roman"/>
          <w:sz w:val="32"/>
          <w:szCs w:val="32"/>
          <w:shd w:val="clear" w:color="auto" w:fill="FFFFFF"/>
        </w:rPr>
        <w:t>截至2024年12月31日，</w:t>
      </w:r>
      <w:r>
        <w:rPr>
          <w:rFonts w:hint="eastAsia" w:ascii="Times New Roman" w:hAnsi="Times New Roman" w:eastAsia="方正仿宋_GBK" w:cs="Times New Roman"/>
          <w:sz w:val="32"/>
          <w:szCs w:val="32"/>
          <w:shd w:val="clear" w:color="auto" w:fill="FFFFFF"/>
          <w:lang w:eastAsia="zh-CN"/>
        </w:rPr>
        <w:t>本部门</w:t>
      </w:r>
      <w:r>
        <w:rPr>
          <w:rFonts w:hint="default" w:ascii="Times New Roman" w:hAnsi="Times New Roman" w:eastAsia="方正仿宋_GBK" w:cs="Times New Roman"/>
          <w:sz w:val="32"/>
          <w:szCs w:val="32"/>
          <w:shd w:val="clear" w:color="auto" w:fill="FFFFFF"/>
        </w:rPr>
        <w:t>共有车辆1辆，其中，副部（省）级及以上领导用车0辆、主要负责人用车0辆、机要通信用车0辆、应急保障用车1辆、执法执勤用车0辆，特种专业技术用车0辆，离退休干部用车0辆。单价100万元（含）以上专用设备0台（套）。</w:t>
      </w:r>
    </w:p>
    <w:p>
      <w:pPr>
        <w:pStyle w:val="11"/>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（四）政府采购支出情况说明</w:t>
      </w:r>
    </w:p>
    <w:p>
      <w:pPr>
        <w:pStyle w:val="6"/>
        <w:snapToGrid w:val="0"/>
        <w:spacing w:before="0" w:beforeAutospacing="0" w:after="0" w:afterAutospacing="0" w:line="596" w:lineRule="exact"/>
        <w:ind w:firstLine="640" w:firstLineChars="200"/>
        <w:jc w:val="both"/>
        <w:rPr>
          <w:rFonts w:hint="default" w:ascii="Times New Roman" w:hAnsi="Times New Roman" w:eastAsia="方正仿宋_GBK" w:cs="Times New Roman"/>
          <w:color w:val="FF0000"/>
          <w:sz w:val="32"/>
          <w:szCs w:val="32"/>
          <w:shd w:val="clear" w:color="auto" w:fill="FFFFFF"/>
        </w:rPr>
      </w:pPr>
      <w:r>
        <w:rPr>
          <w:rFonts w:hint="default" w:ascii="Times New Roman" w:hAnsi="Times New Roman" w:eastAsia="方正仿宋_GBK" w:cs="Times New Roman"/>
          <w:sz w:val="32"/>
          <w:szCs w:val="32"/>
          <w:shd w:val="clear" w:color="auto" w:fill="FFFFFF"/>
        </w:rPr>
        <w:t>2024年度</w:t>
      </w:r>
      <w:r>
        <w:rPr>
          <w:rFonts w:hint="eastAsia" w:ascii="Times New Roman" w:hAnsi="Times New Roman" w:eastAsia="方正仿宋_GBK" w:cs="Times New Roman"/>
          <w:sz w:val="32"/>
          <w:szCs w:val="32"/>
          <w:shd w:val="clear" w:color="auto" w:fill="FFFFFF"/>
          <w:lang w:eastAsia="zh-CN"/>
        </w:rPr>
        <w:t>本部门</w:t>
      </w:r>
      <w:r>
        <w:rPr>
          <w:rFonts w:hint="default" w:ascii="Times New Roman" w:hAnsi="Times New Roman" w:eastAsia="方正仿宋_GBK" w:cs="Times New Roman"/>
          <w:sz w:val="32"/>
          <w:szCs w:val="32"/>
          <w:shd w:val="clear" w:color="auto" w:fill="FFFFFF"/>
        </w:rPr>
        <w:t>政府采购支出总额91.77万元，其中：政府采购货物支出1.77万元、政府采购工程支出0.00万元、政府采购服务支出90.00万元。授予中小企业合同金额91.77</w:t>
      </w:r>
      <w:r>
        <w:rPr>
          <w:rFonts w:hint="default" w:ascii="Times New Roman" w:hAnsi="Times New Roman" w:eastAsia="方正仿宋_GBK" w:cs="Times New Roman"/>
          <w:sz w:val="32"/>
          <w:szCs w:val="32"/>
        </w:rPr>
        <w:t>万</w:t>
      </w:r>
      <w:r>
        <w:rPr>
          <w:rFonts w:hint="default" w:ascii="Times New Roman" w:hAnsi="Times New Roman" w:eastAsia="方正仿宋_GBK" w:cs="Times New Roman"/>
          <w:sz w:val="32"/>
          <w:szCs w:val="32"/>
          <w:shd w:val="clear" w:color="auto" w:fill="FFFFFF"/>
        </w:rPr>
        <w:t>元，占政府采购支出总额的100.0%，其中：授予小微企业合同金额91.77万元，占政府采购支出总额的100.0 %。主要用于采购</w:t>
      </w:r>
      <w:r>
        <w:rPr>
          <w:rFonts w:hint="default" w:ascii="Times New Roman" w:hAnsi="Times New Roman" w:eastAsia="方正仿宋_GBK" w:cs="Times New Roman"/>
          <w:sz w:val="32"/>
          <w:szCs w:val="32"/>
          <w:shd w:val="clear" w:color="auto" w:fill="FFFFFF"/>
          <w:lang w:eastAsia="zh-CN"/>
        </w:rPr>
        <w:t>办公设备及就业创业活动</w:t>
      </w:r>
      <w:r>
        <w:rPr>
          <w:rFonts w:hint="default" w:ascii="Times New Roman" w:hAnsi="Times New Roman" w:eastAsia="方正仿宋_GBK" w:cs="Times New Roman"/>
          <w:color w:val="auto"/>
          <w:sz w:val="32"/>
          <w:szCs w:val="32"/>
          <w:shd w:val="clear" w:color="auto" w:fill="FFFFFF"/>
          <w:lang w:eastAsia="zh-CN"/>
        </w:rPr>
        <w:t>外包服务</w:t>
      </w:r>
      <w:r>
        <w:rPr>
          <w:rFonts w:hint="default" w:ascii="Times New Roman" w:hAnsi="Times New Roman" w:eastAsia="方正仿宋_GBK" w:cs="Times New Roman"/>
          <w:color w:val="auto"/>
          <w:sz w:val="32"/>
          <w:szCs w:val="32"/>
          <w:shd w:val="clear" w:color="auto" w:fill="FFFFFF"/>
        </w:rPr>
        <w:t>。</w:t>
      </w:r>
    </w:p>
    <w:p>
      <w:pPr>
        <w:pStyle w:val="6"/>
        <w:numPr>
          <w:ilvl w:val="0"/>
          <w:numId w:val="0"/>
        </w:numPr>
        <w:shd w:val="clear" w:color="auto" w:fill="FFFFFF"/>
        <w:ind w:firstLine="643" w:firstLineChars="200"/>
        <w:rPr>
          <w:rStyle w:val="8"/>
          <w:rFonts w:hint="default" w:ascii="Times New Roman" w:hAnsi="Times New Roman" w:eastAsia="黑体" w:cs="Times New Roman"/>
          <w:b/>
          <w:bCs w:val="0"/>
          <w:sz w:val="32"/>
          <w:szCs w:val="32"/>
          <w:shd w:val="clear" w:color="auto" w:fill="FFFFFF"/>
        </w:rPr>
      </w:pPr>
      <w:r>
        <w:rPr>
          <w:rStyle w:val="8"/>
          <w:rFonts w:hint="default" w:ascii="Times New Roman" w:hAnsi="Times New Roman" w:eastAsia="黑体" w:cs="Times New Roman"/>
          <w:b/>
          <w:bCs w:val="0"/>
          <w:sz w:val="32"/>
          <w:szCs w:val="32"/>
          <w:shd w:val="clear" w:color="auto" w:fill="FFFFFF"/>
        </w:rPr>
        <w:t>五、预算绩效管理情况说明</w:t>
      </w:r>
    </w:p>
    <w:p>
      <w:pPr>
        <w:pStyle w:val="11"/>
        <w:autoSpaceDE w:val="0"/>
        <w:ind w:firstLine="640"/>
        <w:rPr>
          <w:rFonts w:hint="default" w:ascii="Times New Roman" w:hAnsi="Times New Roman" w:eastAsia="楷体" w:cs="Times New Roman"/>
          <w:b/>
          <w:bCs/>
          <w:sz w:val="32"/>
          <w:szCs w:val="32"/>
          <w:shd w:val="clear" w:color="auto" w:fill="FFFFFF"/>
          <w:lang w:val="en-US" w:eastAsia="zh-CN" w:bidi="ar"/>
        </w:rPr>
      </w:pPr>
      <w:r>
        <w:rPr>
          <w:rFonts w:hint="default" w:ascii="Times New Roman" w:hAnsi="Times New Roman" w:eastAsia="楷体" w:cs="Times New Roman"/>
          <w:b/>
          <w:bCs/>
          <w:sz w:val="32"/>
          <w:szCs w:val="32"/>
          <w:shd w:val="clear" w:color="auto" w:fill="FFFFFF"/>
          <w:lang w:bidi="ar"/>
        </w:rPr>
        <w:t>（一）</w:t>
      </w:r>
      <w:r>
        <w:rPr>
          <w:rFonts w:hint="eastAsia" w:ascii="Times New Roman" w:hAnsi="Times New Roman" w:eastAsia="楷体" w:cs="Times New Roman"/>
          <w:b/>
          <w:bCs/>
          <w:sz w:val="32"/>
          <w:szCs w:val="32"/>
          <w:shd w:val="clear" w:color="auto" w:fill="FFFFFF"/>
          <w:lang w:val="en-US" w:eastAsia="zh-CN" w:bidi="ar"/>
        </w:rPr>
        <w:t>部门</w:t>
      </w:r>
      <w:r>
        <w:rPr>
          <w:rFonts w:hint="default" w:ascii="Times New Roman" w:hAnsi="Times New Roman" w:eastAsia="楷体" w:cs="Times New Roman"/>
          <w:b/>
          <w:bCs/>
          <w:sz w:val="32"/>
          <w:szCs w:val="32"/>
          <w:shd w:val="clear" w:color="auto" w:fill="FFFFFF"/>
          <w:lang w:bidi="ar"/>
        </w:rPr>
        <w:t>自评情况</w:t>
      </w:r>
    </w:p>
    <w:p>
      <w:pPr>
        <w:pStyle w:val="12"/>
        <w:keepNext w:val="0"/>
        <w:keepLines w:val="0"/>
        <w:pageBreakBefore w:val="0"/>
        <w:widowControl/>
        <w:kinsoku/>
        <w:wordWrap/>
        <w:overflowPunct/>
        <w:topLinePunct w:val="0"/>
        <w:autoSpaceDE w:val="0"/>
        <w:autoSpaceDN/>
        <w:bidi w:val="0"/>
        <w:adjustRightInd/>
        <w:spacing w:before="0" w:beforeAutospacing="0" w:afterAutospacing="0" w:line="560" w:lineRule="exact"/>
        <w:ind w:firstLine="640" w:firstLineChars="200"/>
        <w:jc w:val="both"/>
        <w:textAlignment w:val="auto"/>
        <w:rPr>
          <w:rFonts w:hint="default" w:ascii="Times New Roman" w:hAnsi="Times New Roman" w:eastAsia="方正仿宋_GBK" w:cs="Times New Roman"/>
          <w:sz w:val="32"/>
          <w:szCs w:val="32"/>
          <w:shd w:val="clear" w:color="auto" w:fill="FFFFFF"/>
          <w:lang w:eastAsia="zh-CN"/>
        </w:rPr>
      </w:pPr>
      <w:r>
        <w:rPr>
          <w:rFonts w:hint="default" w:ascii="Times New Roman" w:hAnsi="Times New Roman" w:eastAsia="方正仿宋_GBK" w:cs="Times New Roman"/>
          <w:sz w:val="32"/>
          <w:szCs w:val="32"/>
          <w:shd w:val="clear" w:color="auto" w:fill="FFFFFF"/>
        </w:rPr>
        <w:t>根据预算绩效管理要求，</w:t>
      </w:r>
      <w:r>
        <w:rPr>
          <w:rFonts w:hint="eastAsia" w:ascii="Times New Roman" w:hAnsi="Times New Roman" w:eastAsia="方正仿宋_GBK" w:cs="Times New Roman"/>
          <w:sz w:val="32"/>
          <w:szCs w:val="32"/>
          <w:shd w:val="clear" w:color="auto" w:fill="FFFFFF"/>
          <w:lang w:eastAsia="zh-CN"/>
        </w:rPr>
        <w:t>本部门</w:t>
      </w:r>
      <w:r>
        <w:rPr>
          <w:rFonts w:hint="default" w:ascii="Times New Roman" w:hAnsi="Times New Roman" w:eastAsia="方正仿宋_GBK" w:cs="Times New Roman"/>
          <w:sz w:val="32"/>
          <w:szCs w:val="32"/>
          <w:shd w:val="clear" w:color="auto" w:fill="FFFFFF"/>
        </w:rPr>
        <w:t>对部门整体和</w:t>
      </w:r>
      <w:r>
        <w:rPr>
          <w:rFonts w:hint="default" w:ascii="Times New Roman" w:hAnsi="Times New Roman" w:eastAsia="方正仿宋_GBK" w:cs="Times New Roman"/>
          <w:sz w:val="32"/>
          <w:szCs w:val="32"/>
          <w:shd w:val="clear" w:color="auto" w:fill="FFFFFF"/>
          <w:lang w:val="en-US" w:eastAsia="zh-CN" w:bidi="ar-SA"/>
        </w:rPr>
        <w:t>10</w:t>
      </w:r>
      <w:r>
        <w:rPr>
          <w:rFonts w:hint="default" w:ascii="Times New Roman" w:hAnsi="Times New Roman" w:eastAsia="方正仿宋_GBK" w:cs="Times New Roman"/>
          <w:sz w:val="32"/>
          <w:szCs w:val="32"/>
          <w:shd w:val="clear" w:color="auto" w:fill="FFFFFF"/>
        </w:rPr>
        <w:t>个项目开展了绩效自评，涉及财政拨款项目支出资金</w:t>
      </w:r>
      <w:r>
        <w:rPr>
          <w:rFonts w:hint="default" w:ascii="Times New Roman" w:hAnsi="Times New Roman" w:eastAsia="方正仿宋_GBK" w:cs="Times New Roman"/>
          <w:color w:val="auto"/>
          <w:sz w:val="32"/>
          <w:szCs w:val="32"/>
          <w:shd w:val="clear" w:color="auto" w:fill="FFFFFF"/>
          <w:lang w:val="en-US" w:eastAsia="zh-CN" w:bidi="ar-SA"/>
        </w:rPr>
        <w:t>6196.58</w:t>
      </w:r>
      <w:r>
        <w:rPr>
          <w:rFonts w:hint="default" w:ascii="Times New Roman" w:hAnsi="Times New Roman" w:eastAsia="方正仿宋_GBK" w:cs="Times New Roman"/>
          <w:sz w:val="32"/>
          <w:szCs w:val="32"/>
          <w:shd w:val="clear" w:color="auto" w:fill="FFFFFF"/>
        </w:rPr>
        <w:t>万元</w:t>
      </w:r>
      <w:r>
        <w:rPr>
          <w:rFonts w:hint="default" w:ascii="Times New Roman" w:hAnsi="Times New Roman" w:eastAsia="方正仿宋_GBK" w:cs="Times New Roman"/>
          <w:sz w:val="32"/>
          <w:szCs w:val="32"/>
          <w:shd w:val="clear" w:color="auto" w:fill="FFFFFF"/>
          <w:lang w:eastAsia="zh-CN"/>
        </w:rPr>
        <w:t>。</w:t>
      </w:r>
    </w:p>
    <w:tbl>
      <w:tblPr>
        <w:tblStyle w:val="9"/>
        <w:tblW w:w="9150" w:type="dxa"/>
        <w:jc w:val="center"/>
        <w:tblInd w:w="-396" w:type="dxa"/>
        <w:shd w:val="clear" w:color="auto" w:fill="auto"/>
        <w:tblLayout w:type="fixed"/>
        <w:tblCellMar>
          <w:top w:w="0" w:type="dxa"/>
          <w:left w:w="0" w:type="dxa"/>
          <w:bottom w:w="0" w:type="dxa"/>
          <w:right w:w="0" w:type="dxa"/>
        </w:tblCellMar>
      </w:tblPr>
      <w:tblGrid>
        <w:gridCol w:w="1"/>
        <w:gridCol w:w="449"/>
        <w:gridCol w:w="266"/>
        <w:gridCol w:w="1505"/>
        <w:gridCol w:w="16"/>
        <w:gridCol w:w="507"/>
        <w:gridCol w:w="480"/>
        <w:gridCol w:w="692"/>
        <w:gridCol w:w="692"/>
        <w:gridCol w:w="397"/>
        <w:gridCol w:w="302"/>
        <w:gridCol w:w="202"/>
        <w:gridCol w:w="499"/>
        <w:gridCol w:w="210"/>
        <w:gridCol w:w="629"/>
        <w:gridCol w:w="326"/>
        <w:gridCol w:w="240"/>
        <w:gridCol w:w="544"/>
        <w:gridCol w:w="175"/>
        <w:gridCol w:w="227"/>
        <w:gridCol w:w="287"/>
        <w:gridCol w:w="490"/>
        <w:gridCol w:w="14"/>
      </w:tblGrid>
      <w:tr>
        <w:tblPrEx>
          <w:shd w:val="clear" w:color="auto" w:fill="auto"/>
          <w:tblLayout w:type="fixed"/>
          <w:tblCellMar>
            <w:top w:w="0" w:type="dxa"/>
            <w:left w:w="0" w:type="dxa"/>
            <w:bottom w:w="0" w:type="dxa"/>
            <w:right w:w="0" w:type="dxa"/>
          </w:tblCellMar>
        </w:tblPrEx>
        <w:trPr>
          <w:gridBefore w:val="1"/>
          <w:gridAfter w:val="1"/>
          <w:wBefore w:w="1" w:type="dxa"/>
          <w:wAfter w:w="14" w:type="dxa"/>
          <w:trHeight w:val="1140" w:hRule="atLeast"/>
          <w:jc w:val="center"/>
        </w:trPr>
        <w:tc>
          <w:tcPr>
            <w:tcW w:w="9135" w:type="dxa"/>
            <w:gridSpan w:val="21"/>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jc w:val="center"/>
              <w:textAlignment w:val="center"/>
              <w:rPr>
                <w:rFonts w:hint="default" w:ascii="Times New Roman" w:hAnsi="Times New Roman" w:eastAsia="方正小标宋_GBK" w:cs="Times New Roman"/>
                <w:i w:val="0"/>
                <w:color w:val="000000"/>
                <w:sz w:val="36"/>
                <w:szCs w:val="36"/>
                <w:u w:val="none"/>
              </w:rPr>
            </w:pPr>
            <w:r>
              <w:rPr>
                <w:rFonts w:hint="default" w:ascii="Times New Roman" w:hAnsi="Times New Roman" w:eastAsia="方正小标宋_GBK" w:cs="Times New Roman"/>
                <w:i w:val="0"/>
                <w:color w:val="000000"/>
                <w:kern w:val="0"/>
                <w:sz w:val="36"/>
                <w:szCs w:val="36"/>
                <w:u w:val="none"/>
                <w:lang w:val="en-US" w:eastAsia="zh-CN" w:bidi="ar"/>
              </w:rPr>
              <w:t>秀山土家族苗族自治县就业和人才中心</w:t>
            </w:r>
            <w:r>
              <w:rPr>
                <w:rFonts w:hint="default" w:ascii="Times New Roman" w:hAnsi="Times New Roman" w:eastAsia="方正小标宋_GBK" w:cs="Times New Roman"/>
                <w:i w:val="0"/>
                <w:color w:val="000000"/>
                <w:kern w:val="0"/>
                <w:sz w:val="36"/>
                <w:szCs w:val="36"/>
                <w:u w:val="none"/>
                <w:lang w:val="en-US" w:eastAsia="zh-CN" w:bidi="ar"/>
              </w:rPr>
              <w:br w:type="textWrapping"/>
            </w:r>
            <w:r>
              <w:rPr>
                <w:rFonts w:hint="default" w:ascii="Times New Roman" w:hAnsi="Times New Roman" w:eastAsia="方正小标宋_GBK" w:cs="Times New Roman"/>
                <w:i w:val="0"/>
                <w:color w:val="000000"/>
                <w:kern w:val="0"/>
                <w:sz w:val="36"/>
                <w:szCs w:val="36"/>
                <w:u w:val="none"/>
                <w:lang w:val="en-US" w:eastAsia="zh-CN" w:bidi="ar"/>
              </w:rPr>
              <w:t>2024年度部门整体绩效自评表</w:t>
            </w:r>
          </w:p>
        </w:tc>
      </w:tr>
      <w:tr>
        <w:tblPrEx>
          <w:tblLayout w:type="fixed"/>
          <w:tblCellMar>
            <w:top w:w="0" w:type="dxa"/>
            <w:left w:w="0" w:type="dxa"/>
            <w:bottom w:w="0" w:type="dxa"/>
            <w:right w:w="0" w:type="dxa"/>
          </w:tblCellMar>
        </w:tblPrEx>
        <w:trPr>
          <w:gridBefore w:val="1"/>
          <w:gridAfter w:val="1"/>
          <w:wBefore w:w="1" w:type="dxa"/>
          <w:wAfter w:w="14" w:type="dxa"/>
          <w:trHeight w:val="500" w:hRule="atLeast"/>
          <w:jc w:val="center"/>
        </w:trPr>
        <w:tc>
          <w:tcPr>
            <w:tcW w:w="715" w:type="dxa"/>
            <w:gridSpan w:val="2"/>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jc w:val="both"/>
              <w:textAlignment w:val="center"/>
              <w:rPr>
                <w:rFonts w:hint="default" w:ascii="Times New Roman" w:hAnsi="Times New Roman" w:eastAsia="方正黑体_GBK" w:cs="Times New Roman"/>
                <w:i w:val="0"/>
                <w:color w:val="000000"/>
                <w:sz w:val="20"/>
                <w:szCs w:val="20"/>
                <w:u w:val="none"/>
              </w:rPr>
            </w:pPr>
            <w:r>
              <w:rPr>
                <w:rFonts w:hint="default" w:ascii="Times New Roman" w:hAnsi="Times New Roman" w:eastAsia="方正黑体_GBK" w:cs="Times New Roman"/>
                <w:i w:val="0"/>
                <w:color w:val="000000"/>
                <w:kern w:val="0"/>
                <w:sz w:val="20"/>
                <w:szCs w:val="20"/>
                <w:u w:val="none"/>
                <w:lang w:val="en-US" w:eastAsia="zh-CN" w:bidi="ar"/>
              </w:rPr>
              <w:t>主管部门</w:t>
            </w:r>
          </w:p>
        </w:tc>
        <w:tc>
          <w:tcPr>
            <w:tcW w:w="2508" w:type="dxa"/>
            <w:gridSpan w:val="4"/>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jc w:val="both"/>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秀山县就业和人才中心</w:t>
            </w:r>
          </w:p>
        </w:tc>
        <w:tc>
          <w:tcPr>
            <w:tcW w:w="1384" w:type="dxa"/>
            <w:gridSpan w:val="2"/>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jc w:val="both"/>
              <w:textAlignment w:val="center"/>
              <w:rPr>
                <w:rFonts w:hint="default" w:ascii="Times New Roman" w:hAnsi="Times New Roman" w:eastAsia="方正黑体_GBK" w:cs="Times New Roman"/>
                <w:i w:val="0"/>
                <w:color w:val="000000"/>
                <w:sz w:val="20"/>
                <w:szCs w:val="20"/>
                <w:u w:val="none"/>
              </w:rPr>
            </w:pPr>
            <w:r>
              <w:rPr>
                <w:rFonts w:hint="default" w:ascii="Times New Roman" w:hAnsi="Times New Roman" w:eastAsia="方正黑体_GBK" w:cs="Times New Roman"/>
                <w:i w:val="0"/>
                <w:color w:val="000000"/>
                <w:kern w:val="0"/>
                <w:sz w:val="20"/>
                <w:szCs w:val="20"/>
                <w:u w:val="none"/>
                <w:lang w:val="en-US" w:eastAsia="zh-CN" w:bidi="ar"/>
              </w:rPr>
              <w:t>部门编码</w:t>
            </w:r>
          </w:p>
        </w:tc>
        <w:tc>
          <w:tcPr>
            <w:tcW w:w="699" w:type="dxa"/>
            <w:gridSpan w:val="2"/>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jc w:val="both"/>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181</w:t>
            </w:r>
          </w:p>
        </w:tc>
        <w:tc>
          <w:tcPr>
            <w:tcW w:w="1540" w:type="dxa"/>
            <w:gridSpan w:val="4"/>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jc w:val="both"/>
              <w:textAlignment w:val="center"/>
              <w:rPr>
                <w:rFonts w:hint="default" w:ascii="Times New Roman" w:hAnsi="Times New Roman" w:eastAsia="方正黑体_GBK" w:cs="Times New Roman"/>
                <w:i w:val="0"/>
                <w:color w:val="000000"/>
                <w:sz w:val="20"/>
                <w:szCs w:val="20"/>
                <w:u w:val="none"/>
              </w:rPr>
            </w:pPr>
            <w:r>
              <w:rPr>
                <w:rFonts w:hint="default" w:ascii="Times New Roman" w:hAnsi="Times New Roman" w:eastAsia="方正黑体_GBK" w:cs="Times New Roman"/>
                <w:i w:val="0"/>
                <w:color w:val="000000"/>
                <w:kern w:val="0"/>
                <w:sz w:val="20"/>
                <w:szCs w:val="20"/>
                <w:u w:val="none"/>
                <w:lang w:val="en-US" w:eastAsia="zh-CN" w:bidi="ar"/>
              </w:rPr>
              <w:t>自评总分（分）</w:t>
            </w:r>
          </w:p>
        </w:tc>
        <w:tc>
          <w:tcPr>
            <w:tcW w:w="2289" w:type="dxa"/>
            <w:gridSpan w:val="7"/>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jc w:val="both"/>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99.10</w:t>
            </w:r>
          </w:p>
        </w:tc>
      </w:tr>
      <w:tr>
        <w:tblPrEx>
          <w:tblLayout w:type="fixed"/>
          <w:tblCellMar>
            <w:top w:w="0" w:type="dxa"/>
            <w:left w:w="0" w:type="dxa"/>
            <w:bottom w:w="0" w:type="dxa"/>
            <w:right w:w="0" w:type="dxa"/>
          </w:tblCellMar>
        </w:tblPrEx>
        <w:trPr>
          <w:gridBefore w:val="1"/>
          <w:gridAfter w:val="1"/>
          <w:wBefore w:w="1" w:type="dxa"/>
          <w:wAfter w:w="14" w:type="dxa"/>
          <w:trHeight w:val="600" w:hRule="atLeast"/>
          <w:jc w:val="center"/>
        </w:trPr>
        <w:tc>
          <w:tcPr>
            <w:tcW w:w="715" w:type="dxa"/>
            <w:gridSpan w:val="2"/>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jc w:val="both"/>
              <w:textAlignment w:val="center"/>
              <w:rPr>
                <w:rFonts w:hint="default" w:ascii="Times New Roman" w:hAnsi="Times New Roman" w:eastAsia="方正黑体_GBK" w:cs="Times New Roman"/>
                <w:i w:val="0"/>
                <w:color w:val="000000"/>
                <w:sz w:val="20"/>
                <w:szCs w:val="20"/>
                <w:u w:val="none"/>
              </w:rPr>
            </w:pPr>
            <w:r>
              <w:rPr>
                <w:rFonts w:hint="default" w:ascii="Times New Roman" w:hAnsi="Times New Roman" w:eastAsia="方正黑体_GBK" w:cs="Times New Roman"/>
                <w:i w:val="0"/>
                <w:color w:val="000000"/>
                <w:kern w:val="0"/>
                <w:sz w:val="20"/>
                <w:szCs w:val="20"/>
                <w:u w:val="none"/>
                <w:lang w:val="en-US" w:eastAsia="zh-CN" w:bidi="ar"/>
              </w:rPr>
              <w:t>部门联系人</w:t>
            </w:r>
          </w:p>
        </w:tc>
        <w:tc>
          <w:tcPr>
            <w:tcW w:w="4591" w:type="dxa"/>
            <w:gridSpan w:val="8"/>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jc w:val="both"/>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黄靖宇</w:t>
            </w:r>
          </w:p>
        </w:tc>
        <w:tc>
          <w:tcPr>
            <w:tcW w:w="1540" w:type="dxa"/>
            <w:gridSpan w:val="4"/>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jc w:val="both"/>
              <w:textAlignment w:val="center"/>
              <w:rPr>
                <w:rFonts w:hint="default" w:ascii="Times New Roman" w:hAnsi="Times New Roman" w:eastAsia="方正黑体_GBK" w:cs="Times New Roman"/>
                <w:i w:val="0"/>
                <w:color w:val="000000"/>
                <w:sz w:val="20"/>
                <w:szCs w:val="20"/>
                <w:u w:val="none"/>
              </w:rPr>
            </w:pPr>
            <w:r>
              <w:rPr>
                <w:rFonts w:hint="default" w:ascii="Times New Roman" w:hAnsi="Times New Roman" w:eastAsia="方正黑体_GBK" w:cs="Times New Roman"/>
                <w:i w:val="0"/>
                <w:color w:val="000000"/>
                <w:kern w:val="0"/>
                <w:sz w:val="20"/>
                <w:szCs w:val="20"/>
                <w:u w:val="none"/>
                <w:lang w:val="en-US" w:eastAsia="zh-CN" w:bidi="ar"/>
              </w:rPr>
              <w:t>联系电话</w:t>
            </w:r>
          </w:p>
        </w:tc>
        <w:tc>
          <w:tcPr>
            <w:tcW w:w="2289" w:type="dxa"/>
            <w:gridSpan w:val="7"/>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jc w:val="both"/>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023-76889318</w:t>
            </w:r>
          </w:p>
        </w:tc>
      </w:tr>
      <w:tr>
        <w:tblPrEx>
          <w:tblLayout w:type="fixed"/>
          <w:tblCellMar>
            <w:top w:w="0" w:type="dxa"/>
            <w:left w:w="0" w:type="dxa"/>
            <w:bottom w:w="0" w:type="dxa"/>
            <w:right w:w="0" w:type="dxa"/>
          </w:tblCellMar>
        </w:tblPrEx>
        <w:trPr>
          <w:gridBefore w:val="1"/>
          <w:gridAfter w:val="1"/>
          <w:wBefore w:w="1" w:type="dxa"/>
          <w:wAfter w:w="14" w:type="dxa"/>
          <w:trHeight w:val="760" w:hRule="atLeast"/>
          <w:jc w:val="center"/>
        </w:trPr>
        <w:tc>
          <w:tcPr>
            <w:tcW w:w="715" w:type="dxa"/>
            <w:gridSpan w:val="2"/>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jc w:val="both"/>
              <w:rPr>
                <w:rFonts w:hint="default" w:ascii="Times New Roman" w:hAnsi="Times New Roman" w:eastAsia="方正仿宋_GBK" w:cs="Times New Roman"/>
                <w:i w:val="0"/>
                <w:color w:val="000000"/>
                <w:sz w:val="18"/>
                <w:szCs w:val="18"/>
                <w:u w:val="none"/>
              </w:rPr>
            </w:pPr>
          </w:p>
        </w:tc>
        <w:tc>
          <w:tcPr>
            <w:tcW w:w="2508" w:type="dxa"/>
            <w:gridSpan w:val="4"/>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jc w:val="both"/>
              <w:textAlignment w:val="center"/>
              <w:rPr>
                <w:rFonts w:hint="default" w:ascii="Times New Roman" w:hAnsi="Times New Roman" w:eastAsia="方正黑体_GBK" w:cs="Times New Roman"/>
                <w:i w:val="0"/>
                <w:color w:val="000000"/>
                <w:sz w:val="20"/>
                <w:szCs w:val="20"/>
                <w:u w:val="none"/>
              </w:rPr>
            </w:pPr>
            <w:r>
              <w:rPr>
                <w:rFonts w:hint="default" w:ascii="Times New Roman" w:hAnsi="Times New Roman" w:eastAsia="方正黑体_GBK" w:cs="Times New Roman"/>
                <w:i w:val="0"/>
                <w:color w:val="000000"/>
                <w:kern w:val="0"/>
                <w:sz w:val="20"/>
                <w:szCs w:val="20"/>
                <w:u w:val="none"/>
                <w:lang w:val="en-US" w:eastAsia="zh-CN" w:bidi="ar"/>
              </w:rPr>
              <w:t>年初预算数</w:t>
            </w:r>
          </w:p>
        </w:tc>
        <w:tc>
          <w:tcPr>
            <w:tcW w:w="2083" w:type="dxa"/>
            <w:gridSpan w:val="4"/>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jc w:val="both"/>
              <w:textAlignment w:val="center"/>
              <w:rPr>
                <w:rFonts w:hint="default" w:ascii="Times New Roman" w:hAnsi="Times New Roman" w:eastAsia="方正黑体_GBK" w:cs="Times New Roman"/>
                <w:i w:val="0"/>
                <w:color w:val="000000"/>
                <w:sz w:val="20"/>
                <w:szCs w:val="20"/>
                <w:u w:val="none"/>
              </w:rPr>
            </w:pPr>
            <w:r>
              <w:rPr>
                <w:rFonts w:hint="default" w:ascii="Times New Roman" w:hAnsi="Times New Roman" w:eastAsia="方正黑体_GBK" w:cs="Times New Roman"/>
                <w:i w:val="0"/>
                <w:color w:val="000000"/>
                <w:kern w:val="0"/>
                <w:sz w:val="20"/>
                <w:szCs w:val="20"/>
                <w:u w:val="none"/>
                <w:lang w:val="en-US" w:eastAsia="zh-CN" w:bidi="ar"/>
              </w:rPr>
              <w:t>全年（调整）预算数</w:t>
            </w:r>
          </w:p>
        </w:tc>
        <w:tc>
          <w:tcPr>
            <w:tcW w:w="1540" w:type="dxa"/>
            <w:gridSpan w:val="4"/>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jc w:val="both"/>
              <w:textAlignment w:val="center"/>
              <w:rPr>
                <w:rFonts w:hint="default" w:ascii="Times New Roman" w:hAnsi="Times New Roman" w:eastAsia="方正黑体_GBK" w:cs="Times New Roman"/>
                <w:i w:val="0"/>
                <w:color w:val="000000"/>
                <w:sz w:val="20"/>
                <w:szCs w:val="20"/>
                <w:u w:val="none"/>
              </w:rPr>
            </w:pPr>
            <w:r>
              <w:rPr>
                <w:rFonts w:hint="default" w:ascii="Times New Roman" w:hAnsi="Times New Roman" w:eastAsia="方正黑体_GBK" w:cs="Times New Roman"/>
                <w:i w:val="0"/>
                <w:color w:val="000000"/>
                <w:kern w:val="0"/>
                <w:sz w:val="20"/>
                <w:szCs w:val="20"/>
                <w:u w:val="none"/>
                <w:lang w:val="en-US" w:eastAsia="zh-CN" w:bidi="ar"/>
              </w:rPr>
              <w:t>全年执行数</w:t>
            </w:r>
          </w:p>
        </w:tc>
        <w:tc>
          <w:tcPr>
            <w:tcW w:w="566" w:type="dxa"/>
            <w:gridSpan w:val="2"/>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jc w:val="both"/>
              <w:textAlignment w:val="center"/>
              <w:rPr>
                <w:rFonts w:hint="default" w:ascii="Times New Roman" w:hAnsi="Times New Roman" w:eastAsia="方正黑体_GBK" w:cs="Times New Roman"/>
                <w:i w:val="0"/>
                <w:color w:val="000000"/>
                <w:sz w:val="20"/>
                <w:szCs w:val="20"/>
                <w:u w:val="none"/>
              </w:rPr>
            </w:pPr>
            <w:r>
              <w:rPr>
                <w:rFonts w:hint="default" w:ascii="Times New Roman" w:hAnsi="Times New Roman" w:eastAsia="方正黑体_GBK" w:cs="Times New Roman"/>
                <w:i w:val="0"/>
                <w:color w:val="000000"/>
                <w:kern w:val="0"/>
                <w:sz w:val="20"/>
                <w:szCs w:val="20"/>
                <w:u w:val="none"/>
                <w:lang w:val="en-US" w:eastAsia="zh-CN" w:bidi="ar"/>
              </w:rPr>
              <w:t>执行率</w:t>
            </w:r>
          </w:p>
        </w:tc>
        <w:tc>
          <w:tcPr>
            <w:tcW w:w="719" w:type="dxa"/>
            <w:gridSpan w:val="2"/>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jc w:val="both"/>
              <w:textAlignment w:val="center"/>
              <w:rPr>
                <w:rFonts w:hint="default" w:ascii="Times New Roman" w:hAnsi="Times New Roman" w:eastAsia="方正黑体_GBK" w:cs="Times New Roman"/>
                <w:i w:val="0"/>
                <w:color w:val="000000"/>
                <w:sz w:val="20"/>
                <w:szCs w:val="20"/>
                <w:u w:val="none"/>
              </w:rPr>
            </w:pPr>
            <w:r>
              <w:rPr>
                <w:rFonts w:hint="default" w:ascii="Times New Roman" w:hAnsi="Times New Roman" w:eastAsia="方正黑体_GBK" w:cs="Times New Roman"/>
                <w:i w:val="0"/>
                <w:color w:val="000000"/>
                <w:kern w:val="0"/>
                <w:sz w:val="20"/>
                <w:szCs w:val="20"/>
                <w:u w:val="none"/>
                <w:lang w:val="en-US" w:eastAsia="zh-CN" w:bidi="ar"/>
              </w:rPr>
              <w:t>执行率权重</w:t>
            </w:r>
          </w:p>
        </w:tc>
        <w:tc>
          <w:tcPr>
            <w:tcW w:w="1004" w:type="dxa"/>
            <w:gridSpan w:val="3"/>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jc w:val="both"/>
              <w:textAlignment w:val="center"/>
              <w:rPr>
                <w:rFonts w:hint="default" w:ascii="Times New Roman" w:hAnsi="Times New Roman" w:eastAsia="方正黑体_GBK" w:cs="Times New Roman"/>
                <w:i w:val="0"/>
                <w:color w:val="000000"/>
                <w:sz w:val="20"/>
                <w:szCs w:val="20"/>
                <w:u w:val="none"/>
              </w:rPr>
            </w:pPr>
            <w:r>
              <w:rPr>
                <w:rFonts w:hint="default" w:ascii="Times New Roman" w:hAnsi="Times New Roman" w:eastAsia="方正黑体_GBK" w:cs="Times New Roman"/>
                <w:i w:val="0"/>
                <w:color w:val="000000"/>
                <w:kern w:val="0"/>
                <w:sz w:val="20"/>
                <w:szCs w:val="20"/>
                <w:u w:val="none"/>
                <w:lang w:val="en-US" w:eastAsia="zh-CN" w:bidi="ar"/>
              </w:rPr>
              <w:t>执行率得分</w:t>
            </w:r>
          </w:p>
        </w:tc>
      </w:tr>
      <w:tr>
        <w:tblPrEx>
          <w:tblLayout w:type="fixed"/>
          <w:tblCellMar>
            <w:top w:w="0" w:type="dxa"/>
            <w:left w:w="0" w:type="dxa"/>
            <w:bottom w:w="0" w:type="dxa"/>
            <w:right w:w="0" w:type="dxa"/>
          </w:tblCellMar>
        </w:tblPrEx>
        <w:trPr>
          <w:gridBefore w:val="1"/>
          <w:gridAfter w:val="1"/>
          <w:wBefore w:w="1" w:type="dxa"/>
          <w:wAfter w:w="14" w:type="dxa"/>
          <w:trHeight w:val="500" w:hRule="atLeast"/>
          <w:jc w:val="center"/>
        </w:trPr>
        <w:tc>
          <w:tcPr>
            <w:tcW w:w="715" w:type="dxa"/>
            <w:gridSpan w:val="2"/>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jc w:val="both"/>
              <w:textAlignment w:val="center"/>
              <w:rPr>
                <w:rFonts w:hint="default" w:ascii="Times New Roman" w:hAnsi="Times New Roman" w:eastAsia="方正黑体_GBK" w:cs="Times New Roman"/>
                <w:i w:val="0"/>
                <w:color w:val="000000"/>
                <w:sz w:val="20"/>
                <w:szCs w:val="20"/>
                <w:u w:val="none"/>
              </w:rPr>
            </w:pPr>
            <w:r>
              <w:rPr>
                <w:rFonts w:hint="default" w:ascii="Times New Roman" w:hAnsi="Times New Roman" w:eastAsia="方正黑体_GBK" w:cs="Times New Roman"/>
                <w:i w:val="0"/>
                <w:color w:val="000000"/>
                <w:kern w:val="0"/>
                <w:sz w:val="20"/>
                <w:szCs w:val="20"/>
                <w:u w:val="none"/>
                <w:lang w:val="en-US" w:eastAsia="zh-CN" w:bidi="ar"/>
              </w:rPr>
              <w:t>年度总金额</w:t>
            </w:r>
          </w:p>
        </w:tc>
        <w:tc>
          <w:tcPr>
            <w:tcW w:w="2508" w:type="dxa"/>
            <w:gridSpan w:val="4"/>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jc w:val="both"/>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40,205,542.74</w:t>
            </w:r>
          </w:p>
        </w:tc>
        <w:tc>
          <w:tcPr>
            <w:tcW w:w="2083" w:type="dxa"/>
            <w:gridSpan w:val="4"/>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jc w:val="both"/>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68,301,712.07</w:t>
            </w:r>
          </w:p>
        </w:tc>
        <w:tc>
          <w:tcPr>
            <w:tcW w:w="1540" w:type="dxa"/>
            <w:gridSpan w:val="4"/>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jc w:val="both"/>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62,047,236.44 </w:t>
            </w:r>
          </w:p>
        </w:tc>
        <w:tc>
          <w:tcPr>
            <w:tcW w:w="566" w:type="dxa"/>
            <w:gridSpan w:val="2"/>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jc w:val="both"/>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w:t>
            </w:r>
          </w:p>
        </w:tc>
        <w:tc>
          <w:tcPr>
            <w:tcW w:w="719" w:type="dxa"/>
            <w:gridSpan w:val="2"/>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jc w:val="both"/>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w:t>
            </w:r>
          </w:p>
        </w:tc>
        <w:tc>
          <w:tcPr>
            <w:tcW w:w="1004" w:type="dxa"/>
            <w:gridSpan w:val="3"/>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jc w:val="both"/>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w:t>
            </w:r>
          </w:p>
        </w:tc>
      </w:tr>
      <w:tr>
        <w:tblPrEx>
          <w:tblLayout w:type="fixed"/>
          <w:tblCellMar>
            <w:top w:w="0" w:type="dxa"/>
            <w:left w:w="0" w:type="dxa"/>
            <w:bottom w:w="0" w:type="dxa"/>
            <w:right w:w="0" w:type="dxa"/>
          </w:tblCellMar>
        </w:tblPrEx>
        <w:trPr>
          <w:gridBefore w:val="1"/>
          <w:gridAfter w:val="1"/>
          <w:wBefore w:w="1" w:type="dxa"/>
          <w:wAfter w:w="14" w:type="dxa"/>
          <w:trHeight w:val="620" w:hRule="atLeast"/>
          <w:jc w:val="center"/>
        </w:trPr>
        <w:tc>
          <w:tcPr>
            <w:tcW w:w="715" w:type="dxa"/>
            <w:gridSpan w:val="2"/>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jc w:val="both"/>
              <w:textAlignment w:val="center"/>
              <w:rPr>
                <w:rFonts w:hint="default" w:ascii="Times New Roman" w:hAnsi="Times New Roman" w:eastAsia="方正黑体_GBK" w:cs="Times New Roman"/>
                <w:i w:val="0"/>
                <w:color w:val="000000"/>
                <w:sz w:val="20"/>
                <w:szCs w:val="20"/>
                <w:u w:val="none"/>
              </w:rPr>
            </w:pPr>
            <w:r>
              <w:rPr>
                <w:rFonts w:hint="default" w:ascii="Times New Roman" w:hAnsi="Times New Roman" w:eastAsia="方正黑体_GBK" w:cs="Times New Roman"/>
                <w:i w:val="0"/>
                <w:color w:val="000000"/>
                <w:kern w:val="0"/>
                <w:sz w:val="20"/>
                <w:szCs w:val="20"/>
                <w:u w:val="none"/>
                <w:lang w:val="en-US" w:eastAsia="zh-CN" w:bidi="ar"/>
              </w:rPr>
              <w:t>其中：财政拨款</w:t>
            </w:r>
          </w:p>
        </w:tc>
        <w:tc>
          <w:tcPr>
            <w:tcW w:w="2508" w:type="dxa"/>
            <w:gridSpan w:val="4"/>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jc w:val="both"/>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40,065,631.24 </w:t>
            </w:r>
          </w:p>
        </w:tc>
        <w:tc>
          <w:tcPr>
            <w:tcW w:w="2083" w:type="dxa"/>
            <w:gridSpan w:val="4"/>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jc w:val="both"/>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68,161,800.57</w:t>
            </w:r>
          </w:p>
        </w:tc>
        <w:tc>
          <w:tcPr>
            <w:tcW w:w="1540" w:type="dxa"/>
            <w:gridSpan w:val="4"/>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jc w:val="both"/>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62,047,236.44 </w:t>
            </w:r>
          </w:p>
        </w:tc>
        <w:tc>
          <w:tcPr>
            <w:tcW w:w="566" w:type="dxa"/>
            <w:gridSpan w:val="2"/>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jc w:val="both"/>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91.03</w:t>
            </w:r>
          </w:p>
        </w:tc>
        <w:tc>
          <w:tcPr>
            <w:tcW w:w="719" w:type="dxa"/>
            <w:gridSpan w:val="2"/>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jc w:val="both"/>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10.00</w:t>
            </w:r>
          </w:p>
        </w:tc>
        <w:tc>
          <w:tcPr>
            <w:tcW w:w="1004" w:type="dxa"/>
            <w:gridSpan w:val="3"/>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ind w:firstLineChars="100"/>
              <w:jc w:val="both"/>
              <w:textAlignment w:val="center"/>
              <w:rPr>
                <w:rFonts w:hint="default" w:ascii="Times New Roman" w:hAnsi="Times New Roman" w:eastAsia="宋体" w:cs="Times New Roman"/>
                <w:i w:val="0"/>
                <w:color w:val="000000"/>
                <w:sz w:val="22"/>
                <w:szCs w:val="22"/>
                <w:u w:val="none"/>
                <w:lang w:val="en-US"/>
              </w:rPr>
            </w:pPr>
            <w:r>
              <w:rPr>
                <w:rFonts w:hint="default" w:ascii="Times New Roman" w:hAnsi="Times New Roman" w:eastAsia="宋体" w:cs="Times New Roman"/>
                <w:i w:val="0"/>
                <w:color w:val="000000"/>
                <w:kern w:val="0"/>
                <w:sz w:val="22"/>
                <w:szCs w:val="22"/>
                <w:u w:val="none"/>
                <w:lang w:val="en-US" w:eastAsia="zh-CN" w:bidi="ar"/>
              </w:rPr>
              <w:t>9</w:t>
            </w:r>
            <w:r>
              <w:rPr>
                <w:rFonts w:hint="default" w:ascii="Times New Roman" w:hAnsi="Times New Roman" w:cs="Times New Roman"/>
                <w:i w:val="0"/>
                <w:color w:val="000000"/>
                <w:kern w:val="0"/>
                <w:sz w:val="22"/>
                <w:szCs w:val="22"/>
                <w:u w:val="none"/>
                <w:lang w:val="en-US" w:eastAsia="zh-CN" w:bidi="ar"/>
              </w:rPr>
              <w:t>.10</w:t>
            </w:r>
          </w:p>
        </w:tc>
      </w:tr>
      <w:tr>
        <w:tblPrEx>
          <w:tblLayout w:type="fixed"/>
          <w:tblCellMar>
            <w:top w:w="0" w:type="dxa"/>
            <w:left w:w="0" w:type="dxa"/>
            <w:bottom w:w="0" w:type="dxa"/>
            <w:right w:w="0" w:type="dxa"/>
          </w:tblCellMar>
        </w:tblPrEx>
        <w:trPr>
          <w:gridBefore w:val="1"/>
          <w:gridAfter w:val="1"/>
          <w:wBefore w:w="1" w:type="dxa"/>
          <w:wAfter w:w="14" w:type="dxa"/>
          <w:trHeight w:val="500" w:hRule="atLeast"/>
          <w:jc w:val="center"/>
        </w:trPr>
        <w:tc>
          <w:tcPr>
            <w:tcW w:w="715" w:type="dxa"/>
            <w:gridSpan w:val="2"/>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jc w:val="both"/>
              <w:textAlignment w:val="center"/>
              <w:rPr>
                <w:rFonts w:hint="default" w:ascii="Times New Roman" w:hAnsi="Times New Roman" w:eastAsia="方正黑体_GBK" w:cs="Times New Roman"/>
                <w:i w:val="0"/>
                <w:color w:val="000000"/>
                <w:sz w:val="20"/>
                <w:szCs w:val="20"/>
                <w:u w:val="none"/>
              </w:rPr>
            </w:pPr>
            <w:r>
              <w:rPr>
                <w:rFonts w:hint="default" w:ascii="Times New Roman" w:hAnsi="Times New Roman" w:eastAsia="方正黑体_GBK" w:cs="Times New Roman"/>
                <w:i w:val="0"/>
                <w:color w:val="000000"/>
                <w:kern w:val="0"/>
                <w:sz w:val="20"/>
                <w:szCs w:val="20"/>
                <w:u w:val="none"/>
                <w:lang w:val="en-US" w:eastAsia="zh-CN" w:bidi="ar"/>
              </w:rPr>
              <w:t>一般公共预算</w:t>
            </w:r>
          </w:p>
        </w:tc>
        <w:tc>
          <w:tcPr>
            <w:tcW w:w="2508" w:type="dxa"/>
            <w:gridSpan w:val="4"/>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jc w:val="both"/>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40,065,631.24</w:t>
            </w:r>
          </w:p>
        </w:tc>
        <w:tc>
          <w:tcPr>
            <w:tcW w:w="2083" w:type="dxa"/>
            <w:gridSpan w:val="4"/>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jc w:val="both"/>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68,161,800.57</w:t>
            </w:r>
          </w:p>
        </w:tc>
        <w:tc>
          <w:tcPr>
            <w:tcW w:w="1540" w:type="dxa"/>
            <w:gridSpan w:val="4"/>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jc w:val="both"/>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62,047,236.44 </w:t>
            </w:r>
          </w:p>
        </w:tc>
        <w:tc>
          <w:tcPr>
            <w:tcW w:w="566" w:type="dxa"/>
            <w:gridSpan w:val="2"/>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jc w:val="both"/>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w:t>
            </w:r>
          </w:p>
        </w:tc>
        <w:tc>
          <w:tcPr>
            <w:tcW w:w="719" w:type="dxa"/>
            <w:gridSpan w:val="2"/>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jc w:val="both"/>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w:t>
            </w:r>
          </w:p>
        </w:tc>
        <w:tc>
          <w:tcPr>
            <w:tcW w:w="1004" w:type="dxa"/>
            <w:gridSpan w:val="3"/>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jc w:val="both"/>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w:t>
            </w:r>
          </w:p>
        </w:tc>
      </w:tr>
      <w:tr>
        <w:tblPrEx>
          <w:tblLayout w:type="fixed"/>
          <w:tblCellMar>
            <w:top w:w="0" w:type="dxa"/>
            <w:left w:w="0" w:type="dxa"/>
            <w:bottom w:w="0" w:type="dxa"/>
            <w:right w:w="0" w:type="dxa"/>
          </w:tblCellMar>
        </w:tblPrEx>
        <w:trPr>
          <w:gridBefore w:val="1"/>
          <w:gridAfter w:val="1"/>
          <w:wBefore w:w="1" w:type="dxa"/>
          <w:wAfter w:w="14" w:type="dxa"/>
          <w:trHeight w:val="500" w:hRule="atLeast"/>
          <w:jc w:val="center"/>
        </w:trPr>
        <w:tc>
          <w:tcPr>
            <w:tcW w:w="715" w:type="dxa"/>
            <w:gridSpan w:val="2"/>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jc w:val="both"/>
              <w:textAlignment w:val="center"/>
              <w:rPr>
                <w:rFonts w:hint="default" w:ascii="Times New Roman" w:hAnsi="Times New Roman" w:eastAsia="方正黑体_GBK" w:cs="Times New Roman"/>
                <w:i w:val="0"/>
                <w:color w:val="000000"/>
                <w:sz w:val="20"/>
                <w:szCs w:val="20"/>
                <w:u w:val="none"/>
              </w:rPr>
            </w:pPr>
            <w:r>
              <w:rPr>
                <w:rFonts w:hint="default" w:ascii="Times New Roman" w:hAnsi="Times New Roman" w:eastAsia="方正黑体_GBK" w:cs="Times New Roman"/>
                <w:i w:val="0"/>
                <w:color w:val="000000"/>
                <w:kern w:val="0"/>
                <w:sz w:val="20"/>
                <w:szCs w:val="20"/>
                <w:u w:val="none"/>
                <w:lang w:val="en-US" w:eastAsia="zh-CN" w:bidi="ar"/>
              </w:rPr>
              <w:t>当年绩效目标</w:t>
            </w:r>
          </w:p>
        </w:tc>
        <w:tc>
          <w:tcPr>
            <w:tcW w:w="3200" w:type="dxa"/>
            <w:gridSpan w:val="5"/>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jc w:val="both"/>
              <w:textAlignment w:val="center"/>
              <w:rPr>
                <w:rFonts w:hint="default" w:ascii="Times New Roman" w:hAnsi="Times New Roman" w:eastAsia="方正黑体_GBK" w:cs="Times New Roman"/>
                <w:i w:val="0"/>
                <w:color w:val="000000"/>
                <w:sz w:val="20"/>
                <w:szCs w:val="20"/>
                <w:u w:val="none"/>
              </w:rPr>
            </w:pPr>
            <w:r>
              <w:rPr>
                <w:rFonts w:hint="default" w:ascii="Times New Roman" w:hAnsi="Times New Roman" w:eastAsia="方正黑体_GBK" w:cs="Times New Roman"/>
                <w:i w:val="0"/>
                <w:color w:val="000000"/>
                <w:kern w:val="0"/>
                <w:sz w:val="20"/>
                <w:szCs w:val="20"/>
                <w:u w:val="none"/>
                <w:lang w:val="en-US" w:eastAsia="zh-CN" w:bidi="ar"/>
              </w:rPr>
              <w:t>年初绩效目标</w:t>
            </w:r>
          </w:p>
        </w:tc>
        <w:tc>
          <w:tcPr>
            <w:tcW w:w="2931" w:type="dxa"/>
            <w:gridSpan w:val="7"/>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jc w:val="both"/>
              <w:textAlignment w:val="center"/>
              <w:rPr>
                <w:rFonts w:hint="default" w:ascii="Times New Roman" w:hAnsi="Times New Roman" w:eastAsia="方正黑体_GBK" w:cs="Times New Roman"/>
                <w:i w:val="0"/>
                <w:color w:val="000000"/>
                <w:sz w:val="20"/>
                <w:szCs w:val="20"/>
                <w:u w:val="none"/>
              </w:rPr>
            </w:pPr>
            <w:r>
              <w:rPr>
                <w:rFonts w:hint="default" w:ascii="Times New Roman" w:hAnsi="Times New Roman" w:eastAsia="方正黑体_GBK" w:cs="Times New Roman"/>
                <w:i w:val="0"/>
                <w:color w:val="000000"/>
                <w:kern w:val="0"/>
                <w:sz w:val="20"/>
                <w:szCs w:val="20"/>
                <w:u w:val="none"/>
                <w:lang w:val="en-US" w:eastAsia="zh-CN" w:bidi="ar"/>
              </w:rPr>
              <w:t>全年（调整）绩效目标</w:t>
            </w:r>
          </w:p>
        </w:tc>
        <w:tc>
          <w:tcPr>
            <w:tcW w:w="2289" w:type="dxa"/>
            <w:gridSpan w:val="7"/>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jc w:val="both"/>
              <w:textAlignment w:val="center"/>
              <w:rPr>
                <w:rFonts w:hint="default" w:ascii="Times New Roman" w:hAnsi="Times New Roman" w:eastAsia="方正黑体_GBK" w:cs="Times New Roman"/>
                <w:i w:val="0"/>
                <w:color w:val="000000"/>
                <w:sz w:val="20"/>
                <w:szCs w:val="20"/>
                <w:u w:val="none"/>
              </w:rPr>
            </w:pPr>
            <w:r>
              <w:rPr>
                <w:rFonts w:hint="default" w:ascii="Times New Roman" w:hAnsi="Times New Roman" w:eastAsia="方正黑体_GBK" w:cs="Times New Roman"/>
                <w:i w:val="0"/>
                <w:color w:val="000000"/>
                <w:kern w:val="0"/>
                <w:sz w:val="20"/>
                <w:szCs w:val="20"/>
                <w:u w:val="none"/>
                <w:lang w:val="en-US" w:eastAsia="zh-CN" w:bidi="ar"/>
              </w:rPr>
              <w:t>全年目标实际完成情况</w:t>
            </w:r>
          </w:p>
        </w:tc>
      </w:tr>
      <w:tr>
        <w:tblPrEx>
          <w:tblLayout w:type="fixed"/>
          <w:tblCellMar>
            <w:top w:w="0" w:type="dxa"/>
            <w:left w:w="0" w:type="dxa"/>
            <w:bottom w:w="0" w:type="dxa"/>
            <w:right w:w="0" w:type="dxa"/>
          </w:tblCellMar>
        </w:tblPrEx>
        <w:trPr>
          <w:gridBefore w:val="1"/>
          <w:gridAfter w:val="1"/>
          <w:wBefore w:w="1" w:type="dxa"/>
          <w:wAfter w:w="14" w:type="dxa"/>
          <w:trHeight w:val="3020" w:hRule="atLeast"/>
          <w:jc w:val="center"/>
        </w:trPr>
        <w:tc>
          <w:tcPr>
            <w:tcW w:w="715"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jc w:val="both"/>
              <w:rPr>
                <w:rFonts w:hint="default" w:ascii="Times New Roman" w:hAnsi="Times New Roman" w:eastAsia="方正黑体_GBK" w:cs="Times New Roman"/>
                <w:i w:val="0"/>
                <w:color w:val="000000"/>
                <w:sz w:val="20"/>
                <w:szCs w:val="20"/>
                <w:u w:val="none"/>
              </w:rPr>
            </w:pPr>
          </w:p>
        </w:tc>
        <w:tc>
          <w:tcPr>
            <w:tcW w:w="3200" w:type="dxa"/>
            <w:gridSpan w:val="5"/>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jc w:val="both"/>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实现城镇新增就业人数3000人以上；发布招聘用工信息800条以上；接收流动人员人事档案2800份以上；就业困难人员实现就业人数600人以上；新增失业保险参保人数900人以上；转移农民工就业人数170000人以上；创业担保贷款贴息资金足额拨付率达98%；失业保险金等各项待遇发放率达95%以上；鲁渝劳务协作资金拨付及时性达98%以上。</w:t>
            </w:r>
          </w:p>
        </w:tc>
        <w:tc>
          <w:tcPr>
            <w:tcW w:w="2931" w:type="dxa"/>
            <w:gridSpan w:val="7"/>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jc w:val="both"/>
              <w:textAlignment w:val="center"/>
              <w:rPr>
                <w:rFonts w:hint="default" w:ascii="Times New Roman" w:hAnsi="Times New Roman" w:eastAsia="方正仿宋_GBK" w:cs="Times New Roman"/>
                <w:i w:val="0"/>
                <w:color w:val="000000"/>
                <w:sz w:val="18"/>
                <w:szCs w:val="18"/>
                <w:u w:val="none"/>
                <w:lang w:val="en-US"/>
              </w:rPr>
            </w:pPr>
            <w:r>
              <w:rPr>
                <w:rFonts w:hint="default" w:ascii="Times New Roman" w:hAnsi="Times New Roman" w:eastAsia="方正仿宋_GBK" w:cs="Times New Roman"/>
                <w:i w:val="0"/>
                <w:color w:val="000000"/>
                <w:kern w:val="0"/>
                <w:sz w:val="18"/>
                <w:szCs w:val="18"/>
                <w:u w:val="none"/>
                <w:lang w:val="en-US" w:eastAsia="zh-CN" w:bidi="ar"/>
              </w:rPr>
              <w:t>实现城镇新增就业人数4300人以上；发布招聘用工信息1800条以上；接收流动人员人事档案4100份以上；就业困难人员实现就业人数1200人以上；新增失业保险参保人数2900人以上；转移农民工就业人数228700人以上；创业担保贷款贴息资金足额拨付率达98%；失业保险金等各项待遇发放率达95%以上；鲁渝劳务协作资金拨付及时性达98%以上。</w:t>
            </w:r>
          </w:p>
        </w:tc>
        <w:tc>
          <w:tcPr>
            <w:tcW w:w="2289" w:type="dxa"/>
            <w:gridSpan w:val="7"/>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jc w:val="both"/>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实现城镇新增就业人数4308人；发布招聘用工信息1800条；接收流动人员人事档案4109份；就业困难人员实现就业人数1273人；新增失业保险参保人数2914人；转移农民工就业人数228700人；创业担保贷款贴息资金足额拨付率达98%；失业保险金等各项待遇发放率达95%；鲁渝劳务协作资金拨付及时性达98%。</w:t>
            </w:r>
          </w:p>
        </w:tc>
      </w:tr>
      <w:tr>
        <w:tblPrEx>
          <w:tblLayout w:type="fixed"/>
          <w:tblCellMar>
            <w:top w:w="0" w:type="dxa"/>
            <w:left w:w="0" w:type="dxa"/>
            <w:bottom w:w="0" w:type="dxa"/>
            <w:right w:w="0" w:type="dxa"/>
          </w:tblCellMar>
        </w:tblPrEx>
        <w:trPr>
          <w:gridBefore w:val="1"/>
          <w:gridAfter w:val="1"/>
          <w:wBefore w:w="1" w:type="dxa"/>
          <w:wAfter w:w="14" w:type="dxa"/>
          <w:trHeight w:val="1000" w:hRule="atLeast"/>
          <w:jc w:val="center"/>
        </w:trPr>
        <w:tc>
          <w:tcPr>
            <w:tcW w:w="715" w:type="dxa"/>
            <w:gridSpan w:val="2"/>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jc w:val="both"/>
              <w:textAlignment w:val="center"/>
              <w:rPr>
                <w:rFonts w:hint="default" w:ascii="Times New Roman" w:hAnsi="Times New Roman" w:eastAsia="方正黑体_GBK" w:cs="Times New Roman"/>
                <w:i w:val="0"/>
                <w:color w:val="000000"/>
                <w:sz w:val="20"/>
                <w:szCs w:val="20"/>
                <w:u w:val="none"/>
              </w:rPr>
            </w:pPr>
            <w:r>
              <w:rPr>
                <w:rFonts w:hint="default" w:ascii="Times New Roman" w:hAnsi="Times New Roman" w:eastAsia="方正黑体_GBK" w:cs="Times New Roman"/>
                <w:i w:val="0"/>
                <w:color w:val="000000"/>
                <w:kern w:val="0"/>
                <w:sz w:val="20"/>
                <w:szCs w:val="20"/>
                <w:u w:val="none"/>
                <w:lang w:val="en-US" w:eastAsia="zh-CN" w:bidi="ar"/>
              </w:rPr>
              <w:t>绩效指标</w:t>
            </w:r>
          </w:p>
        </w:tc>
        <w:tc>
          <w:tcPr>
            <w:tcW w:w="150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jc w:val="both"/>
              <w:textAlignment w:val="center"/>
              <w:rPr>
                <w:rFonts w:hint="default" w:ascii="Times New Roman" w:hAnsi="Times New Roman" w:eastAsia="方正黑体_GBK" w:cs="Times New Roman"/>
                <w:i w:val="0"/>
                <w:color w:val="000000"/>
                <w:sz w:val="20"/>
                <w:szCs w:val="20"/>
                <w:u w:val="none"/>
              </w:rPr>
            </w:pPr>
            <w:r>
              <w:rPr>
                <w:rFonts w:hint="default" w:ascii="Times New Roman" w:hAnsi="Times New Roman" w:eastAsia="方正黑体_GBK" w:cs="Times New Roman"/>
                <w:i w:val="0"/>
                <w:color w:val="000000"/>
                <w:kern w:val="0"/>
                <w:sz w:val="20"/>
                <w:szCs w:val="20"/>
                <w:u w:val="none"/>
                <w:lang w:val="en-US" w:eastAsia="zh-CN" w:bidi="ar"/>
              </w:rPr>
              <w:t>指标名称</w:t>
            </w:r>
          </w:p>
        </w:tc>
        <w:tc>
          <w:tcPr>
            <w:tcW w:w="523" w:type="dxa"/>
            <w:gridSpan w:val="2"/>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jc w:val="both"/>
              <w:textAlignment w:val="center"/>
              <w:rPr>
                <w:rFonts w:hint="default" w:ascii="Times New Roman" w:hAnsi="Times New Roman" w:eastAsia="方正黑体_GBK" w:cs="Times New Roman"/>
                <w:i w:val="0"/>
                <w:color w:val="000000"/>
                <w:sz w:val="20"/>
                <w:szCs w:val="20"/>
                <w:u w:val="none"/>
              </w:rPr>
            </w:pPr>
            <w:r>
              <w:rPr>
                <w:rFonts w:hint="default" w:ascii="Times New Roman" w:hAnsi="Times New Roman" w:eastAsia="方正黑体_GBK" w:cs="Times New Roman"/>
                <w:i w:val="0"/>
                <w:color w:val="000000"/>
                <w:kern w:val="0"/>
                <w:sz w:val="20"/>
                <w:szCs w:val="20"/>
                <w:u w:val="none"/>
                <w:lang w:val="en-US" w:eastAsia="zh-CN" w:bidi="ar"/>
              </w:rPr>
              <w:t>计量单位</w:t>
            </w:r>
          </w:p>
        </w:tc>
        <w:tc>
          <w:tcPr>
            <w:tcW w:w="48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jc w:val="both"/>
              <w:textAlignment w:val="center"/>
              <w:rPr>
                <w:rFonts w:hint="default" w:ascii="Times New Roman" w:hAnsi="Times New Roman" w:eastAsia="方正黑体_GBK" w:cs="Times New Roman"/>
                <w:i w:val="0"/>
                <w:color w:val="000000"/>
                <w:sz w:val="20"/>
                <w:szCs w:val="20"/>
                <w:u w:val="none"/>
              </w:rPr>
            </w:pPr>
            <w:r>
              <w:rPr>
                <w:rFonts w:hint="default" w:ascii="Times New Roman" w:hAnsi="Times New Roman" w:eastAsia="方正黑体_GBK" w:cs="Times New Roman"/>
                <w:i w:val="0"/>
                <w:color w:val="000000"/>
                <w:kern w:val="0"/>
                <w:sz w:val="20"/>
                <w:szCs w:val="20"/>
                <w:u w:val="none"/>
                <w:lang w:val="en-US" w:eastAsia="zh-CN" w:bidi="ar"/>
              </w:rPr>
              <w:t>指标性质</w:t>
            </w:r>
          </w:p>
        </w:tc>
        <w:tc>
          <w:tcPr>
            <w:tcW w:w="692"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jc w:val="both"/>
              <w:textAlignment w:val="center"/>
              <w:rPr>
                <w:rFonts w:hint="default" w:ascii="Times New Roman" w:hAnsi="Times New Roman" w:eastAsia="方正黑体_GBK" w:cs="Times New Roman"/>
                <w:i w:val="0"/>
                <w:color w:val="000000"/>
                <w:sz w:val="20"/>
                <w:szCs w:val="20"/>
                <w:u w:val="none"/>
              </w:rPr>
            </w:pPr>
            <w:r>
              <w:rPr>
                <w:rFonts w:hint="default" w:ascii="Times New Roman" w:hAnsi="Times New Roman" w:eastAsia="方正黑体_GBK" w:cs="Times New Roman"/>
                <w:i w:val="0"/>
                <w:color w:val="000000"/>
                <w:kern w:val="0"/>
                <w:sz w:val="20"/>
                <w:szCs w:val="20"/>
                <w:u w:val="none"/>
                <w:lang w:val="en-US" w:eastAsia="zh-CN" w:bidi="ar"/>
              </w:rPr>
              <w:t>指标值</w:t>
            </w:r>
          </w:p>
        </w:tc>
        <w:tc>
          <w:tcPr>
            <w:tcW w:w="692"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jc w:val="both"/>
              <w:textAlignment w:val="center"/>
              <w:rPr>
                <w:rFonts w:hint="default" w:ascii="Times New Roman" w:hAnsi="Times New Roman" w:eastAsia="方正黑体_GBK" w:cs="Times New Roman"/>
                <w:i w:val="0"/>
                <w:color w:val="000000"/>
                <w:sz w:val="20"/>
                <w:szCs w:val="20"/>
                <w:u w:val="none"/>
              </w:rPr>
            </w:pPr>
            <w:r>
              <w:rPr>
                <w:rFonts w:hint="default" w:ascii="Times New Roman" w:hAnsi="Times New Roman" w:eastAsia="方正黑体_GBK" w:cs="Times New Roman"/>
                <w:i w:val="0"/>
                <w:color w:val="000000"/>
                <w:kern w:val="0"/>
                <w:sz w:val="20"/>
                <w:szCs w:val="20"/>
                <w:u w:val="none"/>
                <w:lang w:val="en-US" w:eastAsia="zh-CN" w:bidi="ar"/>
              </w:rPr>
              <w:t>全年完成值</w:t>
            </w:r>
          </w:p>
        </w:tc>
        <w:tc>
          <w:tcPr>
            <w:tcW w:w="699" w:type="dxa"/>
            <w:gridSpan w:val="2"/>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jc w:val="both"/>
              <w:textAlignment w:val="center"/>
              <w:rPr>
                <w:rFonts w:hint="default" w:ascii="Times New Roman" w:hAnsi="Times New Roman" w:eastAsia="方正黑体_GBK" w:cs="Times New Roman"/>
                <w:i w:val="0"/>
                <w:color w:val="000000"/>
                <w:sz w:val="20"/>
                <w:szCs w:val="20"/>
                <w:u w:val="none"/>
              </w:rPr>
            </w:pPr>
            <w:r>
              <w:rPr>
                <w:rFonts w:hint="default" w:ascii="Times New Roman" w:hAnsi="Times New Roman" w:eastAsia="方正黑体_GBK" w:cs="Times New Roman"/>
                <w:i w:val="0"/>
                <w:color w:val="000000"/>
                <w:kern w:val="0"/>
                <w:sz w:val="20"/>
                <w:szCs w:val="20"/>
                <w:u w:val="none"/>
                <w:lang w:val="en-US" w:eastAsia="zh-CN" w:bidi="ar"/>
              </w:rPr>
              <w:t>偏离度（%）</w:t>
            </w:r>
          </w:p>
        </w:tc>
        <w:tc>
          <w:tcPr>
            <w:tcW w:w="701" w:type="dxa"/>
            <w:gridSpan w:val="2"/>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jc w:val="both"/>
              <w:textAlignment w:val="center"/>
              <w:rPr>
                <w:rFonts w:hint="default" w:ascii="Times New Roman" w:hAnsi="Times New Roman" w:eastAsia="方正黑体_GBK" w:cs="Times New Roman"/>
                <w:i w:val="0"/>
                <w:color w:val="000000"/>
                <w:sz w:val="20"/>
                <w:szCs w:val="20"/>
                <w:u w:val="none"/>
              </w:rPr>
            </w:pPr>
            <w:r>
              <w:rPr>
                <w:rFonts w:hint="default" w:ascii="Times New Roman" w:hAnsi="Times New Roman" w:eastAsia="方正黑体_GBK" w:cs="Times New Roman"/>
                <w:i w:val="0"/>
                <w:color w:val="000000"/>
                <w:kern w:val="0"/>
                <w:sz w:val="20"/>
                <w:szCs w:val="20"/>
                <w:u w:val="none"/>
                <w:lang w:val="en-US" w:eastAsia="zh-CN" w:bidi="ar"/>
              </w:rPr>
              <w:t>得分系数（%）</w:t>
            </w:r>
          </w:p>
        </w:tc>
        <w:tc>
          <w:tcPr>
            <w:tcW w:w="839" w:type="dxa"/>
            <w:gridSpan w:val="2"/>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jc w:val="both"/>
              <w:textAlignment w:val="center"/>
              <w:rPr>
                <w:rFonts w:hint="default" w:ascii="Times New Roman" w:hAnsi="Times New Roman" w:eastAsia="方正黑体_GBK" w:cs="Times New Roman"/>
                <w:i w:val="0"/>
                <w:color w:val="000000"/>
                <w:sz w:val="20"/>
                <w:szCs w:val="20"/>
                <w:u w:val="none"/>
              </w:rPr>
            </w:pPr>
            <w:r>
              <w:rPr>
                <w:rFonts w:hint="default" w:ascii="Times New Roman" w:hAnsi="Times New Roman" w:eastAsia="方正黑体_GBK" w:cs="Times New Roman"/>
                <w:i w:val="0"/>
                <w:color w:val="000000"/>
                <w:kern w:val="0"/>
                <w:sz w:val="20"/>
                <w:szCs w:val="20"/>
                <w:u w:val="none"/>
                <w:lang w:val="en-US" w:eastAsia="zh-CN" w:bidi="ar"/>
              </w:rPr>
              <w:t>指标权重（分）</w:t>
            </w:r>
          </w:p>
        </w:tc>
        <w:tc>
          <w:tcPr>
            <w:tcW w:w="566" w:type="dxa"/>
            <w:gridSpan w:val="2"/>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jc w:val="both"/>
              <w:textAlignment w:val="center"/>
              <w:rPr>
                <w:rFonts w:hint="default" w:ascii="Times New Roman" w:hAnsi="Times New Roman" w:eastAsia="方正黑体_GBK" w:cs="Times New Roman"/>
                <w:i w:val="0"/>
                <w:color w:val="000000"/>
                <w:sz w:val="20"/>
                <w:szCs w:val="20"/>
                <w:u w:val="none"/>
              </w:rPr>
            </w:pPr>
            <w:r>
              <w:rPr>
                <w:rFonts w:hint="default" w:ascii="Times New Roman" w:hAnsi="Times New Roman" w:eastAsia="方正黑体_GBK" w:cs="Times New Roman"/>
                <w:i w:val="0"/>
                <w:color w:val="000000"/>
                <w:kern w:val="0"/>
                <w:sz w:val="20"/>
                <w:szCs w:val="20"/>
                <w:u w:val="none"/>
                <w:lang w:val="en-US" w:eastAsia="zh-CN" w:bidi="ar"/>
              </w:rPr>
              <w:t>指标得分（分）</w:t>
            </w:r>
          </w:p>
        </w:tc>
        <w:tc>
          <w:tcPr>
            <w:tcW w:w="1723" w:type="dxa"/>
            <w:gridSpan w:val="5"/>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jc w:val="both"/>
              <w:textAlignment w:val="center"/>
              <w:rPr>
                <w:rFonts w:hint="default" w:ascii="Times New Roman" w:hAnsi="Times New Roman" w:eastAsia="方正黑体_GBK" w:cs="Times New Roman"/>
                <w:i w:val="0"/>
                <w:color w:val="000000"/>
                <w:sz w:val="20"/>
                <w:szCs w:val="20"/>
                <w:u w:val="none"/>
              </w:rPr>
            </w:pPr>
            <w:r>
              <w:rPr>
                <w:rFonts w:hint="default" w:ascii="Times New Roman" w:hAnsi="Times New Roman" w:eastAsia="方正黑体_GBK" w:cs="Times New Roman"/>
                <w:i w:val="0"/>
                <w:color w:val="000000"/>
                <w:kern w:val="0"/>
                <w:sz w:val="20"/>
                <w:szCs w:val="20"/>
                <w:u w:val="none"/>
                <w:lang w:val="en-US" w:eastAsia="zh-CN" w:bidi="ar"/>
              </w:rPr>
              <w:t>说明</w:t>
            </w:r>
          </w:p>
        </w:tc>
      </w:tr>
      <w:tr>
        <w:tblPrEx>
          <w:tblLayout w:type="fixed"/>
          <w:tblCellMar>
            <w:top w:w="0" w:type="dxa"/>
            <w:left w:w="0" w:type="dxa"/>
            <w:bottom w:w="0" w:type="dxa"/>
            <w:right w:w="0" w:type="dxa"/>
          </w:tblCellMar>
        </w:tblPrEx>
        <w:trPr>
          <w:gridBefore w:val="1"/>
          <w:gridAfter w:val="1"/>
          <w:wBefore w:w="1" w:type="dxa"/>
          <w:wAfter w:w="14" w:type="dxa"/>
          <w:trHeight w:val="500" w:hRule="atLeast"/>
          <w:jc w:val="center"/>
        </w:trPr>
        <w:tc>
          <w:tcPr>
            <w:tcW w:w="715"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jc w:val="both"/>
              <w:rPr>
                <w:rFonts w:hint="default" w:ascii="Times New Roman" w:hAnsi="Times New Roman" w:eastAsia="方正黑体_GBK" w:cs="Times New Roman"/>
                <w:i w:val="0"/>
                <w:color w:val="000000"/>
                <w:sz w:val="20"/>
                <w:szCs w:val="20"/>
                <w:u w:val="none"/>
              </w:rPr>
            </w:pPr>
          </w:p>
        </w:tc>
        <w:tc>
          <w:tcPr>
            <w:tcW w:w="150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jc w:val="both"/>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城镇新增就业人数</w:t>
            </w:r>
          </w:p>
        </w:tc>
        <w:tc>
          <w:tcPr>
            <w:tcW w:w="523" w:type="dxa"/>
            <w:gridSpan w:val="2"/>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jc w:val="both"/>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人</w:t>
            </w:r>
          </w:p>
        </w:tc>
        <w:tc>
          <w:tcPr>
            <w:tcW w:w="48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jc w:val="both"/>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w:t>
            </w:r>
          </w:p>
        </w:tc>
        <w:tc>
          <w:tcPr>
            <w:tcW w:w="692"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jc w:val="both"/>
              <w:textAlignment w:val="center"/>
              <w:rPr>
                <w:rFonts w:hint="default" w:ascii="Times New Roman" w:hAnsi="Times New Roman" w:eastAsia="宋体" w:cs="Times New Roman"/>
                <w:i w:val="0"/>
                <w:color w:val="000000"/>
                <w:sz w:val="22"/>
                <w:szCs w:val="22"/>
                <w:u w:val="none"/>
              </w:rPr>
            </w:pPr>
            <w:r>
              <w:rPr>
                <w:rFonts w:hint="default" w:ascii="Times New Roman" w:hAnsi="Times New Roman" w:cs="Times New Roman"/>
                <w:i w:val="0"/>
                <w:color w:val="000000"/>
                <w:kern w:val="0"/>
                <w:sz w:val="22"/>
                <w:szCs w:val="22"/>
                <w:u w:val="none"/>
                <w:lang w:val="en-US" w:eastAsia="zh-CN" w:bidi="ar"/>
              </w:rPr>
              <w:t>43</w:t>
            </w:r>
            <w:r>
              <w:rPr>
                <w:rFonts w:hint="default" w:ascii="Times New Roman" w:hAnsi="Times New Roman" w:eastAsia="宋体" w:cs="Times New Roman"/>
                <w:i w:val="0"/>
                <w:color w:val="000000"/>
                <w:kern w:val="0"/>
                <w:sz w:val="22"/>
                <w:szCs w:val="22"/>
                <w:u w:val="none"/>
                <w:lang w:val="en-US" w:eastAsia="zh-CN" w:bidi="ar"/>
              </w:rPr>
              <w:t>00</w:t>
            </w:r>
          </w:p>
        </w:tc>
        <w:tc>
          <w:tcPr>
            <w:tcW w:w="692"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jc w:val="both"/>
              <w:textAlignment w:val="center"/>
              <w:rPr>
                <w:rFonts w:hint="default" w:ascii="Times New Roman" w:hAnsi="Times New Roman" w:eastAsia="宋体" w:cs="Times New Roman"/>
                <w:i w:val="0"/>
                <w:color w:val="000000"/>
                <w:sz w:val="22"/>
                <w:szCs w:val="22"/>
                <w:u w:val="none"/>
                <w:lang w:val="en-US"/>
              </w:rPr>
            </w:pPr>
            <w:r>
              <w:rPr>
                <w:rFonts w:hint="default" w:ascii="Times New Roman" w:hAnsi="Times New Roman" w:cs="Times New Roman"/>
                <w:i w:val="0"/>
                <w:color w:val="000000"/>
                <w:kern w:val="0"/>
                <w:sz w:val="22"/>
                <w:szCs w:val="22"/>
                <w:u w:val="none"/>
                <w:lang w:val="en-US" w:eastAsia="zh-CN" w:bidi="ar"/>
              </w:rPr>
              <w:t>4308</w:t>
            </w:r>
          </w:p>
        </w:tc>
        <w:tc>
          <w:tcPr>
            <w:tcW w:w="699" w:type="dxa"/>
            <w:gridSpan w:val="2"/>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jc w:val="both"/>
              <w:textAlignment w:val="center"/>
              <w:rPr>
                <w:rFonts w:hint="default" w:ascii="Times New Roman" w:hAnsi="Times New Roman" w:eastAsia="宋体" w:cs="Times New Roman"/>
                <w:i w:val="0"/>
                <w:color w:val="000000"/>
                <w:sz w:val="22"/>
                <w:szCs w:val="22"/>
                <w:u w:val="none"/>
                <w:lang w:val="en-US"/>
              </w:rPr>
            </w:pPr>
            <w:r>
              <w:rPr>
                <w:rFonts w:hint="default" w:ascii="Times New Roman" w:hAnsi="Times New Roman" w:cs="Times New Roman"/>
                <w:i w:val="0"/>
                <w:color w:val="000000"/>
                <w:kern w:val="0"/>
                <w:sz w:val="22"/>
                <w:szCs w:val="22"/>
                <w:u w:val="none"/>
                <w:lang w:val="en-US" w:eastAsia="zh-CN" w:bidi="ar"/>
              </w:rPr>
              <w:t>0.19</w:t>
            </w:r>
          </w:p>
        </w:tc>
        <w:tc>
          <w:tcPr>
            <w:tcW w:w="701" w:type="dxa"/>
            <w:gridSpan w:val="2"/>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jc w:val="both"/>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100</w:t>
            </w:r>
          </w:p>
        </w:tc>
        <w:tc>
          <w:tcPr>
            <w:tcW w:w="839" w:type="dxa"/>
            <w:gridSpan w:val="2"/>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jc w:val="both"/>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15</w:t>
            </w:r>
          </w:p>
        </w:tc>
        <w:tc>
          <w:tcPr>
            <w:tcW w:w="566" w:type="dxa"/>
            <w:gridSpan w:val="2"/>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jc w:val="both"/>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15</w:t>
            </w:r>
          </w:p>
        </w:tc>
        <w:tc>
          <w:tcPr>
            <w:tcW w:w="1723" w:type="dxa"/>
            <w:gridSpan w:val="5"/>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jc w:val="both"/>
              <w:rPr>
                <w:rFonts w:hint="default" w:ascii="Times New Roman" w:hAnsi="Times New Roman" w:eastAsia="方正仿宋_GBK" w:cs="Times New Roman"/>
                <w:i w:val="0"/>
                <w:color w:val="000000"/>
                <w:sz w:val="18"/>
                <w:szCs w:val="18"/>
                <w:u w:val="none"/>
              </w:rPr>
            </w:pPr>
          </w:p>
        </w:tc>
      </w:tr>
      <w:tr>
        <w:tblPrEx>
          <w:tblLayout w:type="fixed"/>
          <w:tblCellMar>
            <w:top w:w="0" w:type="dxa"/>
            <w:left w:w="0" w:type="dxa"/>
            <w:bottom w:w="0" w:type="dxa"/>
            <w:right w:w="0" w:type="dxa"/>
          </w:tblCellMar>
        </w:tblPrEx>
        <w:trPr>
          <w:gridBefore w:val="1"/>
          <w:gridAfter w:val="1"/>
          <w:wBefore w:w="1" w:type="dxa"/>
          <w:wAfter w:w="14" w:type="dxa"/>
          <w:trHeight w:val="500" w:hRule="atLeast"/>
          <w:jc w:val="center"/>
        </w:trPr>
        <w:tc>
          <w:tcPr>
            <w:tcW w:w="715"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jc w:val="both"/>
              <w:rPr>
                <w:rFonts w:hint="default" w:ascii="Times New Roman" w:hAnsi="Times New Roman" w:eastAsia="方正黑体_GBK" w:cs="Times New Roman"/>
                <w:i w:val="0"/>
                <w:color w:val="000000"/>
                <w:sz w:val="20"/>
                <w:szCs w:val="20"/>
                <w:u w:val="none"/>
              </w:rPr>
            </w:pPr>
          </w:p>
        </w:tc>
        <w:tc>
          <w:tcPr>
            <w:tcW w:w="150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jc w:val="both"/>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各渠道发布用工信息</w:t>
            </w:r>
          </w:p>
        </w:tc>
        <w:tc>
          <w:tcPr>
            <w:tcW w:w="523" w:type="dxa"/>
            <w:gridSpan w:val="2"/>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jc w:val="both"/>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条</w:t>
            </w:r>
          </w:p>
        </w:tc>
        <w:tc>
          <w:tcPr>
            <w:tcW w:w="48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jc w:val="both"/>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w:t>
            </w:r>
          </w:p>
        </w:tc>
        <w:tc>
          <w:tcPr>
            <w:tcW w:w="692"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jc w:val="both"/>
              <w:textAlignment w:val="center"/>
              <w:rPr>
                <w:rFonts w:hint="default" w:ascii="Times New Roman" w:hAnsi="Times New Roman" w:eastAsia="宋体" w:cs="Times New Roman"/>
                <w:i w:val="0"/>
                <w:color w:val="000000"/>
                <w:sz w:val="22"/>
                <w:szCs w:val="22"/>
                <w:u w:val="none"/>
              </w:rPr>
            </w:pPr>
            <w:r>
              <w:rPr>
                <w:rFonts w:hint="default" w:ascii="Times New Roman" w:hAnsi="Times New Roman" w:cs="Times New Roman"/>
                <w:i w:val="0"/>
                <w:color w:val="000000"/>
                <w:kern w:val="0"/>
                <w:sz w:val="22"/>
                <w:szCs w:val="22"/>
                <w:u w:val="none"/>
                <w:lang w:val="en-US" w:eastAsia="zh-CN" w:bidi="ar"/>
              </w:rPr>
              <w:t>1</w:t>
            </w:r>
            <w:r>
              <w:rPr>
                <w:rFonts w:hint="default" w:ascii="Times New Roman" w:hAnsi="Times New Roman" w:eastAsia="宋体" w:cs="Times New Roman"/>
                <w:i w:val="0"/>
                <w:color w:val="000000"/>
                <w:kern w:val="0"/>
                <w:sz w:val="22"/>
                <w:szCs w:val="22"/>
                <w:u w:val="none"/>
                <w:lang w:val="en-US" w:eastAsia="zh-CN" w:bidi="ar"/>
              </w:rPr>
              <w:t>800</w:t>
            </w:r>
          </w:p>
        </w:tc>
        <w:tc>
          <w:tcPr>
            <w:tcW w:w="692"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jc w:val="both"/>
              <w:textAlignment w:val="center"/>
              <w:rPr>
                <w:rFonts w:hint="default" w:ascii="Times New Roman" w:hAnsi="Times New Roman" w:eastAsia="宋体" w:cs="Times New Roman"/>
                <w:i w:val="0"/>
                <w:color w:val="000000"/>
                <w:sz w:val="22"/>
                <w:szCs w:val="22"/>
                <w:u w:val="none"/>
                <w:lang w:val="en-US"/>
              </w:rPr>
            </w:pPr>
            <w:r>
              <w:rPr>
                <w:rFonts w:hint="default" w:ascii="Times New Roman" w:hAnsi="Times New Roman" w:cs="Times New Roman"/>
                <w:i w:val="0"/>
                <w:color w:val="000000"/>
                <w:kern w:val="0"/>
                <w:sz w:val="22"/>
                <w:szCs w:val="22"/>
                <w:u w:val="none"/>
                <w:lang w:val="en-US" w:eastAsia="zh-CN" w:bidi="ar"/>
              </w:rPr>
              <w:t>1800</w:t>
            </w:r>
          </w:p>
        </w:tc>
        <w:tc>
          <w:tcPr>
            <w:tcW w:w="699" w:type="dxa"/>
            <w:gridSpan w:val="2"/>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jc w:val="both"/>
              <w:textAlignment w:val="center"/>
              <w:rPr>
                <w:rFonts w:hint="default" w:ascii="Times New Roman" w:hAnsi="Times New Roman" w:eastAsia="宋体" w:cs="Times New Roman"/>
                <w:i w:val="0"/>
                <w:color w:val="000000"/>
                <w:sz w:val="22"/>
                <w:szCs w:val="22"/>
                <w:u w:val="none"/>
                <w:lang w:val="en-US"/>
              </w:rPr>
            </w:pPr>
            <w:r>
              <w:rPr>
                <w:rFonts w:hint="default" w:ascii="Times New Roman" w:hAnsi="Times New Roman" w:cs="Times New Roman"/>
                <w:i w:val="0"/>
                <w:color w:val="000000"/>
                <w:kern w:val="0"/>
                <w:sz w:val="22"/>
                <w:szCs w:val="22"/>
                <w:u w:val="none"/>
                <w:lang w:val="en-US" w:eastAsia="zh-CN" w:bidi="ar"/>
              </w:rPr>
              <w:t>0.00</w:t>
            </w:r>
          </w:p>
        </w:tc>
        <w:tc>
          <w:tcPr>
            <w:tcW w:w="701" w:type="dxa"/>
            <w:gridSpan w:val="2"/>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jc w:val="both"/>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100</w:t>
            </w:r>
          </w:p>
        </w:tc>
        <w:tc>
          <w:tcPr>
            <w:tcW w:w="839" w:type="dxa"/>
            <w:gridSpan w:val="2"/>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jc w:val="both"/>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w:t>
            </w:r>
          </w:p>
        </w:tc>
        <w:tc>
          <w:tcPr>
            <w:tcW w:w="566" w:type="dxa"/>
            <w:gridSpan w:val="2"/>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jc w:val="both"/>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w:t>
            </w:r>
          </w:p>
        </w:tc>
        <w:tc>
          <w:tcPr>
            <w:tcW w:w="1723" w:type="dxa"/>
            <w:gridSpan w:val="5"/>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jc w:val="both"/>
              <w:rPr>
                <w:rFonts w:hint="default" w:ascii="Times New Roman" w:hAnsi="Times New Roman" w:eastAsia="方正仿宋_GBK" w:cs="Times New Roman"/>
                <w:i w:val="0"/>
                <w:color w:val="000000"/>
                <w:sz w:val="18"/>
                <w:szCs w:val="18"/>
                <w:u w:val="none"/>
              </w:rPr>
            </w:pPr>
          </w:p>
        </w:tc>
      </w:tr>
      <w:tr>
        <w:tblPrEx>
          <w:tblLayout w:type="fixed"/>
          <w:tblCellMar>
            <w:top w:w="0" w:type="dxa"/>
            <w:left w:w="0" w:type="dxa"/>
            <w:bottom w:w="0" w:type="dxa"/>
            <w:right w:w="0" w:type="dxa"/>
          </w:tblCellMar>
        </w:tblPrEx>
        <w:trPr>
          <w:gridBefore w:val="1"/>
          <w:gridAfter w:val="1"/>
          <w:wBefore w:w="1" w:type="dxa"/>
          <w:wAfter w:w="14" w:type="dxa"/>
          <w:trHeight w:val="500" w:hRule="atLeast"/>
          <w:jc w:val="center"/>
        </w:trPr>
        <w:tc>
          <w:tcPr>
            <w:tcW w:w="715"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jc w:val="both"/>
              <w:rPr>
                <w:rFonts w:hint="default" w:ascii="Times New Roman" w:hAnsi="Times New Roman" w:eastAsia="方正黑体_GBK" w:cs="Times New Roman"/>
                <w:i w:val="0"/>
                <w:color w:val="000000"/>
                <w:sz w:val="20"/>
                <w:szCs w:val="20"/>
                <w:u w:val="none"/>
              </w:rPr>
            </w:pPr>
          </w:p>
        </w:tc>
        <w:tc>
          <w:tcPr>
            <w:tcW w:w="150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jc w:val="both"/>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接收流动人员人事档案</w:t>
            </w:r>
          </w:p>
        </w:tc>
        <w:tc>
          <w:tcPr>
            <w:tcW w:w="523" w:type="dxa"/>
            <w:gridSpan w:val="2"/>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jc w:val="both"/>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份</w:t>
            </w:r>
          </w:p>
        </w:tc>
        <w:tc>
          <w:tcPr>
            <w:tcW w:w="48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jc w:val="both"/>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w:t>
            </w:r>
          </w:p>
        </w:tc>
        <w:tc>
          <w:tcPr>
            <w:tcW w:w="692"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jc w:val="both"/>
              <w:textAlignment w:val="center"/>
              <w:rPr>
                <w:rFonts w:hint="default" w:ascii="Times New Roman" w:hAnsi="Times New Roman" w:eastAsia="宋体" w:cs="Times New Roman"/>
                <w:i w:val="0"/>
                <w:color w:val="000000"/>
                <w:sz w:val="22"/>
                <w:szCs w:val="22"/>
                <w:u w:val="none"/>
                <w:lang w:val="en-US"/>
              </w:rPr>
            </w:pPr>
            <w:r>
              <w:rPr>
                <w:rFonts w:hint="default" w:ascii="Times New Roman" w:hAnsi="Times New Roman" w:cs="Times New Roman"/>
                <w:i w:val="0"/>
                <w:color w:val="000000"/>
                <w:kern w:val="0"/>
                <w:sz w:val="22"/>
                <w:szCs w:val="22"/>
                <w:u w:val="none"/>
                <w:lang w:val="en-US" w:eastAsia="zh-CN" w:bidi="ar"/>
              </w:rPr>
              <w:t>4100</w:t>
            </w:r>
          </w:p>
        </w:tc>
        <w:tc>
          <w:tcPr>
            <w:tcW w:w="692"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jc w:val="both"/>
              <w:textAlignment w:val="center"/>
              <w:rPr>
                <w:rFonts w:hint="default" w:ascii="Times New Roman" w:hAnsi="Times New Roman" w:eastAsia="宋体" w:cs="Times New Roman"/>
                <w:i w:val="0"/>
                <w:color w:val="000000"/>
                <w:sz w:val="22"/>
                <w:szCs w:val="22"/>
                <w:u w:val="none"/>
                <w:lang w:val="en-US"/>
              </w:rPr>
            </w:pPr>
            <w:r>
              <w:rPr>
                <w:rFonts w:hint="default" w:ascii="Times New Roman" w:hAnsi="Times New Roman" w:cs="Times New Roman"/>
                <w:i w:val="0"/>
                <w:color w:val="000000"/>
                <w:kern w:val="0"/>
                <w:sz w:val="22"/>
                <w:szCs w:val="22"/>
                <w:u w:val="none"/>
                <w:lang w:val="en-US" w:eastAsia="zh-CN" w:bidi="ar"/>
              </w:rPr>
              <w:t>4109</w:t>
            </w:r>
          </w:p>
        </w:tc>
        <w:tc>
          <w:tcPr>
            <w:tcW w:w="699" w:type="dxa"/>
            <w:gridSpan w:val="2"/>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jc w:val="both"/>
              <w:textAlignment w:val="center"/>
              <w:rPr>
                <w:rFonts w:hint="default" w:ascii="Times New Roman" w:hAnsi="Times New Roman" w:eastAsia="宋体" w:cs="Times New Roman"/>
                <w:i w:val="0"/>
                <w:color w:val="000000"/>
                <w:sz w:val="22"/>
                <w:szCs w:val="22"/>
                <w:u w:val="none"/>
                <w:lang w:val="en-US"/>
              </w:rPr>
            </w:pPr>
            <w:r>
              <w:rPr>
                <w:rFonts w:hint="default" w:ascii="Times New Roman" w:hAnsi="Times New Roman" w:cs="Times New Roman"/>
                <w:i w:val="0"/>
                <w:color w:val="000000"/>
                <w:kern w:val="0"/>
                <w:sz w:val="22"/>
                <w:szCs w:val="22"/>
                <w:u w:val="none"/>
                <w:lang w:val="en-US" w:eastAsia="zh-CN" w:bidi="ar"/>
              </w:rPr>
              <w:t>0.22</w:t>
            </w:r>
          </w:p>
        </w:tc>
        <w:tc>
          <w:tcPr>
            <w:tcW w:w="701" w:type="dxa"/>
            <w:gridSpan w:val="2"/>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jc w:val="both"/>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100</w:t>
            </w:r>
          </w:p>
        </w:tc>
        <w:tc>
          <w:tcPr>
            <w:tcW w:w="839" w:type="dxa"/>
            <w:gridSpan w:val="2"/>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jc w:val="both"/>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w:t>
            </w:r>
          </w:p>
        </w:tc>
        <w:tc>
          <w:tcPr>
            <w:tcW w:w="566" w:type="dxa"/>
            <w:gridSpan w:val="2"/>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jc w:val="both"/>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w:t>
            </w:r>
          </w:p>
        </w:tc>
        <w:tc>
          <w:tcPr>
            <w:tcW w:w="1723" w:type="dxa"/>
            <w:gridSpan w:val="5"/>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jc w:val="both"/>
              <w:textAlignment w:val="center"/>
              <w:rPr>
                <w:rFonts w:hint="default" w:ascii="Times New Roman" w:hAnsi="Times New Roman" w:eastAsia="方正仿宋_GBK" w:cs="Times New Roman"/>
                <w:i w:val="0"/>
                <w:color w:val="000000"/>
                <w:sz w:val="18"/>
                <w:szCs w:val="18"/>
                <w:u w:val="none"/>
              </w:rPr>
            </w:pPr>
          </w:p>
        </w:tc>
      </w:tr>
      <w:tr>
        <w:tblPrEx>
          <w:tblLayout w:type="fixed"/>
          <w:tblCellMar>
            <w:top w:w="0" w:type="dxa"/>
            <w:left w:w="0" w:type="dxa"/>
            <w:bottom w:w="0" w:type="dxa"/>
            <w:right w:w="0" w:type="dxa"/>
          </w:tblCellMar>
        </w:tblPrEx>
        <w:trPr>
          <w:gridBefore w:val="1"/>
          <w:gridAfter w:val="1"/>
          <w:wBefore w:w="1" w:type="dxa"/>
          <w:wAfter w:w="14" w:type="dxa"/>
          <w:trHeight w:val="500" w:hRule="atLeast"/>
          <w:jc w:val="center"/>
        </w:trPr>
        <w:tc>
          <w:tcPr>
            <w:tcW w:w="715"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jc w:val="both"/>
              <w:rPr>
                <w:rFonts w:hint="default" w:ascii="Times New Roman" w:hAnsi="Times New Roman" w:eastAsia="方正黑体_GBK" w:cs="Times New Roman"/>
                <w:i w:val="0"/>
                <w:color w:val="000000"/>
                <w:sz w:val="20"/>
                <w:szCs w:val="20"/>
                <w:u w:val="none"/>
              </w:rPr>
            </w:pPr>
          </w:p>
        </w:tc>
        <w:tc>
          <w:tcPr>
            <w:tcW w:w="150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jc w:val="both"/>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就业困难人员实现就业人数</w:t>
            </w:r>
          </w:p>
        </w:tc>
        <w:tc>
          <w:tcPr>
            <w:tcW w:w="523" w:type="dxa"/>
            <w:gridSpan w:val="2"/>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jc w:val="both"/>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人</w:t>
            </w:r>
          </w:p>
        </w:tc>
        <w:tc>
          <w:tcPr>
            <w:tcW w:w="48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jc w:val="both"/>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w:t>
            </w:r>
          </w:p>
        </w:tc>
        <w:tc>
          <w:tcPr>
            <w:tcW w:w="692"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jc w:val="both"/>
              <w:textAlignment w:val="center"/>
              <w:rPr>
                <w:rFonts w:hint="default" w:ascii="Times New Roman" w:hAnsi="Times New Roman" w:eastAsia="宋体" w:cs="Times New Roman"/>
                <w:i w:val="0"/>
                <w:color w:val="000000"/>
                <w:sz w:val="22"/>
                <w:szCs w:val="22"/>
                <w:u w:val="none"/>
                <w:lang w:val="en-US"/>
              </w:rPr>
            </w:pPr>
            <w:r>
              <w:rPr>
                <w:rFonts w:hint="default" w:ascii="Times New Roman" w:hAnsi="Times New Roman" w:cs="Times New Roman"/>
                <w:i w:val="0"/>
                <w:color w:val="000000"/>
                <w:kern w:val="0"/>
                <w:sz w:val="22"/>
                <w:szCs w:val="22"/>
                <w:u w:val="none"/>
                <w:lang w:val="en-US" w:eastAsia="zh-CN" w:bidi="ar"/>
              </w:rPr>
              <w:t>1200</w:t>
            </w:r>
          </w:p>
        </w:tc>
        <w:tc>
          <w:tcPr>
            <w:tcW w:w="692"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jc w:val="both"/>
              <w:textAlignment w:val="center"/>
              <w:rPr>
                <w:rFonts w:hint="default" w:ascii="Times New Roman" w:hAnsi="Times New Roman" w:eastAsia="宋体" w:cs="Times New Roman"/>
                <w:i w:val="0"/>
                <w:color w:val="000000"/>
                <w:sz w:val="22"/>
                <w:szCs w:val="22"/>
                <w:u w:val="none"/>
                <w:lang w:val="en-US"/>
              </w:rPr>
            </w:pPr>
            <w:r>
              <w:rPr>
                <w:rFonts w:hint="default" w:ascii="Times New Roman" w:hAnsi="Times New Roman" w:cs="Times New Roman"/>
                <w:i w:val="0"/>
                <w:color w:val="000000"/>
                <w:kern w:val="0"/>
                <w:sz w:val="22"/>
                <w:szCs w:val="22"/>
                <w:u w:val="none"/>
                <w:lang w:val="en-US" w:eastAsia="zh-CN" w:bidi="ar"/>
              </w:rPr>
              <w:t>1273</w:t>
            </w:r>
          </w:p>
        </w:tc>
        <w:tc>
          <w:tcPr>
            <w:tcW w:w="699" w:type="dxa"/>
            <w:gridSpan w:val="2"/>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jc w:val="both"/>
              <w:textAlignment w:val="center"/>
              <w:rPr>
                <w:rFonts w:hint="default" w:ascii="Times New Roman" w:hAnsi="Times New Roman" w:eastAsia="宋体" w:cs="Times New Roman"/>
                <w:i w:val="0"/>
                <w:color w:val="000000"/>
                <w:sz w:val="22"/>
                <w:szCs w:val="22"/>
                <w:u w:val="none"/>
                <w:lang w:val="en-US"/>
              </w:rPr>
            </w:pPr>
            <w:r>
              <w:rPr>
                <w:rFonts w:hint="default" w:ascii="Times New Roman" w:hAnsi="Times New Roman" w:cs="Times New Roman"/>
                <w:i w:val="0"/>
                <w:color w:val="000000"/>
                <w:kern w:val="0"/>
                <w:sz w:val="22"/>
                <w:szCs w:val="22"/>
                <w:u w:val="none"/>
                <w:lang w:val="en-US" w:eastAsia="zh-CN" w:bidi="ar"/>
              </w:rPr>
              <w:t>6.08</w:t>
            </w:r>
          </w:p>
        </w:tc>
        <w:tc>
          <w:tcPr>
            <w:tcW w:w="701" w:type="dxa"/>
            <w:gridSpan w:val="2"/>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jc w:val="both"/>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100</w:t>
            </w:r>
          </w:p>
        </w:tc>
        <w:tc>
          <w:tcPr>
            <w:tcW w:w="839" w:type="dxa"/>
            <w:gridSpan w:val="2"/>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jc w:val="both"/>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w:t>
            </w:r>
          </w:p>
        </w:tc>
        <w:tc>
          <w:tcPr>
            <w:tcW w:w="566" w:type="dxa"/>
            <w:gridSpan w:val="2"/>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jc w:val="both"/>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w:t>
            </w:r>
          </w:p>
        </w:tc>
        <w:tc>
          <w:tcPr>
            <w:tcW w:w="1723" w:type="dxa"/>
            <w:gridSpan w:val="5"/>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jc w:val="both"/>
              <w:textAlignment w:val="center"/>
              <w:rPr>
                <w:rFonts w:hint="default" w:ascii="Times New Roman" w:hAnsi="Times New Roman" w:eastAsia="方正仿宋_GBK" w:cs="Times New Roman"/>
                <w:i w:val="0"/>
                <w:color w:val="000000"/>
                <w:sz w:val="18"/>
                <w:szCs w:val="18"/>
                <w:u w:val="none"/>
              </w:rPr>
            </w:pPr>
          </w:p>
        </w:tc>
      </w:tr>
      <w:tr>
        <w:tblPrEx>
          <w:tblLayout w:type="fixed"/>
          <w:tblCellMar>
            <w:top w:w="0" w:type="dxa"/>
            <w:left w:w="0" w:type="dxa"/>
            <w:bottom w:w="0" w:type="dxa"/>
            <w:right w:w="0" w:type="dxa"/>
          </w:tblCellMar>
        </w:tblPrEx>
        <w:trPr>
          <w:gridBefore w:val="1"/>
          <w:gridAfter w:val="1"/>
          <w:wBefore w:w="1" w:type="dxa"/>
          <w:wAfter w:w="14" w:type="dxa"/>
          <w:trHeight w:val="500" w:hRule="atLeast"/>
          <w:jc w:val="center"/>
        </w:trPr>
        <w:tc>
          <w:tcPr>
            <w:tcW w:w="715"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jc w:val="both"/>
              <w:rPr>
                <w:rFonts w:hint="default" w:ascii="Times New Roman" w:hAnsi="Times New Roman" w:eastAsia="方正黑体_GBK" w:cs="Times New Roman"/>
                <w:i w:val="0"/>
                <w:color w:val="000000"/>
                <w:sz w:val="20"/>
                <w:szCs w:val="20"/>
                <w:u w:val="none"/>
              </w:rPr>
            </w:pPr>
          </w:p>
        </w:tc>
        <w:tc>
          <w:tcPr>
            <w:tcW w:w="150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jc w:val="both"/>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新增失业保险参保人数</w:t>
            </w:r>
          </w:p>
        </w:tc>
        <w:tc>
          <w:tcPr>
            <w:tcW w:w="523" w:type="dxa"/>
            <w:gridSpan w:val="2"/>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jc w:val="both"/>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人</w:t>
            </w:r>
          </w:p>
        </w:tc>
        <w:tc>
          <w:tcPr>
            <w:tcW w:w="48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jc w:val="both"/>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w:t>
            </w:r>
          </w:p>
        </w:tc>
        <w:tc>
          <w:tcPr>
            <w:tcW w:w="692"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jc w:val="both"/>
              <w:textAlignment w:val="center"/>
              <w:rPr>
                <w:rFonts w:hint="default" w:ascii="Times New Roman" w:hAnsi="Times New Roman" w:eastAsia="宋体" w:cs="Times New Roman"/>
                <w:i w:val="0"/>
                <w:color w:val="000000"/>
                <w:sz w:val="22"/>
                <w:szCs w:val="22"/>
                <w:u w:val="none"/>
                <w:lang w:val="en-US"/>
              </w:rPr>
            </w:pPr>
            <w:r>
              <w:rPr>
                <w:rFonts w:hint="default" w:ascii="Times New Roman" w:hAnsi="Times New Roman" w:cs="Times New Roman"/>
                <w:i w:val="0"/>
                <w:color w:val="000000"/>
                <w:kern w:val="0"/>
                <w:sz w:val="22"/>
                <w:szCs w:val="22"/>
                <w:u w:val="none"/>
                <w:lang w:val="en-US" w:eastAsia="zh-CN" w:bidi="ar"/>
              </w:rPr>
              <w:t>2900</w:t>
            </w:r>
          </w:p>
        </w:tc>
        <w:tc>
          <w:tcPr>
            <w:tcW w:w="692"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jc w:val="both"/>
              <w:textAlignment w:val="center"/>
              <w:rPr>
                <w:rFonts w:hint="default" w:ascii="Times New Roman" w:hAnsi="Times New Roman" w:eastAsia="宋体" w:cs="Times New Roman"/>
                <w:i w:val="0"/>
                <w:color w:val="000000"/>
                <w:sz w:val="22"/>
                <w:szCs w:val="22"/>
                <w:u w:val="none"/>
                <w:lang w:val="en-US"/>
              </w:rPr>
            </w:pPr>
            <w:r>
              <w:rPr>
                <w:rFonts w:hint="default" w:ascii="Times New Roman" w:hAnsi="Times New Roman" w:cs="Times New Roman"/>
                <w:i w:val="0"/>
                <w:color w:val="000000"/>
                <w:kern w:val="0"/>
                <w:sz w:val="22"/>
                <w:szCs w:val="22"/>
                <w:u w:val="none"/>
                <w:lang w:val="en-US" w:eastAsia="zh-CN" w:bidi="ar"/>
              </w:rPr>
              <w:t>2914</w:t>
            </w:r>
          </w:p>
        </w:tc>
        <w:tc>
          <w:tcPr>
            <w:tcW w:w="699" w:type="dxa"/>
            <w:gridSpan w:val="2"/>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jc w:val="both"/>
              <w:textAlignment w:val="center"/>
              <w:rPr>
                <w:rFonts w:hint="default" w:ascii="Times New Roman" w:hAnsi="Times New Roman" w:eastAsia="宋体" w:cs="Times New Roman"/>
                <w:i w:val="0"/>
                <w:color w:val="000000"/>
                <w:sz w:val="22"/>
                <w:szCs w:val="22"/>
                <w:u w:val="none"/>
                <w:lang w:val="en-US"/>
              </w:rPr>
            </w:pPr>
            <w:r>
              <w:rPr>
                <w:rFonts w:hint="default" w:ascii="Times New Roman" w:hAnsi="Times New Roman" w:cs="Times New Roman"/>
                <w:i w:val="0"/>
                <w:color w:val="000000"/>
                <w:kern w:val="0"/>
                <w:sz w:val="22"/>
                <w:szCs w:val="22"/>
                <w:u w:val="none"/>
                <w:lang w:val="en-US" w:eastAsia="zh-CN" w:bidi="ar"/>
              </w:rPr>
              <w:t>0.48</w:t>
            </w:r>
          </w:p>
        </w:tc>
        <w:tc>
          <w:tcPr>
            <w:tcW w:w="701" w:type="dxa"/>
            <w:gridSpan w:val="2"/>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jc w:val="both"/>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100</w:t>
            </w:r>
          </w:p>
        </w:tc>
        <w:tc>
          <w:tcPr>
            <w:tcW w:w="839" w:type="dxa"/>
            <w:gridSpan w:val="2"/>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jc w:val="both"/>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w:t>
            </w:r>
          </w:p>
        </w:tc>
        <w:tc>
          <w:tcPr>
            <w:tcW w:w="566" w:type="dxa"/>
            <w:gridSpan w:val="2"/>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jc w:val="both"/>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w:t>
            </w:r>
          </w:p>
        </w:tc>
        <w:tc>
          <w:tcPr>
            <w:tcW w:w="1723" w:type="dxa"/>
            <w:gridSpan w:val="5"/>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jc w:val="both"/>
              <w:textAlignment w:val="center"/>
              <w:rPr>
                <w:rFonts w:hint="default" w:ascii="Times New Roman" w:hAnsi="Times New Roman" w:eastAsia="方正仿宋_GBK" w:cs="Times New Roman"/>
                <w:i w:val="0"/>
                <w:color w:val="000000"/>
                <w:sz w:val="18"/>
                <w:szCs w:val="18"/>
                <w:u w:val="none"/>
              </w:rPr>
            </w:pPr>
          </w:p>
        </w:tc>
      </w:tr>
      <w:tr>
        <w:tblPrEx>
          <w:tblLayout w:type="fixed"/>
          <w:tblCellMar>
            <w:top w:w="0" w:type="dxa"/>
            <w:left w:w="0" w:type="dxa"/>
            <w:bottom w:w="0" w:type="dxa"/>
            <w:right w:w="0" w:type="dxa"/>
          </w:tblCellMar>
        </w:tblPrEx>
        <w:trPr>
          <w:gridBefore w:val="1"/>
          <w:gridAfter w:val="1"/>
          <w:wBefore w:w="1" w:type="dxa"/>
          <w:wAfter w:w="14" w:type="dxa"/>
          <w:trHeight w:val="500" w:hRule="atLeast"/>
          <w:jc w:val="center"/>
        </w:trPr>
        <w:tc>
          <w:tcPr>
            <w:tcW w:w="715"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jc w:val="both"/>
              <w:rPr>
                <w:rFonts w:hint="default" w:ascii="Times New Roman" w:hAnsi="Times New Roman" w:eastAsia="方正黑体_GBK" w:cs="Times New Roman"/>
                <w:i w:val="0"/>
                <w:color w:val="000000"/>
                <w:sz w:val="20"/>
                <w:szCs w:val="20"/>
                <w:u w:val="none"/>
              </w:rPr>
            </w:pPr>
          </w:p>
        </w:tc>
        <w:tc>
          <w:tcPr>
            <w:tcW w:w="150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jc w:val="both"/>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转移农民工就业人数</w:t>
            </w:r>
          </w:p>
        </w:tc>
        <w:tc>
          <w:tcPr>
            <w:tcW w:w="523" w:type="dxa"/>
            <w:gridSpan w:val="2"/>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jc w:val="both"/>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人</w:t>
            </w:r>
          </w:p>
        </w:tc>
        <w:tc>
          <w:tcPr>
            <w:tcW w:w="48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jc w:val="both"/>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w:t>
            </w:r>
          </w:p>
        </w:tc>
        <w:tc>
          <w:tcPr>
            <w:tcW w:w="692"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jc w:val="both"/>
              <w:textAlignment w:val="center"/>
              <w:rPr>
                <w:rFonts w:hint="default" w:ascii="Times New Roman" w:hAnsi="Times New Roman" w:eastAsia="宋体" w:cs="Times New Roman"/>
                <w:i w:val="0"/>
                <w:color w:val="000000"/>
                <w:sz w:val="22"/>
                <w:szCs w:val="22"/>
                <w:u w:val="none"/>
                <w:lang w:val="en-US"/>
              </w:rPr>
            </w:pPr>
            <w:r>
              <w:rPr>
                <w:rFonts w:hint="default" w:ascii="Times New Roman" w:hAnsi="Times New Roman" w:cs="Times New Roman"/>
                <w:i w:val="0"/>
                <w:color w:val="000000"/>
                <w:kern w:val="0"/>
                <w:sz w:val="22"/>
                <w:szCs w:val="22"/>
                <w:u w:val="none"/>
                <w:lang w:val="en-US" w:eastAsia="zh-CN" w:bidi="ar"/>
              </w:rPr>
              <w:t>228700</w:t>
            </w:r>
          </w:p>
        </w:tc>
        <w:tc>
          <w:tcPr>
            <w:tcW w:w="692"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jc w:val="both"/>
              <w:textAlignment w:val="center"/>
              <w:rPr>
                <w:rFonts w:hint="default" w:ascii="Times New Roman" w:hAnsi="Times New Roman" w:eastAsia="宋体" w:cs="Times New Roman"/>
                <w:i w:val="0"/>
                <w:color w:val="000000"/>
                <w:sz w:val="22"/>
                <w:szCs w:val="22"/>
                <w:u w:val="none"/>
                <w:lang w:val="en-US"/>
              </w:rPr>
            </w:pPr>
            <w:r>
              <w:rPr>
                <w:rFonts w:hint="default" w:ascii="Times New Roman" w:hAnsi="Times New Roman" w:cs="Times New Roman"/>
                <w:i w:val="0"/>
                <w:color w:val="000000"/>
                <w:kern w:val="0"/>
                <w:sz w:val="22"/>
                <w:szCs w:val="22"/>
                <w:u w:val="none"/>
                <w:lang w:val="en-US" w:eastAsia="zh-CN" w:bidi="ar"/>
              </w:rPr>
              <w:t>228700</w:t>
            </w:r>
          </w:p>
        </w:tc>
        <w:tc>
          <w:tcPr>
            <w:tcW w:w="699" w:type="dxa"/>
            <w:gridSpan w:val="2"/>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jc w:val="both"/>
              <w:textAlignment w:val="center"/>
              <w:rPr>
                <w:rFonts w:hint="default" w:ascii="Times New Roman" w:hAnsi="Times New Roman" w:eastAsia="宋体" w:cs="Times New Roman"/>
                <w:i w:val="0"/>
                <w:color w:val="000000"/>
                <w:sz w:val="22"/>
                <w:szCs w:val="22"/>
                <w:u w:val="none"/>
                <w:lang w:val="en-US"/>
              </w:rPr>
            </w:pPr>
            <w:r>
              <w:rPr>
                <w:rFonts w:hint="default" w:ascii="Times New Roman" w:hAnsi="Times New Roman" w:cs="Times New Roman"/>
                <w:i w:val="0"/>
                <w:color w:val="000000"/>
                <w:kern w:val="0"/>
                <w:sz w:val="22"/>
                <w:szCs w:val="22"/>
                <w:u w:val="none"/>
                <w:lang w:val="en-US" w:eastAsia="zh-CN" w:bidi="ar"/>
              </w:rPr>
              <w:t>0.00</w:t>
            </w:r>
          </w:p>
        </w:tc>
        <w:tc>
          <w:tcPr>
            <w:tcW w:w="701" w:type="dxa"/>
            <w:gridSpan w:val="2"/>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jc w:val="both"/>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100</w:t>
            </w:r>
          </w:p>
        </w:tc>
        <w:tc>
          <w:tcPr>
            <w:tcW w:w="839" w:type="dxa"/>
            <w:gridSpan w:val="2"/>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jc w:val="both"/>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w:t>
            </w:r>
            <w:r>
              <w:rPr>
                <w:rFonts w:hint="default" w:ascii="Times New Roman" w:hAnsi="Times New Roman" w:cs="Times New Roman"/>
                <w:i w:val="0"/>
                <w:color w:val="000000"/>
                <w:kern w:val="0"/>
                <w:sz w:val="22"/>
                <w:szCs w:val="22"/>
                <w:u w:val="none"/>
                <w:lang w:val="en-US" w:eastAsia="zh-CN" w:bidi="ar"/>
              </w:rPr>
              <w:t>5</w:t>
            </w:r>
          </w:p>
        </w:tc>
        <w:tc>
          <w:tcPr>
            <w:tcW w:w="566" w:type="dxa"/>
            <w:gridSpan w:val="2"/>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jc w:val="both"/>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w:t>
            </w:r>
            <w:r>
              <w:rPr>
                <w:rFonts w:hint="default" w:ascii="Times New Roman" w:hAnsi="Times New Roman" w:cs="Times New Roman"/>
                <w:i w:val="0"/>
                <w:color w:val="000000"/>
                <w:kern w:val="0"/>
                <w:sz w:val="22"/>
                <w:szCs w:val="22"/>
                <w:u w:val="none"/>
                <w:lang w:val="en-US" w:eastAsia="zh-CN" w:bidi="ar"/>
              </w:rPr>
              <w:t>5</w:t>
            </w:r>
          </w:p>
        </w:tc>
        <w:tc>
          <w:tcPr>
            <w:tcW w:w="1723" w:type="dxa"/>
            <w:gridSpan w:val="5"/>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jc w:val="both"/>
              <w:rPr>
                <w:rFonts w:hint="default" w:ascii="Times New Roman" w:hAnsi="Times New Roman" w:eastAsia="方正仿宋_GBK" w:cs="Times New Roman"/>
                <w:i w:val="0"/>
                <w:color w:val="000000"/>
                <w:sz w:val="18"/>
                <w:szCs w:val="18"/>
                <w:u w:val="none"/>
              </w:rPr>
            </w:pPr>
          </w:p>
        </w:tc>
      </w:tr>
      <w:tr>
        <w:tblPrEx>
          <w:tblLayout w:type="fixed"/>
          <w:tblCellMar>
            <w:top w:w="0" w:type="dxa"/>
            <w:left w:w="0" w:type="dxa"/>
            <w:bottom w:w="0" w:type="dxa"/>
            <w:right w:w="0" w:type="dxa"/>
          </w:tblCellMar>
        </w:tblPrEx>
        <w:trPr>
          <w:gridBefore w:val="1"/>
          <w:gridAfter w:val="1"/>
          <w:wBefore w:w="1" w:type="dxa"/>
          <w:wAfter w:w="14" w:type="dxa"/>
          <w:trHeight w:val="500" w:hRule="atLeast"/>
          <w:jc w:val="center"/>
        </w:trPr>
        <w:tc>
          <w:tcPr>
            <w:tcW w:w="715"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jc w:val="both"/>
              <w:rPr>
                <w:rFonts w:hint="default" w:ascii="Times New Roman" w:hAnsi="Times New Roman" w:eastAsia="方正黑体_GBK" w:cs="Times New Roman"/>
                <w:i w:val="0"/>
                <w:color w:val="000000"/>
                <w:sz w:val="20"/>
                <w:szCs w:val="20"/>
                <w:u w:val="none"/>
              </w:rPr>
            </w:pPr>
          </w:p>
        </w:tc>
        <w:tc>
          <w:tcPr>
            <w:tcW w:w="150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jc w:val="both"/>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创业担保贷款贴息资金足额拨付率</w:t>
            </w:r>
          </w:p>
        </w:tc>
        <w:tc>
          <w:tcPr>
            <w:tcW w:w="523" w:type="dxa"/>
            <w:gridSpan w:val="2"/>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jc w:val="both"/>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w:t>
            </w:r>
          </w:p>
        </w:tc>
        <w:tc>
          <w:tcPr>
            <w:tcW w:w="48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jc w:val="both"/>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w:t>
            </w:r>
          </w:p>
        </w:tc>
        <w:tc>
          <w:tcPr>
            <w:tcW w:w="692"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jc w:val="both"/>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98</w:t>
            </w:r>
          </w:p>
        </w:tc>
        <w:tc>
          <w:tcPr>
            <w:tcW w:w="692"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jc w:val="both"/>
              <w:textAlignment w:val="center"/>
              <w:rPr>
                <w:rFonts w:hint="default" w:ascii="Times New Roman" w:hAnsi="Times New Roman" w:eastAsia="宋体" w:cs="Times New Roman"/>
                <w:i w:val="0"/>
                <w:color w:val="000000"/>
                <w:sz w:val="22"/>
                <w:szCs w:val="22"/>
                <w:u w:val="none"/>
                <w:lang w:val="en-US"/>
              </w:rPr>
            </w:pPr>
            <w:r>
              <w:rPr>
                <w:rFonts w:hint="default" w:ascii="Times New Roman" w:hAnsi="Times New Roman" w:cs="Times New Roman"/>
                <w:i w:val="0"/>
                <w:color w:val="000000"/>
                <w:kern w:val="0"/>
                <w:sz w:val="22"/>
                <w:szCs w:val="22"/>
                <w:u w:val="none"/>
                <w:lang w:val="en-US" w:eastAsia="zh-CN" w:bidi="ar"/>
              </w:rPr>
              <w:t>98</w:t>
            </w:r>
          </w:p>
        </w:tc>
        <w:tc>
          <w:tcPr>
            <w:tcW w:w="699" w:type="dxa"/>
            <w:gridSpan w:val="2"/>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jc w:val="both"/>
              <w:textAlignment w:val="center"/>
              <w:rPr>
                <w:rFonts w:hint="default" w:ascii="Times New Roman" w:hAnsi="Times New Roman" w:eastAsia="宋体" w:cs="Times New Roman"/>
                <w:i w:val="0"/>
                <w:color w:val="000000"/>
                <w:sz w:val="22"/>
                <w:szCs w:val="22"/>
                <w:u w:val="none"/>
                <w:lang w:val="en-US"/>
              </w:rPr>
            </w:pPr>
            <w:r>
              <w:rPr>
                <w:rFonts w:hint="default" w:ascii="Times New Roman" w:hAnsi="Times New Roman" w:cs="Times New Roman"/>
                <w:i w:val="0"/>
                <w:color w:val="000000"/>
                <w:kern w:val="0"/>
                <w:sz w:val="22"/>
                <w:szCs w:val="22"/>
                <w:u w:val="none"/>
                <w:lang w:val="en-US" w:eastAsia="zh-CN" w:bidi="ar"/>
              </w:rPr>
              <w:t>0.00</w:t>
            </w:r>
          </w:p>
        </w:tc>
        <w:tc>
          <w:tcPr>
            <w:tcW w:w="701" w:type="dxa"/>
            <w:gridSpan w:val="2"/>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jc w:val="both"/>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100</w:t>
            </w:r>
          </w:p>
        </w:tc>
        <w:tc>
          <w:tcPr>
            <w:tcW w:w="839" w:type="dxa"/>
            <w:gridSpan w:val="2"/>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jc w:val="both"/>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w:t>
            </w:r>
          </w:p>
        </w:tc>
        <w:tc>
          <w:tcPr>
            <w:tcW w:w="566" w:type="dxa"/>
            <w:gridSpan w:val="2"/>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jc w:val="both"/>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w:t>
            </w:r>
          </w:p>
        </w:tc>
        <w:tc>
          <w:tcPr>
            <w:tcW w:w="1723" w:type="dxa"/>
            <w:gridSpan w:val="5"/>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jc w:val="both"/>
              <w:rPr>
                <w:rFonts w:hint="default" w:ascii="Times New Roman" w:hAnsi="Times New Roman" w:eastAsia="方正仿宋_GBK" w:cs="Times New Roman"/>
                <w:i w:val="0"/>
                <w:color w:val="000000"/>
                <w:sz w:val="18"/>
                <w:szCs w:val="18"/>
                <w:u w:val="none"/>
              </w:rPr>
            </w:pPr>
          </w:p>
        </w:tc>
      </w:tr>
      <w:tr>
        <w:tblPrEx>
          <w:tblLayout w:type="fixed"/>
          <w:tblCellMar>
            <w:top w:w="0" w:type="dxa"/>
            <w:left w:w="0" w:type="dxa"/>
            <w:bottom w:w="0" w:type="dxa"/>
            <w:right w:w="0" w:type="dxa"/>
          </w:tblCellMar>
        </w:tblPrEx>
        <w:trPr>
          <w:gridBefore w:val="1"/>
          <w:gridAfter w:val="1"/>
          <w:wBefore w:w="1" w:type="dxa"/>
          <w:wAfter w:w="14" w:type="dxa"/>
          <w:trHeight w:val="500" w:hRule="atLeast"/>
          <w:jc w:val="center"/>
        </w:trPr>
        <w:tc>
          <w:tcPr>
            <w:tcW w:w="715"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jc w:val="both"/>
              <w:rPr>
                <w:rFonts w:hint="default" w:ascii="Times New Roman" w:hAnsi="Times New Roman" w:eastAsia="方正黑体_GBK" w:cs="Times New Roman"/>
                <w:i w:val="0"/>
                <w:color w:val="000000"/>
                <w:sz w:val="20"/>
                <w:szCs w:val="20"/>
                <w:u w:val="none"/>
              </w:rPr>
            </w:pPr>
          </w:p>
        </w:tc>
        <w:tc>
          <w:tcPr>
            <w:tcW w:w="150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jc w:val="both"/>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鲁渝劳务协作资金拨付时效性</w:t>
            </w:r>
          </w:p>
        </w:tc>
        <w:tc>
          <w:tcPr>
            <w:tcW w:w="523" w:type="dxa"/>
            <w:gridSpan w:val="2"/>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jc w:val="both"/>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w:t>
            </w:r>
          </w:p>
        </w:tc>
        <w:tc>
          <w:tcPr>
            <w:tcW w:w="48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jc w:val="both"/>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w:t>
            </w:r>
          </w:p>
        </w:tc>
        <w:tc>
          <w:tcPr>
            <w:tcW w:w="692"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jc w:val="both"/>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9</w:t>
            </w:r>
            <w:r>
              <w:rPr>
                <w:rFonts w:hint="default" w:ascii="Times New Roman" w:hAnsi="Times New Roman" w:cs="Times New Roman"/>
                <w:i w:val="0"/>
                <w:color w:val="000000"/>
                <w:kern w:val="0"/>
                <w:sz w:val="22"/>
                <w:szCs w:val="22"/>
                <w:u w:val="none"/>
                <w:lang w:val="en-US" w:eastAsia="zh-CN" w:bidi="ar"/>
              </w:rPr>
              <w:t>8</w:t>
            </w:r>
          </w:p>
        </w:tc>
        <w:tc>
          <w:tcPr>
            <w:tcW w:w="692"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jc w:val="both"/>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98</w:t>
            </w:r>
          </w:p>
        </w:tc>
        <w:tc>
          <w:tcPr>
            <w:tcW w:w="699" w:type="dxa"/>
            <w:gridSpan w:val="2"/>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jc w:val="both"/>
              <w:textAlignment w:val="center"/>
              <w:rPr>
                <w:rFonts w:hint="default" w:ascii="Times New Roman" w:hAnsi="Times New Roman" w:eastAsia="宋体" w:cs="Times New Roman"/>
                <w:i w:val="0"/>
                <w:color w:val="000000"/>
                <w:sz w:val="22"/>
                <w:szCs w:val="22"/>
                <w:u w:val="none"/>
                <w:lang w:val="en-US"/>
              </w:rPr>
            </w:pPr>
            <w:r>
              <w:rPr>
                <w:rFonts w:hint="default" w:ascii="Times New Roman" w:hAnsi="Times New Roman" w:cs="Times New Roman"/>
                <w:i w:val="0"/>
                <w:color w:val="000000"/>
                <w:kern w:val="0"/>
                <w:sz w:val="22"/>
                <w:szCs w:val="22"/>
                <w:u w:val="none"/>
                <w:lang w:val="en-US" w:eastAsia="zh-CN" w:bidi="ar"/>
              </w:rPr>
              <w:t>0.00</w:t>
            </w:r>
          </w:p>
        </w:tc>
        <w:tc>
          <w:tcPr>
            <w:tcW w:w="701" w:type="dxa"/>
            <w:gridSpan w:val="2"/>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jc w:val="both"/>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100</w:t>
            </w:r>
          </w:p>
        </w:tc>
        <w:tc>
          <w:tcPr>
            <w:tcW w:w="839" w:type="dxa"/>
            <w:gridSpan w:val="2"/>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jc w:val="both"/>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w:t>
            </w:r>
          </w:p>
        </w:tc>
        <w:tc>
          <w:tcPr>
            <w:tcW w:w="566" w:type="dxa"/>
            <w:gridSpan w:val="2"/>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jc w:val="both"/>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w:t>
            </w:r>
          </w:p>
        </w:tc>
        <w:tc>
          <w:tcPr>
            <w:tcW w:w="1723" w:type="dxa"/>
            <w:gridSpan w:val="5"/>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jc w:val="both"/>
              <w:rPr>
                <w:rFonts w:hint="default" w:ascii="Times New Roman" w:hAnsi="Times New Roman" w:eastAsia="方正仿宋_GBK" w:cs="Times New Roman"/>
                <w:i w:val="0"/>
                <w:color w:val="000000"/>
                <w:sz w:val="18"/>
                <w:szCs w:val="18"/>
                <w:u w:val="none"/>
              </w:rPr>
            </w:pPr>
          </w:p>
        </w:tc>
      </w:tr>
      <w:tr>
        <w:tblPrEx>
          <w:tblLayout w:type="fixed"/>
          <w:tblCellMar>
            <w:top w:w="0" w:type="dxa"/>
            <w:left w:w="0" w:type="dxa"/>
            <w:bottom w:w="0" w:type="dxa"/>
            <w:right w:w="0" w:type="dxa"/>
          </w:tblCellMar>
        </w:tblPrEx>
        <w:trPr>
          <w:gridBefore w:val="1"/>
          <w:gridAfter w:val="1"/>
          <w:wBefore w:w="1" w:type="dxa"/>
          <w:wAfter w:w="14" w:type="dxa"/>
          <w:trHeight w:val="500" w:hRule="atLeast"/>
          <w:jc w:val="center"/>
        </w:trPr>
        <w:tc>
          <w:tcPr>
            <w:tcW w:w="715"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jc w:val="both"/>
              <w:rPr>
                <w:rFonts w:hint="default" w:ascii="Times New Roman" w:hAnsi="Times New Roman" w:eastAsia="方正黑体_GBK" w:cs="Times New Roman"/>
                <w:i w:val="0"/>
                <w:color w:val="000000"/>
                <w:sz w:val="20"/>
                <w:szCs w:val="20"/>
                <w:u w:val="none"/>
              </w:rPr>
            </w:pPr>
          </w:p>
        </w:tc>
        <w:tc>
          <w:tcPr>
            <w:tcW w:w="150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jc w:val="both"/>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失业保险金等各项待遇发放率</w:t>
            </w:r>
          </w:p>
        </w:tc>
        <w:tc>
          <w:tcPr>
            <w:tcW w:w="523" w:type="dxa"/>
            <w:gridSpan w:val="2"/>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jc w:val="both"/>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w:t>
            </w:r>
          </w:p>
        </w:tc>
        <w:tc>
          <w:tcPr>
            <w:tcW w:w="48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jc w:val="both"/>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w:t>
            </w:r>
          </w:p>
        </w:tc>
        <w:tc>
          <w:tcPr>
            <w:tcW w:w="692"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jc w:val="both"/>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95</w:t>
            </w:r>
          </w:p>
        </w:tc>
        <w:tc>
          <w:tcPr>
            <w:tcW w:w="692"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jc w:val="both"/>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9</w:t>
            </w:r>
            <w:r>
              <w:rPr>
                <w:rFonts w:hint="default" w:ascii="Times New Roman" w:hAnsi="Times New Roman" w:cs="Times New Roman"/>
                <w:i w:val="0"/>
                <w:color w:val="000000"/>
                <w:kern w:val="0"/>
                <w:sz w:val="22"/>
                <w:szCs w:val="22"/>
                <w:u w:val="none"/>
                <w:lang w:val="en-US" w:eastAsia="zh-CN" w:bidi="ar"/>
              </w:rPr>
              <w:t>5</w:t>
            </w:r>
          </w:p>
        </w:tc>
        <w:tc>
          <w:tcPr>
            <w:tcW w:w="699" w:type="dxa"/>
            <w:gridSpan w:val="2"/>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jc w:val="both"/>
              <w:textAlignment w:val="center"/>
              <w:rPr>
                <w:rFonts w:hint="default" w:ascii="Times New Roman" w:hAnsi="Times New Roman" w:eastAsia="宋体" w:cs="Times New Roman"/>
                <w:i w:val="0"/>
                <w:color w:val="000000"/>
                <w:sz w:val="22"/>
                <w:szCs w:val="22"/>
                <w:u w:val="none"/>
                <w:lang w:val="en-US"/>
              </w:rPr>
            </w:pPr>
            <w:r>
              <w:rPr>
                <w:rFonts w:hint="default" w:ascii="Times New Roman" w:hAnsi="Times New Roman" w:cs="Times New Roman"/>
                <w:i w:val="0"/>
                <w:color w:val="000000"/>
                <w:kern w:val="0"/>
                <w:sz w:val="22"/>
                <w:szCs w:val="22"/>
                <w:u w:val="none"/>
                <w:lang w:val="en-US" w:eastAsia="zh-CN" w:bidi="ar"/>
              </w:rPr>
              <w:t>0.00</w:t>
            </w:r>
          </w:p>
        </w:tc>
        <w:tc>
          <w:tcPr>
            <w:tcW w:w="701" w:type="dxa"/>
            <w:gridSpan w:val="2"/>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jc w:val="both"/>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100</w:t>
            </w:r>
          </w:p>
        </w:tc>
        <w:tc>
          <w:tcPr>
            <w:tcW w:w="839" w:type="dxa"/>
            <w:gridSpan w:val="2"/>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jc w:val="both"/>
              <w:textAlignment w:val="center"/>
              <w:rPr>
                <w:rFonts w:hint="default" w:ascii="Times New Roman" w:hAnsi="Times New Roman" w:eastAsia="宋体" w:cs="Times New Roman"/>
                <w:i w:val="0"/>
                <w:color w:val="000000"/>
                <w:sz w:val="22"/>
                <w:szCs w:val="22"/>
                <w:u w:val="none"/>
                <w:lang w:val="en-US"/>
              </w:rPr>
            </w:pPr>
            <w:r>
              <w:rPr>
                <w:rFonts w:hint="default" w:ascii="Times New Roman" w:hAnsi="Times New Roman" w:cs="Times New Roman"/>
                <w:i w:val="0"/>
                <w:color w:val="000000"/>
                <w:kern w:val="0"/>
                <w:sz w:val="22"/>
                <w:szCs w:val="22"/>
                <w:u w:val="none"/>
                <w:lang w:val="en-US" w:eastAsia="zh-CN" w:bidi="ar"/>
              </w:rPr>
              <w:t>10</w:t>
            </w:r>
          </w:p>
        </w:tc>
        <w:tc>
          <w:tcPr>
            <w:tcW w:w="566" w:type="dxa"/>
            <w:gridSpan w:val="2"/>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jc w:val="both"/>
              <w:textAlignment w:val="center"/>
              <w:rPr>
                <w:rFonts w:hint="default" w:ascii="Times New Roman" w:hAnsi="Times New Roman" w:eastAsia="宋体" w:cs="Times New Roman"/>
                <w:i w:val="0"/>
                <w:color w:val="000000"/>
                <w:sz w:val="22"/>
                <w:szCs w:val="22"/>
                <w:u w:val="none"/>
                <w:lang w:val="en-US"/>
              </w:rPr>
            </w:pPr>
            <w:r>
              <w:rPr>
                <w:rFonts w:hint="default" w:ascii="Times New Roman" w:hAnsi="Times New Roman" w:cs="Times New Roman"/>
                <w:i w:val="0"/>
                <w:color w:val="000000"/>
                <w:kern w:val="0"/>
                <w:sz w:val="22"/>
                <w:szCs w:val="22"/>
                <w:u w:val="none"/>
                <w:lang w:val="en-US" w:eastAsia="zh-CN" w:bidi="ar"/>
              </w:rPr>
              <w:t>10</w:t>
            </w:r>
          </w:p>
        </w:tc>
        <w:tc>
          <w:tcPr>
            <w:tcW w:w="1723" w:type="dxa"/>
            <w:gridSpan w:val="5"/>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jc w:val="both"/>
              <w:rPr>
                <w:rFonts w:hint="default" w:ascii="Times New Roman" w:hAnsi="Times New Roman" w:eastAsia="方正仿宋_GBK" w:cs="Times New Roman"/>
                <w:i w:val="0"/>
                <w:color w:val="000000"/>
                <w:sz w:val="18"/>
                <w:szCs w:val="18"/>
                <w:u w:val="none"/>
              </w:rPr>
            </w:pPr>
          </w:p>
        </w:tc>
      </w:tr>
      <w:tr>
        <w:tblPrEx>
          <w:tblLayout w:type="fixed"/>
          <w:tblCellMar>
            <w:top w:w="0" w:type="dxa"/>
            <w:left w:w="0" w:type="dxa"/>
            <w:bottom w:w="0" w:type="dxa"/>
            <w:right w:w="0" w:type="dxa"/>
          </w:tblCellMar>
        </w:tblPrEx>
        <w:trPr>
          <w:gridBefore w:val="1"/>
          <w:gridAfter w:val="1"/>
          <w:wBefore w:w="1" w:type="dxa"/>
          <w:wAfter w:w="14" w:type="dxa"/>
          <w:trHeight w:val="480" w:hRule="atLeast"/>
          <w:jc w:val="center"/>
        </w:trPr>
        <w:tc>
          <w:tcPr>
            <w:tcW w:w="715" w:type="dxa"/>
            <w:gridSpan w:val="2"/>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jc w:val="both"/>
              <w:textAlignment w:val="center"/>
              <w:rPr>
                <w:rFonts w:hint="default" w:ascii="Times New Roman" w:hAnsi="Times New Roman" w:eastAsia="方正黑体_GBK" w:cs="Times New Roman"/>
                <w:i w:val="0"/>
                <w:color w:val="000000"/>
                <w:sz w:val="20"/>
                <w:szCs w:val="20"/>
                <w:u w:val="none"/>
              </w:rPr>
            </w:pPr>
            <w:r>
              <w:rPr>
                <w:rFonts w:hint="default" w:ascii="Times New Roman" w:hAnsi="Times New Roman" w:eastAsia="方正黑体_GBK" w:cs="Times New Roman"/>
                <w:i w:val="0"/>
                <w:color w:val="000000"/>
                <w:kern w:val="0"/>
                <w:sz w:val="20"/>
                <w:szCs w:val="20"/>
                <w:u w:val="none"/>
                <w:lang w:val="en-US" w:eastAsia="zh-CN" w:bidi="ar"/>
              </w:rPr>
              <w:t>总体说明</w:t>
            </w:r>
          </w:p>
        </w:tc>
        <w:tc>
          <w:tcPr>
            <w:tcW w:w="8420" w:type="dxa"/>
            <w:gridSpan w:val="19"/>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jc w:val="both"/>
              <w:rPr>
                <w:rFonts w:hint="default" w:ascii="Times New Roman" w:hAnsi="Times New Roman" w:eastAsia="方正仿宋_GBK"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0" w:hRule="atLeast"/>
          <w:jc w:val="center"/>
        </w:trPr>
        <w:tc>
          <w:tcPr>
            <w:tcW w:w="9150" w:type="dxa"/>
            <w:gridSpan w:val="23"/>
            <w:shd w:val="clear" w:color="auto" w:fill="auto"/>
            <w:vAlign w:val="center"/>
          </w:tcPr>
          <w:p>
            <w:pPr>
              <w:keepNext w:val="0"/>
              <w:keepLines w:val="0"/>
              <w:pageBreakBefore w:val="0"/>
              <w:widowControl/>
              <w:suppressLineNumbers w:val="0"/>
              <w:kinsoku/>
              <w:overflowPunct/>
              <w:topLinePunct w:val="0"/>
              <w:autoSpaceDN/>
              <w:bidi w:val="0"/>
              <w:adjustRightInd/>
              <w:ind w:firstLineChars="200"/>
              <w:jc w:val="center"/>
              <w:textAlignment w:val="center"/>
              <w:rPr>
                <w:rFonts w:hint="default" w:ascii="Times New Roman" w:hAnsi="Times New Roman" w:eastAsia="方正小标宋_GBK" w:cs="Times New Roman"/>
                <w:i w:val="0"/>
                <w:color w:val="000000"/>
                <w:sz w:val="36"/>
                <w:szCs w:val="36"/>
                <w:u w:val="none"/>
              </w:rPr>
            </w:pPr>
            <w:r>
              <w:rPr>
                <w:rFonts w:hint="default" w:ascii="Times New Roman" w:hAnsi="Times New Roman" w:eastAsia="方正小标宋_GBK" w:cs="Times New Roman"/>
                <w:i w:val="0"/>
                <w:color w:val="000000"/>
                <w:kern w:val="0"/>
                <w:sz w:val="36"/>
                <w:szCs w:val="36"/>
                <w:u w:val="none"/>
                <w:lang w:val="en-US" w:eastAsia="zh-CN" w:bidi="ar"/>
              </w:rPr>
              <w:t>秀山土家族苗族自治县就业和人才中心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10" w:hRule="atLeast"/>
          <w:jc w:val="center"/>
        </w:trPr>
        <w:tc>
          <w:tcPr>
            <w:tcW w:w="9150" w:type="dxa"/>
            <w:gridSpan w:val="23"/>
            <w:shd w:val="clear" w:color="auto" w:fill="auto"/>
            <w:vAlign w:val="center"/>
          </w:tcPr>
          <w:p>
            <w:pPr>
              <w:keepNext w:val="0"/>
              <w:keepLines w:val="0"/>
              <w:pageBreakBefore w:val="0"/>
              <w:widowControl/>
              <w:suppressLineNumbers w:val="0"/>
              <w:kinsoku/>
              <w:overflowPunct/>
              <w:topLinePunct w:val="0"/>
              <w:autoSpaceDN/>
              <w:bidi w:val="0"/>
              <w:adjustRightInd/>
              <w:ind w:firstLineChars="200"/>
              <w:jc w:val="center"/>
              <w:textAlignment w:val="center"/>
              <w:rPr>
                <w:rFonts w:hint="default" w:ascii="Times New Roman" w:hAnsi="Times New Roman" w:eastAsia="方正小标宋_GBK" w:cs="Times New Roman"/>
                <w:i w:val="0"/>
                <w:color w:val="000000"/>
                <w:sz w:val="36"/>
                <w:szCs w:val="36"/>
                <w:u w:val="none"/>
              </w:rPr>
            </w:pPr>
            <w:r>
              <w:rPr>
                <w:rFonts w:hint="default" w:ascii="Times New Roman" w:hAnsi="Times New Roman" w:eastAsia="方正小标宋_GBK" w:cs="Times New Roman"/>
                <w:i w:val="0"/>
                <w:color w:val="000000"/>
                <w:kern w:val="0"/>
                <w:sz w:val="36"/>
                <w:szCs w:val="36"/>
                <w:u w:val="none"/>
                <w:lang w:val="en-US" w:eastAsia="zh-CN" w:bidi="ar"/>
              </w:rPr>
              <w:t>2024年度项目支出绩效自评情况表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00" w:hRule="atLeast"/>
          <w:jc w:val="center"/>
        </w:trPr>
        <w:tc>
          <w:tcPr>
            <w:tcW w:w="4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jc w:val="both"/>
              <w:textAlignment w:val="center"/>
              <w:rPr>
                <w:rFonts w:hint="default" w:ascii="Times New Roman" w:hAnsi="Times New Roman" w:eastAsia="方正黑体_GBK" w:cs="Times New Roman"/>
                <w:i w:val="0"/>
                <w:color w:val="000000"/>
                <w:sz w:val="22"/>
                <w:szCs w:val="22"/>
                <w:u w:val="none"/>
              </w:rPr>
            </w:pPr>
            <w:r>
              <w:rPr>
                <w:rFonts w:hint="default" w:ascii="Times New Roman" w:hAnsi="Times New Roman" w:eastAsia="方正黑体_GBK" w:cs="Times New Roman"/>
                <w:i w:val="0"/>
                <w:color w:val="000000"/>
                <w:kern w:val="0"/>
                <w:sz w:val="22"/>
                <w:szCs w:val="22"/>
                <w:u w:val="none"/>
                <w:lang w:val="en-US" w:eastAsia="zh-CN" w:bidi="ar"/>
              </w:rPr>
              <w:t>序号</w:t>
            </w:r>
          </w:p>
        </w:tc>
        <w:tc>
          <w:tcPr>
            <w:tcW w:w="178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jc w:val="both"/>
              <w:textAlignment w:val="center"/>
              <w:rPr>
                <w:rFonts w:hint="default" w:ascii="Times New Roman" w:hAnsi="Times New Roman" w:eastAsia="方正黑体_GBK" w:cs="Times New Roman"/>
                <w:i w:val="0"/>
                <w:color w:val="000000"/>
                <w:sz w:val="22"/>
                <w:szCs w:val="22"/>
                <w:u w:val="none"/>
              </w:rPr>
            </w:pPr>
            <w:r>
              <w:rPr>
                <w:rFonts w:hint="default" w:ascii="Times New Roman" w:hAnsi="Times New Roman" w:eastAsia="方正黑体_GBK" w:cs="Times New Roman"/>
                <w:i w:val="0"/>
                <w:color w:val="000000"/>
                <w:kern w:val="0"/>
                <w:sz w:val="22"/>
                <w:szCs w:val="22"/>
                <w:u w:val="none"/>
                <w:lang w:val="en-US" w:eastAsia="zh-CN" w:bidi="ar"/>
              </w:rPr>
              <w:t>项目名称</w:t>
            </w:r>
          </w:p>
        </w:tc>
        <w:tc>
          <w:tcPr>
            <w:tcW w:w="276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jc w:val="both"/>
              <w:textAlignment w:val="center"/>
              <w:rPr>
                <w:rFonts w:hint="default" w:ascii="Times New Roman" w:hAnsi="Times New Roman" w:eastAsia="方正黑体_GBK" w:cs="Times New Roman"/>
                <w:i w:val="0"/>
                <w:color w:val="000000"/>
                <w:sz w:val="22"/>
                <w:szCs w:val="22"/>
                <w:u w:val="none"/>
              </w:rPr>
            </w:pPr>
            <w:r>
              <w:rPr>
                <w:rFonts w:hint="default" w:ascii="Times New Roman" w:hAnsi="Times New Roman" w:eastAsia="方正黑体_GBK" w:cs="Times New Roman"/>
                <w:i w:val="0"/>
                <w:color w:val="000000"/>
                <w:kern w:val="0"/>
                <w:sz w:val="22"/>
                <w:szCs w:val="22"/>
                <w:u w:val="none"/>
                <w:lang w:val="en-US" w:eastAsia="zh-CN" w:bidi="ar"/>
              </w:rPr>
              <w:t>指标名称</w:t>
            </w:r>
          </w:p>
        </w:tc>
        <w:tc>
          <w:tcPr>
            <w:tcW w:w="5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jc w:val="both"/>
              <w:textAlignment w:val="center"/>
              <w:rPr>
                <w:rFonts w:hint="default" w:ascii="Times New Roman" w:hAnsi="Times New Roman" w:eastAsia="方正黑体_GBK" w:cs="Times New Roman"/>
                <w:i w:val="0"/>
                <w:color w:val="000000"/>
                <w:sz w:val="22"/>
                <w:szCs w:val="22"/>
                <w:u w:val="none"/>
              </w:rPr>
            </w:pPr>
            <w:r>
              <w:rPr>
                <w:rFonts w:hint="default" w:ascii="Times New Roman" w:hAnsi="Times New Roman" w:eastAsia="方正黑体_GBK" w:cs="Times New Roman"/>
                <w:i w:val="0"/>
                <w:color w:val="000000"/>
                <w:kern w:val="0"/>
                <w:sz w:val="22"/>
                <w:szCs w:val="22"/>
                <w:u w:val="none"/>
                <w:lang w:val="en-US" w:eastAsia="zh-CN" w:bidi="ar"/>
              </w:rPr>
              <w:t>指标性质</w:t>
            </w:r>
          </w:p>
        </w:tc>
        <w:tc>
          <w:tcPr>
            <w:tcW w:w="7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jc w:val="both"/>
              <w:textAlignment w:val="center"/>
              <w:rPr>
                <w:rFonts w:hint="default" w:ascii="Times New Roman" w:hAnsi="Times New Roman" w:eastAsia="方正黑体_GBK" w:cs="Times New Roman"/>
                <w:i w:val="0"/>
                <w:color w:val="000000"/>
                <w:sz w:val="22"/>
                <w:szCs w:val="22"/>
                <w:u w:val="none"/>
              </w:rPr>
            </w:pPr>
            <w:r>
              <w:rPr>
                <w:rFonts w:hint="default" w:ascii="Times New Roman" w:hAnsi="Times New Roman" w:eastAsia="方正黑体_GBK" w:cs="Times New Roman"/>
                <w:i w:val="0"/>
                <w:color w:val="000000"/>
                <w:kern w:val="0"/>
                <w:sz w:val="22"/>
                <w:szCs w:val="22"/>
                <w:u w:val="none"/>
                <w:lang w:val="en-US" w:eastAsia="zh-CN" w:bidi="ar"/>
              </w:rPr>
              <w:t>指标值</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jc w:val="both"/>
              <w:textAlignment w:val="center"/>
              <w:rPr>
                <w:rFonts w:hint="default" w:ascii="Times New Roman" w:hAnsi="Times New Roman" w:eastAsia="方正黑体_GBK" w:cs="Times New Roman"/>
                <w:i w:val="0"/>
                <w:color w:val="000000"/>
                <w:sz w:val="22"/>
                <w:szCs w:val="22"/>
                <w:u w:val="none"/>
              </w:rPr>
            </w:pPr>
            <w:r>
              <w:rPr>
                <w:rFonts w:hint="default" w:ascii="Times New Roman" w:hAnsi="Times New Roman" w:eastAsia="方正黑体_GBK" w:cs="Times New Roman"/>
                <w:i w:val="0"/>
                <w:color w:val="000000"/>
                <w:kern w:val="0"/>
                <w:sz w:val="22"/>
                <w:szCs w:val="22"/>
                <w:u w:val="none"/>
                <w:lang w:val="en-US" w:eastAsia="zh-CN" w:bidi="ar"/>
              </w:rPr>
              <w:t>计量单位</w:t>
            </w:r>
          </w:p>
        </w:tc>
        <w:tc>
          <w:tcPr>
            <w:tcW w:w="3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jc w:val="both"/>
              <w:textAlignment w:val="center"/>
              <w:rPr>
                <w:rFonts w:hint="default" w:ascii="Times New Roman" w:hAnsi="Times New Roman" w:eastAsia="方正黑体_GBK" w:cs="Times New Roman"/>
                <w:i w:val="0"/>
                <w:color w:val="000000"/>
                <w:sz w:val="22"/>
                <w:szCs w:val="22"/>
                <w:u w:val="none"/>
              </w:rPr>
            </w:pPr>
            <w:r>
              <w:rPr>
                <w:rFonts w:hint="default" w:ascii="Times New Roman" w:hAnsi="Times New Roman" w:eastAsia="方正黑体_GBK" w:cs="Times New Roman"/>
                <w:i w:val="0"/>
                <w:color w:val="000000"/>
                <w:kern w:val="0"/>
                <w:sz w:val="22"/>
                <w:szCs w:val="22"/>
                <w:u w:val="none"/>
                <w:lang w:val="en-US" w:eastAsia="zh-CN" w:bidi="ar"/>
              </w:rPr>
              <w:t>指标权重</w:t>
            </w:r>
          </w:p>
        </w:tc>
        <w:tc>
          <w:tcPr>
            <w:tcW w:w="7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jc w:val="both"/>
              <w:textAlignment w:val="center"/>
              <w:rPr>
                <w:rFonts w:hint="default" w:ascii="Times New Roman" w:hAnsi="Times New Roman" w:eastAsia="方正黑体_GBK" w:cs="Times New Roman"/>
                <w:i w:val="0"/>
                <w:color w:val="000000"/>
                <w:sz w:val="22"/>
                <w:szCs w:val="22"/>
                <w:u w:val="none"/>
              </w:rPr>
            </w:pPr>
            <w:r>
              <w:rPr>
                <w:rFonts w:hint="default" w:ascii="Times New Roman" w:hAnsi="Times New Roman" w:eastAsia="方正黑体_GBK" w:cs="Times New Roman"/>
                <w:i w:val="0"/>
                <w:color w:val="000000"/>
                <w:kern w:val="0"/>
                <w:sz w:val="22"/>
                <w:szCs w:val="22"/>
                <w:u w:val="none"/>
                <w:lang w:val="en-US" w:eastAsia="zh-CN" w:bidi="ar"/>
              </w:rPr>
              <w:t>全年完成值</w:t>
            </w:r>
          </w:p>
        </w:tc>
        <w:tc>
          <w:tcPr>
            <w:tcW w:w="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jc w:val="both"/>
              <w:textAlignment w:val="center"/>
              <w:rPr>
                <w:rFonts w:hint="default" w:ascii="Times New Roman" w:hAnsi="Times New Roman" w:eastAsia="方正黑体_GBK" w:cs="Times New Roman"/>
                <w:i w:val="0"/>
                <w:color w:val="000000"/>
                <w:sz w:val="22"/>
                <w:szCs w:val="22"/>
                <w:u w:val="none"/>
              </w:rPr>
            </w:pPr>
            <w:r>
              <w:rPr>
                <w:rFonts w:hint="default" w:ascii="Times New Roman" w:hAnsi="Times New Roman" w:eastAsia="方正黑体_GBK" w:cs="Times New Roman"/>
                <w:i w:val="0"/>
                <w:color w:val="000000"/>
                <w:kern w:val="0"/>
                <w:sz w:val="22"/>
                <w:szCs w:val="22"/>
                <w:u w:val="none"/>
                <w:lang w:val="en-US" w:eastAsia="zh-CN" w:bidi="ar"/>
              </w:rPr>
              <w:t>指标得分</w:t>
            </w:r>
          </w:p>
        </w:tc>
        <w:tc>
          <w:tcPr>
            <w:tcW w:w="2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jc w:val="both"/>
              <w:textAlignment w:val="center"/>
              <w:rPr>
                <w:rFonts w:hint="default" w:ascii="Times New Roman" w:hAnsi="Times New Roman" w:eastAsia="方正黑体_GBK" w:cs="Times New Roman"/>
                <w:i w:val="0"/>
                <w:color w:val="000000"/>
                <w:sz w:val="22"/>
                <w:szCs w:val="22"/>
                <w:u w:val="none"/>
              </w:rPr>
            </w:pPr>
            <w:r>
              <w:rPr>
                <w:rFonts w:hint="default" w:ascii="Times New Roman" w:hAnsi="Times New Roman" w:eastAsia="方正黑体_GBK" w:cs="Times New Roman"/>
                <w:i w:val="0"/>
                <w:color w:val="000000"/>
                <w:kern w:val="0"/>
                <w:sz w:val="22"/>
                <w:szCs w:val="22"/>
                <w:u w:val="none"/>
                <w:lang w:val="en-US" w:eastAsia="zh-CN" w:bidi="ar"/>
              </w:rPr>
              <w:t>说明</w:t>
            </w:r>
          </w:p>
        </w:tc>
        <w:tc>
          <w:tcPr>
            <w:tcW w:w="5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jc w:val="both"/>
              <w:textAlignment w:val="center"/>
              <w:rPr>
                <w:rFonts w:hint="default" w:ascii="Times New Roman" w:hAnsi="Times New Roman" w:eastAsia="方正黑体_GBK" w:cs="Times New Roman"/>
                <w:i w:val="0"/>
                <w:color w:val="000000"/>
                <w:sz w:val="22"/>
                <w:szCs w:val="22"/>
                <w:u w:val="none"/>
              </w:rPr>
            </w:pPr>
            <w:r>
              <w:rPr>
                <w:rFonts w:hint="default" w:ascii="Times New Roman" w:hAnsi="Times New Roman" w:eastAsia="方正黑体_GBK" w:cs="Times New Roman"/>
                <w:i w:val="0"/>
                <w:color w:val="000000"/>
                <w:kern w:val="0"/>
                <w:sz w:val="22"/>
                <w:szCs w:val="22"/>
                <w:u w:val="none"/>
                <w:lang w:val="en-US" w:eastAsia="zh-CN" w:bidi="ar"/>
              </w:rPr>
              <w:t>自评得分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jc w:val="center"/>
        </w:trPr>
        <w:tc>
          <w:tcPr>
            <w:tcW w:w="45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jc w:val="both"/>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w:t>
            </w:r>
          </w:p>
        </w:tc>
        <w:tc>
          <w:tcPr>
            <w:tcW w:w="178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jc w:val="both"/>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2024年脱贫人口跨区域务工交通补助项目[-]-渝财农〔2023〕146号</w:t>
            </w:r>
          </w:p>
        </w:tc>
        <w:tc>
          <w:tcPr>
            <w:tcW w:w="276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jc w:val="both"/>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定额补贴标准</w:t>
            </w:r>
          </w:p>
        </w:tc>
        <w:tc>
          <w:tcPr>
            <w:tcW w:w="5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jc w:val="both"/>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w:t>
            </w:r>
          </w:p>
        </w:tc>
        <w:tc>
          <w:tcPr>
            <w:tcW w:w="7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jc w:val="both"/>
              <w:textAlignment w:val="center"/>
              <w:rPr>
                <w:rFonts w:hint="default" w:ascii="Times New Roman" w:hAnsi="Times New Roman" w:eastAsia="方正仿宋_GBK" w:cs="Times New Roman"/>
                <w:i w:val="0"/>
                <w:color w:val="000000"/>
                <w:sz w:val="18"/>
                <w:szCs w:val="18"/>
                <w:u w:val="none"/>
                <w:lang w:val="en-US" w:eastAsia="zh-CN"/>
              </w:rPr>
            </w:pPr>
            <w:r>
              <w:rPr>
                <w:rFonts w:hint="default" w:ascii="Times New Roman" w:hAnsi="Times New Roman" w:eastAsia="方正仿宋_GBK" w:cs="Times New Roman"/>
                <w:i w:val="0"/>
                <w:color w:val="000000"/>
                <w:sz w:val="18"/>
                <w:szCs w:val="18"/>
                <w:u w:val="none"/>
                <w:lang w:val="en-US" w:eastAsia="zh-CN"/>
              </w:rPr>
              <w:t>200</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jc w:val="both"/>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元/人</w:t>
            </w:r>
          </w:p>
        </w:tc>
        <w:tc>
          <w:tcPr>
            <w:tcW w:w="3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jc w:val="both"/>
              <w:textAlignment w:val="center"/>
              <w:rPr>
                <w:rFonts w:hint="default" w:ascii="Times New Roman" w:hAnsi="Times New Roman" w:eastAsia="方正仿宋_GBK" w:cs="Times New Roman"/>
                <w:i w:val="0"/>
                <w:color w:val="000000"/>
                <w:sz w:val="18"/>
                <w:szCs w:val="18"/>
                <w:u w:val="none"/>
                <w:lang w:val="en-US" w:eastAsia="zh-CN"/>
              </w:rPr>
            </w:pPr>
            <w:r>
              <w:rPr>
                <w:rFonts w:hint="default" w:ascii="Times New Roman" w:hAnsi="Times New Roman" w:eastAsia="方正仿宋_GBK" w:cs="Times New Roman"/>
                <w:i w:val="0"/>
                <w:color w:val="000000"/>
                <w:sz w:val="18"/>
                <w:szCs w:val="18"/>
                <w:u w:val="none"/>
                <w:lang w:val="en-US" w:eastAsia="zh-CN"/>
              </w:rPr>
              <w:t>30</w:t>
            </w:r>
          </w:p>
        </w:tc>
        <w:tc>
          <w:tcPr>
            <w:tcW w:w="7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jc w:val="both"/>
              <w:textAlignment w:val="center"/>
              <w:rPr>
                <w:rFonts w:hint="default" w:ascii="Times New Roman" w:hAnsi="Times New Roman" w:eastAsia="方正仿宋_GBK" w:cs="Times New Roman"/>
                <w:i w:val="0"/>
                <w:color w:val="000000"/>
                <w:sz w:val="18"/>
                <w:szCs w:val="18"/>
                <w:u w:val="none"/>
                <w:lang w:val="en-US" w:eastAsia="zh-CN"/>
              </w:rPr>
            </w:pPr>
            <w:r>
              <w:rPr>
                <w:rFonts w:hint="default" w:ascii="Times New Roman" w:hAnsi="Times New Roman" w:eastAsia="方正仿宋_GBK" w:cs="Times New Roman"/>
                <w:i w:val="0"/>
                <w:color w:val="000000"/>
                <w:sz w:val="18"/>
                <w:szCs w:val="18"/>
                <w:u w:val="none"/>
                <w:lang w:val="en-US" w:eastAsia="zh-CN"/>
              </w:rPr>
              <w:t>200</w:t>
            </w:r>
          </w:p>
        </w:tc>
        <w:tc>
          <w:tcPr>
            <w:tcW w:w="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jc w:val="both"/>
              <w:textAlignment w:val="center"/>
              <w:rPr>
                <w:rFonts w:hint="default" w:ascii="Times New Roman" w:hAnsi="Times New Roman" w:eastAsia="方正仿宋_GBK" w:cs="Times New Roman"/>
                <w:i w:val="0"/>
                <w:color w:val="auto"/>
                <w:sz w:val="18"/>
                <w:szCs w:val="18"/>
                <w:u w:val="none"/>
                <w:lang w:val="en-US" w:eastAsia="zh-CN"/>
              </w:rPr>
            </w:pPr>
            <w:r>
              <w:rPr>
                <w:rFonts w:hint="default" w:ascii="Times New Roman" w:hAnsi="Times New Roman" w:eastAsia="方正仿宋_GBK" w:cs="Times New Roman"/>
                <w:i w:val="0"/>
                <w:color w:val="auto"/>
                <w:sz w:val="18"/>
                <w:szCs w:val="18"/>
                <w:u w:val="none"/>
                <w:lang w:val="en-US" w:eastAsia="zh-CN"/>
              </w:rPr>
              <w:t>30</w:t>
            </w:r>
          </w:p>
        </w:tc>
        <w:tc>
          <w:tcPr>
            <w:tcW w:w="2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N/>
              <w:bidi w:val="0"/>
              <w:adjustRightInd/>
              <w:jc w:val="both"/>
              <w:rPr>
                <w:rFonts w:hint="default" w:ascii="Times New Roman" w:hAnsi="Times New Roman" w:eastAsia="方正仿宋_GBK" w:cs="Times New Roman"/>
                <w:i w:val="0"/>
                <w:color w:val="000000"/>
                <w:sz w:val="18"/>
                <w:szCs w:val="18"/>
                <w:u w:val="none"/>
              </w:rPr>
            </w:pPr>
          </w:p>
        </w:tc>
        <w:tc>
          <w:tcPr>
            <w:tcW w:w="50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jc w:val="both"/>
              <w:textAlignment w:val="center"/>
              <w:rPr>
                <w:rFonts w:hint="default" w:ascii="Times New Roman" w:hAnsi="Times New Roman" w:eastAsia="宋体" w:cs="Times New Roman"/>
                <w:i w:val="0"/>
                <w:color w:val="000000"/>
                <w:sz w:val="18"/>
                <w:szCs w:val="18"/>
                <w:u w:val="none"/>
                <w:lang w:val="en-US" w:eastAsia="zh-CN"/>
              </w:rPr>
            </w:pPr>
            <w:r>
              <w:rPr>
                <w:rFonts w:hint="default" w:ascii="Times New Roman" w:hAnsi="Times New Roman" w:cs="Times New Roman"/>
                <w:i w:val="0"/>
                <w:color w:val="000000"/>
                <w:sz w:val="18"/>
                <w:szCs w:val="18"/>
                <w:u w:val="none"/>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jc w:val="center"/>
        </w:trPr>
        <w:tc>
          <w:tcPr>
            <w:tcW w:w="45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N/>
              <w:bidi w:val="0"/>
              <w:adjustRightInd/>
              <w:jc w:val="both"/>
              <w:rPr>
                <w:rFonts w:hint="default" w:ascii="Times New Roman" w:hAnsi="Times New Roman" w:eastAsia="宋体" w:cs="Times New Roman"/>
                <w:i w:val="0"/>
                <w:color w:val="000000"/>
                <w:sz w:val="22"/>
                <w:szCs w:val="22"/>
                <w:u w:val="none"/>
              </w:rPr>
            </w:pPr>
          </w:p>
        </w:tc>
        <w:tc>
          <w:tcPr>
            <w:tcW w:w="178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N/>
              <w:bidi w:val="0"/>
              <w:adjustRightInd/>
              <w:jc w:val="both"/>
              <w:rPr>
                <w:rFonts w:hint="default" w:ascii="Times New Roman" w:hAnsi="Times New Roman" w:eastAsia="方正仿宋_GBK" w:cs="Times New Roman"/>
                <w:i w:val="0"/>
                <w:color w:val="000000"/>
                <w:sz w:val="18"/>
                <w:szCs w:val="18"/>
                <w:u w:val="none"/>
              </w:rPr>
            </w:pPr>
          </w:p>
        </w:tc>
        <w:tc>
          <w:tcPr>
            <w:tcW w:w="276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jc w:val="both"/>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资金拨付及时性</w:t>
            </w:r>
          </w:p>
        </w:tc>
        <w:tc>
          <w:tcPr>
            <w:tcW w:w="5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jc w:val="both"/>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w:t>
            </w:r>
          </w:p>
        </w:tc>
        <w:tc>
          <w:tcPr>
            <w:tcW w:w="7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jc w:val="both"/>
              <w:textAlignment w:val="center"/>
              <w:rPr>
                <w:rFonts w:hint="default" w:ascii="Times New Roman" w:hAnsi="Times New Roman" w:eastAsia="方正仿宋_GBK" w:cs="Times New Roman"/>
                <w:i w:val="0"/>
                <w:color w:val="000000"/>
                <w:sz w:val="18"/>
                <w:szCs w:val="18"/>
                <w:u w:val="none"/>
                <w:lang w:val="en-US" w:eastAsia="zh-CN"/>
              </w:rPr>
            </w:pPr>
            <w:r>
              <w:rPr>
                <w:rFonts w:hint="default" w:ascii="Times New Roman" w:hAnsi="Times New Roman" w:eastAsia="方正仿宋_GBK" w:cs="Times New Roman"/>
                <w:i w:val="0"/>
                <w:color w:val="000000"/>
                <w:sz w:val="18"/>
                <w:szCs w:val="18"/>
                <w:u w:val="none"/>
                <w:lang w:val="en-US" w:eastAsia="zh-CN"/>
              </w:rPr>
              <w:t>98</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jc w:val="both"/>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w:t>
            </w:r>
          </w:p>
        </w:tc>
        <w:tc>
          <w:tcPr>
            <w:tcW w:w="3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jc w:val="both"/>
              <w:textAlignment w:val="center"/>
              <w:rPr>
                <w:rFonts w:hint="default" w:ascii="Times New Roman" w:hAnsi="Times New Roman" w:eastAsia="方正仿宋_GBK" w:cs="Times New Roman"/>
                <w:i w:val="0"/>
                <w:color w:val="000000"/>
                <w:sz w:val="18"/>
                <w:szCs w:val="18"/>
                <w:u w:val="none"/>
                <w:lang w:val="en-US" w:eastAsia="zh-CN"/>
              </w:rPr>
            </w:pPr>
            <w:r>
              <w:rPr>
                <w:rFonts w:hint="default" w:ascii="Times New Roman" w:hAnsi="Times New Roman" w:eastAsia="方正仿宋_GBK" w:cs="Times New Roman"/>
                <w:i w:val="0"/>
                <w:color w:val="000000"/>
                <w:sz w:val="18"/>
                <w:szCs w:val="18"/>
                <w:u w:val="none"/>
                <w:lang w:val="en-US" w:eastAsia="zh-CN"/>
              </w:rPr>
              <w:t>30</w:t>
            </w:r>
          </w:p>
        </w:tc>
        <w:tc>
          <w:tcPr>
            <w:tcW w:w="7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jc w:val="both"/>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sz w:val="18"/>
                <w:szCs w:val="18"/>
                <w:u w:val="none"/>
                <w:lang w:val="en-US" w:eastAsia="zh-CN"/>
              </w:rPr>
              <w:t>98</w:t>
            </w:r>
          </w:p>
        </w:tc>
        <w:tc>
          <w:tcPr>
            <w:tcW w:w="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jc w:val="both"/>
              <w:textAlignment w:val="center"/>
              <w:rPr>
                <w:rFonts w:hint="default" w:ascii="Times New Roman" w:hAnsi="Times New Roman" w:eastAsia="方正仿宋_GBK" w:cs="Times New Roman"/>
                <w:i w:val="0"/>
                <w:color w:val="auto"/>
                <w:sz w:val="18"/>
                <w:szCs w:val="18"/>
                <w:u w:val="none"/>
                <w:lang w:val="en-US" w:eastAsia="zh-CN"/>
              </w:rPr>
            </w:pPr>
            <w:r>
              <w:rPr>
                <w:rFonts w:hint="default" w:ascii="Times New Roman" w:hAnsi="Times New Roman" w:eastAsia="方正仿宋_GBK" w:cs="Times New Roman"/>
                <w:i w:val="0"/>
                <w:color w:val="auto"/>
                <w:sz w:val="18"/>
                <w:szCs w:val="18"/>
                <w:u w:val="none"/>
                <w:lang w:val="en-US" w:eastAsia="zh-CN"/>
              </w:rPr>
              <w:t>30</w:t>
            </w:r>
          </w:p>
        </w:tc>
        <w:tc>
          <w:tcPr>
            <w:tcW w:w="2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N/>
              <w:bidi w:val="0"/>
              <w:adjustRightInd/>
              <w:jc w:val="both"/>
              <w:rPr>
                <w:rFonts w:hint="default" w:ascii="Times New Roman" w:hAnsi="Times New Roman" w:eastAsia="方正仿宋_GBK" w:cs="Times New Roman"/>
                <w:i w:val="0"/>
                <w:color w:val="000000"/>
                <w:sz w:val="18"/>
                <w:szCs w:val="18"/>
                <w:u w:val="none"/>
              </w:rPr>
            </w:pPr>
          </w:p>
        </w:tc>
        <w:tc>
          <w:tcPr>
            <w:tcW w:w="50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N/>
              <w:bidi w:val="0"/>
              <w:adjustRightInd/>
              <w:jc w:val="both"/>
              <w:rPr>
                <w:rFonts w:hint="default" w:ascii="Times New Roman" w:hAnsi="Times New Roman" w:eastAsia="宋体"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jc w:val="center"/>
        </w:trPr>
        <w:tc>
          <w:tcPr>
            <w:tcW w:w="45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N/>
              <w:bidi w:val="0"/>
              <w:adjustRightInd/>
              <w:jc w:val="both"/>
              <w:rPr>
                <w:rFonts w:hint="default" w:ascii="Times New Roman" w:hAnsi="Times New Roman" w:eastAsia="宋体" w:cs="Times New Roman"/>
                <w:i w:val="0"/>
                <w:color w:val="000000"/>
                <w:sz w:val="22"/>
                <w:szCs w:val="22"/>
                <w:u w:val="none"/>
              </w:rPr>
            </w:pPr>
          </w:p>
        </w:tc>
        <w:tc>
          <w:tcPr>
            <w:tcW w:w="178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N/>
              <w:bidi w:val="0"/>
              <w:adjustRightInd/>
              <w:jc w:val="both"/>
              <w:rPr>
                <w:rFonts w:hint="default" w:ascii="Times New Roman" w:hAnsi="Times New Roman" w:eastAsia="方正仿宋_GBK" w:cs="Times New Roman"/>
                <w:i w:val="0"/>
                <w:color w:val="000000"/>
                <w:sz w:val="18"/>
                <w:szCs w:val="18"/>
                <w:u w:val="none"/>
              </w:rPr>
            </w:pPr>
          </w:p>
        </w:tc>
        <w:tc>
          <w:tcPr>
            <w:tcW w:w="276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jc w:val="both"/>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补贴人数</w:t>
            </w:r>
          </w:p>
        </w:tc>
        <w:tc>
          <w:tcPr>
            <w:tcW w:w="5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jc w:val="both"/>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w:t>
            </w:r>
          </w:p>
        </w:tc>
        <w:tc>
          <w:tcPr>
            <w:tcW w:w="7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jc w:val="both"/>
              <w:textAlignment w:val="center"/>
              <w:rPr>
                <w:rFonts w:hint="default" w:ascii="Times New Roman" w:hAnsi="Times New Roman" w:eastAsia="方正仿宋_GBK" w:cs="Times New Roman"/>
                <w:i w:val="0"/>
                <w:color w:val="000000"/>
                <w:sz w:val="18"/>
                <w:szCs w:val="18"/>
                <w:u w:val="none"/>
                <w:lang w:val="en-US" w:eastAsia="zh-CN"/>
              </w:rPr>
            </w:pPr>
            <w:r>
              <w:rPr>
                <w:rFonts w:hint="default" w:ascii="Times New Roman" w:hAnsi="Times New Roman" w:eastAsia="方正仿宋_GBK" w:cs="Times New Roman"/>
                <w:i w:val="0"/>
                <w:color w:val="000000"/>
                <w:sz w:val="18"/>
                <w:szCs w:val="18"/>
                <w:u w:val="none"/>
                <w:lang w:val="en-US" w:eastAsia="zh-CN"/>
              </w:rPr>
              <w:t>2</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jc w:val="both"/>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万人</w:t>
            </w:r>
          </w:p>
        </w:tc>
        <w:tc>
          <w:tcPr>
            <w:tcW w:w="3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jc w:val="both"/>
              <w:textAlignment w:val="center"/>
              <w:rPr>
                <w:rFonts w:hint="default" w:ascii="Times New Roman" w:hAnsi="Times New Roman" w:eastAsia="方正仿宋_GBK" w:cs="Times New Roman"/>
                <w:i w:val="0"/>
                <w:color w:val="000000"/>
                <w:sz w:val="18"/>
                <w:szCs w:val="18"/>
                <w:u w:val="none"/>
                <w:lang w:val="en-US" w:eastAsia="zh-CN"/>
              </w:rPr>
            </w:pPr>
            <w:r>
              <w:rPr>
                <w:rFonts w:hint="default" w:ascii="Times New Roman" w:hAnsi="Times New Roman" w:eastAsia="方正仿宋_GBK" w:cs="Times New Roman"/>
                <w:i w:val="0"/>
                <w:color w:val="000000"/>
                <w:sz w:val="18"/>
                <w:szCs w:val="18"/>
                <w:u w:val="none"/>
                <w:lang w:val="en-US" w:eastAsia="zh-CN"/>
              </w:rPr>
              <w:t>40</w:t>
            </w:r>
          </w:p>
        </w:tc>
        <w:tc>
          <w:tcPr>
            <w:tcW w:w="7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jc w:val="both"/>
              <w:textAlignment w:val="center"/>
              <w:rPr>
                <w:rFonts w:hint="default" w:ascii="Times New Roman" w:hAnsi="Times New Roman" w:eastAsia="方正仿宋_GBK" w:cs="Times New Roman"/>
                <w:i w:val="0"/>
                <w:color w:val="000000"/>
                <w:sz w:val="18"/>
                <w:szCs w:val="18"/>
                <w:u w:val="none"/>
                <w:lang w:val="en-US" w:eastAsia="zh-CN"/>
              </w:rPr>
            </w:pPr>
            <w:r>
              <w:rPr>
                <w:rFonts w:hint="default" w:ascii="Times New Roman" w:hAnsi="Times New Roman" w:eastAsia="方正仿宋_GBK" w:cs="Times New Roman"/>
                <w:i w:val="0"/>
                <w:color w:val="000000"/>
                <w:sz w:val="18"/>
                <w:szCs w:val="18"/>
                <w:u w:val="none"/>
                <w:lang w:val="en-US" w:eastAsia="zh-CN"/>
              </w:rPr>
              <w:t>2</w:t>
            </w:r>
          </w:p>
        </w:tc>
        <w:tc>
          <w:tcPr>
            <w:tcW w:w="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jc w:val="both"/>
              <w:textAlignment w:val="center"/>
              <w:rPr>
                <w:rFonts w:hint="default" w:ascii="Times New Roman" w:hAnsi="Times New Roman" w:eastAsia="方正仿宋_GBK" w:cs="Times New Roman"/>
                <w:i w:val="0"/>
                <w:color w:val="auto"/>
                <w:sz w:val="18"/>
                <w:szCs w:val="18"/>
                <w:u w:val="none"/>
                <w:lang w:val="en-US" w:eastAsia="zh-CN"/>
              </w:rPr>
            </w:pPr>
            <w:r>
              <w:rPr>
                <w:rFonts w:hint="default" w:ascii="Times New Roman" w:hAnsi="Times New Roman" w:eastAsia="方正仿宋_GBK" w:cs="Times New Roman"/>
                <w:i w:val="0"/>
                <w:color w:val="auto"/>
                <w:sz w:val="18"/>
                <w:szCs w:val="18"/>
                <w:u w:val="none"/>
                <w:lang w:val="en-US" w:eastAsia="zh-CN"/>
              </w:rPr>
              <w:t>40</w:t>
            </w:r>
          </w:p>
        </w:tc>
        <w:tc>
          <w:tcPr>
            <w:tcW w:w="2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N/>
              <w:bidi w:val="0"/>
              <w:adjustRightInd/>
              <w:jc w:val="both"/>
              <w:rPr>
                <w:rFonts w:hint="default" w:ascii="Times New Roman" w:hAnsi="Times New Roman" w:eastAsia="方正仿宋_GBK" w:cs="Times New Roman"/>
                <w:i w:val="0"/>
                <w:color w:val="000000"/>
                <w:sz w:val="18"/>
                <w:szCs w:val="18"/>
                <w:u w:val="none"/>
              </w:rPr>
            </w:pPr>
          </w:p>
        </w:tc>
        <w:tc>
          <w:tcPr>
            <w:tcW w:w="50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N/>
              <w:bidi w:val="0"/>
              <w:adjustRightInd/>
              <w:jc w:val="both"/>
              <w:rPr>
                <w:rFonts w:hint="default" w:ascii="Times New Roman" w:hAnsi="Times New Roman" w:eastAsia="宋体"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jc w:val="center"/>
        </w:trPr>
        <w:tc>
          <w:tcPr>
            <w:tcW w:w="45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jc w:val="both"/>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w:t>
            </w:r>
          </w:p>
        </w:tc>
        <w:tc>
          <w:tcPr>
            <w:tcW w:w="178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jc w:val="both"/>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中央就业补助资金</w:t>
            </w:r>
          </w:p>
        </w:tc>
        <w:tc>
          <w:tcPr>
            <w:tcW w:w="276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jc w:val="both"/>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社会保险补贴发放准确率</w:t>
            </w:r>
          </w:p>
        </w:tc>
        <w:tc>
          <w:tcPr>
            <w:tcW w:w="5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jc w:val="both"/>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w:t>
            </w:r>
          </w:p>
        </w:tc>
        <w:tc>
          <w:tcPr>
            <w:tcW w:w="7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jc w:val="both"/>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95</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jc w:val="both"/>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w:t>
            </w:r>
          </w:p>
        </w:tc>
        <w:tc>
          <w:tcPr>
            <w:tcW w:w="3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jc w:val="both"/>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20</w:t>
            </w:r>
          </w:p>
        </w:tc>
        <w:tc>
          <w:tcPr>
            <w:tcW w:w="7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jc w:val="both"/>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95</w:t>
            </w:r>
          </w:p>
        </w:tc>
        <w:tc>
          <w:tcPr>
            <w:tcW w:w="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jc w:val="both"/>
              <w:textAlignment w:val="center"/>
              <w:rPr>
                <w:rFonts w:hint="default" w:ascii="Times New Roman" w:hAnsi="Times New Roman" w:eastAsia="方正仿宋_GBK" w:cs="Times New Roman"/>
                <w:i w:val="0"/>
                <w:color w:val="auto"/>
                <w:sz w:val="18"/>
                <w:szCs w:val="18"/>
                <w:u w:val="none"/>
              </w:rPr>
            </w:pPr>
            <w:r>
              <w:rPr>
                <w:rFonts w:hint="default" w:ascii="Times New Roman" w:hAnsi="Times New Roman" w:eastAsia="方正仿宋_GBK" w:cs="Times New Roman"/>
                <w:i w:val="0"/>
                <w:color w:val="auto"/>
                <w:kern w:val="0"/>
                <w:sz w:val="18"/>
                <w:szCs w:val="18"/>
                <w:u w:val="none"/>
                <w:lang w:val="en-US" w:eastAsia="zh-CN" w:bidi="ar"/>
              </w:rPr>
              <w:t>20</w:t>
            </w:r>
          </w:p>
        </w:tc>
        <w:tc>
          <w:tcPr>
            <w:tcW w:w="2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N/>
              <w:bidi w:val="0"/>
              <w:adjustRightInd/>
              <w:jc w:val="both"/>
              <w:rPr>
                <w:rFonts w:hint="default" w:ascii="Times New Roman" w:hAnsi="Times New Roman" w:eastAsia="方正仿宋_GBK" w:cs="Times New Roman"/>
                <w:i w:val="0"/>
                <w:color w:val="000000"/>
                <w:sz w:val="18"/>
                <w:szCs w:val="18"/>
                <w:u w:val="none"/>
              </w:rPr>
            </w:pPr>
          </w:p>
        </w:tc>
        <w:tc>
          <w:tcPr>
            <w:tcW w:w="50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jc w:val="both"/>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jc w:val="center"/>
        </w:trPr>
        <w:tc>
          <w:tcPr>
            <w:tcW w:w="45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N/>
              <w:bidi w:val="0"/>
              <w:adjustRightInd/>
              <w:jc w:val="both"/>
              <w:rPr>
                <w:rFonts w:hint="default" w:ascii="Times New Roman" w:hAnsi="Times New Roman" w:eastAsia="宋体" w:cs="Times New Roman"/>
                <w:i w:val="0"/>
                <w:color w:val="000000"/>
                <w:sz w:val="22"/>
                <w:szCs w:val="22"/>
                <w:u w:val="none"/>
              </w:rPr>
            </w:pPr>
          </w:p>
        </w:tc>
        <w:tc>
          <w:tcPr>
            <w:tcW w:w="178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N/>
              <w:bidi w:val="0"/>
              <w:adjustRightInd/>
              <w:jc w:val="both"/>
              <w:rPr>
                <w:rFonts w:hint="default" w:ascii="Times New Roman" w:hAnsi="Times New Roman" w:eastAsia="方正仿宋_GBK" w:cs="Times New Roman"/>
                <w:i w:val="0"/>
                <w:color w:val="000000"/>
                <w:sz w:val="18"/>
                <w:szCs w:val="18"/>
                <w:u w:val="none"/>
              </w:rPr>
            </w:pPr>
          </w:p>
        </w:tc>
        <w:tc>
          <w:tcPr>
            <w:tcW w:w="276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jc w:val="both"/>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职业培训补贴发放准确率</w:t>
            </w:r>
          </w:p>
        </w:tc>
        <w:tc>
          <w:tcPr>
            <w:tcW w:w="5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jc w:val="both"/>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w:t>
            </w:r>
          </w:p>
        </w:tc>
        <w:tc>
          <w:tcPr>
            <w:tcW w:w="7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jc w:val="both"/>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95</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jc w:val="both"/>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w:t>
            </w:r>
          </w:p>
        </w:tc>
        <w:tc>
          <w:tcPr>
            <w:tcW w:w="3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jc w:val="both"/>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20</w:t>
            </w:r>
          </w:p>
        </w:tc>
        <w:tc>
          <w:tcPr>
            <w:tcW w:w="7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jc w:val="both"/>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95</w:t>
            </w:r>
          </w:p>
        </w:tc>
        <w:tc>
          <w:tcPr>
            <w:tcW w:w="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jc w:val="both"/>
              <w:textAlignment w:val="center"/>
              <w:rPr>
                <w:rFonts w:hint="default" w:ascii="Times New Roman" w:hAnsi="Times New Roman" w:eastAsia="方正仿宋_GBK" w:cs="Times New Roman"/>
                <w:i w:val="0"/>
                <w:color w:val="auto"/>
                <w:sz w:val="18"/>
                <w:szCs w:val="18"/>
                <w:u w:val="none"/>
              </w:rPr>
            </w:pPr>
            <w:r>
              <w:rPr>
                <w:rFonts w:hint="default" w:ascii="Times New Roman" w:hAnsi="Times New Roman" w:eastAsia="方正仿宋_GBK" w:cs="Times New Roman"/>
                <w:i w:val="0"/>
                <w:color w:val="auto"/>
                <w:kern w:val="0"/>
                <w:sz w:val="18"/>
                <w:szCs w:val="18"/>
                <w:u w:val="none"/>
                <w:lang w:val="en-US" w:eastAsia="zh-CN" w:bidi="ar"/>
              </w:rPr>
              <w:t>20</w:t>
            </w:r>
          </w:p>
        </w:tc>
        <w:tc>
          <w:tcPr>
            <w:tcW w:w="2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N/>
              <w:bidi w:val="0"/>
              <w:adjustRightInd/>
              <w:jc w:val="both"/>
              <w:rPr>
                <w:rFonts w:hint="default" w:ascii="Times New Roman" w:hAnsi="Times New Roman" w:eastAsia="方正仿宋_GBK" w:cs="Times New Roman"/>
                <w:i w:val="0"/>
                <w:color w:val="000000"/>
                <w:sz w:val="18"/>
                <w:szCs w:val="18"/>
                <w:u w:val="none"/>
              </w:rPr>
            </w:pPr>
          </w:p>
        </w:tc>
        <w:tc>
          <w:tcPr>
            <w:tcW w:w="50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N/>
              <w:bidi w:val="0"/>
              <w:adjustRightInd/>
              <w:jc w:val="both"/>
              <w:rPr>
                <w:rFonts w:hint="default" w:ascii="Times New Roman" w:hAnsi="Times New Roman" w:eastAsia="宋体"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jc w:val="center"/>
        </w:trPr>
        <w:tc>
          <w:tcPr>
            <w:tcW w:w="45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N/>
              <w:bidi w:val="0"/>
              <w:adjustRightInd/>
              <w:jc w:val="both"/>
              <w:rPr>
                <w:rFonts w:hint="default" w:ascii="Times New Roman" w:hAnsi="Times New Roman" w:eastAsia="宋体" w:cs="Times New Roman"/>
                <w:i w:val="0"/>
                <w:color w:val="000000"/>
                <w:sz w:val="22"/>
                <w:szCs w:val="22"/>
                <w:u w:val="none"/>
              </w:rPr>
            </w:pPr>
          </w:p>
        </w:tc>
        <w:tc>
          <w:tcPr>
            <w:tcW w:w="178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N/>
              <w:bidi w:val="0"/>
              <w:adjustRightInd/>
              <w:jc w:val="both"/>
              <w:rPr>
                <w:rFonts w:hint="default" w:ascii="Times New Roman" w:hAnsi="Times New Roman" w:eastAsia="方正仿宋_GBK" w:cs="Times New Roman"/>
                <w:i w:val="0"/>
                <w:color w:val="000000"/>
                <w:sz w:val="18"/>
                <w:szCs w:val="18"/>
                <w:u w:val="none"/>
              </w:rPr>
            </w:pPr>
          </w:p>
        </w:tc>
        <w:tc>
          <w:tcPr>
            <w:tcW w:w="276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jc w:val="both"/>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资金在规定时间内下达率</w:t>
            </w:r>
          </w:p>
        </w:tc>
        <w:tc>
          <w:tcPr>
            <w:tcW w:w="5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jc w:val="both"/>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w:t>
            </w:r>
          </w:p>
        </w:tc>
        <w:tc>
          <w:tcPr>
            <w:tcW w:w="7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jc w:val="both"/>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95</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jc w:val="both"/>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w:t>
            </w:r>
          </w:p>
        </w:tc>
        <w:tc>
          <w:tcPr>
            <w:tcW w:w="3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jc w:val="both"/>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20</w:t>
            </w:r>
          </w:p>
        </w:tc>
        <w:tc>
          <w:tcPr>
            <w:tcW w:w="7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jc w:val="both"/>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98</w:t>
            </w:r>
          </w:p>
        </w:tc>
        <w:tc>
          <w:tcPr>
            <w:tcW w:w="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jc w:val="both"/>
              <w:textAlignment w:val="center"/>
              <w:rPr>
                <w:rFonts w:hint="default" w:ascii="Times New Roman" w:hAnsi="Times New Roman" w:eastAsia="方正仿宋_GBK" w:cs="Times New Roman"/>
                <w:i w:val="0"/>
                <w:color w:val="auto"/>
                <w:sz w:val="18"/>
                <w:szCs w:val="18"/>
                <w:u w:val="none"/>
              </w:rPr>
            </w:pPr>
            <w:r>
              <w:rPr>
                <w:rFonts w:hint="default" w:ascii="Times New Roman" w:hAnsi="Times New Roman" w:eastAsia="方正仿宋_GBK" w:cs="Times New Roman"/>
                <w:i w:val="0"/>
                <w:color w:val="auto"/>
                <w:kern w:val="0"/>
                <w:sz w:val="18"/>
                <w:szCs w:val="18"/>
                <w:u w:val="none"/>
                <w:lang w:val="en-US" w:eastAsia="zh-CN" w:bidi="ar"/>
              </w:rPr>
              <w:t>20</w:t>
            </w:r>
          </w:p>
        </w:tc>
        <w:tc>
          <w:tcPr>
            <w:tcW w:w="2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N/>
              <w:bidi w:val="0"/>
              <w:adjustRightInd/>
              <w:jc w:val="both"/>
              <w:rPr>
                <w:rFonts w:hint="default" w:ascii="Times New Roman" w:hAnsi="Times New Roman" w:eastAsia="方正仿宋_GBK" w:cs="Times New Roman"/>
                <w:i w:val="0"/>
                <w:color w:val="000000"/>
                <w:sz w:val="18"/>
                <w:szCs w:val="18"/>
                <w:u w:val="none"/>
              </w:rPr>
            </w:pPr>
          </w:p>
        </w:tc>
        <w:tc>
          <w:tcPr>
            <w:tcW w:w="50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N/>
              <w:bidi w:val="0"/>
              <w:adjustRightInd/>
              <w:jc w:val="both"/>
              <w:rPr>
                <w:rFonts w:hint="default" w:ascii="Times New Roman" w:hAnsi="Times New Roman" w:eastAsia="宋体"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jc w:val="center"/>
        </w:trPr>
        <w:tc>
          <w:tcPr>
            <w:tcW w:w="45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N/>
              <w:bidi w:val="0"/>
              <w:adjustRightInd/>
              <w:jc w:val="both"/>
              <w:rPr>
                <w:rFonts w:hint="default" w:ascii="Times New Roman" w:hAnsi="Times New Roman" w:eastAsia="宋体" w:cs="Times New Roman"/>
                <w:i w:val="0"/>
                <w:color w:val="000000"/>
                <w:sz w:val="22"/>
                <w:szCs w:val="22"/>
                <w:u w:val="none"/>
              </w:rPr>
            </w:pPr>
          </w:p>
        </w:tc>
        <w:tc>
          <w:tcPr>
            <w:tcW w:w="178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N/>
              <w:bidi w:val="0"/>
              <w:adjustRightInd/>
              <w:jc w:val="both"/>
              <w:rPr>
                <w:rFonts w:hint="default" w:ascii="Times New Roman" w:hAnsi="Times New Roman" w:eastAsia="方正仿宋_GBK" w:cs="Times New Roman"/>
                <w:i w:val="0"/>
                <w:color w:val="000000"/>
                <w:sz w:val="18"/>
                <w:szCs w:val="18"/>
                <w:u w:val="none"/>
              </w:rPr>
            </w:pPr>
          </w:p>
        </w:tc>
        <w:tc>
          <w:tcPr>
            <w:tcW w:w="276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jc w:val="both"/>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年末高校毕业生总体就业率</w:t>
            </w:r>
          </w:p>
        </w:tc>
        <w:tc>
          <w:tcPr>
            <w:tcW w:w="5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jc w:val="both"/>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w:t>
            </w:r>
          </w:p>
        </w:tc>
        <w:tc>
          <w:tcPr>
            <w:tcW w:w="7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jc w:val="both"/>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90</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jc w:val="both"/>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w:t>
            </w:r>
          </w:p>
        </w:tc>
        <w:tc>
          <w:tcPr>
            <w:tcW w:w="3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jc w:val="both"/>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20</w:t>
            </w:r>
          </w:p>
        </w:tc>
        <w:tc>
          <w:tcPr>
            <w:tcW w:w="7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jc w:val="both"/>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90</w:t>
            </w:r>
          </w:p>
        </w:tc>
        <w:tc>
          <w:tcPr>
            <w:tcW w:w="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jc w:val="both"/>
              <w:textAlignment w:val="center"/>
              <w:rPr>
                <w:rFonts w:hint="default" w:ascii="Times New Roman" w:hAnsi="Times New Roman" w:eastAsia="方正仿宋_GBK" w:cs="Times New Roman"/>
                <w:i w:val="0"/>
                <w:color w:val="auto"/>
                <w:sz w:val="18"/>
                <w:szCs w:val="18"/>
                <w:u w:val="none"/>
              </w:rPr>
            </w:pPr>
            <w:r>
              <w:rPr>
                <w:rFonts w:hint="default" w:ascii="Times New Roman" w:hAnsi="Times New Roman" w:eastAsia="方正仿宋_GBK" w:cs="Times New Roman"/>
                <w:i w:val="0"/>
                <w:color w:val="auto"/>
                <w:kern w:val="0"/>
                <w:sz w:val="18"/>
                <w:szCs w:val="18"/>
                <w:u w:val="none"/>
                <w:lang w:val="en-US" w:eastAsia="zh-CN" w:bidi="ar"/>
              </w:rPr>
              <w:t>20</w:t>
            </w:r>
          </w:p>
        </w:tc>
        <w:tc>
          <w:tcPr>
            <w:tcW w:w="2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N/>
              <w:bidi w:val="0"/>
              <w:adjustRightInd/>
              <w:jc w:val="both"/>
              <w:rPr>
                <w:rFonts w:hint="default" w:ascii="Times New Roman" w:hAnsi="Times New Roman" w:eastAsia="方正仿宋_GBK" w:cs="Times New Roman"/>
                <w:i w:val="0"/>
                <w:color w:val="000000"/>
                <w:sz w:val="18"/>
                <w:szCs w:val="18"/>
                <w:u w:val="none"/>
              </w:rPr>
            </w:pPr>
          </w:p>
        </w:tc>
        <w:tc>
          <w:tcPr>
            <w:tcW w:w="50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N/>
              <w:bidi w:val="0"/>
              <w:adjustRightInd/>
              <w:jc w:val="both"/>
              <w:rPr>
                <w:rFonts w:hint="default" w:ascii="Times New Roman" w:hAnsi="Times New Roman" w:eastAsia="宋体"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jc w:val="center"/>
        </w:trPr>
        <w:tc>
          <w:tcPr>
            <w:tcW w:w="45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N/>
              <w:bidi w:val="0"/>
              <w:adjustRightInd/>
              <w:jc w:val="both"/>
              <w:rPr>
                <w:rFonts w:hint="default" w:ascii="Times New Roman" w:hAnsi="Times New Roman" w:eastAsia="宋体" w:cs="Times New Roman"/>
                <w:i w:val="0"/>
                <w:color w:val="000000"/>
                <w:sz w:val="22"/>
                <w:szCs w:val="22"/>
                <w:u w:val="none"/>
              </w:rPr>
            </w:pPr>
          </w:p>
        </w:tc>
        <w:tc>
          <w:tcPr>
            <w:tcW w:w="178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N/>
              <w:bidi w:val="0"/>
              <w:adjustRightInd/>
              <w:jc w:val="both"/>
              <w:rPr>
                <w:rFonts w:hint="default" w:ascii="Times New Roman" w:hAnsi="Times New Roman" w:eastAsia="方正仿宋_GBK" w:cs="Times New Roman"/>
                <w:i w:val="0"/>
                <w:color w:val="000000"/>
                <w:sz w:val="18"/>
                <w:szCs w:val="18"/>
                <w:u w:val="none"/>
              </w:rPr>
            </w:pPr>
          </w:p>
        </w:tc>
        <w:tc>
          <w:tcPr>
            <w:tcW w:w="276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jc w:val="both"/>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就业扶持政策经办服务满意度</w:t>
            </w:r>
          </w:p>
        </w:tc>
        <w:tc>
          <w:tcPr>
            <w:tcW w:w="5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jc w:val="both"/>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w:t>
            </w:r>
          </w:p>
        </w:tc>
        <w:tc>
          <w:tcPr>
            <w:tcW w:w="7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jc w:val="both"/>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95</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jc w:val="both"/>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w:t>
            </w:r>
          </w:p>
        </w:tc>
        <w:tc>
          <w:tcPr>
            <w:tcW w:w="3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jc w:val="both"/>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20</w:t>
            </w:r>
          </w:p>
        </w:tc>
        <w:tc>
          <w:tcPr>
            <w:tcW w:w="7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jc w:val="both"/>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95</w:t>
            </w:r>
          </w:p>
        </w:tc>
        <w:tc>
          <w:tcPr>
            <w:tcW w:w="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jc w:val="both"/>
              <w:textAlignment w:val="center"/>
              <w:rPr>
                <w:rFonts w:hint="default" w:ascii="Times New Roman" w:hAnsi="Times New Roman" w:eastAsia="方正仿宋_GBK" w:cs="Times New Roman"/>
                <w:i w:val="0"/>
                <w:color w:val="auto"/>
                <w:sz w:val="18"/>
                <w:szCs w:val="18"/>
                <w:u w:val="none"/>
              </w:rPr>
            </w:pPr>
            <w:r>
              <w:rPr>
                <w:rFonts w:hint="default" w:ascii="Times New Roman" w:hAnsi="Times New Roman" w:eastAsia="方正仿宋_GBK" w:cs="Times New Roman"/>
                <w:i w:val="0"/>
                <w:color w:val="auto"/>
                <w:kern w:val="0"/>
                <w:sz w:val="18"/>
                <w:szCs w:val="18"/>
                <w:u w:val="none"/>
                <w:lang w:val="en-US" w:eastAsia="zh-CN" w:bidi="ar"/>
              </w:rPr>
              <w:t>20</w:t>
            </w:r>
          </w:p>
        </w:tc>
        <w:tc>
          <w:tcPr>
            <w:tcW w:w="2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N/>
              <w:bidi w:val="0"/>
              <w:adjustRightInd/>
              <w:jc w:val="both"/>
              <w:rPr>
                <w:rFonts w:hint="default" w:ascii="Times New Roman" w:hAnsi="Times New Roman" w:eastAsia="方正仿宋_GBK" w:cs="Times New Roman"/>
                <w:i w:val="0"/>
                <w:color w:val="000000"/>
                <w:sz w:val="18"/>
                <w:szCs w:val="18"/>
                <w:u w:val="none"/>
              </w:rPr>
            </w:pPr>
          </w:p>
        </w:tc>
        <w:tc>
          <w:tcPr>
            <w:tcW w:w="50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N/>
              <w:bidi w:val="0"/>
              <w:adjustRightInd/>
              <w:jc w:val="both"/>
              <w:rPr>
                <w:rFonts w:hint="default" w:ascii="Times New Roman" w:hAnsi="Times New Roman" w:eastAsia="宋体" w:cs="Times New Roman"/>
                <w:i w:val="0"/>
                <w:color w:val="000000"/>
                <w:sz w:val="18"/>
                <w:szCs w:val="18"/>
                <w:u w:val="none"/>
              </w:rPr>
            </w:pPr>
          </w:p>
        </w:tc>
      </w:tr>
    </w:tbl>
    <w:p>
      <w:pPr>
        <w:pStyle w:val="11"/>
        <w:autoSpaceDE w:val="0"/>
        <w:ind w:firstLine="640"/>
        <w:rPr>
          <w:rFonts w:hint="default" w:ascii="Times New Roman" w:hAnsi="Times New Roman" w:eastAsia="楷体" w:cs="Times New Roman"/>
          <w:b/>
          <w:bCs/>
          <w:sz w:val="32"/>
          <w:szCs w:val="32"/>
          <w:shd w:val="clear" w:color="auto" w:fill="FFFFFF"/>
          <w:lang w:val="en-US" w:eastAsia="zh-CN" w:bidi="ar"/>
        </w:rPr>
      </w:pPr>
      <w:r>
        <w:rPr>
          <w:rFonts w:hint="default" w:ascii="Times New Roman" w:hAnsi="Times New Roman" w:eastAsia="楷体" w:cs="Times New Roman"/>
          <w:b/>
          <w:bCs/>
          <w:sz w:val="32"/>
          <w:szCs w:val="32"/>
          <w:shd w:val="clear" w:color="auto" w:fill="FFFFFF"/>
          <w:lang w:val="en-US" w:eastAsia="zh-CN" w:bidi="ar"/>
        </w:rPr>
        <w:t>（二）</w:t>
      </w:r>
      <w:r>
        <w:rPr>
          <w:rFonts w:hint="eastAsia" w:ascii="Times New Roman" w:hAnsi="Times New Roman" w:eastAsia="楷体" w:cs="Times New Roman"/>
          <w:b/>
          <w:bCs/>
          <w:sz w:val="32"/>
          <w:szCs w:val="32"/>
          <w:shd w:val="clear" w:color="auto" w:fill="FFFFFF"/>
          <w:lang w:val="en-US" w:eastAsia="zh-CN" w:bidi="ar"/>
        </w:rPr>
        <w:t>部门</w:t>
      </w:r>
      <w:r>
        <w:rPr>
          <w:rFonts w:hint="default" w:ascii="Times New Roman" w:hAnsi="Times New Roman" w:eastAsia="楷体" w:cs="Times New Roman"/>
          <w:b/>
          <w:bCs/>
          <w:sz w:val="32"/>
          <w:szCs w:val="32"/>
          <w:shd w:val="clear" w:color="auto" w:fill="FFFFFF"/>
          <w:lang w:val="en-US" w:eastAsia="zh-CN" w:bidi="ar"/>
        </w:rPr>
        <w:t>绩效评价情况</w:t>
      </w:r>
    </w:p>
    <w:p>
      <w:pPr>
        <w:pStyle w:val="11"/>
        <w:keepNext w:val="0"/>
        <w:keepLines w:val="0"/>
        <w:pageBreakBefore w:val="0"/>
        <w:widowControl/>
        <w:numPr>
          <w:ilvl w:val="0"/>
          <w:numId w:val="0"/>
        </w:numPr>
        <w:kinsoku/>
        <w:wordWrap/>
        <w:overflowPunct/>
        <w:topLinePunct w:val="0"/>
        <w:autoSpaceDE w:val="0"/>
        <w:autoSpaceDN/>
        <w:bidi w:val="0"/>
        <w:adjustRightInd/>
        <w:spacing w:beforeAutospacing="0" w:afterAutospacing="0" w:line="560" w:lineRule="exact"/>
        <w:ind w:firstLine="640" w:firstLineChars="200"/>
        <w:jc w:val="both"/>
        <w:textAlignment w:val="auto"/>
        <w:outlineLvl w:val="9"/>
        <w:rPr>
          <w:rFonts w:hint="default" w:ascii="Times New Roman" w:hAnsi="Times New Roman" w:eastAsia="方正仿宋_GBK" w:cs="Times New Roman"/>
          <w:sz w:val="32"/>
          <w:szCs w:val="32"/>
          <w:shd w:val="clear" w:color="auto" w:fill="FFFFFF"/>
          <w:lang w:val="zh-CN" w:eastAsia="zh-CN" w:bidi="ar-SA"/>
        </w:rPr>
      </w:pPr>
      <w:r>
        <w:rPr>
          <w:rFonts w:hint="eastAsia" w:ascii="Times New Roman" w:hAnsi="Times New Roman" w:eastAsia="方正仿宋_GBK" w:cs="Times New Roman"/>
          <w:sz w:val="32"/>
          <w:szCs w:val="32"/>
          <w:shd w:val="clear" w:color="auto" w:fill="FFFFFF"/>
          <w:lang w:val="zh-CN" w:eastAsia="zh-CN" w:bidi="ar-SA"/>
        </w:rPr>
        <w:t>本部门</w:t>
      </w:r>
      <w:r>
        <w:rPr>
          <w:rFonts w:hint="default" w:ascii="Times New Roman" w:hAnsi="Times New Roman" w:eastAsia="方正仿宋_GBK" w:cs="Times New Roman"/>
          <w:sz w:val="32"/>
          <w:szCs w:val="32"/>
          <w:shd w:val="clear" w:color="auto" w:fill="FFFFFF"/>
          <w:lang w:val="zh-CN" w:eastAsia="zh-CN" w:bidi="ar-SA"/>
        </w:rPr>
        <w:t>对</w:t>
      </w:r>
      <w:r>
        <w:rPr>
          <w:rFonts w:hint="default" w:ascii="Times New Roman" w:hAnsi="Times New Roman" w:eastAsia="方正仿宋_GBK" w:cs="Times New Roman"/>
          <w:sz w:val="32"/>
          <w:szCs w:val="32"/>
          <w:shd w:val="clear" w:color="auto" w:fill="FFFFFF"/>
          <w:lang w:val="en-US" w:eastAsia="zh-CN" w:bidi="ar-SA"/>
        </w:rPr>
        <w:t>秀山县2024年低收入人口培训及转移就业项目（2024年德州帮扶）</w:t>
      </w:r>
      <w:r>
        <w:rPr>
          <w:rFonts w:hint="default" w:ascii="Times New Roman" w:hAnsi="Times New Roman" w:eastAsia="方正仿宋_GBK" w:cs="Times New Roman"/>
          <w:sz w:val="32"/>
          <w:szCs w:val="32"/>
          <w:shd w:val="clear" w:color="auto" w:fill="FFFFFF"/>
          <w:lang w:val="zh-CN" w:eastAsia="zh-CN" w:bidi="ar-SA"/>
        </w:rPr>
        <w:t>开展了绩效评价，涉及财政拨款项目资金</w:t>
      </w:r>
      <w:r>
        <w:rPr>
          <w:rFonts w:hint="default" w:ascii="Times New Roman" w:hAnsi="Times New Roman" w:eastAsia="方正仿宋_GBK" w:cs="Times New Roman"/>
          <w:sz w:val="32"/>
          <w:szCs w:val="32"/>
          <w:shd w:val="clear" w:color="auto" w:fill="FFFFFF"/>
          <w:lang w:val="en-US" w:eastAsia="zh-CN" w:bidi="ar-SA"/>
        </w:rPr>
        <w:t>155</w:t>
      </w:r>
      <w:r>
        <w:rPr>
          <w:rFonts w:hint="default" w:ascii="Times New Roman" w:hAnsi="Times New Roman" w:eastAsia="方正仿宋_GBK" w:cs="Times New Roman"/>
          <w:sz w:val="32"/>
          <w:szCs w:val="32"/>
          <w:shd w:val="clear" w:color="auto" w:fill="FFFFFF"/>
          <w:lang w:val="zh-CN" w:eastAsia="zh-CN" w:bidi="ar-SA"/>
        </w:rPr>
        <w:t>万元，评价得分</w:t>
      </w:r>
      <w:r>
        <w:rPr>
          <w:rFonts w:hint="default" w:ascii="Times New Roman" w:hAnsi="Times New Roman" w:eastAsia="方正仿宋_GBK" w:cs="Times New Roman"/>
          <w:sz w:val="32"/>
          <w:szCs w:val="32"/>
          <w:shd w:val="clear" w:color="auto" w:fill="FFFFFF"/>
          <w:lang w:val="en-US" w:eastAsia="zh-CN" w:bidi="ar-SA"/>
        </w:rPr>
        <w:t>99.72</w:t>
      </w:r>
      <w:r>
        <w:rPr>
          <w:rFonts w:hint="default" w:ascii="Times New Roman" w:hAnsi="Times New Roman" w:eastAsia="方正仿宋_GBK" w:cs="Times New Roman"/>
          <w:sz w:val="32"/>
          <w:szCs w:val="32"/>
          <w:shd w:val="clear" w:color="auto" w:fill="FFFFFF"/>
          <w:lang w:val="zh-CN" w:eastAsia="zh-CN" w:bidi="ar-SA"/>
        </w:rPr>
        <w:t>分，评价等次为优；对春节走访慰问活动经费项目开展了绩效评价，涉及财政拨款项目资金18.07万元，评价得分100分，评价等次为优；对资产处置专项经费开展了绩效评价，涉及财政拨款项目资金44.17万元，评价得分100分，评价等次为优；对秀山县2024—2025年跨区域交通补贴（二批）开展了绩效评价，涉及财政拨款项目资金</w:t>
      </w:r>
      <w:r>
        <w:rPr>
          <w:rFonts w:hint="default" w:ascii="Times New Roman" w:hAnsi="Times New Roman" w:eastAsia="方正仿宋_GBK" w:cs="Times New Roman"/>
          <w:sz w:val="32"/>
          <w:szCs w:val="32"/>
          <w:shd w:val="clear" w:color="auto" w:fill="FFFFFF"/>
          <w:lang w:val="en-US" w:eastAsia="zh-CN" w:bidi="ar-SA"/>
        </w:rPr>
        <w:t>100</w:t>
      </w:r>
      <w:r>
        <w:rPr>
          <w:rFonts w:hint="default" w:ascii="Times New Roman" w:hAnsi="Times New Roman" w:eastAsia="方正仿宋_GBK" w:cs="Times New Roman"/>
          <w:sz w:val="32"/>
          <w:szCs w:val="32"/>
          <w:shd w:val="clear" w:color="auto" w:fill="FFFFFF"/>
          <w:lang w:val="zh-CN" w:eastAsia="zh-CN" w:bidi="ar-SA"/>
        </w:rPr>
        <w:t>万元，评价得分50.79分，评价等次</w:t>
      </w:r>
      <w:r>
        <w:rPr>
          <w:rFonts w:hint="default" w:ascii="Times New Roman" w:hAnsi="Times New Roman" w:eastAsia="方正仿宋_GBK" w:cs="Times New Roman"/>
          <w:color w:val="auto"/>
          <w:sz w:val="32"/>
          <w:szCs w:val="32"/>
          <w:shd w:val="clear" w:color="auto" w:fill="FFFFFF"/>
          <w:lang w:val="zh-CN" w:eastAsia="zh-CN" w:bidi="ar-SA"/>
        </w:rPr>
        <w:t>为良好</w:t>
      </w:r>
      <w:r>
        <w:rPr>
          <w:rFonts w:hint="default" w:ascii="Times New Roman" w:hAnsi="Times New Roman" w:eastAsia="方正仿宋_GBK" w:cs="Times New Roman"/>
          <w:sz w:val="32"/>
          <w:szCs w:val="32"/>
          <w:shd w:val="clear" w:color="auto" w:fill="FFFFFF"/>
          <w:lang w:val="zh-CN" w:eastAsia="zh-CN" w:bidi="ar-SA"/>
        </w:rPr>
        <w:t>；对创业担保贷款贴息及奖补开展了绩效评价，涉及财政拨款项目资金</w:t>
      </w:r>
      <w:r>
        <w:rPr>
          <w:rFonts w:hint="default" w:ascii="Times New Roman" w:hAnsi="Times New Roman" w:eastAsia="方正仿宋_GBK" w:cs="Times New Roman"/>
          <w:sz w:val="32"/>
          <w:szCs w:val="32"/>
          <w:shd w:val="clear" w:color="auto" w:fill="FFFFFF"/>
          <w:lang w:val="en-US" w:eastAsia="zh-CN" w:bidi="ar-SA"/>
        </w:rPr>
        <w:t>17.13</w:t>
      </w:r>
      <w:r>
        <w:rPr>
          <w:rFonts w:hint="default" w:ascii="Times New Roman" w:hAnsi="Times New Roman" w:eastAsia="方正仿宋_GBK" w:cs="Times New Roman"/>
          <w:sz w:val="32"/>
          <w:szCs w:val="32"/>
          <w:shd w:val="clear" w:color="auto" w:fill="FFFFFF"/>
          <w:lang w:val="zh-CN" w:eastAsia="zh-CN" w:bidi="ar-SA"/>
        </w:rPr>
        <w:t>万元，评价得分100分，评价等次为优；对惠普金融发展专项资金（中央）开展了绩效评价，涉及财政拨款项目资金</w:t>
      </w:r>
      <w:r>
        <w:rPr>
          <w:rFonts w:hint="default" w:ascii="Times New Roman" w:hAnsi="Times New Roman" w:eastAsia="方正仿宋_GBK" w:cs="Times New Roman"/>
          <w:sz w:val="32"/>
          <w:szCs w:val="32"/>
          <w:shd w:val="clear" w:color="auto" w:fill="FFFFFF"/>
          <w:lang w:val="en-US" w:eastAsia="zh-CN" w:bidi="ar-SA"/>
        </w:rPr>
        <w:t>302.84</w:t>
      </w:r>
      <w:r>
        <w:rPr>
          <w:rFonts w:hint="default" w:ascii="Times New Roman" w:hAnsi="Times New Roman" w:eastAsia="方正仿宋_GBK" w:cs="Times New Roman"/>
          <w:sz w:val="32"/>
          <w:szCs w:val="32"/>
          <w:shd w:val="clear" w:color="auto" w:fill="FFFFFF"/>
          <w:lang w:val="zh-CN" w:eastAsia="zh-CN" w:bidi="ar-SA"/>
        </w:rPr>
        <w:t>万元，评价得分</w:t>
      </w:r>
      <w:r>
        <w:rPr>
          <w:rFonts w:hint="default" w:ascii="Times New Roman" w:hAnsi="Times New Roman" w:eastAsia="方正仿宋_GBK" w:cs="Times New Roman"/>
          <w:sz w:val="32"/>
          <w:szCs w:val="32"/>
          <w:shd w:val="clear" w:color="auto" w:fill="FFFFFF"/>
          <w:lang w:val="en-US" w:eastAsia="zh-CN" w:bidi="ar-SA"/>
        </w:rPr>
        <w:t>97.99</w:t>
      </w:r>
      <w:r>
        <w:rPr>
          <w:rFonts w:hint="default" w:ascii="Times New Roman" w:hAnsi="Times New Roman" w:eastAsia="方正仿宋_GBK" w:cs="Times New Roman"/>
          <w:sz w:val="32"/>
          <w:szCs w:val="32"/>
          <w:shd w:val="clear" w:color="auto" w:fill="FFFFFF"/>
          <w:lang w:val="zh-CN" w:eastAsia="zh-CN" w:bidi="ar-SA"/>
        </w:rPr>
        <w:t>分，评价等次为优；对中央就业补助资金开展了绩效评价，涉及财政拨款项目资金</w:t>
      </w:r>
      <w:r>
        <w:rPr>
          <w:rFonts w:hint="default" w:ascii="Times New Roman" w:hAnsi="Times New Roman" w:eastAsia="方正仿宋_GBK" w:cs="Times New Roman"/>
          <w:sz w:val="32"/>
          <w:szCs w:val="32"/>
          <w:shd w:val="clear" w:color="auto" w:fill="FFFFFF"/>
          <w:lang w:val="en-US" w:eastAsia="zh-CN" w:bidi="ar-SA"/>
        </w:rPr>
        <w:t>5065</w:t>
      </w:r>
      <w:r>
        <w:rPr>
          <w:rFonts w:hint="default" w:ascii="Times New Roman" w:hAnsi="Times New Roman" w:eastAsia="方正仿宋_GBK" w:cs="Times New Roman"/>
          <w:sz w:val="32"/>
          <w:szCs w:val="32"/>
          <w:shd w:val="clear" w:color="auto" w:fill="FFFFFF"/>
          <w:lang w:val="zh-CN" w:eastAsia="zh-CN" w:bidi="ar-SA"/>
        </w:rPr>
        <w:t>万元，评价得分</w:t>
      </w:r>
      <w:r>
        <w:rPr>
          <w:rFonts w:hint="default" w:ascii="Times New Roman" w:hAnsi="Times New Roman" w:eastAsia="方正仿宋_GBK" w:cs="Times New Roman"/>
          <w:sz w:val="32"/>
          <w:szCs w:val="32"/>
          <w:shd w:val="clear" w:color="auto" w:fill="FFFFFF"/>
          <w:lang w:val="en-US" w:eastAsia="zh-CN" w:bidi="ar-SA"/>
        </w:rPr>
        <w:t>99.11</w:t>
      </w:r>
      <w:r>
        <w:rPr>
          <w:rFonts w:hint="default" w:ascii="Times New Roman" w:hAnsi="Times New Roman" w:eastAsia="方正仿宋_GBK" w:cs="Times New Roman"/>
          <w:sz w:val="32"/>
          <w:szCs w:val="32"/>
          <w:shd w:val="clear" w:color="auto" w:fill="FFFFFF"/>
          <w:lang w:val="zh-CN" w:eastAsia="zh-CN" w:bidi="ar-SA"/>
        </w:rPr>
        <w:t>分，评价等次为优；对2024年脱贫人口跨区域务工交通补助项目[-]-渝财农〔2024〕26号开展了绩效评价，涉及财政拨款项目资金</w:t>
      </w:r>
      <w:r>
        <w:rPr>
          <w:rFonts w:hint="default" w:ascii="Times New Roman" w:hAnsi="Times New Roman" w:eastAsia="方正仿宋_GBK" w:cs="Times New Roman"/>
          <w:sz w:val="32"/>
          <w:szCs w:val="32"/>
          <w:shd w:val="clear" w:color="auto" w:fill="FFFFFF"/>
          <w:lang w:val="en-US" w:eastAsia="zh-CN" w:bidi="ar-SA"/>
        </w:rPr>
        <w:t>100</w:t>
      </w:r>
      <w:r>
        <w:rPr>
          <w:rFonts w:hint="default" w:ascii="Times New Roman" w:hAnsi="Times New Roman" w:eastAsia="方正仿宋_GBK" w:cs="Times New Roman"/>
          <w:sz w:val="32"/>
          <w:szCs w:val="32"/>
          <w:shd w:val="clear" w:color="auto" w:fill="FFFFFF"/>
          <w:lang w:val="zh-CN" w:eastAsia="zh-CN" w:bidi="ar-SA"/>
        </w:rPr>
        <w:t>万元，评价得分100分，评价等次为优；对2024年合川秀山劳务转移及劳动力培训项目-渝财预〔2023〕39号开展了绩效评价，涉及财政拨款项目资金</w:t>
      </w:r>
      <w:r>
        <w:rPr>
          <w:rFonts w:hint="default" w:ascii="Times New Roman" w:hAnsi="Times New Roman" w:eastAsia="方正仿宋_GBK" w:cs="Times New Roman"/>
          <w:sz w:val="32"/>
          <w:szCs w:val="32"/>
          <w:shd w:val="clear" w:color="auto" w:fill="FFFFFF"/>
          <w:lang w:val="en-US" w:eastAsia="zh-CN" w:bidi="ar-SA"/>
        </w:rPr>
        <w:t>30</w:t>
      </w:r>
      <w:r>
        <w:rPr>
          <w:rFonts w:hint="default" w:ascii="Times New Roman" w:hAnsi="Times New Roman" w:eastAsia="方正仿宋_GBK" w:cs="Times New Roman"/>
          <w:sz w:val="32"/>
          <w:szCs w:val="32"/>
          <w:shd w:val="clear" w:color="auto" w:fill="FFFFFF"/>
          <w:lang w:val="zh-CN" w:eastAsia="zh-CN" w:bidi="ar-SA"/>
        </w:rPr>
        <w:t>万元，评价得分</w:t>
      </w:r>
      <w:r>
        <w:rPr>
          <w:rFonts w:hint="default" w:ascii="Times New Roman" w:hAnsi="Times New Roman" w:eastAsia="方正仿宋_GBK" w:cs="Times New Roman"/>
          <w:sz w:val="32"/>
          <w:szCs w:val="32"/>
          <w:shd w:val="clear" w:color="auto" w:fill="FFFFFF"/>
          <w:lang w:val="en-US" w:eastAsia="zh-CN" w:bidi="ar-SA"/>
        </w:rPr>
        <w:t>99.59</w:t>
      </w:r>
      <w:r>
        <w:rPr>
          <w:rFonts w:hint="default" w:ascii="Times New Roman" w:hAnsi="Times New Roman" w:eastAsia="方正仿宋_GBK" w:cs="Times New Roman"/>
          <w:sz w:val="32"/>
          <w:szCs w:val="32"/>
          <w:shd w:val="clear" w:color="auto" w:fill="FFFFFF"/>
          <w:lang w:val="zh-CN" w:eastAsia="zh-CN" w:bidi="ar-SA"/>
        </w:rPr>
        <w:t>分，评价等次为优；对2024年脱贫人口跨区域务工交通补助项目[-]-渝财农〔2023〕146号开展了绩效评价，涉及财政拨款项目资金</w:t>
      </w:r>
      <w:r>
        <w:rPr>
          <w:rFonts w:hint="default" w:ascii="Times New Roman" w:hAnsi="Times New Roman" w:eastAsia="方正仿宋_GBK" w:cs="Times New Roman"/>
          <w:sz w:val="32"/>
          <w:szCs w:val="32"/>
          <w:shd w:val="clear" w:color="auto" w:fill="FFFFFF"/>
          <w:lang w:val="en-US" w:eastAsia="zh-CN" w:bidi="ar-SA"/>
        </w:rPr>
        <w:t>364.38</w:t>
      </w:r>
      <w:r>
        <w:rPr>
          <w:rFonts w:hint="default" w:ascii="Times New Roman" w:hAnsi="Times New Roman" w:eastAsia="方正仿宋_GBK" w:cs="Times New Roman"/>
          <w:sz w:val="32"/>
          <w:szCs w:val="32"/>
          <w:shd w:val="clear" w:color="auto" w:fill="FFFFFF"/>
          <w:lang w:val="zh-CN" w:eastAsia="zh-CN" w:bidi="ar-SA"/>
        </w:rPr>
        <w:t>万元，评价得分100分，评价等次为优。</w:t>
      </w:r>
    </w:p>
    <w:p>
      <w:pPr>
        <w:pStyle w:val="11"/>
        <w:keepNext w:val="0"/>
        <w:keepLines w:val="0"/>
        <w:pageBreakBefore w:val="0"/>
        <w:widowControl/>
        <w:numPr>
          <w:ilvl w:val="0"/>
          <w:numId w:val="0"/>
        </w:numPr>
        <w:kinsoku/>
        <w:wordWrap/>
        <w:overflowPunct/>
        <w:topLinePunct w:val="0"/>
        <w:autoSpaceDE w:val="0"/>
        <w:autoSpaceDN/>
        <w:bidi w:val="0"/>
        <w:adjustRightInd/>
        <w:spacing w:beforeAutospacing="0" w:afterAutospacing="0" w:line="560" w:lineRule="exact"/>
        <w:ind w:firstLine="640" w:firstLineChars="200"/>
        <w:jc w:val="both"/>
        <w:textAlignment w:val="auto"/>
        <w:outlineLvl w:val="9"/>
        <w:rPr>
          <w:rFonts w:hint="default" w:ascii="Times New Roman" w:hAnsi="Times New Roman" w:eastAsia="方正仿宋_GBK" w:cs="Times New Roman"/>
          <w:sz w:val="32"/>
          <w:szCs w:val="32"/>
          <w:shd w:val="clear" w:color="auto" w:fill="FFFFFF"/>
          <w:lang w:val="en-US" w:eastAsia="zh-CN" w:bidi="ar-SA"/>
        </w:rPr>
      </w:pPr>
      <w:r>
        <w:rPr>
          <w:rFonts w:hint="eastAsia" w:ascii="Times New Roman" w:hAnsi="Times New Roman" w:eastAsia="方正仿宋_GBK" w:cs="Times New Roman"/>
          <w:sz w:val="32"/>
          <w:szCs w:val="32"/>
          <w:shd w:val="clear" w:color="auto" w:fill="FFFFFF"/>
          <w:lang w:val="zh-CN" w:eastAsia="zh-CN" w:bidi="ar-SA"/>
        </w:rPr>
        <w:t>本部门</w:t>
      </w:r>
      <w:r>
        <w:rPr>
          <w:rFonts w:hint="default" w:ascii="Times New Roman" w:hAnsi="Times New Roman" w:eastAsia="方正仿宋_GBK" w:cs="Times New Roman"/>
          <w:sz w:val="32"/>
          <w:szCs w:val="32"/>
          <w:shd w:val="clear" w:color="auto" w:fill="FFFFFF"/>
          <w:lang w:val="zh-CN" w:eastAsia="zh-CN" w:bidi="ar-SA"/>
        </w:rPr>
        <w:t>将持续推进项目实施，充分考虑专项资金支出平均性，加强预算执行管理，根据工作开展情况合理调整支出进度。</w:t>
      </w:r>
    </w:p>
    <w:p>
      <w:pPr>
        <w:pStyle w:val="11"/>
        <w:autoSpaceDE w:val="0"/>
        <w:ind w:firstLine="640"/>
        <w:rPr>
          <w:rFonts w:hint="default" w:ascii="Times New Roman" w:hAnsi="Times New Roman" w:eastAsia="楷体" w:cs="Times New Roman"/>
          <w:b/>
          <w:bCs/>
          <w:sz w:val="32"/>
          <w:szCs w:val="32"/>
          <w:shd w:val="clear" w:color="auto" w:fill="FFFFFF"/>
          <w:lang w:val="en-US" w:eastAsia="zh-CN" w:bidi="ar"/>
        </w:rPr>
      </w:pPr>
      <w:r>
        <w:rPr>
          <w:rFonts w:hint="default" w:ascii="Times New Roman" w:hAnsi="Times New Roman" w:eastAsia="楷体" w:cs="Times New Roman"/>
          <w:b/>
          <w:bCs/>
          <w:sz w:val="32"/>
          <w:szCs w:val="32"/>
          <w:shd w:val="clear" w:color="auto" w:fill="FFFFFF"/>
          <w:lang w:val="en-US" w:eastAsia="zh-CN" w:bidi="ar"/>
        </w:rPr>
        <w:t>（三）财政绩效评价情况</w:t>
      </w:r>
    </w:p>
    <w:p>
      <w:pPr>
        <w:pStyle w:val="11"/>
        <w:keepNext w:val="0"/>
        <w:keepLines w:val="0"/>
        <w:pageBreakBefore w:val="0"/>
        <w:widowControl/>
        <w:numPr>
          <w:ilvl w:val="0"/>
          <w:numId w:val="0"/>
        </w:numPr>
        <w:kinsoku/>
        <w:wordWrap/>
        <w:overflowPunct/>
        <w:topLinePunct w:val="0"/>
        <w:autoSpaceDE w:val="0"/>
        <w:autoSpaceDN/>
        <w:bidi w:val="0"/>
        <w:adjustRightInd/>
        <w:spacing w:beforeAutospacing="0" w:afterAutospacing="0" w:line="560" w:lineRule="exact"/>
        <w:ind w:firstLine="640" w:firstLineChars="200"/>
        <w:jc w:val="both"/>
        <w:textAlignment w:val="auto"/>
        <w:outlineLvl w:val="9"/>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lang w:val="en-US" w:eastAsia="zh-CN" w:bidi="ar-SA"/>
        </w:rPr>
        <w:t>县财政局未委托第三方对</w:t>
      </w:r>
      <w:r>
        <w:rPr>
          <w:rFonts w:hint="eastAsia" w:ascii="Times New Roman" w:hAnsi="Times New Roman" w:eastAsia="方正仿宋_GBK" w:cs="Times New Roman"/>
          <w:sz w:val="32"/>
          <w:szCs w:val="32"/>
          <w:shd w:val="clear" w:color="auto" w:fill="FFFFFF"/>
          <w:lang w:val="zh-CN" w:eastAsia="zh-CN" w:bidi="ar-SA"/>
        </w:rPr>
        <w:t>本部门</w:t>
      </w:r>
      <w:r>
        <w:rPr>
          <w:rFonts w:hint="default" w:ascii="Times New Roman" w:hAnsi="Times New Roman" w:eastAsia="方正仿宋_GBK" w:cs="Times New Roman"/>
          <w:sz w:val="32"/>
          <w:szCs w:val="32"/>
          <w:shd w:val="clear" w:color="auto" w:fill="FFFFFF"/>
          <w:lang w:val="en-US" w:eastAsia="zh-CN" w:bidi="ar-SA"/>
        </w:rPr>
        <w:t>开展绩效评价。</w:t>
      </w:r>
    </w:p>
    <w:p>
      <w:pPr>
        <w:pStyle w:val="6"/>
        <w:keepNext w:val="0"/>
        <w:keepLines w:val="0"/>
        <w:pageBreakBefore w:val="0"/>
        <w:widowControl/>
        <w:shd w:val="clear" w:color="auto" w:fill="FFFFFF"/>
        <w:kinsoku/>
        <w:wordWrap/>
        <w:overflowPunct/>
        <w:topLinePunct w:val="0"/>
        <w:autoSpaceDN/>
        <w:bidi w:val="0"/>
        <w:adjustRightInd/>
        <w:snapToGrid/>
        <w:spacing w:before="0" w:beforeAutospacing="0" w:after="0" w:afterAutospacing="0" w:line="596" w:lineRule="exact"/>
        <w:ind w:firstLine="643" w:firstLineChars="200"/>
        <w:textAlignment w:val="auto"/>
        <w:rPr>
          <w:rStyle w:val="8"/>
          <w:rFonts w:hint="default" w:ascii="Times New Roman" w:hAnsi="Times New Roman" w:eastAsia="黑体" w:cs="Times New Roman"/>
          <w:b/>
          <w:bCs w:val="0"/>
          <w:sz w:val="32"/>
          <w:szCs w:val="32"/>
          <w:shd w:val="clear" w:color="auto" w:fill="FFFFFF"/>
        </w:rPr>
      </w:pPr>
      <w:bookmarkStart w:id="0" w:name="_GoBack"/>
      <w:r>
        <w:rPr>
          <w:rStyle w:val="8"/>
          <w:rFonts w:hint="default" w:ascii="Times New Roman" w:hAnsi="Times New Roman" w:eastAsia="黑体" w:cs="Times New Roman"/>
          <w:b/>
          <w:bCs w:val="0"/>
          <w:sz w:val="32"/>
          <w:szCs w:val="32"/>
          <w:shd w:val="clear" w:color="auto" w:fill="FFFFFF"/>
          <w:lang w:eastAsia="zh-CN"/>
        </w:rPr>
        <w:t>六</w:t>
      </w:r>
      <w:r>
        <w:rPr>
          <w:rStyle w:val="8"/>
          <w:rFonts w:hint="default" w:ascii="Times New Roman" w:hAnsi="Times New Roman" w:eastAsia="黑体" w:cs="Times New Roman"/>
          <w:b/>
          <w:bCs w:val="0"/>
          <w:sz w:val="32"/>
          <w:szCs w:val="32"/>
          <w:shd w:val="clear" w:color="auto" w:fill="FFFFFF"/>
        </w:rPr>
        <w:t>、专业名词解释</w:t>
      </w:r>
    </w:p>
    <w:bookmarkEnd w:id="0"/>
    <w:p>
      <w:pPr>
        <w:pStyle w:val="6"/>
        <w:snapToGrid w:val="0"/>
        <w:spacing w:before="0" w:beforeAutospacing="0" w:after="0" w:afterAutospacing="0" w:line="596" w:lineRule="exact"/>
        <w:ind w:firstLine="643" w:firstLineChars="200"/>
        <w:jc w:val="both"/>
        <w:rPr>
          <w:rFonts w:hint="default" w:ascii="Times New Roman" w:hAnsi="Times New Roman" w:eastAsia="方正仿宋_GBK" w:cs="Times New Roman"/>
          <w:sz w:val="32"/>
          <w:szCs w:val="32"/>
        </w:rPr>
      </w:pPr>
      <w:r>
        <w:rPr>
          <w:rFonts w:hint="default" w:ascii="Times New Roman" w:hAnsi="Times New Roman" w:eastAsia="楷体" w:cs="Times New Roman"/>
          <w:b/>
          <w:bCs/>
          <w:sz w:val="32"/>
          <w:szCs w:val="32"/>
          <w:shd w:val="clear" w:color="auto" w:fill="FFFFFF"/>
        </w:rPr>
        <w:t>（一）财政拨款收入：</w:t>
      </w:r>
      <w:r>
        <w:rPr>
          <w:rFonts w:hint="default" w:ascii="Times New Roman" w:hAnsi="Times New Roman" w:eastAsia="方正仿宋_GBK" w:cs="Times New Roman"/>
          <w:sz w:val="32"/>
          <w:szCs w:val="32"/>
          <w:shd w:val="clear" w:color="auto" w:fill="FFFFFF"/>
        </w:rPr>
        <w:t>指本年度从本级财政部门取得的财政拨款。</w:t>
      </w:r>
    </w:p>
    <w:p>
      <w:pPr>
        <w:pStyle w:val="6"/>
        <w:snapToGrid w:val="0"/>
        <w:spacing w:before="0" w:beforeAutospacing="0" w:after="0" w:afterAutospacing="0" w:line="596" w:lineRule="exact"/>
        <w:ind w:firstLine="643" w:firstLineChars="200"/>
        <w:jc w:val="both"/>
        <w:rPr>
          <w:rFonts w:hint="default" w:ascii="Times New Roman" w:hAnsi="Times New Roman" w:eastAsia="方正仿宋_GBK" w:cs="Times New Roman"/>
          <w:sz w:val="32"/>
          <w:szCs w:val="32"/>
        </w:rPr>
      </w:pPr>
      <w:r>
        <w:rPr>
          <w:rStyle w:val="8"/>
          <w:rFonts w:hint="default" w:ascii="Times New Roman" w:hAnsi="Times New Roman" w:eastAsia="楷体" w:cs="Times New Roman"/>
          <w:sz w:val="32"/>
          <w:szCs w:val="32"/>
          <w:shd w:val="clear" w:color="auto" w:fill="FFFFFF"/>
        </w:rPr>
        <w:t>（</w:t>
      </w:r>
      <w:r>
        <w:rPr>
          <w:rStyle w:val="8"/>
          <w:rFonts w:hint="default" w:ascii="Times New Roman" w:hAnsi="Times New Roman" w:eastAsia="楷体" w:cs="Times New Roman"/>
          <w:sz w:val="32"/>
          <w:szCs w:val="32"/>
          <w:shd w:val="clear" w:color="auto" w:fill="FFFFFF"/>
          <w:lang w:eastAsia="zh-CN"/>
        </w:rPr>
        <w:t>二</w:t>
      </w:r>
      <w:r>
        <w:rPr>
          <w:rStyle w:val="8"/>
          <w:rFonts w:hint="default" w:ascii="Times New Roman" w:hAnsi="Times New Roman" w:eastAsia="楷体" w:cs="Times New Roman"/>
          <w:sz w:val="32"/>
          <w:szCs w:val="32"/>
          <w:shd w:val="clear" w:color="auto" w:fill="FFFFFF"/>
        </w:rPr>
        <w:t>）其他收入</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3" w:firstLineChars="200"/>
        <w:jc w:val="both"/>
        <w:textAlignment w:val="auto"/>
        <w:rPr>
          <w:rFonts w:hint="default" w:ascii="Times New Roman" w:hAnsi="Times New Roman" w:eastAsia="方正仿宋_GBK" w:cs="Times New Roman"/>
          <w:sz w:val="32"/>
          <w:szCs w:val="32"/>
        </w:rPr>
      </w:pPr>
      <w:r>
        <w:rPr>
          <w:rStyle w:val="8"/>
          <w:rFonts w:hint="default" w:ascii="Times New Roman" w:hAnsi="Times New Roman" w:eastAsia="楷体" w:cs="Times New Roman"/>
          <w:sz w:val="32"/>
          <w:szCs w:val="32"/>
          <w:shd w:val="clear" w:color="auto" w:fill="FFFFFF"/>
        </w:rPr>
        <w:t>（</w:t>
      </w:r>
      <w:r>
        <w:rPr>
          <w:rStyle w:val="8"/>
          <w:rFonts w:hint="default" w:ascii="Times New Roman" w:hAnsi="Times New Roman" w:eastAsia="楷体" w:cs="Times New Roman"/>
          <w:sz w:val="32"/>
          <w:szCs w:val="32"/>
          <w:shd w:val="clear" w:color="auto" w:fill="FFFFFF"/>
          <w:lang w:eastAsia="zh-CN"/>
        </w:rPr>
        <w:t>三</w:t>
      </w:r>
      <w:r>
        <w:rPr>
          <w:rStyle w:val="8"/>
          <w:rFonts w:hint="default" w:ascii="Times New Roman" w:hAnsi="Times New Roman" w:eastAsia="楷体" w:cs="Times New Roman"/>
          <w:sz w:val="32"/>
          <w:szCs w:val="32"/>
          <w:shd w:val="clear" w:color="auto" w:fill="FFFFFF"/>
        </w:rPr>
        <w:t>）使用非财政拨款结余</w:t>
      </w:r>
      <w:r>
        <w:rPr>
          <w:rStyle w:val="8"/>
          <w:rFonts w:hint="default" w:ascii="Times New Roman" w:hAnsi="Times New Roman" w:eastAsia="楷体" w:cs="Times New Roman"/>
          <w:sz w:val="32"/>
          <w:szCs w:val="32"/>
          <w:shd w:val="clear" w:color="auto" w:fill="FFFFFF"/>
          <w:lang w:eastAsia="zh-CN"/>
        </w:rPr>
        <w:t>（含专用结余）</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指</w:t>
      </w:r>
      <w:r>
        <w:rPr>
          <w:rFonts w:hint="default" w:ascii="Times New Roman" w:hAnsi="Times New Roman" w:eastAsia="方正仿宋_GBK" w:cs="Times New Roman"/>
          <w:sz w:val="32"/>
          <w:szCs w:val="32"/>
          <w:shd w:val="clear" w:color="auto" w:fill="FFFFFF"/>
          <w:lang w:eastAsia="zh-CN"/>
        </w:rPr>
        <w:t>事业单位按照预算管理要求使用非财政拨款结余弥补收支差额的金额，以及使用专用结余安排支出的金额。</w:t>
      </w:r>
    </w:p>
    <w:p>
      <w:pPr>
        <w:pStyle w:val="6"/>
        <w:snapToGrid w:val="0"/>
        <w:spacing w:before="0" w:beforeAutospacing="0" w:after="0" w:afterAutospacing="0" w:line="596" w:lineRule="exact"/>
        <w:ind w:firstLine="643" w:firstLineChars="200"/>
        <w:jc w:val="both"/>
        <w:rPr>
          <w:rFonts w:hint="default" w:ascii="Times New Roman" w:hAnsi="Times New Roman" w:eastAsia="方正仿宋_GBK" w:cs="Times New Roman"/>
          <w:sz w:val="32"/>
          <w:szCs w:val="32"/>
        </w:rPr>
      </w:pPr>
      <w:r>
        <w:rPr>
          <w:rStyle w:val="8"/>
          <w:rFonts w:hint="default" w:ascii="Times New Roman" w:hAnsi="Times New Roman" w:eastAsia="楷体" w:cs="Times New Roman"/>
          <w:sz w:val="32"/>
          <w:szCs w:val="32"/>
          <w:shd w:val="clear" w:color="auto" w:fill="FFFFFF"/>
        </w:rPr>
        <w:t>（</w:t>
      </w:r>
      <w:r>
        <w:rPr>
          <w:rStyle w:val="8"/>
          <w:rFonts w:hint="default" w:ascii="Times New Roman" w:hAnsi="Times New Roman" w:eastAsia="楷体" w:cs="Times New Roman"/>
          <w:sz w:val="32"/>
          <w:szCs w:val="32"/>
          <w:shd w:val="clear" w:color="auto" w:fill="FFFFFF"/>
          <w:lang w:eastAsia="zh-CN"/>
        </w:rPr>
        <w:t>四</w:t>
      </w:r>
      <w:r>
        <w:rPr>
          <w:rStyle w:val="8"/>
          <w:rFonts w:hint="default" w:ascii="Times New Roman" w:hAnsi="Times New Roman" w:eastAsia="楷体" w:cs="Times New Roman"/>
          <w:sz w:val="32"/>
          <w:szCs w:val="32"/>
          <w:shd w:val="clear" w:color="auto" w:fill="FFFFFF"/>
        </w:rPr>
        <w:t>）年初结转和结余</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指单位上年结转本年使用的基本支出结转、项目支出结转和结余、经营结余。</w:t>
      </w:r>
    </w:p>
    <w:p>
      <w:pPr>
        <w:pStyle w:val="6"/>
        <w:snapToGrid w:val="0"/>
        <w:spacing w:before="0" w:beforeAutospacing="0" w:after="0" w:afterAutospacing="0" w:line="596" w:lineRule="exact"/>
        <w:ind w:firstLine="643" w:firstLineChars="200"/>
        <w:jc w:val="both"/>
        <w:rPr>
          <w:rFonts w:hint="default" w:ascii="Times New Roman" w:hAnsi="Times New Roman" w:eastAsia="方正仿宋_GBK" w:cs="Times New Roman"/>
          <w:sz w:val="32"/>
          <w:szCs w:val="32"/>
        </w:rPr>
      </w:pPr>
      <w:r>
        <w:rPr>
          <w:rStyle w:val="8"/>
          <w:rFonts w:hint="default" w:ascii="Times New Roman" w:hAnsi="Times New Roman" w:eastAsia="楷体" w:cs="Times New Roman"/>
          <w:sz w:val="32"/>
          <w:szCs w:val="32"/>
          <w:shd w:val="clear" w:color="auto" w:fill="FFFFFF"/>
        </w:rPr>
        <w:t>（</w:t>
      </w:r>
      <w:r>
        <w:rPr>
          <w:rStyle w:val="8"/>
          <w:rFonts w:hint="default" w:ascii="Times New Roman" w:hAnsi="Times New Roman" w:eastAsia="楷体" w:cs="Times New Roman"/>
          <w:sz w:val="32"/>
          <w:szCs w:val="32"/>
          <w:shd w:val="clear" w:color="auto" w:fill="FFFFFF"/>
          <w:lang w:eastAsia="zh-CN"/>
        </w:rPr>
        <w:t>五</w:t>
      </w:r>
      <w:r>
        <w:rPr>
          <w:rStyle w:val="8"/>
          <w:rFonts w:hint="default" w:ascii="Times New Roman" w:hAnsi="Times New Roman" w:eastAsia="楷体" w:cs="Times New Roman"/>
          <w:sz w:val="32"/>
          <w:szCs w:val="32"/>
          <w:shd w:val="clear" w:color="auto" w:fill="FFFFFF"/>
        </w:rPr>
        <w:t>）结余分配</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指单位按照国家有关规定，缴纳所得税、提取专用基金、转入非财政拨款结余等当年结余的分配情况。</w:t>
      </w:r>
    </w:p>
    <w:p>
      <w:pPr>
        <w:pStyle w:val="6"/>
        <w:snapToGrid w:val="0"/>
        <w:spacing w:before="0" w:beforeAutospacing="0" w:after="0" w:afterAutospacing="0" w:line="596" w:lineRule="exact"/>
        <w:ind w:firstLine="643" w:firstLineChars="200"/>
        <w:jc w:val="both"/>
        <w:rPr>
          <w:rFonts w:hint="default" w:ascii="Times New Roman" w:hAnsi="Times New Roman" w:eastAsia="方正仿宋_GBK" w:cs="Times New Roman"/>
          <w:sz w:val="32"/>
          <w:szCs w:val="32"/>
        </w:rPr>
      </w:pPr>
      <w:r>
        <w:rPr>
          <w:rStyle w:val="8"/>
          <w:rFonts w:hint="default" w:ascii="Times New Roman" w:hAnsi="Times New Roman" w:eastAsia="楷体" w:cs="Times New Roman"/>
          <w:sz w:val="32"/>
          <w:szCs w:val="32"/>
          <w:shd w:val="clear" w:color="auto" w:fill="FFFFFF"/>
        </w:rPr>
        <w:t>（</w:t>
      </w:r>
      <w:r>
        <w:rPr>
          <w:rStyle w:val="8"/>
          <w:rFonts w:hint="default" w:ascii="Times New Roman" w:hAnsi="Times New Roman" w:eastAsia="楷体" w:cs="Times New Roman"/>
          <w:sz w:val="32"/>
          <w:szCs w:val="32"/>
          <w:shd w:val="clear" w:color="auto" w:fill="FFFFFF"/>
          <w:lang w:eastAsia="zh-CN"/>
        </w:rPr>
        <w:t>六</w:t>
      </w:r>
      <w:r>
        <w:rPr>
          <w:rStyle w:val="8"/>
          <w:rFonts w:hint="default" w:ascii="Times New Roman" w:hAnsi="Times New Roman" w:eastAsia="楷体" w:cs="Times New Roman"/>
          <w:sz w:val="32"/>
          <w:szCs w:val="32"/>
          <w:shd w:val="clear" w:color="auto" w:fill="FFFFFF"/>
        </w:rPr>
        <w:t>）年末结转和结余</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指单位结转下年的基本支出结转、项目支出结转和结余、经营结余。</w:t>
      </w:r>
    </w:p>
    <w:p>
      <w:pPr>
        <w:pStyle w:val="6"/>
        <w:snapToGrid w:val="0"/>
        <w:spacing w:before="0" w:beforeAutospacing="0" w:after="0" w:afterAutospacing="0" w:line="596" w:lineRule="exact"/>
        <w:ind w:firstLine="643" w:firstLineChars="200"/>
        <w:jc w:val="both"/>
        <w:rPr>
          <w:rFonts w:hint="default" w:ascii="Times New Roman" w:hAnsi="Times New Roman" w:eastAsia="方正仿宋_GBK" w:cs="Times New Roman"/>
          <w:sz w:val="32"/>
          <w:szCs w:val="32"/>
        </w:rPr>
      </w:pPr>
      <w:r>
        <w:rPr>
          <w:rStyle w:val="8"/>
          <w:rFonts w:hint="default" w:ascii="Times New Roman" w:hAnsi="Times New Roman" w:eastAsia="楷体" w:cs="Times New Roman"/>
          <w:sz w:val="32"/>
          <w:szCs w:val="32"/>
          <w:shd w:val="clear" w:color="auto" w:fill="FFFFFF"/>
        </w:rPr>
        <w:t>（</w:t>
      </w:r>
      <w:r>
        <w:rPr>
          <w:rStyle w:val="8"/>
          <w:rFonts w:hint="default" w:ascii="Times New Roman" w:hAnsi="Times New Roman" w:eastAsia="楷体" w:cs="Times New Roman"/>
          <w:sz w:val="32"/>
          <w:szCs w:val="32"/>
          <w:shd w:val="clear" w:color="auto" w:fill="FFFFFF"/>
          <w:lang w:eastAsia="zh-CN"/>
        </w:rPr>
        <w:t>七</w:t>
      </w:r>
      <w:r>
        <w:rPr>
          <w:rStyle w:val="8"/>
          <w:rFonts w:hint="default" w:ascii="Times New Roman" w:hAnsi="Times New Roman" w:eastAsia="楷体" w:cs="Times New Roman"/>
          <w:sz w:val="32"/>
          <w:szCs w:val="32"/>
          <w:shd w:val="clear" w:color="auto" w:fill="FFFFFF"/>
        </w:rPr>
        <w:t>）基本支出</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6"/>
        <w:snapToGrid w:val="0"/>
        <w:spacing w:before="0" w:beforeAutospacing="0" w:after="0" w:afterAutospacing="0" w:line="596" w:lineRule="exact"/>
        <w:ind w:firstLine="643" w:firstLineChars="200"/>
        <w:jc w:val="both"/>
        <w:rPr>
          <w:rFonts w:hint="default" w:ascii="Times New Roman" w:hAnsi="Times New Roman" w:eastAsia="方正仿宋_GBK" w:cs="Times New Roman"/>
          <w:sz w:val="32"/>
          <w:szCs w:val="32"/>
        </w:rPr>
      </w:pPr>
      <w:r>
        <w:rPr>
          <w:rStyle w:val="8"/>
          <w:rFonts w:hint="default" w:ascii="Times New Roman" w:hAnsi="Times New Roman" w:eastAsia="楷体" w:cs="Times New Roman"/>
          <w:sz w:val="32"/>
          <w:szCs w:val="32"/>
          <w:shd w:val="clear" w:color="auto" w:fill="FFFFFF"/>
        </w:rPr>
        <w:t>（</w:t>
      </w:r>
      <w:r>
        <w:rPr>
          <w:rStyle w:val="8"/>
          <w:rFonts w:hint="default" w:ascii="Times New Roman" w:hAnsi="Times New Roman" w:eastAsia="楷体" w:cs="Times New Roman"/>
          <w:sz w:val="32"/>
          <w:szCs w:val="32"/>
          <w:shd w:val="clear" w:color="auto" w:fill="FFFFFF"/>
          <w:lang w:eastAsia="zh-CN"/>
        </w:rPr>
        <w:t>八</w:t>
      </w:r>
      <w:r>
        <w:rPr>
          <w:rStyle w:val="8"/>
          <w:rFonts w:hint="default" w:ascii="Times New Roman" w:hAnsi="Times New Roman" w:eastAsia="楷体" w:cs="Times New Roman"/>
          <w:sz w:val="32"/>
          <w:szCs w:val="32"/>
          <w:shd w:val="clear" w:color="auto" w:fill="FFFFFF"/>
        </w:rPr>
        <w:t>）项目支出</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指在基本支出之外为完成特定行政任务和事业发展目标所发生的支出。</w:t>
      </w:r>
    </w:p>
    <w:p>
      <w:pPr>
        <w:pStyle w:val="6"/>
        <w:snapToGrid w:val="0"/>
        <w:spacing w:before="0" w:beforeAutospacing="0" w:after="0" w:afterAutospacing="0" w:line="596" w:lineRule="exact"/>
        <w:ind w:firstLine="643" w:firstLineChars="200"/>
        <w:jc w:val="both"/>
        <w:rPr>
          <w:rFonts w:hint="default" w:ascii="Times New Roman" w:hAnsi="Times New Roman" w:eastAsia="方正仿宋_GBK" w:cs="Times New Roman"/>
          <w:sz w:val="32"/>
          <w:szCs w:val="32"/>
        </w:rPr>
      </w:pPr>
      <w:r>
        <w:rPr>
          <w:rStyle w:val="8"/>
          <w:rFonts w:hint="default" w:ascii="Times New Roman" w:hAnsi="Times New Roman" w:eastAsia="楷体" w:cs="Times New Roman"/>
          <w:sz w:val="32"/>
          <w:szCs w:val="32"/>
          <w:shd w:val="clear" w:color="auto" w:fill="FFFFFF"/>
        </w:rPr>
        <w:t>（</w:t>
      </w:r>
      <w:r>
        <w:rPr>
          <w:rStyle w:val="8"/>
          <w:rFonts w:hint="default" w:ascii="Times New Roman" w:hAnsi="Times New Roman" w:eastAsia="楷体" w:cs="Times New Roman"/>
          <w:sz w:val="32"/>
          <w:szCs w:val="32"/>
          <w:shd w:val="clear" w:color="auto" w:fill="FFFFFF"/>
          <w:lang w:eastAsia="zh-CN"/>
        </w:rPr>
        <w:t>九</w:t>
      </w:r>
      <w:r>
        <w:rPr>
          <w:rStyle w:val="8"/>
          <w:rFonts w:hint="default" w:ascii="Times New Roman" w:hAnsi="Times New Roman" w:eastAsia="楷体" w:cs="Times New Roman"/>
          <w:sz w:val="32"/>
          <w:szCs w:val="32"/>
          <w:shd w:val="clear" w:color="auto" w:fill="FFFFFF"/>
        </w:rPr>
        <w:t>）“三公”经费</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指用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6"/>
        <w:snapToGrid w:val="0"/>
        <w:spacing w:before="0" w:beforeAutospacing="0" w:after="0" w:afterAutospacing="0" w:line="596" w:lineRule="exact"/>
        <w:ind w:firstLine="643" w:firstLineChars="200"/>
        <w:jc w:val="both"/>
        <w:rPr>
          <w:rFonts w:hint="default" w:ascii="Times New Roman" w:hAnsi="Times New Roman" w:eastAsia="方正仿宋_GBK" w:cs="Times New Roman"/>
          <w:sz w:val="32"/>
          <w:szCs w:val="32"/>
        </w:rPr>
      </w:pPr>
      <w:r>
        <w:rPr>
          <w:rStyle w:val="8"/>
          <w:rFonts w:hint="default" w:ascii="Times New Roman" w:hAnsi="Times New Roman" w:eastAsia="楷体" w:cs="Times New Roman"/>
          <w:sz w:val="32"/>
          <w:szCs w:val="32"/>
          <w:shd w:val="clear" w:color="auto" w:fill="FFFFFF"/>
        </w:rPr>
        <w:t>（十）机关运行经费</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6"/>
        <w:snapToGrid w:val="0"/>
        <w:spacing w:before="0" w:beforeAutospacing="0" w:after="0" w:afterAutospacing="0" w:line="596" w:lineRule="exact"/>
        <w:ind w:firstLine="643" w:firstLineChars="200"/>
        <w:jc w:val="both"/>
        <w:rPr>
          <w:rFonts w:hint="default" w:ascii="Times New Roman" w:hAnsi="Times New Roman" w:eastAsia="方正仿宋_GBK" w:cs="Times New Roman"/>
          <w:sz w:val="32"/>
          <w:szCs w:val="32"/>
        </w:rPr>
      </w:pPr>
      <w:r>
        <w:rPr>
          <w:rStyle w:val="8"/>
          <w:rFonts w:hint="default" w:ascii="Times New Roman" w:hAnsi="Times New Roman" w:eastAsia="楷体" w:cs="Times New Roman"/>
          <w:sz w:val="32"/>
          <w:szCs w:val="32"/>
          <w:shd w:val="clear" w:color="auto" w:fill="FFFFFF"/>
        </w:rPr>
        <w:t>（十</w:t>
      </w:r>
      <w:r>
        <w:rPr>
          <w:rStyle w:val="8"/>
          <w:rFonts w:hint="default" w:ascii="Times New Roman" w:hAnsi="Times New Roman" w:eastAsia="楷体" w:cs="Times New Roman"/>
          <w:sz w:val="32"/>
          <w:szCs w:val="32"/>
          <w:shd w:val="clear" w:color="auto" w:fill="FFFFFF"/>
          <w:lang w:eastAsia="zh-CN"/>
        </w:rPr>
        <w:t>一</w:t>
      </w:r>
      <w:r>
        <w:rPr>
          <w:rStyle w:val="8"/>
          <w:rFonts w:hint="default" w:ascii="Times New Roman" w:hAnsi="Times New Roman" w:eastAsia="楷体" w:cs="Times New Roman"/>
          <w:sz w:val="32"/>
          <w:szCs w:val="32"/>
          <w:shd w:val="clear" w:color="auto" w:fill="FFFFFF"/>
        </w:rPr>
        <w:t>）工资福利支出（支出经济分类科目类级）</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反映单位开支的在职职工和编制外长期聘用人员的各类劳动报酬，以及为上述人员缴纳的各项社会保险费等。</w:t>
      </w:r>
    </w:p>
    <w:p>
      <w:pPr>
        <w:pStyle w:val="6"/>
        <w:snapToGrid w:val="0"/>
        <w:spacing w:before="0" w:beforeAutospacing="0" w:after="0" w:afterAutospacing="0" w:line="596" w:lineRule="exact"/>
        <w:ind w:firstLine="643" w:firstLineChars="200"/>
        <w:jc w:val="both"/>
        <w:rPr>
          <w:rFonts w:hint="default" w:ascii="Times New Roman" w:hAnsi="Times New Roman" w:eastAsia="方正仿宋_GBK" w:cs="Times New Roman"/>
          <w:sz w:val="32"/>
          <w:szCs w:val="32"/>
        </w:rPr>
      </w:pPr>
      <w:r>
        <w:rPr>
          <w:rStyle w:val="8"/>
          <w:rFonts w:hint="default" w:ascii="Times New Roman" w:hAnsi="Times New Roman" w:eastAsia="楷体" w:cs="Times New Roman"/>
          <w:sz w:val="32"/>
          <w:szCs w:val="32"/>
          <w:shd w:val="clear" w:color="auto" w:fill="FFFFFF"/>
        </w:rPr>
        <w:t>（十</w:t>
      </w:r>
      <w:r>
        <w:rPr>
          <w:rStyle w:val="8"/>
          <w:rFonts w:hint="default" w:ascii="Times New Roman" w:hAnsi="Times New Roman" w:eastAsia="楷体" w:cs="Times New Roman"/>
          <w:sz w:val="32"/>
          <w:szCs w:val="32"/>
          <w:shd w:val="clear" w:color="auto" w:fill="FFFFFF"/>
          <w:lang w:eastAsia="zh-CN"/>
        </w:rPr>
        <w:t>二</w:t>
      </w:r>
      <w:r>
        <w:rPr>
          <w:rStyle w:val="8"/>
          <w:rFonts w:hint="default" w:ascii="Times New Roman" w:hAnsi="Times New Roman" w:eastAsia="楷体" w:cs="Times New Roman"/>
          <w:sz w:val="32"/>
          <w:szCs w:val="32"/>
          <w:shd w:val="clear" w:color="auto" w:fill="FFFFFF"/>
        </w:rPr>
        <w:t>）商品和服务支出（支出经济分类科目类级）</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反映单位购买商品和服务的支出（不包括用于购置固定资产的支出、战略性和应急储备支出）。</w:t>
      </w:r>
    </w:p>
    <w:p>
      <w:pPr>
        <w:pStyle w:val="6"/>
        <w:snapToGrid w:val="0"/>
        <w:spacing w:before="0" w:beforeAutospacing="0" w:after="0" w:afterAutospacing="0" w:line="596" w:lineRule="exact"/>
        <w:ind w:firstLine="643" w:firstLineChars="200"/>
        <w:jc w:val="both"/>
        <w:rPr>
          <w:rFonts w:hint="default" w:ascii="Times New Roman" w:hAnsi="Times New Roman" w:eastAsia="方正仿宋_GBK" w:cs="Times New Roman"/>
          <w:sz w:val="32"/>
          <w:szCs w:val="32"/>
        </w:rPr>
      </w:pPr>
      <w:r>
        <w:rPr>
          <w:rStyle w:val="8"/>
          <w:rFonts w:hint="default" w:ascii="Times New Roman" w:hAnsi="Times New Roman" w:eastAsia="楷体" w:cs="Times New Roman"/>
          <w:sz w:val="32"/>
          <w:szCs w:val="32"/>
          <w:shd w:val="clear" w:color="auto" w:fill="FFFFFF"/>
        </w:rPr>
        <w:t>（十</w:t>
      </w:r>
      <w:r>
        <w:rPr>
          <w:rStyle w:val="8"/>
          <w:rFonts w:hint="default" w:ascii="Times New Roman" w:hAnsi="Times New Roman" w:eastAsia="楷体" w:cs="Times New Roman"/>
          <w:sz w:val="32"/>
          <w:szCs w:val="32"/>
          <w:shd w:val="clear" w:color="auto" w:fill="FFFFFF"/>
          <w:lang w:eastAsia="zh-CN"/>
        </w:rPr>
        <w:t>三</w:t>
      </w:r>
      <w:r>
        <w:rPr>
          <w:rStyle w:val="8"/>
          <w:rFonts w:hint="default" w:ascii="Times New Roman" w:hAnsi="Times New Roman" w:eastAsia="楷体" w:cs="Times New Roman"/>
          <w:sz w:val="32"/>
          <w:szCs w:val="32"/>
          <w:shd w:val="clear" w:color="auto" w:fill="FFFFFF"/>
        </w:rPr>
        <w:t>）对个人和家庭的补助（支出经济分类科目类级）</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反映用于对个人和家庭的补助支出。</w:t>
      </w:r>
    </w:p>
    <w:p>
      <w:pPr>
        <w:pStyle w:val="6"/>
        <w:snapToGrid w:val="0"/>
        <w:spacing w:before="0" w:beforeAutospacing="0" w:after="0" w:afterAutospacing="0" w:line="596" w:lineRule="exact"/>
        <w:ind w:firstLine="643" w:firstLineChars="200"/>
        <w:jc w:val="both"/>
        <w:rPr>
          <w:rFonts w:hint="default" w:ascii="Times New Roman" w:hAnsi="Times New Roman" w:eastAsia="方正仿宋_GBK" w:cs="Times New Roman"/>
          <w:sz w:val="32"/>
          <w:szCs w:val="32"/>
          <w:shd w:val="clear" w:color="auto" w:fill="FFFFFF"/>
        </w:rPr>
      </w:pPr>
      <w:r>
        <w:rPr>
          <w:rStyle w:val="8"/>
          <w:rFonts w:hint="default" w:ascii="Times New Roman" w:hAnsi="Times New Roman" w:eastAsia="楷体" w:cs="Times New Roman"/>
          <w:sz w:val="32"/>
          <w:szCs w:val="32"/>
          <w:shd w:val="clear" w:color="auto" w:fill="FFFFFF"/>
        </w:rPr>
        <w:t>（十</w:t>
      </w:r>
      <w:r>
        <w:rPr>
          <w:rStyle w:val="8"/>
          <w:rFonts w:hint="default" w:ascii="Times New Roman" w:hAnsi="Times New Roman" w:eastAsia="楷体" w:cs="Times New Roman"/>
          <w:sz w:val="32"/>
          <w:szCs w:val="32"/>
          <w:shd w:val="clear" w:color="auto" w:fill="FFFFFF"/>
          <w:lang w:eastAsia="zh-CN"/>
        </w:rPr>
        <w:t>四</w:t>
      </w:r>
      <w:r>
        <w:rPr>
          <w:rStyle w:val="8"/>
          <w:rFonts w:hint="default" w:ascii="Times New Roman" w:hAnsi="Times New Roman" w:eastAsia="楷体" w:cs="Times New Roman"/>
          <w:sz w:val="32"/>
          <w:szCs w:val="32"/>
          <w:shd w:val="clear" w:color="auto" w:fill="FFFFFF"/>
        </w:rPr>
        <w:t>）其他资本性支出（支出经济分类科目类级）</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3" w:firstLineChars="200"/>
        <w:textAlignment w:val="auto"/>
        <w:rPr>
          <w:rStyle w:val="8"/>
          <w:rFonts w:hint="default" w:ascii="Times New Roman" w:hAnsi="Times New Roman" w:eastAsia="黑体" w:cs="Times New Roman"/>
          <w:sz w:val="32"/>
          <w:szCs w:val="32"/>
          <w:shd w:val="clear" w:color="auto" w:fill="FFFFFF"/>
        </w:rPr>
      </w:pPr>
      <w:r>
        <w:rPr>
          <w:rStyle w:val="8"/>
          <w:rFonts w:hint="default" w:ascii="Times New Roman" w:hAnsi="Times New Roman" w:eastAsia="黑体" w:cs="Times New Roman"/>
          <w:sz w:val="32"/>
          <w:szCs w:val="32"/>
          <w:shd w:val="clear" w:color="auto" w:fill="FFFFFF"/>
          <w:lang w:eastAsia="zh-CN"/>
        </w:rPr>
        <w:t>七</w:t>
      </w:r>
      <w:r>
        <w:rPr>
          <w:rStyle w:val="8"/>
          <w:rFonts w:hint="default" w:ascii="Times New Roman" w:hAnsi="Times New Roman" w:eastAsia="黑体" w:cs="Times New Roman"/>
          <w:sz w:val="32"/>
          <w:szCs w:val="32"/>
          <w:shd w:val="clear" w:color="auto" w:fill="FFFFFF"/>
        </w:rPr>
        <w:t>、决算公开联系方式及信息反馈渠道</w:t>
      </w:r>
    </w:p>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outlineLvl w:val="9"/>
        <w:rPr>
          <w:rStyle w:val="8"/>
          <w:rFonts w:hint="default" w:ascii="Times New Roman" w:hAnsi="Times New Roman" w:eastAsia="方正仿宋_GBK" w:cs="Times New Roman"/>
          <w:sz w:val="32"/>
          <w:szCs w:val="32"/>
          <w:shd w:val="clear" w:color="auto" w:fill="FFFF00"/>
          <w:lang w:val="en-US"/>
        </w:rPr>
        <w:sectPr>
          <w:footerReference r:id="rId3" w:type="default"/>
          <w:pgSz w:w="11915" w:h="16840"/>
          <w:pgMar w:top="1440" w:right="1800" w:bottom="1440" w:left="1800" w:header="851" w:footer="992" w:gutter="0"/>
          <w:pgNumType w:fmt="numberInDash"/>
          <w:cols w:space="720" w:num="1"/>
          <w:docGrid w:type="lines" w:linePitch="312" w:charSpace="0"/>
        </w:sectPr>
      </w:pPr>
      <w:r>
        <w:rPr>
          <w:rFonts w:hint="default" w:ascii="Times New Roman" w:hAnsi="Times New Roman" w:eastAsia="方正仿宋_GBK" w:cs="Times New Roman"/>
          <w:sz w:val="32"/>
          <w:szCs w:val="32"/>
          <w:shd w:val="clear" w:color="auto" w:fill="FFFFFF"/>
        </w:rPr>
        <w:t>本部门决算公开信息反馈和联系方式：</w:t>
      </w:r>
      <w:r>
        <w:rPr>
          <w:rFonts w:hint="default" w:ascii="Times New Roman" w:hAnsi="Times New Roman" w:eastAsia="方正仿宋_GBK" w:cs="Times New Roman"/>
          <w:sz w:val="32"/>
          <w:szCs w:val="32"/>
          <w:shd w:val="clear" w:color="auto" w:fill="FFFFFF"/>
          <w:lang w:eastAsia="zh-CN"/>
        </w:rPr>
        <w:t>黄靖宇</w:t>
      </w:r>
      <w:r>
        <w:rPr>
          <w:rFonts w:hint="default" w:ascii="Times New Roman" w:hAnsi="Times New Roman" w:eastAsia="方正仿宋_GBK" w:cs="Times New Roman"/>
          <w:sz w:val="32"/>
          <w:szCs w:val="32"/>
          <w:shd w:val="clear" w:color="auto" w:fill="FFFFFF"/>
          <w:lang w:val="en-US" w:eastAsia="zh-CN"/>
        </w:rPr>
        <w:t xml:space="preserve"> 023-76889318</w:t>
      </w:r>
    </w:p>
    <w:tbl>
      <w:tblPr>
        <w:tblStyle w:val="9"/>
        <w:tblpPr w:leftFromText="180" w:rightFromText="180" w:vertAnchor="text" w:horzAnchor="page" w:tblpX="1058" w:tblpY="22"/>
        <w:tblOverlap w:val="never"/>
        <w:tblW w:w="14737" w:type="dxa"/>
        <w:tblInd w:w="0" w:type="dxa"/>
        <w:tblLayout w:type="fixed"/>
        <w:tblCellMar>
          <w:top w:w="0" w:type="dxa"/>
          <w:left w:w="0" w:type="dxa"/>
          <w:bottom w:w="0" w:type="dxa"/>
          <w:right w:w="0" w:type="dxa"/>
        </w:tblCellMar>
      </w:tblPr>
      <w:tblGrid>
        <w:gridCol w:w="4294"/>
        <w:gridCol w:w="3558"/>
        <w:gridCol w:w="4044"/>
        <w:gridCol w:w="2841"/>
      </w:tblGrid>
      <w:tr>
        <w:tblPrEx>
          <w:tblLayout w:type="fixed"/>
          <w:tblCellMar>
            <w:top w:w="0" w:type="dxa"/>
            <w:left w:w="0" w:type="dxa"/>
            <w:bottom w:w="0" w:type="dxa"/>
            <w:right w:w="0" w:type="dxa"/>
          </w:tblCellMar>
        </w:tblPrEx>
        <w:trPr>
          <w:trHeight w:val="232" w:hRule="atLeast"/>
        </w:trPr>
        <w:tc>
          <w:tcPr>
            <w:tcW w:w="14737" w:type="dxa"/>
            <w:gridSpan w:val="4"/>
            <w:tcBorders>
              <w:top w:val="nil"/>
              <w:left w:val="nil"/>
              <w:bottom w:val="nil"/>
              <w:right w:val="nil"/>
            </w:tcBorders>
            <w:shd w:val="clear" w:color="auto" w:fill="auto"/>
            <w:tcMar>
              <w:top w:w="15" w:type="dxa"/>
              <w:left w:w="15" w:type="dxa"/>
              <w:right w:w="15" w:type="dxa"/>
            </w:tcMar>
            <w:vAlign w:val="bottom"/>
          </w:tcPr>
          <w:p>
            <w:pPr>
              <w:spacing w:line="400" w:lineRule="exact"/>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收入支出决算总表</w:t>
            </w:r>
          </w:p>
        </w:tc>
      </w:tr>
      <w:tr>
        <w:tblPrEx>
          <w:tblLayout w:type="fixed"/>
          <w:tblCellMar>
            <w:top w:w="0" w:type="dxa"/>
            <w:left w:w="0" w:type="dxa"/>
            <w:bottom w:w="0" w:type="dxa"/>
            <w:right w:w="0" w:type="dxa"/>
          </w:tblCellMar>
        </w:tblPrEx>
        <w:trPr>
          <w:trHeight w:val="232" w:hRule="atLeast"/>
        </w:trPr>
        <w:tc>
          <w:tcPr>
            <w:tcW w:w="42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Times New Roman" w:hAnsi="Times New Roman" w:cs="Times New Roman"/>
                <w:color w:val="000000"/>
                <w:sz w:val="20"/>
                <w:szCs w:val="20"/>
              </w:rPr>
            </w:pPr>
          </w:p>
        </w:tc>
        <w:tc>
          <w:tcPr>
            <w:tcW w:w="3558" w:type="dxa"/>
            <w:tcBorders>
              <w:top w:val="nil"/>
              <w:left w:val="nil"/>
              <w:bottom w:val="nil"/>
              <w:right w:val="nil"/>
            </w:tcBorders>
            <w:shd w:val="clear" w:color="auto" w:fill="auto"/>
            <w:tcMar>
              <w:top w:w="15" w:type="dxa"/>
              <w:left w:w="15" w:type="dxa"/>
              <w:right w:w="15" w:type="dxa"/>
            </w:tcMar>
            <w:vAlign w:val="bottom"/>
          </w:tcPr>
          <w:p>
            <w:pPr>
              <w:spacing w:line="200" w:lineRule="exact"/>
              <w:jc w:val="right"/>
              <w:rPr>
                <w:rFonts w:hint="default" w:ascii="Times New Roman" w:hAnsi="Times New Roman" w:cs="Times New Roman"/>
                <w:color w:val="000000"/>
                <w:sz w:val="20"/>
                <w:szCs w:val="20"/>
              </w:rPr>
            </w:pPr>
          </w:p>
        </w:tc>
        <w:tc>
          <w:tcPr>
            <w:tcW w:w="404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Times New Roman" w:hAnsi="Times New Roman" w:cs="Times New Roman"/>
                <w:color w:val="000000"/>
                <w:sz w:val="20"/>
                <w:szCs w:val="20"/>
              </w:rPr>
            </w:pPr>
          </w:p>
        </w:tc>
        <w:tc>
          <w:tcPr>
            <w:tcW w:w="2841"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公开01表</w:t>
            </w:r>
          </w:p>
        </w:tc>
      </w:tr>
      <w:tr>
        <w:tblPrEx>
          <w:tblLayout w:type="fixed"/>
          <w:tblCellMar>
            <w:top w:w="0" w:type="dxa"/>
            <w:left w:w="0" w:type="dxa"/>
            <w:bottom w:w="0" w:type="dxa"/>
            <w:right w:w="0" w:type="dxa"/>
          </w:tblCellMar>
        </w:tblPrEx>
        <w:trPr>
          <w:trHeight w:val="232" w:hRule="atLeast"/>
        </w:trPr>
        <w:tc>
          <w:tcPr>
            <w:tcW w:w="7852" w:type="dxa"/>
            <w:gridSpan w:val="2"/>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Times New Roman" w:hAnsi="Times New Roman" w:cs="Times New Roman"/>
                <w:color w:val="000000"/>
                <w:sz w:val="22"/>
                <w:szCs w:val="22"/>
              </w:rPr>
            </w:pPr>
            <w:r>
              <w:rPr>
                <w:rFonts w:hint="default" w:ascii="Times New Roman" w:hAnsi="Times New Roman" w:cs="Times New Roman"/>
                <w:sz w:val="20"/>
                <w:szCs w:val="20"/>
              </w:rPr>
              <w:t>部门：</w:t>
            </w:r>
            <w:r>
              <w:rPr>
                <w:rFonts w:hint="default" w:ascii="Times New Roman" w:hAnsi="Times New Roman" w:cs="Times New Roman"/>
                <w:sz w:val="20"/>
                <w:u w:color="auto"/>
              </w:rPr>
              <w:t>秀山土家族苗族自治县就业和人才中心</w:t>
            </w:r>
          </w:p>
        </w:tc>
        <w:tc>
          <w:tcPr>
            <w:tcW w:w="404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Times New Roman" w:hAnsi="Times New Roman" w:cs="Times New Roman"/>
                <w:color w:val="000000"/>
                <w:sz w:val="22"/>
                <w:szCs w:val="22"/>
              </w:rPr>
            </w:pPr>
          </w:p>
        </w:tc>
        <w:tc>
          <w:tcPr>
            <w:tcW w:w="2841"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tblPrEx>
          <w:tblLayout w:type="fixed"/>
          <w:tblCellMar>
            <w:top w:w="0" w:type="dxa"/>
            <w:left w:w="0" w:type="dxa"/>
            <w:bottom w:w="0" w:type="dxa"/>
            <w:right w:w="0" w:type="dxa"/>
          </w:tblCellMar>
        </w:tblPrEx>
        <w:trPr>
          <w:trHeight w:val="243" w:hRule="atLeast"/>
        </w:trPr>
        <w:tc>
          <w:tcPr>
            <w:tcW w:w="785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收入</w:t>
            </w:r>
          </w:p>
        </w:tc>
        <w:tc>
          <w:tcPr>
            <w:tcW w:w="6885"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支出</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决算数</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决算数</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一、一般公共预算财政拨款收入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6,204.72</w:t>
            </w:r>
            <w:r>
              <w:rPr>
                <w:rFonts w:hint="default" w:ascii="Times New Roman" w:hAnsi="Times New Roman" w:cs="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一、一般公共服务支出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0.45</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二、政府性基金预算财政拨款收入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二、外交支出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三、国有资本经营预算财政拨款收入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三、国防支出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四、上级补助收入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四、公共安全支出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五、事业收入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五、教育支出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六、经营收入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六、科学技术支出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七、附属单位上缴收入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七、文化旅游体育与传媒支出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八、其他收入</w:t>
            </w:r>
          </w:p>
        </w:tc>
        <w:tc>
          <w:tcPr>
            <w:tcW w:w="3558" w:type="dxa"/>
            <w:tcBorders>
              <w:top w:val="nil"/>
              <w:left w:val="nil"/>
              <w:bottom w:val="nil"/>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八、社会保障和就业支出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5,227.01</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ascii="Times New Roman" w:hAnsi="Times New Roman" w:cs="Times New Roman"/>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s="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九、卫生健康支出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34.37</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ascii="Times New Roman" w:hAnsi="Times New Roman" w:cs="Times New Roman"/>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s="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十、节能环保支出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ascii="Times New Roman" w:hAnsi="Times New Roman" w:cs="Times New Roman"/>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s="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十一、城乡社区支出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ascii="Times New Roman" w:hAnsi="Times New Roman" w:cs="Times New Roman"/>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s="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十二、农林水支出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910.89</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ascii="Times New Roman" w:hAnsi="Times New Roman" w:cs="Times New Roman"/>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十三、交通运输支出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ascii="Times New Roman" w:hAnsi="Times New Roman" w:cs="Times New Roman"/>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十四、资源勘探工业信息等支出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ascii="Times New Roman" w:hAnsi="Times New Roman" w:cs="Times New Roman"/>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十五、商业服务业等支出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ascii="Times New Roman" w:hAnsi="Times New Roman" w:cs="Times New Roman"/>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十六、金融支出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ascii="Times New Roman" w:hAnsi="Times New Roman" w:cs="Times New Roman"/>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十七、援助其他地区支出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90"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ascii="Times New Roman" w:hAnsi="Times New Roman" w:cs="Times New Roman"/>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十八、自然资源海洋气象等支出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ascii="Times New Roman" w:hAnsi="Times New Roman" w:cs="Times New Roman"/>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十九、住房保障支出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39.60</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ascii="Times New Roman" w:hAnsi="Times New Roman" w:cs="Times New Roman"/>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二十、粮油物资储备支出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ascii="Times New Roman" w:hAnsi="Times New Roman" w:cs="Times New Roman"/>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二十一、国有资本经营预算支出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ascii="Times New Roman" w:hAnsi="Times New Roman" w:cs="Times New Roman"/>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二十二、灾害防治及应急管理支出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ascii="Times New Roman" w:hAnsi="Times New Roman" w:cs="Times New Roman"/>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二十三、其他支出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hint="default" w:ascii="Times New Roman" w:hAnsi="Times New Roman" w:cs="Times New Roman"/>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二十四、债务还本支出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ascii="Times New Roman" w:hAnsi="Times New Roman" w:cs="Times New Roman"/>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二十五、债务付息支出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ascii="Times New Roman" w:hAnsi="Times New Roman" w:cs="Times New Roman"/>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二十六、抗疫特别国债安排的支出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本年收入合计</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6,204.72</w:t>
            </w:r>
            <w:r>
              <w:rPr>
                <w:rFonts w:hint="default" w:ascii="Times New Roman" w:hAnsi="Times New Roman" w:cs="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本年支出合计</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6,212.32</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使用非财政拨款结余和专用结余</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结余分配</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年初结转和结余</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13.99</w:t>
            </w:r>
            <w:r>
              <w:rPr>
                <w:rFonts w:hint="default" w:ascii="Times New Roman" w:hAnsi="Times New Roman" w:cs="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年末结转和结余</w:t>
            </w:r>
          </w:p>
        </w:tc>
        <w:tc>
          <w:tcPr>
            <w:tcW w:w="2841" w:type="dxa"/>
            <w:tcBorders>
              <w:top w:val="nil"/>
              <w:left w:val="nil"/>
              <w:bottom w:val="single" w:color="auto"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6.40</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25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总计</w:t>
            </w: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6,218.71</w:t>
            </w:r>
            <w:r>
              <w:rPr>
                <w:rFonts w:hint="default" w:ascii="Times New Roman" w:hAnsi="Times New Roman" w:cs="Times New Roman"/>
                <w:color w:val="000000"/>
                <w:sz w:val="20"/>
                <w:u w:color="auto"/>
              </w:rPr>
              <w:t xml:space="preserve"> </w:t>
            </w:r>
          </w:p>
        </w:tc>
        <w:tc>
          <w:tcPr>
            <w:tcW w:w="4044" w:type="dxa"/>
            <w:tcBorders>
              <w:top w:val="nil"/>
              <w:left w:val="nil"/>
              <w:bottom w:val="single" w:color="000000" w:sz="4" w:space="0"/>
              <w:right w:val="single" w:color="auto" w:sz="4" w:space="0"/>
            </w:tcBorders>
            <w:shd w:val="clear" w:color="auto" w:fill="auto"/>
            <w:tcMar>
              <w:top w:w="15" w:type="dxa"/>
              <w:left w:w="15" w:type="dxa"/>
              <w:right w:w="15" w:type="dxa"/>
            </w:tcMar>
            <w:vAlign w:val="center"/>
          </w:tcPr>
          <w:p>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总计</w:t>
            </w:r>
          </w:p>
        </w:tc>
        <w:tc>
          <w:tcPr>
            <w:tcW w:w="284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6,218.71</w:t>
            </w:r>
            <w:r>
              <w:rPr>
                <w:rFonts w:hint="default" w:ascii="Times New Roman" w:hAnsi="Times New Roman" w:cs="Times New Roman"/>
                <w:color w:val="000000"/>
                <w:sz w:val="20"/>
                <w:u w:color="auto"/>
              </w:rPr>
              <w:t xml:space="preserve"> </w:t>
            </w:r>
          </w:p>
        </w:tc>
      </w:tr>
    </w:tbl>
    <w:p>
      <w:pPr>
        <w:rPr>
          <w:rFonts w:hint="default" w:ascii="Times New Roman" w:hAnsi="Times New Roman" w:cs="Times New Roman"/>
          <w:sz w:val="21"/>
          <w:szCs w:val="21"/>
        </w:rPr>
      </w:pPr>
    </w:p>
    <w:p>
      <w:pPr>
        <w:spacing w:line="240" w:lineRule="exact"/>
        <w:rPr>
          <w:rFonts w:hint="default" w:ascii="Times New Roman" w:hAnsi="Times New Roman" w:cs="Times New Roman"/>
          <w:sz w:val="20"/>
          <w:szCs w:val="20"/>
        </w:rPr>
      </w:pPr>
      <w:r>
        <w:rPr>
          <w:rFonts w:hint="default" w:ascii="Times New Roman" w:hAnsi="Times New Roman" w:cs="Times New Roman"/>
          <w:sz w:val="20"/>
          <w:szCs w:val="20"/>
        </w:rPr>
        <w:t>备注：1.本表反映部门本年度的总收支和年末结转结余情况。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tbl>
      <w:tblPr>
        <w:tblStyle w:val="9"/>
        <w:tblW w:w="15503" w:type="dxa"/>
        <w:tblInd w:w="0" w:type="dxa"/>
        <w:tblLayout w:type="fixed"/>
        <w:tblCellMar>
          <w:top w:w="0" w:type="dxa"/>
          <w:left w:w="0" w:type="dxa"/>
          <w:bottom w:w="0" w:type="dxa"/>
          <w:right w:w="0" w:type="dxa"/>
        </w:tblCellMar>
      </w:tblPr>
      <w:tblGrid>
        <w:gridCol w:w="1436"/>
        <w:gridCol w:w="3116"/>
        <w:gridCol w:w="1349"/>
        <w:gridCol w:w="1408"/>
        <w:gridCol w:w="1228"/>
        <w:gridCol w:w="1228"/>
        <w:gridCol w:w="1361"/>
        <w:gridCol w:w="1299"/>
        <w:gridCol w:w="1432"/>
        <w:gridCol w:w="1646"/>
      </w:tblGrid>
      <w:tr>
        <w:tblPrEx>
          <w:tblLayout w:type="fixed"/>
          <w:tblCellMar>
            <w:top w:w="0" w:type="dxa"/>
            <w:left w:w="0" w:type="dxa"/>
            <w:bottom w:w="0" w:type="dxa"/>
            <w:right w:w="0" w:type="dxa"/>
          </w:tblCellMar>
        </w:tblPrEx>
        <w:trPr>
          <w:trHeight w:val="641" w:hRule="atLeast"/>
        </w:trPr>
        <w:tc>
          <w:tcPr>
            <w:tcW w:w="15503" w:type="dxa"/>
            <w:gridSpan w:val="10"/>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收入决算表</w:t>
            </w:r>
          </w:p>
        </w:tc>
      </w:tr>
      <w:tr>
        <w:tblPrEx>
          <w:tblLayout w:type="fixed"/>
          <w:tblCellMar>
            <w:top w:w="0" w:type="dxa"/>
            <w:left w:w="0" w:type="dxa"/>
            <w:bottom w:w="0" w:type="dxa"/>
            <w:right w:w="0" w:type="dxa"/>
          </w:tblCellMar>
        </w:tblPrEx>
        <w:trPr>
          <w:trHeight w:val="328" w:hRule="atLeast"/>
        </w:trPr>
        <w:tc>
          <w:tcPr>
            <w:tcW w:w="5901" w:type="dxa"/>
            <w:gridSpan w:val="3"/>
            <w:vMerge w:val="restart"/>
            <w:tcBorders>
              <w:top w:val="nil"/>
              <w:left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rPr>
            </w:pPr>
            <w:r>
              <w:rPr>
                <w:rFonts w:hint="default" w:ascii="Times New Roman" w:hAnsi="Times New Roman" w:cs="Times New Roman"/>
                <w:sz w:val="20"/>
                <w:szCs w:val="20"/>
              </w:rPr>
              <w:t>部门：</w:t>
            </w:r>
            <w:r>
              <w:rPr>
                <w:rFonts w:hint="default" w:ascii="Times New Roman" w:hAnsi="Times New Roman" w:cs="Times New Roman"/>
                <w:sz w:val="20"/>
                <w:u w:color="auto"/>
              </w:rPr>
              <w:t>秀山土家族苗族自治县就业和人才中心</w:t>
            </w:r>
          </w:p>
        </w:tc>
        <w:tc>
          <w:tcPr>
            <w:tcW w:w="1408" w:type="dxa"/>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rPr>
            </w:pPr>
          </w:p>
        </w:tc>
        <w:tc>
          <w:tcPr>
            <w:tcW w:w="1228" w:type="dxa"/>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rPr>
            </w:pPr>
          </w:p>
        </w:tc>
        <w:tc>
          <w:tcPr>
            <w:tcW w:w="1228" w:type="dxa"/>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rPr>
            </w:pPr>
          </w:p>
        </w:tc>
        <w:tc>
          <w:tcPr>
            <w:tcW w:w="1361" w:type="dxa"/>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rPr>
            </w:pPr>
          </w:p>
        </w:tc>
        <w:tc>
          <w:tcPr>
            <w:tcW w:w="1299" w:type="dxa"/>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rPr>
            </w:pPr>
          </w:p>
        </w:tc>
        <w:tc>
          <w:tcPr>
            <w:tcW w:w="1432" w:type="dxa"/>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rPr>
            </w:pPr>
          </w:p>
        </w:tc>
        <w:tc>
          <w:tcPr>
            <w:tcW w:w="1646"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公开02表</w:t>
            </w:r>
          </w:p>
        </w:tc>
      </w:tr>
      <w:tr>
        <w:tblPrEx>
          <w:tblLayout w:type="fixed"/>
          <w:tblCellMar>
            <w:top w:w="0" w:type="dxa"/>
            <w:left w:w="0" w:type="dxa"/>
            <w:bottom w:w="0" w:type="dxa"/>
            <w:right w:w="0" w:type="dxa"/>
          </w:tblCellMar>
        </w:tblPrEx>
        <w:trPr>
          <w:trHeight w:val="328" w:hRule="atLeast"/>
        </w:trPr>
        <w:tc>
          <w:tcPr>
            <w:tcW w:w="5901"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rPr>
            </w:pPr>
          </w:p>
        </w:tc>
        <w:tc>
          <w:tcPr>
            <w:tcW w:w="1408" w:type="dxa"/>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rPr>
            </w:pPr>
          </w:p>
        </w:tc>
        <w:tc>
          <w:tcPr>
            <w:tcW w:w="1228" w:type="dxa"/>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rPr>
            </w:pPr>
          </w:p>
        </w:tc>
        <w:tc>
          <w:tcPr>
            <w:tcW w:w="1228" w:type="dxa"/>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rPr>
            </w:pPr>
          </w:p>
        </w:tc>
        <w:tc>
          <w:tcPr>
            <w:tcW w:w="1361" w:type="dxa"/>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rPr>
            </w:pPr>
          </w:p>
        </w:tc>
        <w:tc>
          <w:tcPr>
            <w:tcW w:w="1299" w:type="dxa"/>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rPr>
            </w:pPr>
          </w:p>
        </w:tc>
        <w:tc>
          <w:tcPr>
            <w:tcW w:w="1432" w:type="dxa"/>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rPr>
            </w:pPr>
          </w:p>
        </w:tc>
        <w:tc>
          <w:tcPr>
            <w:tcW w:w="1646"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tblPrEx>
          <w:tblLayout w:type="fixed"/>
          <w:tblCellMar>
            <w:top w:w="0" w:type="dxa"/>
            <w:left w:w="0" w:type="dxa"/>
            <w:bottom w:w="0" w:type="dxa"/>
            <w:right w:w="0" w:type="dxa"/>
          </w:tblCellMar>
        </w:tblPrEx>
        <w:trPr>
          <w:trHeight w:val="431" w:hRule="atLeast"/>
        </w:trPr>
        <w:tc>
          <w:tcPr>
            <w:tcW w:w="4552" w:type="dxa"/>
            <w:gridSpan w:val="2"/>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bottom"/>
          </w:tcPr>
          <w:p>
            <w:pPr>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134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本年收入合计</w:t>
            </w:r>
          </w:p>
        </w:tc>
        <w:tc>
          <w:tcPr>
            <w:tcW w:w="140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财政拨款收入</w:t>
            </w:r>
          </w:p>
        </w:tc>
        <w:tc>
          <w:tcPr>
            <w:tcW w:w="122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上级补助收入</w:t>
            </w:r>
          </w:p>
        </w:tc>
        <w:tc>
          <w:tcPr>
            <w:tcW w:w="258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事业收入</w:t>
            </w:r>
          </w:p>
        </w:tc>
        <w:tc>
          <w:tcPr>
            <w:tcW w:w="129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经营收入</w:t>
            </w:r>
          </w:p>
        </w:tc>
        <w:tc>
          <w:tcPr>
            <w:tcW w:w="143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附属单位上缴收入</w:t>
            </w:r>
          </w:p>
        </w:tc>
        <w:tc>
          <w:tcPr>
            <w:tcW w:w="164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其他收入</w:t>
            </w:r>
          </w:p>
        </w:tc>
      </w:tr>
      <w:tr>
        <w:tblPrEx>
          <w:tblLayout w:type="fixed"/>
          <w:tblCellMar>
            <w:top w:w="0" w:type="dxa"/>
            <w:left w:w="0" w:type="dxa"/>
            <w:bottom w:w="0" w:type="dxa"/>
            <w:right w:w="0" w:type="dxa"/>
          </w:tblCellMar>
        </w:tblPrEx>
        <w:trPr>
          <w:trHeight w:val="334" w:hRule="atLeast"/>
        </w:trPr>
        <w:tc>
          <w:tcPr>
            <w:tcW w:w="143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3116" w:type="dxa"/>
            <w:vMerge w:val="restart"/>
            <w:tcBorders>
              <w:top w:val="nil"/>
              <w:left w:val="nil"/>
              <w:bottom w:val="single" w:color="000000" w:sz="4" w:space="0"/>
              <w:right w:val="nil"/>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项目（按“项”级功能分类科目）</w:t>
            </w:r>
          </w:p>
        </w:tc>
        <w:tc>
          <w:tcPr>
            <w:tcW w:w="13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4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22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小计</w:t>
            </w:r>
          </w:p>
        </w:tc>
        <w:tc>
          <w:tcPr>
            <w:tcW w:w="136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其中：教育收费</w:t>
            </w:r>
          </w:p>
        </w:tc>
        <w:tc>
          <w:tcPr>
            <w:tcW w:w="12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6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r>
      <w:tr>
        <w:tblPrEx>
          <w:tblLayout w:type="fixed"/>
          <w:tblCellMar>
            <w:top w:w="0" w:type="dxa"/>
            <w:left w:w="0" w:type="dxa"/>
            <w:bottom w:w="0" w:type="dxa"/>
            <w:right w:w="0" w:type="dxa"/>
          </w:tblCellMar>
        </w:tblPrEx>
        <w:trPr>
          <w:trHeight w:val="334" w:hRule="atLeast"/>
        </w:trPr>
        <w:tc>
          <w:tcPr>
            <w:tcW w:w="143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3116"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3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4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3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2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6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r>
      <w:tr>
        <w:tblPrEx>
          <w:tblLayout w:type="fixed"/>
          <w:tblCellMar>
            <w:top w:w="0" w:type="dxa"/>
            <w:left w:w="0" w:type="dxa"/>
            <w:bottom w:w="0" w:type="dxa"/>
            <w:right w:w="0" w:type="dxa"/>
          </w:tblCellMar>
        </w:tblPrEx>
        <w:trPr>
          <w:trHeight w:val="334" w:hRule="atLeast"/>
        </w:trPr>
        <w:tc>
          <w:tcPr>
            <w:tcW w:w="143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3116"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3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4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3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2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6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r>
      <w:tr>
        <w:tblPrEx>
          <w:tblLayout w:type="fixed"/>
          <w:tblCellMar>
            <w:top w:w="0" w:type="dxa"/>
            <w:left w:w="0" w:type="dxa"/>
            <w:bottom w:w="0" w:type="dxa"/>
            <w:right w:w="0" w:type="dxa"/>
          </w:tblCellMar>
        </w:tblPrEx>
        <w:trPr>
          <w:trHeight w:val="334" w:hRule="atLeast"/>
        </w:trPr>
        <w:tc>
          <w:tcPr>
            <w:tcW w:w="143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3116"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3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4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3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2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6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r>
      <w:tr>
        <w:tblPrEx>
          <w:tblLayout w:type="fixed"/>
          <w:tblCellMar>
            <w:top w:w="0" w:type="dxa"/>
            <w:left w:w="0" w:type="dxa"/>
            <w:bottom w:w="0" w:type="dxa"/>
            <w:right w:w="0" w:type="dxa"/>
          </w:tblCellMar>
        </w:tblPrEx>
        <w:trPr>
          <w:trHeight w:val="338" w:hRule="atLeast"/>
        </w:trPr>
        <w:tc>
          <w:tcPr>
            <w:tcW w:w="455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134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6,204.72</w:t>
            </w:r>
            <w:r>
              <w:rPr>
                <w:rFonts w:hint="default" w:ascii="Times New Roman" w:hAnsi="Times New Roman" w:cs="Times New Roman"/>
                <w:b/>
                <w:color w:val="000000"/>
                <w:sz w:val="20"/>
                <w:u w:color="auto"/>
              </w:rPr>
              <w:t xml:space="preserve"> </w:t>
            </w:r>
          </w:p>
        </w:tc>
        <w:tc>
          <w:tcPr>
            <w:tcW w:w="140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6,204.72</w:t>
            </w:r>
            <w:r>
              <w:rPr>
                <w:rFonts w:hint="default" w:ascii="Times New Roman" w:hAnsi="Times New Roman" w:cs="Times New Roman"/>
                <w:b/>
                <w:color w:val="000000"/>
                <w:sz w:val="20"/>
                <w:u w:color="auto"/>
              </w:rPr>
              <w:t xml:space="preserve"> </w:t>
            </w:r>
          </w:p>
        </w:tc>
        <w:tc>
          <w:tcPr>
            <w:tcW w:w="12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12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13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12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14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16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一般公共服务支出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0.45</w:t>
            </w:r>
            <w:r>
              <w:rPr>
                <w:rFonts w:hint="default" w:ascii="Times New Roman" w:hAnsi="Times New Roman" w:cs="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0.45</w:t>
            </w:r>
            <w:r>
              <w:rPr>
                <w:rFonts w:hint="default" w:ascii="Times New Roman" w:hAnsi="Times New Roman" w:cs="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20132</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组织事务</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0.45</w:t>
            </w:r>
            <w:r>
              <w:rPr>
                <w:rFonts w:hint="default" w:ascii="Times New Roman" w:hAnsi="Times New Roman" w:cs="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0.45</w:t>
            </w:r>
            <w:r>
              <w:rPr>
                <w:rFonts w:hint="default" w:ascii="Times New Roman" w:hAnsi="Times New Roman" w:cs="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2013204</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公务员事务</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0.45</w:t>
            </w:r>
            <w:r>
              <w:rPr>
                <w:rFonts w:hint="default" w:ascii="Times New Roman" w:hAnsi="Times New Roman" w:cs="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0.45</w:t>
            </w:r>
            <w:r>
              <w:rPr>
                <w:rFonts w:hint="default" w:ascii="Times New Roman" w:hAnsi="Times New Roman" w:cs="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社会保障和就业支出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5,219.41</w:t>
            </w:r>
            <w:r>
              <w:rPr>
                <w:rFonts w:hint="default" w:ascii="Times New Roman" w:hAnsi="Times New Roman" w:cs="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5,219.41</w:t>
            </w:r>
            <w:r>
              <w:rPr>
                <w:rFonts w:hint="default" w:ascii="Times New Roman" w:hAnsi="Times New Roman" w:cs="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20801</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人力资源和社会保障管理事务</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509.32</w:t>
            </w:r>
            <w:r>
              <w:rPr>
                <w:rFonts w:hint="default" w:ascii="Times New Roman" w:hAnsi="Times New Roman" w:cs="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509.32</w:t>
            </w:r>
            <w:r>
              <w:rPr>
                <w:rFonts w:hint="default" w:ascii="Times New Roman" w:hAnsi="Times New Roman" w:cs="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2080106</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就业管理事务</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509.32</w:t>
            </w:r>
            <w:r>
              <w:rPr>
                <w:rFonts w:hint="default" w:ascii="Times New Roman" w:hAnsi="Times New Roman" w:cs="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509.32</w:t>
            </w:r>
            <w:r>
              <w:rPr>
                <w:rFonts w:hint="default" w:ascii="Times New Roman" w:hAnsi="Times New Roman" w:cs="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20805</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行政事业单位养老支出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98.10</w:t>
            </w:r>
            <w:r>
              <w:rPr>
                <w:rFonts w:hint="default" w:ascii="Times New Roman" w:hAnsi="Times New Roman" w:cs="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98.10</w:t>
            </w:r>
            <w:r>
              <w:rPr>
                <w:rFonts w:hint="default" w:ascii="Times New Roman" w:hAnsi="Times New Roman" w:cs="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2080501</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行政单位离退休</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28.85</w:t>
            </w:r>
            <w:r>
              <w:rPr>
                <w:rFonts w:hint="default" w:ascii="Times New Roman" w:hAnsi="Times New Roman" w:cs="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28.85</w:t>
            </w:r>
            <w:r>
              <w:rPr>
                <w:rFonts w:hint="default" w:ascii="Times New Roman" w:hAnsi="Times New Roman" w:cs="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2080505</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机关事业单位基本养老保险缴费支出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46.16</w:t>
            </w:r>
            <w:r>
              <w:rPr>
                <w:rFonts w:hint="default" w:ascii="Times New Roman" w:hAnsi="Times New Roman" w:cs="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46.16</w:t>
            </w:r>
            <w:r>
              <w:rPr>
                <w:rFonts w:hint="default" w:ascii="Times New Roman" w:hAnsi="Times New Roman" w:cs="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2080506</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机关事业单位职业年金缴费支出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23.08</w:t>
            </w:r>
            <w:r>
              <w:rPr>
                <w:rFonts w:hint="default" w:ascii="Times New Roman" w:hAnsi="Times New Roman" w:cs="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23.08</w:t>
            </w:r>
            <w:r>
              <w:rPr>
                <w:rFonts w:hint="default" w:ascii="Times New Roman" w:hAnsi="Times New Roman" w:cs="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20807</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就业补助</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4,612.00</w:t>
            </w:r>
            <w:r>
              <w:rPr>
                <w:rFonts w:hint="default" w:ascii="Times New Roman" w:hAnsi="Times New Roman" w:cs="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4,612.00</w:t>
            </w:r>
            <w:r>
              <w:rPr>
                <w:rFonts w:hint="default" w:ascii="Times New Roman" w:hAnsi="Times New Roman" w:cs="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2080701</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就业创业服务补贴</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4,612.00</w:t>
            </w:r>
            <w:r>
              <w:rPr>
                <w:rFonts w:hint="default" w:ascii="Times New Roman" w:hAnsi="Times New Roman" w:cs="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4,612.00</w:t>
            </w:r>
            <w:r>
              <w:rPr>
                <w:rFonts w:hint="default" w:ascii="Times New Roman" w:hAnsi="Times New Roman" w:cs="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卫生健康支出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34.37</w:t>
            </w:r>
            <w:r>
              <w:rPr>
                <w:rFonts w:hint="default" w:ascii="Times New Roman" w:hAnsi="Times New Roman" w:cs="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34.37</w:t>
            </w:r>
            <w:r>
              <w:rPr>
                <w:rFonts w:hint="default" w:ascii="Times New Roman" w:hAnsi="Times New Roman" w:cs="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21011</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行政事业单位医疗</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34.37</w:t>
            </w:r>
            <w:r>
              <w:rPr>
                <w:rFonts w:hint="default" w:ascii="Times New Roman" w:hAnsi="Times New Roman" w:cs="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34.37</w:t>
            </w:r>
            <w:r>
              <w:rPr>
                <w:rFonts w:hint="default" w:ascii="Times New Roman" w:hAnsi="Times New Roman" w:cs="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2101101</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行政单位医疗</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28.85</w:t>
            </w:r>
            <w:r>
              <w:rPr>
                <w:rFonts w:hint="default" w:ascii="Times New Roman" w:hAnsi="Times New Roman" w:cs="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28.85</w:t>
            </w:r>
            <w:r>
              <w:rPr>
                <w:rFonts w:hint="default" w:ascii="Times New Roman" w:hAnsi="Times New Roman" w:cs="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2101199</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其他行政事业单位医疗支出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5.52</w:t>
            </w:r>
            <w:r>
              <w:rPr>
                <w:rFonts w:hint="default" w:ascii="Times New Roman" w:hAnsi="Times New Roman" w:cs="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5.52</w:t>
            </w:r>
            <w:r>
              <w:rPr>
                <w:rFonts w:hint="default" w:ascii="Times New Roman" w:hAnsi="Times New Roman" w:cs="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213</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农林水支出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910.89</w:t>
            </w:r>
            <w:r>
              <w:rPr>
                <w:rFonts w:hint="default" w:ascii="Times New Roman" w:hAnsi="Times New Roman" w:cs="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910.89</w:t>
            </w:r>
            <w:r>
              <w:rPr>
                <w:rFonts w:hint="default" w:ascii="Times New Roman" w:hAnsi="Times New Roman" w:cs="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21305</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巩固脱贫攻坚成果衔接乡村振兴</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651.68</w:t>
            </w:r>
            <w:r>
              <w:rPr>
                <w:rFonts w:hint="default" w:ascii="Times New Roman" w:hAnsi="Times New Roman" w:cs="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651.68</w:t>
            </w:r>
            <w:r>
              <w:rPr>
                <w:rFonts w:hint="default" w:ascii="Times New Roman" w:hAnsi="Times New Roman" w:cs="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2130599</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其他巩固脱贫攻坚成果衔接乡村振兴支出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651.68</w:t>
            </w:r>
            <w:r>
              <w:rPr>
                <w:rFonts w:hint="default" w:ascii="Times New Roman" w:hAnsi="Times New Roman" w:cs="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651.68</w:t>
            </w:r>
            <w:r>
              <w:rPr>
                <w:rFonts w:hint="default" w:ascii="Times New Roman" w:hAnsi="Times New Roman" w:cs="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21308</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普惠金融发展支出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259.21</w:t>
            </w:r>
            <w:r>
              <w:rPr>
                <w:rFonts w:hint="default" w:ascii="Times New Roman" w:hAnsi="Times New Roman" w:cs="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259.21</w:t>
            </w:r>
            <w:r>
              <w:rPr>
                <w:rFonts w:hint="default" w:ascii="Times New Roman" w:hAnsi="Times New Roman" w:cs="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2130804</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创业担保贷款贴息及奖补</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259.21</w:t>
            </w:r>
            <w:r>
              <w:rPr>
                <w:rFonts w:hint="default" w:ascii="Times New Roman" w:hAnsi="Times New Roman" w:cs="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259.21</w:t>
            </w:r>
            <w:r>
              <w:rPr>
                <w:rFonts w:hint="default" w:ascii="Times New Roman" w:hAnsi="Times New Roman" w:cs="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住房保障支出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39.60</w:t>
            </w:r>
            <w:r>
              <w:rPr>
                <w:rFonts w:hint="default" w:ascii="Times New Roman" w:hAnsi="Times New Roman" w:cs="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39.60</w:t>
            </w:r>
            <w:r>
              <w:rPr>
                <w:rFonts w:hint="default" w:ascii="Times New Roman" w:hAnsi="Times New Roman" w:cs="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22102</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住房改革支出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39.60</w:t>
            </w:r>
            <w:r>
              <w:rPr>
                <w:rFonts w:hint="default" w:ascii="Times New Roman" w:hAnsi="Times New Roman" w:cs="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39.60</w:t>
            </w:r>
            <w:r>
              <w:rPr>
                <w:rFonts w:hint="default" w:ascii="Times New Roman" w:hAnsi="Times New Roman" w:cs="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2210201</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住房公积金</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39.60</w:t>
            </w:r>
            <w:r>
              <w:rPr>
                <w:rFonts w:hint="default" w:ascii="Times New Roman" w:hAnsi="Times New Roman" w:cs="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39.60</w:t>
            </w:r>
            <w:r>
              <w:rPr>
                <w:rFonts w:hint="default" w:ascii="Times New Roman" w:hAnsi="Times New Roman" w:cs="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bl>
    <w:p>
      <w:pPr>
        <w:ind w:left="600" w:hanging="600" w:hangingChars="300"/>
        <w:rPr>
          <w:rFonts w:hint="default" w:ascii="Times New Roman" w:hAnsi="Times New Roman" w:cs="Times New Roman"/>
          <w:sz w:val="20"/>
          <w:szCs w:val="20"/>
        </w:rPr>
      </w:pPr>
      <w:r>
        <w:rPr>
          <w:rFonts w:hint="default" w:ascii="Times New Roman" w:hAnsi="Times New Roman" w:cs="Times New Roman"/>
          <w:sz w:val="20"/>
          <w:szCs w:val="20"/>
        </w:rPr>
        <w:t>备注：1.本表反映部门本年度取得的各项收入情况。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pPr>
        <w:rPr>
          <w:rFonts w:hint="default" w:ascii="Times New Roman" w:hAnsi="Times New Roman" w:cs="Times New Roman"/>
          <w:sz w:val="20"/>
          <w:szCs w:val="20"/>
        </w:rPr>
      </w:pPr>
      <w:r>
        <w:rPr>
          <w:rFonts w:hint="default" w:ascii="Times New Roman" w:hAnsi="Times New Roman" w:cs="Times New Roman"/>
          <w:sz w:val="20"/>
          <w:szCs w:val="20"/>
        </w:rPr>
        <w:br w:type="page"/>
      </w:r>
    </w:p>
    <w:tbl>
      <w:tblPr>
        <w:tblStyle w:val="9"/>
        <w:tblW w:w="15322" w:type="dxa"/>
        <w:tblInd w:w="0" w:type="dxa"/>
        <w:tblLayout w:type="fixed"/>
        <w:tblCellMar>
          <w:top w:w="0" w:type="dxa"/>
          <w:left w:w="0" w:type="dxa"/>
          <w:bottom w:w="0" w:type="dxa"/>
          <w:right w:w="0" w:type="dxa"/>
        </w:tblCellMar>
      </w:tblPr>
      <w:tblGrid>
        <w:gridCol w:w="1483"/>
        <w:gridCol w:w="3552"/>
        <w:gridCol w:w="1667"/>
        <w:gridCol w:w="1716"/>
        <w:gridCol w:w="1649"/>
        <w:gridCol w:w="1581"/>
        <w:gridCol w:w="1716"/>
        <w:gridCol w:w="1958"/>
      </w:tblGrid>
      <w:tr>
        <w:tblPrEx>
          <w:tblLayout w:type="fixed"/>
          <w:tblCellMar>
            <w:top w:w="0" w:type="dxa"/>
            <w:left w:w="0" w:type="dxa"/>
            <w:bottom w:w="0" w:type="dxa"/>
            <w:right w:w="0" w:type="dxa"/>
          </w:tblCellMar>
        </w:tblPrEx>
        <w:trPr>
          <w:trHeight w:val="654" w:hRule="atLeast"/>
        </w:trPr>
        <w:tc>
          <w:tcPr>
            <w:tcW w:w="15322" w:type="dxa"/>
            <w:gridSpan w:val="8"/>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支出决算表</w:t>
            </w:r>
          </w:p>
        </w:tc>
      </w:tr>
      <w:tr>
        <w:tblPrEx>
          <w:tblLayout w:type="fixed"/>
          <w:tblCellMar>
            <w:top w:w="0" w:type="dxa"/>
            <w:left w:w="0" w:type="dxa"/>
            <w:bottom w:w="0" w:type="dxa"/>
            <w:right w:w="0" w:type="dxa"/>
          </w:tblCellMar>
        </w:tblPrEx>
        <w:trPr>
          <w:trHeight w:val="342" w:hRule="atLeast"/>
        </w:trPr>
        <w:tc>
          <w:tcPr>
            <w:tcW w:w="6702" w:type="dxa"/>
            <w:gridSpan w:val="3"/>
            <w:vMerge w:val="restart"/>
            <w:tcBorders>
              <w:top w:val="nil"/>
              <w:left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rPr>
            </w:pPr>
            <w:r>
              <w:rPr>
                <w:rFonts w:hint="default" w:ascii="Times New Roman" w:hAnsi="Times New Roman" w:cs="Times New Roman"/>
                <w:sz w:val="20"/>
                <w:szCs w:val="20"/>
              </w:rPr>
              <w:t>部门</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 xml:space="preserve">秀山土家族苗族自治县就业和人才中心 </w:t>
            </w:r>
          </w:p>
        </w:tc>
        <w:tc>
          <w:tcPr>
            <w:tcW w:w="1716" w:type="dxa"/>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rPr>
            </w:pPr>
          </w:p>
        </w:tc>
        <w:tc>
          <w:tcPr>
            <w:tcW w:w="1649" w:type="dxa"/>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rPr>
            </w:pPr>
          </w:p>
        </w:tc>
        <w:tc>
          <w:tcPr>
            <w:tcW w:w="1581" w:type="dxa"/>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rPr>
            </w:pPr>
          </w:p>
        </w:tc>
        <w:tc>
          <w:tcPr>
            <w:tcW w:w="1716" w:type="dxa"/>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rPr>
            </w:pPr>
          </w:p>
        </w:tc>
        <w:tc>
          <w:tcPr>
            <w:tcW w:w="1958"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公开03表</w:t>
            </w:r>
          </w:p>
        </w:tc>
      </w:tr>
      <w:tr>
        <w:tblPrEx>
          <w:tblLayout w:type="fixed"/>
          <w:tblCellMar>
            <w:top w:w="0" w:type="dxa"/>
            <w:left w:w="0" w:type="dxa"/>
            <w:bottom w:w="0" w:type="dxa"/>
            <w:right w:w="0" w:type="dxa"/>
          </w:tblCellMar>
        </w:tblPrEx>
        <w:trPr>
          <w:trHeight w:val="342" w:hRule="atLeast"/>
        </w:trPr>
        <w:tc>
          <w:tcPr>
            <w:tcW w:w="6702"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rPr>
            </w:pPr>
          </w:p>
        </w:tc>
        <w:tc>
          <w:tcPr>
            <w:tcW w:w="1716" w:type="dxa"/>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rPr>
            </w:pPr>
          </w:p>
        </w:tc>
        <w:tc>
          <w:tcPr>
            <w:tcW w:w="1649" w:type="dxa"/>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rPr>
            </w:pPr>
          </w:p>
        </w:tc>
        <w:tc>
          <w:tcPr>
            <w:tcW w:w="1581" w:type="dxa"/>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rPr>
            </w:pPr>
          </w:p>
        </w:tc>
        <w:tc>
          <w:tcPr>
            <w:tcW w:w="1716" w:type="dxa"/>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rPr>
            </w:pPr>
          </w:p>
        </w:tc>
        <w:tc>
          <w:tcPr>
            <w:tcW w:w="1958"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tblPrEx>
          <w:tblLayout w:type="fixed"/>
          <w:tblCellMar>
            <w:top w:w="0" w:type="dxa"/>
            <w:left w:w="0" w:type="dxa"/>
            <w:bottom w:w="0" w:type="dxa"/>
            <w:right w:w="0" w:type="dxa"/>
          </w:tblCellMar>
        </w:tblPrEx>
        <w:trPr>
          <w:trHeight w:val="362" w:hRule="atLeast"/>
        </w:trPr>
        <w:tc>
          <w:tcPr>
            <w:tcW w:w="503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16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本年支出合计</w:t>
            </w:r>
          </w:p>
        </w:tc>
        <w:tc>
          <w:tcPr>
            <w:tcW w:w="171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基本支出</w:t>
            </w:r>
          </w:p>
        </w:tc>
        <w:tc>
          <w:tcPr>
            <w:tcW w:w="164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项目支出</w:t>
            </w:r>
          </w:p>
        </w:tc>
        <w:tc>
          <w:tcPr>
            <w:tcW w:w="158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上缴上级支出</w:t>
            </w:r>
          </w:p>
        </w:tc>
        <w:tc>
          <w:tcPr>
            <w:tcW w:w="171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经营支出</w:t>
            </w:r>
          </w:p>
        </w:tc>
        <w:tc>
          <w:tcPr>
            <w:tcW w:w="195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对附属单位补助支出</w:t>
            </w:r>
          </w:p>
        </w:tc>
      </w:tr>
      <w:tr>
        <w:tblPrEx>
          <w:tblLayout w:type="fixed"/>
          <w:tblCellMar>
            <w:top w:w="0" w:type="dxa"/>
            <w:left w:w="0" w:type="dxa"/>
            <w:bottom w:w="0" w:type="dxa"/>
            <w:right w:w="0" w:type="dxa"/>
          </w:tblCellMar>
        </w:tblPrEx>
        <w:trPr>
          <w:trHeight w:val="338" w:hRule="atLeast"/>
        </w:trPr>
        <w:tc>
          <w:tcPr>
            <w:tcW w:w="148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3552" w:type="dxa"/>
            <w:vMerge w:val="restart"/>
            <w:tcBorders>
              <w:top w:val="nil"/>
              <w:left w:val="nil"/>
              <w:bottom w:val="single" w:color="000000" w:sz="4" w:space="0"/>
              <w:right w:val="nil"/>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项目（按“项”级功能分类科目）</w:t>
            </w:r>
          </w:p>
        </w:tc>
        <w:tc>
          <w:tcPr>
            <w:tcW w:w="16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6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r>
      <w:tr>
        <w:tblPrEx>
          <w:tblLayout w:type="fixed"/>
          <w:tblCellMar>
            <w:top w:w="0" w:type="dxa"/>
            <w:left w:w="0" w:type="dxa"/>
            <w:bottom w:w="0" w:type="dxa"/>
            <w:right w:w="0" w:type="dxa"/>
          </w:tblCellMar>
        </w:tblPrEx>
        <w:trPr>
          <w:trHeight w:val="338" w:hRule="atLeast"/>
        </w:trPr>
        <w:tc>
          <w:tcPr>
            <w:tcW w:w="148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3552"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6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6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r>
      <w:tr>
        <w:tblPrEx>
          <w:tblLayout w:type="fixed"/>
          <w:tblCellMar>
            <w:top w:w="0" w:type="dxa"/>
            <w:left w:w="0" w:type="dxa"/>
            <w:bottom w:w="0" w:type="dxa"/>
            <w:right w:w="0" w:type="dxa"/>
          </w:tblCellMar>
        </w:tblPrEx>
        <w:trPr>
          <w:trHeight w:val="338" w:hRule="atLeast"/>
        </w:trPr>
        <w:tc>
          <w:tcPr>
            <w:tcW w:w="148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3552"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6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6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r>
      <w:tr>
        <w:tblPrEx>
          <w:tblLayout w:type="fixed"/>
          <w:tblCellMar>
            <w:top w:w="0" w:type="dxa"/>
            <w:left w:w="0" w:type="dxa"/>
            <w:bottom w:w="0" w:type="dxa"/>
            <w:right w:w="0" w:type="dxa"/>
          </w:tblCellMar>
        </w:tblPrEx>
        <w:trPr>
          <w:trHeight w:val="338" w:hRule="atLeast"/>
        </w:trPr>
        <w:tc>
          <w:tcPr>
            <w:tcW w:w="148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3552"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6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6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r>
      <w:tr>
        <w:tblPrEx>
          <w:tblLayout w:type="fixed"/>
          <w:tblCellMar>
            <w:top w:w="0" w:type="dxa"/>
            <w:left w:w="0" w:type="dxa"/>
            <w:bottom w:w="0" w:type="dxa"/>
            <w:right w:w="0" w:type="dxa"/>
          </w:tblCellMar>
        </w:tblPrEx>
        <w:trPr>
          <w:trHeight w:val="362" w:hRule="atLeast"/>
        </w:trPr>
        <w:tc>
          <w:tcPr>
            <w:tcW w:w="503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16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6,212.32</w:t>
            </w:r>
            <w:r>
              <w:rPr>
                <w:rFonts w:hint="default" w:ascii="Times New Roman" w:hAnsi="Times New Roman" w:cs="Times New Roman"/>
                <w:b/>
                <w:color w:val="000000"/>
                <w:sz w:val="20"/>
                <w:u w:color="auto"/>
              </w:rPr>
              <w:t xml:space="preserve"> </w:t>
            </w:r>
          </w:p>
        </w:tc>
        <w:tc>
          <w:tcPr>
            <w:tcW w:w="17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619.66</w:t>
            </w:r>
            <w:r>
              <w:rPr>
                <w:rFonts w:hint="default" w:ascii="Times New Roman" w:hAnsi="Times New Roman" w:cs="Times New Roman"/>
                <w:b/>
                <w:color w:val="000000"/>
                <w:sz w:val="20"/>
                <w:u w:color="auto"/>
              </w:rPr>
              <w:t xml:space="preserve"> </w:t>
            </w:r>
          </w:p>
        </w:tc>
        <w:tc>
          <w:tcPr>
            <w:tcW w:w="164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5,592.66</w:t>
            </w:r>
            <w:r>
              <w:rPr>
                <w:rFonts w:hint="default" w:ascii="Times New Roman" w:hAnsi="Times New Roman" w:cs="Times New Roman"/>
                <w:b/>
                <w:color w:val="000000"/>
                <w:sz w:val="20"/>
                <w:u w:color="auto"/>
              </w:rPr>
              <w:t xml:space="preserve"> </w:t>
            </w:r>
          </w:p>
        </w:tc>
        <w:tc>
          <w:tcPr>
            <w:tcW w:w="158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17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19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一般公共服务支出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0.45</w:t>
            </w:r>
            <w:r>
              <w:rPr>
                <w:rFonts w:hint="default" w:ascii="Times New Roman" w:hAnsi="Times New Roman" w:cs="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0.45</w:t>
            </w:r>
            <w:r>
              <w:rPr>
                <w:rFonts w:hint="default" w:ascii="Times New Roman" w:hAnsi="Times New Roman" w:cs="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20132</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组织事务</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0.45</w:t>
            </w:r>
            <w:r>
              <w:rPr>
                <w:rFonts w:hint="default" w:ascii="Times New Roman" w:hAnsi="Times New Roman" w:cs="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0.45</w:t>
            </w:r>
            <w:r>
              <w:rPr>
                <w:rFonts w:hint="default" w:ascii="Times New Roman" w:hAnsi="Times New Roman" w:cs="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2013204</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公务员事务</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0.45</w:t>
            </w:r>
            <w:r>
              <w:rPr>
                <w:rFonts w:hint="default" w:ascii="Times New Roman" w:hAnsi="Times New Roman" w:cs="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0.45</w:t>
            </w:r>
            <w:r>
              <w:rPr>
                <w:rFonts w:hint="default" w:ascii="Times New Roman" w:hAnsi="Times New Roman" w:cs="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社会保障和就业支出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5,227.01</w:t>
            </w:r>
            <w:r>
              <w:rPr>
                <w:rFonts w:hint="default" w:ascii="Times New Roman" w:hAnsi="Times New Roman" w:cs="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545.24</w:t>
            </w:r>
            <w:r>
              <w:rPr>
                <w:rFonts w:hint="default" w:ascii="Times New Roman" w:hAnsi="Times New Roman" w:cs="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4,681.76</w:t>
            </w:r>
            <w:r>
              <w:rPr>
                <w:rFonts w:hint="default" w:ascii="Times New Roman" w:hAnsi="Times New Roman" w:cs="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20801</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人力资源和社会保障管理事务</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516.91</w:t>
            </w:r>
            <w:r>
              <w:rPr>
                <w:rFonts w:hint="default" w:ascii="Times New Roman" w:hAnsi="Times New Roman" w:cs="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447.15</w:t>
            </w:r>
            <w:r>
              <w:rPr>
                <w:rFonts w:hint="default" w:ascii="Times New Roman" w:hAnsi="Times New Roman" w:cs="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69.76</w:t>
            </w:r>
            <w:r>
              <w:rPr>
                <w:rFonts w:hint="default" w:ascii="Times New Roman" w:hAnsi="Times New Roman" w:cs="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2080106</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就业管理事务</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509.39</w:t>
            </w:r>
            <w:r>
              <w:rPr>
                <w:rFonts w:hint="default" w:ascii="Times New Roman" w:hAnsi="Times New Roman" w:cs="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447.15</w:t>
            </w:r>
            <w:r>
              <w:rPr>
                <w:rFonts w:hint="default" w:ascii="Times New Roman" w:hAnsi="Times New Roman" w:cs="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62.24</w:t>
            </w:r>
            <w:r>
              <w:rPr>
                <w:rFonts w:hint="default" w:ascii="Times New Roman" w:hAnsi="Times New Roman" w:cs="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2080199</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其他人力资源和社会保障管理事务支出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7.53</w:t>
            </w:r>
            <w:r>
              <w:rPr>
                <w:rFonts w:hint="default" w:ascii="Times New Roman" w:hAnsi="Times New Roman" w:cs="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7.53</w:t>
            </w:r>
            <w:r>
              <w:rPr>
                <w:rFonts w:hint="default" w:ascii="Times New Roman" w:hAnsi="Times New Roman" w:cs="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20805</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行政事业单位养老支出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98.10</w:t>
            </w:r>
            <w:r>
              <w:rPr>
                <w:rFonts w:hint="default" w:ascii="Times New Roman" w:hAnsi="Times New Roman" w:cs="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98.10</w:t>
            </w:r>
            <w:r>
              <w:rPr>
                <w:rFonts w:hint="default" w:ascii="Times New Roman" w:hAnsi="Times New Roman" w:cs="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2080501</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行政单位离退休</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28.85</w:t>
            </w:r>
            <w:r>
              <w:rPr>
                <w:rFonts w:hint="default" w:ascii="Times New Roman" w:hAnsi="Times New Roman" w:cs="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28.85</w:t>
            </w:r>
            <w:r>
              <w:rPr>
                <w:rFonts w:hint="default" w:ascii="Times New Roman" w:hAnsi="Times New Roman" w:cs="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2080505</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机关事业单位基本养老保险缴费支出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46.16</w:t>
            </w:r>
            <w:r>
              <w:rPr>
                <w:rFonts w:hint="default" w:ascii="Times New Roman" w:hAnsi="Times New Roman" w:cs="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46.16</w:t>
            </w:r>
            <w:r>
              <w:rPr>
                <w:rFonts w:hint="default" w:ascii="Times New Roman" w:hAnsi="Times New Roman" w:cs="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2080506</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机关事业单位职业年金缴费支出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23.08</w:t>
            </w:r>
            <w:r>
              <w:rPr>
                <w:rFonts w:hint="default" w:ascii="Times New Roman" w:hAnsi="Times New Roman" w:cs="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23.08</w:t>
            </w:r>
            <w:r>
              <w:rPr>
                <w:rFonts w:hint="default" w:ascii="Times New Roman" w:hAnsi="Times New Roman" w:cs="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20807</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就业补助</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4,612.00</w:t>
            </w:r>
            <w:r>
              <w:rPr>
                <w:rFonts w:hint="default" w:ascii="Times New Roman" w:hAnsi="Times New Roman" w:cs="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4,612.00</w:t>
            </w:r>
            <w:r>
              <w:rPr>
                <w:rFonts w:hint="default" w:ascii="Times New Roman" w:hAnsi="Times New Roman" w:cs="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2080701</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就业创业服务补贴</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4,612.00</w:t>
            </w:r>
            <w:r>
              <w:rPr>
                <w:rFonts w:hint="default" w:ascii="Times New Roman" w:hAnsi="Times New Roman" w:cs="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4,612.00</w:t>
            </w:r>
            <w:r>
              <w:rPr>
                <w:rFonts w:hint="default" w:ascii="Times New Roman" w:hAnsi="Times New Roman" w:cs="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卫生健康支出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34.37</w:t>
            </w:r>
            <w:r>
              <w:rPr>
                <w:rFonts w:hint="default" w:ascii="Times New Roman" w:hAnsi="Times New Roman" w:cs="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34.37</w:t>
            </w:r>
            <w:r>
              <w:rPr>
                <w:rFonts w:hint="default" w:ascii="Times New Roman" w:hAnsi="Times New Roman" w:cs="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21011</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行政事业单位医疗</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34.37</w:t>
            </w:r>
            <w:r>
              <w:rPr>
                <w:rFonts w:hint="default" w:ascii="Times New Roman" w:hAnsi="Times New Roman" w:cs="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34.37</w:t>
            </w:r>
            <w:r>
              <w:rPr>
                <w:rFonts w:hint="default" w:ascii="Times New Roman" w:hAnsi="Times New Roman" w:cs="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2101101</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行政单位医疗</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28.85</w:t>
            </w:r>
            <w:r>
              <w:rPr>
                <w:rFonts w:hint="default" w:ascii="Times New Roman" w:hAnsi="Times New Roman" w:cs="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28.85</w:t>
            </w:r>
            <w:r>
              <w:rPr>
                <w:rFonts w:hint="default" w:ascii="Times New Roman" w:hAnsi="Times New Roman" w:cs="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2101199</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其他行政事业单位医疗支出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5.52</w:t>
            </w:r>
            <w:r>
              <w:rPr>
                <w:rFonts w:hint="default" w:ascii="Times New Roman" w:hAnsi="Times New Roman" w:cs="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5.52</w:t>
            </w:r>
            <w:r>
              <w:rPr>
                <w:rFonts w:hint="default" w:ascii="Times New Roman" w:hAnsi="Times New Roman" w:cs="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213</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农林水支出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910.89</w:t>
            </w:r>
            <w:r>
              <w:rPr>
                <w:rFonts w:hint="default" w:ascii="Times New Roman" w:hAnsi="Times New Roman" w:cs="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910.89</w:t>
            </w:r>
            <w:r>
              <w:rPr>
                <w:rFonts w:hint="default" w:ascii="Times New Roman" w:hAnsi="Times New Roman" w:cs="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21305</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巩固脱贫攻坚成果衔接乡村振兴</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651.68</w:t>
            </w:r>
            <w:r>
              <w:rPr>
                <w:rFonts w:hint="default" w:ascii="Times New Roman" w:hAnsi="Times New Roman" w:cs="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651.68</w:t>
            </w:r>
            <w:r>
              <w:rPr>
                <w:rFonts w:hint="default" w:ascii="Times New Roman" w:hAnsi="Times New Roman" w:cs="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2130599</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其他巩固脱贫攻坚成果衔接乡村振兴支出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651.68</w:t>
            </w:r>
            <w:r>
              <w:rPr>
                <w:rFonts w:hint="default" w:ascii="Times New Roman" w:hAnsi="Times New Roman" w:cs="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651.68</w:t>
            </w:r>
            <w:r>
              <w:rPr>
                <w:rFonts w:hint="default" w:ascii="Times New Roman" w:hAnsi="Times New Roman" w:cs="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21308</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普惠金融发展支出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259.21</w:t>
            </w:r>
            <w:r>
              <w:rPr>
                <w:rFonts w:hint="default" w:ascii="Times New Roman" w:hAnsi="Times New Roman" w:cs="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259.21</w:t>
            </w:r>
            <w:r>
              <w:rPr>
                <w:rFonts w:hint="default" w:ascii="Times New Roman" w:hAnsi="Times New Roman" w:cs="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2130804</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创业担保贷款贴息及奖补</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259.21</w:t>
            </w:r>
            <w:r>
              <w:rPr>
                <w:rFonts w:hint="default" w:ascii="Times New Roman" w:hAnsi="Times New Roman" w:cs="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259.21</w:t>
            </w:r>
            <w:r>
              <w:rPr>
                <w:rFonts w:hint="default" w:ascii="Times New Roman" w:hAnsi="Times New Roman" w:cs="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住房保障支出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39.60</w:t>
            </w:r>
            <w:r>
              <w:rPr>
                <w:rFonts w:hint="default" w:ascii="Times New Roman" w:hAnsi="Times New Roman" w:cs="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39.60</w:t>
            </w:r>
            <w:r>
              <w:rPr>
                <w:rFonts w:hint="default" w:ascii="Times New Roman" w:hAnsi="Times New Roman" w:cs="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22102</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住房改革支出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39.60</w:t>
            </w:r>
            <w:r>
              <w:rPr>
                <w:rFonts w:hint="default" w:ascii="Times New Roman" w:hAnsi="Times New Roman" w:cs="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39.60</w:t>
            </w:r>
            <w:r>
              <w:rPr>
                <w:rFonts w:hint="default" w:ascii="Times New Roman" w:hAnsi="Times New Roman" w:cs="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2210201</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住房公积金</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39.60</w:t>
            </w:r>
            <w:r>
              <w:rPr>
                <w:rFonts w:hint="default" w:ascii="Times New Roman" w:hAnsi="Times New Roman" w:cs="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39.60</w:t>
            </w:r>
            <w:r>
              <w:rPr>
                <w:rFonts w:hint="default" w:ascii="Times New Roman" w:hAnsi="Times New Roman" w:cs="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bl>
    <w:p>
      <w:pPr>
        <w:rPr>
          <w:rFonts w:hint="default" w:ascii="Times New Roman" w:hAnsi="Times New Roman" w:cs="Times New Roman"/>
          <w:sz w:val="20"/>
          <w:szCs w:val="20"/>
        </w:rPr>
      </w:pPr>
      <w:r>
        <w:rPr>
          <w:rFonts w:hint="default" w:ascii="Times New Roman" w:hAnsi="Times New Roman" w:cs="Times New Roman"/>
          <w:sz w:val="20"/>
          <w:szCs w:val="20"/>
        </w:rPr>
        <w:t>备注：1.本表反映部门本年度各项支出情况。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pPr>
        <w:rPr>
          <w:rFonts w:hint="default" w:ascii="Times New Roman" w:hAnsi="Times New Roman" w:cs="Times New Roman"/>
          <w:sz w:val="21"/>
          <w:szCs w:val="21"/>
        </w:rPr>
      </w:pPr>
      <w:r>
        <w:rPr>
          <w:rFonts w:hint="default" w:ascii="Times New Roman" w:hAnsi="Times New Roman" w:cs="Times New Roman"/>
          <w:sz w:val="21"/>
          <w:szCs w:val="21"/>
        </w:rPr>
        <w:br w:type="page"/>
      </w:r>
    </w:p>
    <w:p>
      <w:pPr>
        <w:rPr>
          <w:rFonts w:hint="default" w:ascii="Times New Roman" w:hAnsi="Times New Roman" w:cs="Times New Roman"/>
          <w:sz w:val="21"/>
          <w:szCs w:val="21"/>
        </w:rPr>
      </w:pPr>
    </w:p>
    <w:tbl>
      <w:tblPr>
        <w:tblStyle w:val="9"/>
        <w:tblW w:w="14678" w:type="dxa"/>
        <w:tblInd w:w="0" w:type="dxa"/>
        <w:tblLayout w:type="fixed"/>
        <w:tblCellMar>
          <w:top w:w="0" w:type="dxa"/>
          <w:left w:w="0" w:type="dxa"/>
          <w:bottom w:w="0" w:type="dxa"/>
          <w:right w:w="0" w:type="dxa"/>
        </w:tblCellMar>
      </w:tblPr>
      <w:tblGrid>
        <w:gridCol w:w="2967"/>
        <w:gridCol w:w="1521"/>
        <w:gridCol w:w="3179"/>
        <w:gridCol w:w="1694"/>
        <w:gridCol w:w="1694"/>
        <w:gridCol w:w="1694"/>
        <w:gridCol w:w="1929"/>
      </w:tblGrid>
      <w:tr>
        <w:tblPrEx>
          <w:tblLayout w:type="fixed"/>
          <w:tblCellMar>
            <w:top w:w="0" w:type="dxa"/>
            <w:left w:w="0" w:type="dxa"/>
            <w:bottom w:w="0" w:type="dxa"/>
            <w:right w:w="0" w:type="dxa"/>
          </w:tblCellMar>
        </w:tblPrEx>
        <w:trPr>
          <w:trHeight w:val="90" w:hRule="atLeast"/>
        </w:trPr>
        <w:tc>
          <w:tcPr>
            <w:tcW w:w="14678" w:type="dxa"/>
            <w:gridSpan w:val="7"/>
            <w:tcBorders>
              <w:top w:val="nil"/>
              <w:left w:val="nil"/>
              <w:bottom w:val="nil"/>
              <w:right w:val="nil"/>
            </w:tcBorders>
            <w:shd w:val="clear" w:color="auto" w:fill="auto"/>
            <w:tcMar>
              <w:top w:w="15" w:type="dxa"/>
              <w:left w:w="15" w:type="dxa"/>
              <w:right w:w="15" w:type="dxa"/>
            </w:tcMar>
            <w:vAlign w:val="bottom"/>
          </w:tcPr>
          <w:p>
            <w:pPr>
              <w:spacing w:line="400" w:lineRule="exact"/>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财政拨款收入支出决算总表</w:t>
            </w:r>
          </w:p>
        </w:tc>
      </w:tr>
      <w:tr>
        <w:tblPrEx>
          <w:tblLayout w:type="fixed"/>
          <w:tblCellMar>
            <w:top w:w="0" w:type="dxa"/>
            <w:left w:w="0" w:type="dxa"/>
            <w:bottom w:w="0" w:type="dxa"/>
            <w:right w:w="0" w:type="dxa"/>
          </w:tblCellMar>
        </w:tblPrEx>
        <w:trPr>
          <w:trHeight w:val="90" w:hRule="atLeast"/>
        </w:trPr>
        <w:tc>
          <w:tcPr>
            <w:tcW w:w="7667" w:type="dxa"/>
            <w:gridSpan w:val="3"/>
            <w:vMerge w:val="restart"/>
            <w:tcBorders>
              <w:top w:val="nil"/>
              <w:left w:val="nil"/>
              <w:right w:val="nil"/>
            </w:tcBorders>
            <w:shd w:val="clear" w:color="auto" w:fill="auto"/>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r>
              <w:rPr>
                <w:rFonts w:hint="default" w:ascii="Times New Roman" w:hAnsi="Times New Roman" w:cs="Times New Roman"/>
                <w:sz w:val="20"/>
                <w:szCs w:val="20"/>
              </w:rPr>
              <w:t>部门</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秀山土家族苗族自治县就业和人才中心</w:t>
            </w: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1929" w:type="dxa"/>
            <w:tcBorders>
              <w:top w:val="nil"/>
              <w:left w:val="nil"/>
              <w:bottom w:val="nil"/>
              <w:right w:val="nil"/>
            </w:tcBorders>
            <w:shd w:val="clear" w:color="auto" w:fill="auto"/>
            <w:tcMar>
              <w:top w:w="15" w:type="dxa"/>
              <w:left w:w="15" w:type="dxa"/>
              <w:right w:w="15" w:type="dxa"/>
            </w:tcMar>
            <w:vAlign w:val="bottom"/>
          </w:tcPr>
          <w:p>
            <w:pPr>
              <w:spacing w:line="24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公开04表</w:t>
            </w:r>
          </w:p>
        </w:tc>
      </w:tr>
      <w:tr>
        <w:tblPrEx>
          <w:tblLayout w:type="fixed"/>
          <w:tblCellMar>
            <w:top w:w="0" w:type="dxa"/>
            <w:left w:w="0" w:type="dxa"/>
            <w:bottom w:w="0" w:type="dxa"/>
            <w:right w:w="0" w:type="dxa"/>
          </w:tblCellMar>
        </w:tblPrEx>
        <w:trPr>
          <w:trHeight w:val="90" w:hRule="atLeast"/>
        </w:trPr>
        <w:tc>
          <w:tcPr>
            <w:tcW w:w="7667" w:type="dxa"/>
            <w:gridSpan w:val="3"/>
            <w:vMerge w:val="continue"/>
            <w:tcBorders>
              <w:left w:val="nil"/>
              <w:bottom w:val="nil"/>
              <w:right w:val="nil"/>
            </w:tcBorders>
            <w:shd w:val="clear" w:color="auto" w:fill="auto"/>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1929"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tblPrEx>
          <w:tblLayout w:type="fixed"/>
          <w:tblCellMar>
            <w:top w:w="0" w:type="dxa"/>
            <w:left w:w="0" w:type="dxa"/>
            <w:bottom w:w="0" w:type="dxa"/>
            <w:right w:w="0" w:type="dxa"/>
          </w:tblCellMar>
        </w:tblPrEx>
        <w:trPr>
          <w:trHeight w:val="90" w:hRule="atLeast"/>
        </w:trPr>
        <w:tc>
          <w:tcPr>
            <w:tcW w:w="448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收     入</w:t>
            </w:r>
          </w:p>
        </w:tc>
        <w:tc>
          <w:tcPr>
            <w:tcW w:w="1019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支     出</w:t>
            </w:r>
          </w:p>
        </w:tc>
      </w:tr>
      <w:tr>
        <w:tblPrEx>
          <w:tblLayout w:type="fixed"/>
          <w:tblCellMar>
            <w:top w:w="0" w:type="dxa"/>
            <w:left w:w="0" w:type="dxa"/>
            <w:bottom w:w="0" w:type="dxa"/>
            <w:right w:w="0" w:type="dxa"/>
          </w:tblCellMar>
        </w:tblPrEx>
        <w:trPr>
          <w:trHeight w:val="90" w:hRule="atLeast"/>
        </w:trPr>
        <w:tc>
          <w:tcPr>
            <w:tcW w:w="29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项目</w:t>
            </w:r>
          </w:p>
        </w:tc>
        <w:tc>
          <w:tcPr>
            <w:tcW w:w="152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决算数</w:t>
            </w:r>
          </w:p>
        </w:tc>
        <w:tc>
          <w:tcPr>
            <w:tcW w:w="317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功能分类科目</w:t>
            </w:r>
          </w:p>
        </w:tc>
        <w:tc>
          <w:tcPr>
            <w:tcW w:w="7011" w:type="dxa"/>
            <w:gridSpan w:val="4"/>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决算数</w:t>
            </w:r>
          </w:p>
        </w:tc>
      </w:tr>
      <w:tr>
        <w:tblPrEx>
          <w:tblLayout w:type="fixed"/>
          <w:tblCellMar>
            <w:top w:w="0" w:type="dxa"/>
            <w:left w:w="0" w:type="dxa"/>
            <w:bottom w:w="0" w:type="dxa"/>
            <w:right w:w="0" w:type="dxa"/>
          </w:tblCellMar>
        </w:tblPrEx>
        <w:trPr>
          <w:trHeight w:val="90" w:hRule="atLeast"/>
        </w:trPr>
        <w:tc>
          <w:tcPr>
            <w:tcW w:w="29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ascii="Times New Roman" w:hAnsi="Times New Roman" w:cs="Times New Roman"/>
                <w:b/>
                <w:color w:val="000000"/>
                <w:sz w:val="18"/>
                <w:szCs w:val="18"/>
              </w:rPr>
            </w:pPr>
          </w:p>
        </w:tc>
        <w:tc>
          <w:tcPr>
            <w:tcW w:w="15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ascii="Times New Roman" w:hAnsi="Times New Roman" w:cs="Times New Roman"/>
                <w:b/>
                <w:color w:val="000000"/>
                <w:sz w:val="18"/>
                <w:szCs w:val="18"/>
              </w:rPr>
            </w:pPr>
          </w:p>
        </w:tc>
        <w:tc>
          <w:tcPr>
            <w:tcW w:w="317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ascii="Times New Roman" w:hAnsi="Times New Roman" w:cs="Times New Roman"/>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小计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一般公共预算财政拨款</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政府性基金预算财政拨款</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国有资本经营预算财政拨款</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一、一般公共预算财政拨款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6,204.72</w:t>
            </w:r>
            <w:r>
              <w:rPr>
                <w:rFonts w:hint="default" w:ascii="Times New Roman" w:hAnsi="Times New Roman" w:cs="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一、一般公共服务支出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0.45</w:t>
            </w: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0.45</w:t>
            </w: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二、外交支出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三、国有资本经营预算财政拨款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三、国防支出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四、公共安全支出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五、教育支出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六、科学技术支出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七、文化旅游体育与传媒支出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八、社会保障和就业支出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5,219.41</w:t>
            </w: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5,219.41</w:t>
            </w: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九、卫生健康支出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34.37</w:t>
            </w: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34.37</w:t>
            </w: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十、节能环保支出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十一、城乡社区支出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十二、农林水支出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910.89</w:t>
            </w: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910.89</w:t>
            </w: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十三、交通运输支出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十四、资源勘探工业信息等支出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十五、商业服务业等支出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十六、金融支出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十七、援助其他地区支出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十八、自然资源海洋气象等支出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十九、住房保障支出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39.60</w:t>
            </w: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39.60</w:t>
            </w: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二十、粮油物资储备支出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二十一、国有资本经营预算支出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二十二、灾害防治及应急管理支出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二十三、其他支出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二十四、债务还本支出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二十五、债务付息支出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二十六、抗疫特别国债安排的支出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本年收入合计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6,204.72</w:t>
            </w:r>
            <w:r>
              <w:rPr>
                <w:rFonts w:hint="default" w:ascii="Times New Roman" w:hAnsi="Times New Roman" w:cs="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本年支出合计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6,204.72</w:t>
            </w: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6,204.72</w:t>
            </w: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年初财政拨款结转和结余</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年末财政拨款结转和结余</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 xml:space="preserve">  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 xml:space="preserve">  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ascii="Times New Roman" w:hAnsi="Times New Roman" w:cs="Times New Roman"/>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 xml:space="preserve">  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ascii="Times New Roman" w:hAnsi="Times New Roman" w:cs="Times New Roman"/>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总计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6,204.72</w:t>
            </w:r>
            <w:r>
              <w:rPr>
                <w:rFonts w:hint="default" w:ascii="Times New Roman" w:hAnsi="Times New Roman" w:cs="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总计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6,204.72</w:t>
            </w: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6,204.72</w:t>
            </w: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bl>
    <w:p>
      <w:pPr>
        <w:spacing w:line="240" w:lineRule="exact"/>
        <w:rPr>
          <w:rFonts w:hint="default" w:ascii="Times New Roman" w:hAnsi="Times New Roman" w:cs="Times New Roman"/>
          <w:sz w:val="20"/>
          <w:szCs w:val="20"/>
        </w:rPr>
      </w:pPr>
      <w:r>
        <w:rPr>
          <w:rFonts w:hint="default" w:ascii="Times New Roman" w:hAnsi="Times New Roman" w:cs="Times New Roman"/>
          <w:sz w:val="20"/>
          <w:szCs w:val="20"/>
        </w:rPr>
        <w:t>备注：1.本表反映部门本年度一般公共预算财政拨款、政府性基金预算财政拨款及国有资本经营预算财政拨款的总收支和年末结转结余情况。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r>
        <w:rPr>
          <w:rFonts w:hint="default" w:ascii="Times New Roman" w:hAnsi="Times New Roman" w:cs="Times New Roman"/>
          <w:sz w:val="21"/>
          <w:szCs w:val="21"/>
        </w:rPr>
        <w:br w:type="page"/>
      </w:r>
    </w:p>
    <w:tbl>
      <w:tblPr>
        <w:tblStyle w:val="9"/>
        <w:tblW w:w="15322" w:type="dxa"/>
        <w:tblInd w:w="0" w:type="dxa"/>
        <w:tblLayout w:type="fixed"/>
        <w:tblCellMar>
          <w:top w:w="0" w:type="dxa"/>
          <w:left w:w="0" w:type="dxa"/>
          <w:bottom w:w="0" w:type="dxa"/>
          <w:right w:w="0" w:type="dxa"/>
        </w:tblCellMar>
      </w:tblPr>
      <w:tblGrid>
        <w:gridCol w:w="1486"/>
        <w:gridCol w:w="3895"/>
        <w:gridCol w:w="3306"/>
        <w:gridCol w:w="3300"/>
        <w:gridCol w:w="3335"/>
      </w:tblGrid>
      <w:tr>
        <w:tblPrEx>
          <w:tblLayout w:type="fixed"/>
          <w:tblCellMar>
            <w:top w:w="0" w:type="dxa"/>
            <w:left w:w="0" w:type="dxa"/>
            <w:bottom w:w="0" w:type="dxa"/>
            <w:right w:w="0" w:type="dxa"/>
          </w:tblCellMar>
        </w:tblPrEx>
        <w:trPr>
          <w:trHeight w:val="510" w:hRule="atLeast"/>
        </w:trPr>
        <w:tc>
          <w:tcPr>
            <w:tcW w:w="15322" w:type="dxa"/>
            <w:gridSpan w:val="5"/>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一般公共预算财政拨款支出决算表</w:t>
            </w:r>
          </w:p>
        </w:tc>
      </w:tr>
      <w:tr>
        <w:tblPrEx>
          <w:tblLayout w:type="fixed"/>
          <w:tblCellMar>
            <w:top w:w="0" w:type="dxa"/>
            <w:left w:w="0" w:type="dxa"/>
            <w:bottom w:w="0" w:type="dxa"/>
            <w:right w:w="0" w:type="dxa"/>
          </w:tblCellMar>
        </w:tblPrEx>
        <w:trPr>
          <w:trHeight w:val="255" w:hRule="atLeast"/>
        </w:trPr>
        <w:tc>
          <w:tcPr>
            <w:tcW w:w="8687" w:type="dxa"/>
            <w:gridSpan w:val="3"/>
            <w:vMerge w:val="restart"/>
            <w:tcBorders>
              <w:top w:val="nil"/>
              <w:left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rPr>
            </w:pPr>
            <w:r>
              <w:rPr>
                <w:rFonts w:hint="default" w:ascii="Times New Roman" w:hAnsi="Times New Roman" w:cs="Times New Roman"/>
                <w:sz w:val="20"/>
                <w:szCs w:val="20"/>
              </w:rPr>
              <w:t>部门</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秀山土家族苗族自治县就业和人才中心</w:t>
            </w:r>
          </w:p>
        </w:tc>
        <w:tc>
          <w:tcPr>
            <w:tcW w:w="3300" w:type="dxa"/>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rPr>
            </w:pPr>
          </w:p>
        </w:tc>
        <w:tc>
          <w:tcPr>
            <w:tcW w:w="3335"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公开05表</w:t>
            </w:r>
          </w:p>
        </w:tc>
      </w:tr>
      <w:tr>
        <w:tblPrEx>
          <w:tblLayout w:type="fixed"/>
          <w:tblCellMar>
            <w:top w:w="0" w:type="dxa"/>
            <w:left w:w="0" w:type="dxa"/>
            <w:bottom w:w="0" w:type="dxa"/>
            <w:right w:w="0" w:type="dxa"/>
          </w:tblCellMar>
        </w:tblPrEx>
        <w:trPr>
          <w:trHeight w:val="285" w:hRule="atLeast"/>
        </w:trPr>
        <w:tc>
          <w:tcPr>
            <w:tcW w:w="8687"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rPr>
            </w:pPr>
          </w:p>
        </w:tc>
        <w:tc>
          <w:tcPr>
            <w:tcW w:w="3300" w:type="dxa"/>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rPr>
            </w:pPr>
          </w:p>
        </w:tc>
        <w:tc>
          <w:tcPr>
            <w:tcW w:w="3335"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tblPrEx>
          <w:tblLayout w:type="fixed"/>
          <w:tblCellMar>
            <w:top w:w="0" w:type="dxa"/>
            <w:left w:w="0" w:type="dxa"/>
            <w:bottom w:w="0" w:type="dxa"/>
            <w:right w:w="0" w:type="dxa"/>
          </w:tblCellMar>
        </w:tblPrEx>
        <w:trPr>
          <w:trHeight w:val="308" w:hRule="atLeast"/>
        </w:trPr>
        <w:tc>
          <w:tcPr>
            <w:tcW w:w="538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9941"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本年支出</w:t>
            </w:r>
          </w:p>
        </w:tc>
      </w:tr>
      <w:tr>
        <w:tblPrEx>
          <w:tblLayout w:type="fixed"/>
          <w:tblCellMar>
            <w:top w:w="0" w:type="dxa"/>
            <w:left w:w="0" w:type="dxa"/>
            <w:bottom w:w="0" w:type="dxa"/>
            <w:right w:w="0" w:type="dxa"/>
          </w:tblCellMar>
        </w:tblPrEx>
        <w:trPr>
          <w:trHeight w:val="326" w:hRule="atLeast"/>
        </w:trPr>
        <w:tc>
          <w:tcPr>
            <w:tcW w:w="148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389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项目（按“项”级功能分类科目）</w:t>
            </w:r>
          </w:p>
        </w:tc>
        <w:tc>
          <w:tcPr>
            <w:tcW w:w="330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330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基本支出</w:t>
            </w:r>
          </w:p>
        </w:tc>
        <w:tc>
          <w:tcPr>
            <w:tcW w:w="333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项目支出</w:t>
            </w:r>
          </w:p>
        </w:tc>
      </w:tr>
      <w:tr>
        <w:tblPrEx>
          <w:tblLayout w:type="fixed"/>
          <w:tblCellMar>
            <w:top w:w="0" w:type="dxa"/>
            <w:left w:w="0" w:type="dxa"/>
            <w:bottom w:w="0" w:type="dxa"/>
            <w:right w:w="0" w:type="dxa"/>
          </w:tblCellMar>
        </w:tblPrEx>
        <w:trPr>
          <w:trHeight w:val="326" w:hRule="atLeast"/>
        </w:trPr>
        <w:tc>
          <w:tcPr>
            <w:tcW w:w="148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389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33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333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r>
      <w:tr>
        <w:tblPrEx>
          <w:tblLayout w:type="fixed"/>
          <w:tblCellMar>
            <w:top w:w="0" w:type="dxa"/>
            <w:left w:w="0" w:type="dxa"/>
            <w:bottom w:w="0" w:type="dxa"/>
            <w:right w:w="0" w:type="dxa"/>
          </w:tblCellMar>
        </w:tblPrEx>
        <w:trPr>
          <w:trHeight w:val="615" w:hRule="atLeast"/>
        </w:trPr>
        <w:tc>
          <w:tcPr>
            <w:tcW w:w="148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389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33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333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r>
      <w:tr>
        <w:tblPrEx>
          <w:tblLayout w:type="fixed"/>
          <w:tblCellMar>
            <w:top w:w="0" w:type="dxa"/>
            <w:left w:w="0" w:type="dxa"/>
            <w:bottom w:w="0" w:type="dxa"/>
            <w:right w:w="0" w:type="dxa"/>
          </w:tblCellMar>
        </w:tblPrEx>
        <w:trPr>
          <w:trHeight w:val="308" w:hRule="atLeast"/>
        </w:trPr>
        <w:tc>
          <w:tcPr>
            <w:tcW w:w="5381"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6,204.72</w:t>
            </w:r>
            <w:r>
              <w:rPr>
                <w:rFonts w:hint="default" w:ascii="Times New Roman" w:hAnsi="Times New Roman" w:cs="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619.60</w:t>
            </w:r>
            <w:r>
              <w:rPr>
                <w:rFonts w:hint="default" w:ascii="Times New Roman" w:hAnsi="Times New Roman" w:cs="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5,585.13</w:t>
            </w:r>
            <w:r>
              <w:rPr>
                <w:rFonts w:hint="default" w:ascii="Times New Roman" w:hAnsi="Times New Roman" w:cs="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一般公共服务支出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0.45</w:t>
            </w:r>
            <w:r>
              <w:rPr>
                <w:rFonts w:hint="default" w:ascii="Times New Roman" w:hAnsi="Times New Roman" w:cs="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0.45</w:t>
            </w:r>
            <w:r>
              <w:rPr>
                <w:rFonts w:hint="default" w:ascii="Times New Roman" w:hAnsi="Times New Roman" w:cs="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20132</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组织事务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0.45</w:t>
            </w:r>
            <w:r>
              <w:rPr>
                <w:rFonts w:hint="default" w:ascii="Times New Roman" w:hAnsi="Times New Roman" w:cs="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0.45</w:t>
            </w:r>
            <w:r>
              <w:rPr>
                <w:rFonts w:hint="default" w:ascii="Times New Roman" w:hAnsi="Times New Roman" w:cs="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2013204</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公务员事务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0.45</w:t>
            </w:r>
            <w:r>
              <w:rPr>
                <w:rFonts w:hint="default" w:ascii="Times New Roman" w:hAnsi="Times New Roman" w:cs="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0.45</w:t>
            </w:r>
            <w:r>
              <w:rPr>
                <w:rFonts w:hint="default" w:ascii="Times New Roman" w:hAnsi="Times New Roman" w:cs="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社会保障和就业支出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5,219.41</w:t>
            </w:r>
            <w:r>
              <w:rPr>
                <w:rFonts w:hint="default" w:ascii="Times New Roman" w:hAnsi="Times New Roman" w:cs="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545.18</w:t>
            </w:r>
            <w:r>
              <w:rPr>
                <w:rFonts w:hint="default" w:ascii="Times New Roman" w:hAnsi="Times New Roman" w:cs="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4,674.24</w:t>
            </w:r>
            <w:r>
              <w:rPr>
                <w:rFonts w:hint="default" w:ascii="Times New Roman" w:hAnsi="Times New Roman" w:cs="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20801</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人力资源和社会保障管理事务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509.32</w:t>
            </w:r>
            <w:r>
              <w:rPr>
                <w:rFonts w:hint="default" w:ascii="Times New Roman" w:hAnsi="Times New Roman" w:cs="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447.08</w:t>
            </w:r>
            <w:r>
              <w:rPr>
                <w:rFonts w:hint="default" w:ascii="Times New Roman" w:hAnsi="Times New Roman" w:cs="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62.24</w:t>
            </w:r>
            <w:r>
              <w:rPr>
                <w:rFonts w:hint="default" w:ascii="Times New Roman" w:hAnsi="Times New Roman" w:cs="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2080106</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就业管理事务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509.32</w:t>
            </w:r>
            <w:r>
              <w:rPr>
                <w:rFonts w:hint="default" w:ascii="Times New Roman" w:hAnsi="Times New Roman" w:cs="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447.08</w:t>
            </w:r>
            <w:r>
              <w:rPr>
                <w:rFonts w:hint="default" w:ascii="Times New Roman" w:hAnsi="Times New Roman" w:cs="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62.24</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20805</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行政事业单位养老支出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98.10</w:t>
            </w:r>
            <w:r>
              <w:rPr>
                <w:rFonts w:hint="default" w:ascii="Times New Roman" w:hAnsi="Times New Roman" w:cs="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98.10</w:t>
            </w:r>
            <w:r>
              <w:rPr>
                <w:rFonts w:hint="default" w:ascii="Times New Roman" w:hAnsi="Times New Roman" w:cs="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2080501</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行政单位离退休</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28.85</w:t>
            </w:r>
            <w:r>
              <w:rPr>
                <w:rFonts w:hint="default" w:ascii="Times New Roman" w:hAnsi="Times New Roman" w:cs="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28.85</w:t>
            </w:r>
            <w:r>
              <w:rPr>
                <w:rFonts w:hint="default" w:ascii="Times New Roman" w:hAnsi="Times New Roman" w:cs="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2080505</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机关事业单位基本养老保险缴费支出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46.16</w:t>
            </w:r>
            <w:r>
              <w:rPr>
                <w:rFonts w:hint="default" w:ascii="Times New Roman" w:hAnsi="Times New Roman" w:cs="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46.16</w:t>
            </w:r>
            <w:r>
              <w:rPr>
                <w:rFonts w:hint="default" w:ascii="Times New Roman" w:hAnsi="Times New Roman" w:cs="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2080506</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机关事业单位职业年金缴费支出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23.08</w:t>
            </w:r>
            <w:r>
              <w:rPr>
                <w:rFonts w:hint="default" w:ascii="Times New Roman" w:hAnsi="Times New Roman" w:cs="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23.08</w:t>
            </w:r>
            <w:r>
              <w:rPr>
                <w:rFonts w:hint="default" w:ascii="Times New Roman" w:hAnsi="Times New Roman" w:cs="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20807</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就业补助</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4,612.00</w:t>
            </w:r>
            <w:r>
              <w:rPr>
                <w:rFonts w:hint="default" w:ascii="Times New Roman" w:hAnsi="Times New Roman" w:cs="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4,612.00</w:t>
            </w:r>
            <w:r>
              <w:rPr>
                <w:rFonts w:hint="default" w:ascii="Times New Roman" w:hAnsi="Times New Roman" w:cs="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2080701</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就业创业服务补贴</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4,612.00</w:t>
            </w:r>
            <w:r>
              <w:rPr>
                <w:rFonts w:hint="default" w:ascii="Times New Roman" w:hAnsi="Times New Roman" w:cs="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4,612.00</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卫生健康支出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34.37</w:t>
            </w:r>
            <w:r>
              <w:rPr>
                <w:rFonts w:hint="default" w:ascii="Times New Roman" w:hAnsi="Times New Roman" w:cs="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34.37</w:t>
            </w:r>
            <w:r>
              <w:rPr>
                <w:rFonts w:hint="default" w:ascii="Times New Roman" w:hAnsi="Times New Roman" w:cs="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21011</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行政事业单位医疗</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34.37</w:t>
            </w:r>
            <w:r>
              <w:rPr>
                <w:rFonts w:hint="default" w:ascii="Times New Roman" w:hAnsi="Times New Roman" w:cs="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34.37</w:t>
            </w:r>
            <w:r>
              <w:rPr>
                <w:rFonts w:hint="default" w:ascii="Times New Roman" w:hAnsi="Times New Roman" w:cs="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2101101</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行政单位医疗</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28.85</w:t>
            </w:r>
            <w:r>
              <w:rPr>
                <w:rFonts w:hint="default" w:ascii="Times New Roman" w:hAnsi="Times New Roman" w:cs="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28.85</w:t>
            </w:r>
            <w:r>
              <w:rPr>
                <w:rFonts w:hint="default" w:ascii="Times New Roman" w:hAnsi="Times New Roman" w:cs="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2101199</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其他行政事业单位医疗支出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5.52</w:t>
            </w:r>
            <w:r>
              <w:rPr>
                <w:rFonts w:hint="default" w:ascii="Times New Roman" w:hAnsi="Times New Roman" w:cs="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5.52</w:t>
            </w:r>
            <w:r>
              <w:rPr>
                <w:rFonts w:hint="default" w:ascii="Times New Roman" w:hAnsi="Times New Roman" w:cs="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213</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农林水支出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910.89</w:t>
            </w:r>
            <w:r>
              <w:rPr>
                <w:rFonts w:hint="default" w:ascii="Times New Roman" w:hAnsi="Times New Roman" w:cs="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910.89</w:t>
            </w:r>
            <w:r>
              <w:rPr>
                <w:rFonts w:hint="default" w:ascii="Times New Roman" w:hAnsi="Times New Roman" w:cs="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21305</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巩固脱贫攻坚成果衔接乡村振兴</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651.68</w:t>
            </w:r>
            <w:r>
              <w:rPr>
                <w:rFonts w:hint="default" w:ascii="Times New Roman" w:hAnsi="Times New Roman" w:cs="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651.68</w:t>
            </w:r>
            <w:r>
              <w:rPr>
                <w:rFonts w:hint="default" w:ascii="Times New Roman" w:hAnsi="Times New Roman" w:cs="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2130599</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其他巩固脱贫攻坚成果衔接乡村振兴支出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651.68</w:t>
            </w:r>
            <w:r>
              <w:rPr>
                <w:rFonts w:hint="default" w:ascii="Times New Roman" w:hAnsi="Times New Roman" w:cs="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651.68</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21308</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普惠金融发展支出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259.21</w:t>
            </w:r>
            <w:r>
              <w:rPr>
                <w:rFonts w:hint="default" w:ascii="Times New Roman" w:hAnsi="Times New Roman" w:cs="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259.21</w:t>
            </w:r>
            <w:r>
              <w:rPr>
                <w:rFonts w:hint="default" w:ascii="Times New Roman" w:hAnsi="Times New Roman" w:cs="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2130804</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创业担保贷款贴息及奖补</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259.21</w:t>
            </w:r>
            <w:r>
              <w:rPr>
                <w:rFonts w:hint="default" w:ascii="Times New Roman" w:hAnsi="Times New Roman" w:cs="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259.21</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住房保障支出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39.60</w:t>
            </w:r>
            <w:r>
              <w:rPr>
                <w:rFonts w:hint="default" w:ascii="Times New Roman" w:hAnsi="Times New Roman" w:cs="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39.60</w:t>
            </w:r>
            <w:r>
              <w:rPr>
                <w:rFonts w:hint="default" w:ascii="Times New Roman" w:hAnsi="Times New Roman" w:cs="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22102</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住房改革支出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39.60</w:t>
            </w:r>
            <w:r>
              <w:rPr>
                <w:rFonts w:hint="default" w:ascii="Times New Roman" w:hAnsi="Times New Roman" w:cs="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39.60</w:t>
            </w:r>
            <w:r>
              <w:rPr>
                <w:rFonts w:hint="default" w:ascii="Times New Roman" w:hAnsi="Times New Roman" w:cs="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2210201</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住房公积金</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39.60</w:t>
            </w:r>
            <w:r>
              <w:rPr>
                <w:rFonts w:hint="default" w:ascii="Times New Roman" w:hAnsi="Times New Roman" w:cs="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39.60</w:t>
            </w:r>
            <w:r>
              <w:rPr>
                <w:rFonts w:hint="default" w:ascii="Times New Roman" w:hAnsi="Times New Roman" w:cs="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bl>
    <w:p>
      <w:pPr>
        <w:rPr>
          <w:rFonts w:hint="default" w:ascii="Times New Roman" w:hAnsi="Times New Roman" w:cs="Times New Roman"/>
          <w:sz w:val="21"/>
          <w:szCs w:val="21"/>
        </w:rPr>
      </w:pPr>
      <w:r>
        <w:rPr>
          <w:rFonts w:hint="default" w:ascii="Times New Roman" w:hAnsi="Times New Roman" w:cs="Times New Roman"/>
          <w:sz w:val="20"/>
          <w:szCs w:val="20"/>
        </w:rPr>
        <w:t>备注：1.本表反映部门本年度一般公共预算财政拨款支出情况。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pPr>
        <w:ind w:firstLine="630" w:firstLineChars="300"/>
        <w:rPr>
          <w:rFonts w:hint="default" w:ascii="Times New Roman" w:hAnsi="Times New Roman" w:cs="Times New Roman"/>
          <w:sz w:val="21"/>
          <w:szCs w:val="21"/>
        </w:rPr>
      </w:pPr>
      <w:r>
        <w:rPr>
          <w:rFonts w:hint="default" w:ascii="Times New Roman" w:hAnsi="Times New Roman" w:cs="Times New Roman"/>
          <w:sz w:val="21"/>
          <w:szCs w:val="21"/>
        </w:rPr>
        <w:br w:type="page"/>
      </w:r>
    </w:p>
    <w:tbl>
      <w:tblPr>
        <w:tblStyle w:val="9"/>
        <w:tblW w:w="15304" w:type="dxa"/>
        <w:tblInd w:w="0" w:type="dxa"/>
        <w:tblLayout w:type="fixed"/>
        <w:tblCellMar>
          <w:top w:w="0" w:type="dxa"/>
          <w:left w:w="0" w:type="dxa"/>
          <w:bottom w:w="0" w:type="dxa"/>
          <w:right w:w="0" w:type="dxa"/>
        </w:tblCellMar>
      </w:tblPr>
      <w:tblGrid>
        <w:gridCol w:w="603"/>
        <w:gridCol w:w="2730"/>
        <w:gridCol w:w="1371"/>
        <w:gridCol w:w="833"/>
        <w:gridCol w:w="1916"/>
        <w:gridCol w:w="1650"/>
        <w:gridCol w:w="805"/>
        <w:gridCol w:w="3514"/>
        <w:gridCol w:w="1882"/>
      </w:tblGrid>
      <w:tr>
        <w:tblPrEx>
          <w:tblLayout w:type="fixed"/>
          <w:tblCellMar>
            <w:top w:w="0" w:type="dxa"/>
            <w:left w:w="0" w:type="dxa"/>
            <w:bottom w:w="0" w:type="dxa"/>
            <w:right w:w="0" w:type="dxa"/>
          </w:tblCellMar>
        </w:tblPrEx>
        <w:trPr>
          <w:trHeight w:val="90" w:hRule="atLeast"/>
        </w:trPr>
        <w:tc>
          <w:tcPr>
            <w:tcW w:w="15304" w:type="dxa"/>
            <w:gridSpan w:val="9"/>
            <w:tcBorders>
              <w:top w:val="nil"/>
              <w:left w:val="nil"/>
              <w:bottom w:val="nil"/>
              <w:right w:val="nil"/>
            </w:tcBorders>
            <w:shd w:val="clear" w:color="auto" w:fill="auto"/>
            <w:tcMar>
              <w:top w:w="15" w:type="dxa"/>
              <w:left w:w="15" w:type="dxa"/>
              <w:right w:w="15" w:type="dxa"/>
            </w:tcMar>
            <w:vAlign w:val="bottom"/>
          </w:tcPr>
          <w:p>
            <w:pPr>
              <w:spacing w:line="440" w:lineRule="exact"/>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一般公共预算财政拨款基本支出决算表</w:t>
            </w:r>
          </w:p>
        </w:tc>
      </w:tr>
      <w:tr>
        <w:tblPrEx>
          <w:tblLayout w:type="fixed"/>
          <w:tblCellMar>
            <w:top w:w="0" w:type="dxa"/>
            <w:left w:w="0" w:type="dxa"/>
            <w:bottom w:w="0" w:type="dxa"/>
            <w:right w:w="0" w:type="dxa"/>
          </w:tblCellMar>
        </w:tblPrEx>
        <w:trPr>
          <w:trHeight w:val="90" w:hRule="atLeast"/>
        </w:trPr>
        <w:tc>
          <w:tcPr>
            <w:tcW w:w="7453" w:type="dxa"/>
            <w:gridSpan w:val="5"/>
            <w:vMerge w:val="restart"/>
            <w:tcBorders>
              <w:top w:val="nil"/>
              <w:left w:val="nil"/>
              <w:right w:val="nil"/>
            </w:tcBorders>
            <w:shd w:val="clear" w:color="auto" w:fill="auto"/>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r>
              <w:rPr>
                <w:rFonts w:hint="default" w:ascii="Times New Roman" w:hAnsi="Times New Roman" w:cs="Times New Roman"/>
                <w:sz w:val="20"/>
                <w:szCs w:val="20"/>
              </w:rPr>
              <w:t>部门</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秀山土家族苗族自治县就业和人才中心</w:t>
            </w:r>
          </w:p>
        </w:tc>
        <w:tc>
          <w:tcPr>
            <w:tcW w:w="1650"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805"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351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1882"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公开06表</w:t>
            </w:r>
          </w:p>
        </w:tc>
      </w:tr>
      <w:tr>
        <w:tblPrEx>
          <w:tblLayout w:type="fixed"/>
          <w:tblCellMar>
            <w:top w:w="0" w:type="dxa"/>
            <w:left w:w="0" w:type="dxa"/>
            <w:bottom w:w="0" w:type="dxa"/>
            <w:right w:w="0" w:type="dxa"/>
          </w:tblCellMar>
        </w:tblPrEx>
        <w:trPr>
          <w:trHeight w:val="90" w:hRule="atLeast"/>
        </w:trPr>
        <w:tc>
          <w:tcPr>
            <w:tcW w:w="7453" w:type="dxa"/>
            <w:gridSpan w:val="5"/>
            <w:vMerge w:val="continue"/>
            <w:tcBorders>
              <w:left w:val="nil"/>
              <w:bottom w:val="nil"/>
              <w:right w:val="nil"/>
            </w:tcBorders>
            <w:shd w:val="clear" w:color="auto" w:fill="auto"/>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1650"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805"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351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1882"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tblPrEx>
          <w:tblLayout w:type="fixed"/>
          <w:tblCellMar>
            <w:top w:w="0" w:type="dxa"/>
            <w:left w:w="0" w:type="dxa"/>
            <w:bottom w:w="0" w:type="dxa"/>
            <w:right w:w="0" w:type="dxa"/>
          </w:tblCellMar>
        </w:tblPrEx>
        <w:trPr>
          <w:trHeight w:val="90" w:hRule="atLeast"/>
        </w:trPr>
        <w:tc>
          <w:tcPr>
            <w:tcW w:w="4704"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人员经费</w:t>
            </w:r>
          </w:p>
        </w:tc>
        <w:tc>
          <w:tcPr>
            <w:tcW w:w="10600" w:type="dxa"/>
            <w:gridSpan w:val="6"/>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公用经费</w:t>
            </w:r>
          </w:p>
        </w:tc>
      </w:tr>
      <w:tr>
        <w:tblPrEx>
          <w:tblLayout w:type="fixed"/>
          <w:tblCellMar>
            <w:top w:w="0" w:type="dxa"/>
            <w:left w:w="0" w:type="dxa"/>
            <w:bottom w:w="0" w:type="dxa"/>
            <w:right w:w="0" w:type="dxa"/>
          </w:tblCellMar>
        </w:tblPrEx>
        <w:trPr>
          <w:trHeight w:val="312" w:hRule="atLeast"/>
        </w:trPr>
        <w:tc>
          <w:tcPr>
            <w:tcW w:w="60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经济分类科目编码</w:t>
            </w:r>
          </w:p>
        </w:tc>
        <w:tc>
          <w:tcPr>
            <w:tcW w:w="273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经济分类科目（按“款”级功能分类科目）</w:t>
            </w:r>
          </w:p>
        </w:tc>
        <w:tc>
          <w:tcPr>
            <w:tcW w:w="137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金额</w:t>
            </w:r>
          </w:p>
        </w:tc>
        <w:tc>
          <w:tcPr>
            <w:tcW w:w="83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经济分类科目编码</w:t>
            </w:r>
          </w:p>
        </w:tc>
        <w:tc>
          <w:tcPr>
            <w:tcW w:w="191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经济分类科目（按“款”级功能分类科目）</w:t>
            </w:r>
          </w:p>
        </w:tc>
        <w:tc>
          <w:tcPr>
            <w:tcW w:w="165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金额</w:t>
            </w:r>
          </w:p>
        </w:tc>
        <w:tc>
          <w:tcPr>
            <w:tcW w:w="80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经济分类科目编码</w:t>
            </w:r>
          </w:p>
        </w:tc>
        <w:tc>
          <w:tcPr>
            <w:tcW w:w="351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经济分类科目（按“款”级功能分类科目）</w:t>
            </w:r>
          </w:p>
        </w:tc>
        <w:tc>
          <w:tcPr>
            <w:tcW w:w="188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金额</w:t>
            </w:r>
          </w:p>
        </w:tc>
      </w:tr>
      <w:tr>
        <w:tblPrEx>
          <w:tblLayout w:type="fixed"/>
          <w:tblCellMar>
            <w:top w:w="0" w:type="dxa"/>
            <w:left w:w="0" w:type="dxa"/>
            <w:bottom w:w="0" w:type="dxa"/>
            <w:right w:w="0" w:type="dxa"/>
          </w:tblCellMar>
        </w:tblPrEx>
        <w:trPr>
          <w:trHeight w:val="312" w:hRule="atLeast"/>
        </w:trPr>
        <w:tc>
          <w:tcPr>
            <w:tcW w:w="60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ascii="Times New Roman" w:hAnsi="Times New Roman" w:cs="Times New Roman"/>
                <w:b/>
                <w:color w:val="000000"/>
                <w:sz w:val="18"/>
                <w:szCs w:val="18"/>
              </w:rPr>
            </w:pPr>
          </w:p>
        </w:tc>
        <w:tc>
          <w:tcPr>
            <w:tcW w:w="273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ascii="Times New Roman" w:hAnsi="Times New Roman" w:cs="Times New Roman"/>
                <w:b/>
                <w:color w:val="000000"/>
                <w:sz w:val="18"/>
                <w:szCs w:val="18"/>
              </w:rPr>
            </w:pPr>
          </w:p>
        </w:tc>
        <w:tc>
          <w:tcPr>
            <w:tcW w:w="137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ascii="Times New Roman" w:hAnsi="Times New Roman" w:cs="Times New Roman"/>
                <w:b/>
                <w:color w:val="000000"/>
                <w:sz w:val="18"/>
                <w:szCs w:val="18"/>
              </w:rPr>
            </w:pPr>
          </w:p>
        </w:tc>
        <w:tc>
          <w:tcPr>
            <w:tcW w:w="83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ascii="Times New Roman" w:hAnsi="Times New Roman" w:cs="Times New Roman"/>
                <w:b/>
                <w:color w:val="000000"/>
                <w:sz w:val="18"/>
                <w:szCs w:val="18"/>
              </w:rPr>
            </w:pPr>
          </w:p>
        </w:tc>
        <w:tc>
          <w:tcPr>
            <w:tcW w:w="19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ascii="Times New Roman" w:hAnsi="Times New Roman" w:cs="Times New Roman"/>
                <w:b/>
                <w:color w:val="000000"/>
                <w:sz w:val="18"/>
                <w:szCs w:val="18"/>
              </w:rPr>
            </w:pPr>
          </w:p>
        </w:tc>
        <w:tc>
          <w:tcPr>
            <w:tcW w:w="165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ascii="Times New Roman" w:hAnsi="Times New Roman" w:cs="Times New Roman"/>
                <w:b/>
                <w:color w:val="000000"/>
                <w:sz w:val="18"/>
                <w:szCs w:val="18"/>
              </w:rPr>
            </w:pPr>
          </w:p>
        </w:tc>
        <w:tc>
          <w:tcPr>
            <w:tcW w:w="8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ascii="Times New Roman" w:hAnsi="Times New Roman" w:cs="Times New Roman"/>
                <w:b/>
                <w:color w:val="000000"/>
                <w:sz w:val="18"/>
                <w:szCs w:val="18"/>
              </w:rPr>
            </w:pPr>
          </w:p>
        </w:tc>
        <w:tc>
          <w:tcPr>
            <w:tcW w:w="351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ascii="Times New Roman" w:hAnsi="Times New Roman" w:cs="Times New Roman"/>
                <w:b/>
                <w:color w:val="000000"/>
                <w:sz w:val="18"/>
                <w:szCs w:val="18"/>
              </w:rPr>
            </w:pPr>
          </w:p>
        </w:tc>
        <w:tc>
          <w:tcPr>
            <w:tcW w:w="188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ascii="Times New Roman" w:hAnsi="Times New Roman" w:cs="Times New Roman"/>
                <w:b/>
                <w:color w:val="000000"/>
                <w:sz w:val="18"/>
                <w:szCs w:val="18"/>
              </w:rPr>
            </w:pP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301</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工资福利支出</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495.13</w:t>
            </w:r>
            <w:r>
              <w:rPr>
                <w:rFonts w:hint="default" w:ascii="Times New Roman" w:hAnsi="Times New Roman" w:cs="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302</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商品和服务支出</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91.86</w:t>
            </w:r>
            <w:r>
              <w:rPr>
                <w:rFonts w:hint="default" w:ascii="Times New Roman" w:hAnsi="Times New Roman" w:cs="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310</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资本性支出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1.77</w:t>
            </w: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30101</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基本工资</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111.86</w:t>
            </w:r>
            <w:r>
              <w:rPr>
                <w:rFonts w:hint="default" w:ascii="Times New Roman" w:hAnsi="Times New Roman" w:cs="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30201</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办公费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26.46</w:t>
            </w:r>
            <w:r>
              <w:rPr>
                <w:rFonts w:hint="default" w:ascii="Times New Roman" w:hAnsi="Times New Roman" w:cs="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31001</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房屋建筑物购建</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30102</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津贴补贴</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93.51</w:t>
            </w:r>
            <w:r>
              <w:rPr>
                <w:rFonts w:hint="default" w:ascii="Times New Roman" w:hAnsi="Times New Roman" w:cs="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30202</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印刷费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31002</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办公设备购置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1.77</w:t>
            </w: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30103</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奖金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131.07</w:t>
            </w:r>
            <w:r>
              <w:rPr>
                <w:rFonts w:hint="default" w:ascii="Times New Roman" w:hAnsi="Times New Roman" w:cs="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30203</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咨询费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31003</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专用设备购置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30106</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伙食补助费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30204</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手续费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31005</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基础设施建设</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30107</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绩效工资</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30205</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水费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0.16</w:t>
            </w:r>
            <w:r>
              <w:rPr>
                <w:rFonts w:hint="default" w:ascii="Times New Roman" w:hAnsi="Times New Roman" w:cs="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31006</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大型修缮</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30108</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机关事业单位基本养老保险缴费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46.16</w:t>
            </w:r>
            <w:r>
              <w:rPr>
                <w:rFonts w:hint="default" w:ascii="Times New Roman" w:hAnsi="Times New Roman" w:cs="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30206</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电费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1.63</w:t>
            </w:r>
            <w:r>
              <w:rPr>
                <w:rFonts w:hint="default" w:ascii="Times New Roman" w:hAnsi="Times New Roman" w:cs="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31007</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信息网络及软件购置更新</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30109</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职业年金缴费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23.08</w:t>
            </w:r>
            <w:r>
              <w:rPr>
                <w:rFonts w:hint="default" w:ascii="Times New Roman" w:hAnsi="Times New Roman" w:cs="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30207</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邮电费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8.58</w:t>
            </w:r>
            <w:r>
              <w:rPr>
                <w:rFonts w:hint="default" w:ascii="Times New Roman" w:hAnsi="Times New Roman" w:cs="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31008</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物资储备</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30110</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职工基本医疗保险缴费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28.85</w:t>
            </w:r>
            <w:r>
              <w:rPr>
                <w:rFonts w:hint="default" w:ascii="Times New Roman" w:hAnsi="Times New Roman" w:cs="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30208</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取暖费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31009</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土地补偿</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30111</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公务员医疗补助缴费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30209</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物业管理费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3.18</w:t>
            </w:r>
            <w:r>
              <w:rPr>
                <w:rFonts w:hint="default" w:ascii="Times New Roman" w:hAnsi="Times New Roman" w:cs="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31010</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安置补助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30112</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其他社会保障缴费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0.87</w:t>
            </w:r>
            <w:r>
              <w:rPr>
                <w:rFonts w:hint="default" w:ascii="Times New Roman" w:hAnsi="Times New Roman" w:cs="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30211</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差旅费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3.59</w:t>
            </w:r>
            <w:r>
              <w:rPr>
                <w:rFonts w:hint="default" w:ascii="Times New Roman" w:hAnsi="Times New Roman" w:cs="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31011</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地上附着物和青苗补偿</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30113</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住房公积金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39.60</w:t>
            </w:r>
            <w:r>
              <w:rPr>
                <w:rFonts w:hint="default" w:ascii="Times New Roman" w:hAnsi="Times New Roman" w:cs="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30212</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因公出国（境）费用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31012</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拆迁补偿</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30114</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医疗费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5.52</w:t>
            </w:r>
            <w:r>
              <w:rPr>
                <w:rFonts w:hint="default" w:ascii="Times New Roman" w:hAnsi="Times New Roman" w:cs="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30213</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维修（护）费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0.03</w:t>
            </w:r>
            <w:r>
              <w:rPr>
                <w:rFonts w:hint="default" w:ascii="Times New Roman" w:hAnsi="Times New Roman" w:cs="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31013</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公务用车购置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30199</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其他工资福利支出</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14.61</w:t>
            </w:r>
            <w:r>
              <w:rPr>
                <w:rFonts w:hint="default" w:ascii="Times New Roman" w:hAnsi="Times New Roman" w:cs="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30214</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租赁费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31019</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其他交通工具购置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303</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对个人和家庭的补助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30.84</w:t>
            </w:r>
            <w:r>
              <w:rPr>
                <w:rFonts w:hint="default" w:ascii="Times New Roman" w:hAnsi="Times New Roman" w:cs="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30215</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会议费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31021</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文物和陈列品购置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30301</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离休费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30216</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培训费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2.43</w:t>
            </w:r>
            <w:r>
              <w:rPr>
                <w:rFonts w:hint="default" w:ascii="Times New Roman" w:hAnsi="Times New Roman" w:cs="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31022</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无形资产购置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30302</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退休费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30217</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公务接待费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0.47</w:t>
            </w:r>
            <w:r>
              <w:rPr>
                <w:rFonts w:hint="default" w:ascii="Times New Roman" w:hAnsi="Times New Roman" w:cs="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31099</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其他资本性支出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30303</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退职（役）费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30218</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专用材料费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312</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对企业补助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30304</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抚恤金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30224</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被装购置费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31201</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资本金注入</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30305</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生活补助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27.48</w:t>
            </w:r>
            <w:r>
              <w:rPr>
                <w:rFonts w:hint="default" w:ascii="Times New Roman" w:hAnsi="Times New Roman" w:cs="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30225</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专用燃料费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31203</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政府投资基金股权投资</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30306</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救济费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30226</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劳务费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13.05</w:t>
            </w:r>
            <w:r>
              <w:rPr>
                <w:rFonts w:hint="default" w:ascii="Times New Roman" w:hAnsi="Times New Roman" w:cs="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31204</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费用补贴</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30307</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医疗费补助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3.36</w:t>
            </w:r>
            <w:r>
              <w:rPr>
                <w:rFonts w:hint="default" w:ascii="Times New Roman" w:hAnsi="Times New Roman" w:cs="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30227</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委托业务费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31205</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利息补贴</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30308</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助学金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30228</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工会经费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8.41</w:t>
            </w:r>
            <w:r>
              <w:rPr>
                <w:rFonts w:hint="default" w:ascii="Times New Roman" w:hAnsi="Times New Roman" w:cs="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31206</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ind w:firstLine="180" w:firstLineChars="1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其他资本性补助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30309</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奖励金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30229</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福利费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31299</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其他对企业补助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30310</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个人农业生产补贴</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30231</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公务用车运行维护费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3.63</w:t>
            </w:r>
            <w:r>
              <w:rPr>
                <w:rFonts w:hint="default" w:ascii="Times New Roman" w:hAnsi="Times New Roman" w:cs="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399</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其他支出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30311</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代缴社会保险费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30239</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其他交通费用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20.26</w:t>
            </w:r>
            <w:r>
              <w:rPr>
                <w:rFonts w:hint="default" w:ascii="Times New Roman" w:hAnsi="Times New Roman" w:cs="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39907</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国家赔偿费用支出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30399</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其他对个人和家庭的补助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30240</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税金及附加费用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39908</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对民间非营利组织和群众性自治组织补贴</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ascii="Times New Roman" w:hAnsi="Times New Roman" w:cs="Times New Roman"/>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ascii="Times New Roman" w:hAnsi="Times New Roman" w:cs="Times New Roman"/>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30299</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其他商品和服务支出</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39909</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经常性赠与</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ascii="Times New Roman" w:hAnsi="Times New Roman" w:cs="Times New Roman"/>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ascii="Times New Roman" w:hAnsi="Times New Roman" w:cs="Times New Roman"/>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307</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债务利息及费用支出</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39910</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资本性赠与</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ascii="Times New Roman" w:hAnsi="Times New Roman" w:cs="Times New Roman"/>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ascii="Times New Roman" w:hAnsi="Times New Roman" w:cs="Times New Roman"/>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30701</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国内债务付息</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39999</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ascii="Times New Roman" w:hAnsi="Times New Roman" w:cs="Times New Roman"/>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ascii="Times New Roman" w:hAnsi="Times New Roman" w:cs="Times New Roman"/>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30702</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国外债务付息</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ascii="Times New Roman" w:hAnsi="Times New Roman" w:cs="Times New Roman"/>
                <w:color w:val="000000"/>
                <w:sz w:val="18"/>
                <w:szCs w:val="18"/>
              </w:rPr>
            </w:pP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ascii="Times New Roman" w:hAnsi="Times New Roman" w:cs="Times New Roman"/>
                <w:color w:val="000000"/>
                <w:sz w:val="18"/>
                <w:szCs w:val="18"/>
              </w:rPr>
            </w:pP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ascii="Times New Roman" w:hAnsi="Times New Roman" w:cs="Times New Roman"/>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ascii="Times New Roman" w:hAnsi="Times New Roman" w:cs="Times New Roman"/>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30703</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国内债务发行费用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ascii="Times New Roman" w:hAnsi="Times New Roman" w:cs="Times New Roman"/>
                <w:color w:val="000000"/>
                <w:sz w:val="18"/>
                <w:szCs w:val="18"/>
              </w:rPr>
            </w:pP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ascii="Times New Roman" w:hAnsi="Times New Roman" w:cs="Times New Roman"/>
                <w:color w:val="000000"/>
                <w:sz w:val="18"/>
                <w:szCs w:val="18"/>
              </w:rPr>
            </w:pP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r>
      <w:tr>
        <w:tblPrEx>
          <w:tblLayout w:type="fixed"/>
          <w:tblCellMar>
            <w:top w:w="0" w:type="dxa"/>
            <w:left w:w="0" w:type="dxa"/>
            <w:bottom w:w="0" w:type="dxa"/>
            <w:right w:w="0" w:type="dxa"/>
          </w:tblCellMar>
        </w:tblPrEx>
        <w:trPr>
          <w:trHeight w:val="155"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ascii="Times New Roman" w:hAnsi="Times New Roman" w:cs="Times New Roman"/>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ascii="Times New Roman" w:hAnsi="Times New Roman" w:cs="Times New Roman"/>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30704</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国外债务发行费用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ascii="Times New Roman" w:hAnsi="Times New Roman" w:cs="Times New Roman"/>
                <w:color w:val="000000"/>
                <w:sz w:val="18"/>
                <w:szCs w:val="18"/>
              </w:rPr>
            </w:pP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ascii="Times New Roman" w:hAnsi="Times New Roman" w:cs="Times New Roman"/>
                <w:color w:val="000000"/>
                <w:sz w:val="18"/>
                <w:szCs w:val="18"/>
              </w:rPr>
            </w:pP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r>
      <w:tr>
        <w:tblPrEx>
          <w:tblLayout w:type="fixed"/>
          <w:tblCellMar>
            <w:top w:w="0" w:type="dxa"/>
            <w:left w:w="0" w:type="dxa"/>
            <w:bottom w:w="0" w:type="dxa"/>
            <w:right w:w="0" w:type="dxa"/>
          </w:tblCellMar>
        </w:tblPrEx>
        <w:trPr>
          <w:trHeight w:val="310" w:hRule="atLeast"/>
        </w:trPr>
        <w:tc>
          <w:tcPr>
            <w:tcW w:w="3333"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人员经费合计</w:t>
            </w:r>
          </w:p>
        </w:tc>
        <w:tc>
          <w:tcPr>
            <w:tcW w:w="137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525.97</w:t>
            </w:r>
            <w:r>
              <w:rPr>
                <w:rFonts w:hint="default" w:ascii="Times New Roman" w:hAnsi="Times New Roman" w:cs="Times New Roman"/>
                <w:color w:val="000000"/>
                <w:sz w:val="18"/>
                <w:u w:color="auto"/>
              </w:rPr>
              <w:t xml:space="preserve"> </w:t>
            </w:r>
          </w:p>
        </w:tc>
        <w:tc>
          <w:tcPr>
            <w:tcW w:w="8718" w:type="dxa"/>
            <w:gridSpan w:val="5"/>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公用经费合计</w:t>
            </w:r>
          </w:p>
        </w:tc>
        <w:tc>
          <w:tcPr>
            <w:tcW w:w="188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93.63</w:t>
            </w:r>
            <w:r>
              <w:rPr>
                <w:rFonts w:hint="default" w:ascii="Times New Roman" w:hAnsi="Times New Roman" w:cs="Times New Roman"/>
                <w:color w:val="000000"/>
                <w:sz w:val="18"/>
                <w:u w:color="auto"/>
              </w:rPr>
              <w:t xml:space="preserve"> </w:t>
            </w:r>
          </w:p>
        </w:tc>
      </w:tr>
    </w:tbl>
    <w:p>
      <w:pPr>
        <w:spacing w:line="280" w:lineRule="exact"/>
        <w:rPr>
          <w:rFonts w:hint="default" w:ascii="Times New Roman" w:hAnsi="Times New Roman" w:cs="Times New Roman"/>
          <w:sz w:val="20"/>
          <w:szCs w:val="20"/>
        </w:rPr>
      </w:pPr>
      <w:r>
        <w:rPr>
          <w:rFonts w:hint="default" w:ascii="Times New Roman" w:hAnsi="Times New Roman" w:cs="Times New Roman"/>
          <w:sz w:val="20"/>
          <w:szCs w:val="20"/>
        </w:rPr>
        <w:t>备注：1.本表反映部门本年度一般公共预算财政拨款基本支出明细情况。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r>
        <w:rPr>
          <w:rFonts w:hint="default" w:ascii="Times New Roman" w:hAnsi="Times New Roman" w:cs="Times New Roman"/>
          <w:sz w:val="21"/>
          <w:szCs w:val="21"/>
        </w:rPr>
        <w:br w:type="page"/>
      </w:r>
    </w:p>
    <w:tbl>
      <w:tblPr>
        <w:tblStyle w:val="9"/>
        <w:tblW w:w="15322" w:type="dxa"/>
        <w:tblInd w:w="0" w:type="dxa"/>
        <w:tblLayout w:type="fixed"/>
        <w:tblCellMar>
          <w:top w:w="0" w:type="dxa"/>
          <w:left w:w="0" w:type="dxa"/>
          <w:bottom w:w="0" w:type="dxa"/>
          <w:right w:w="0" w:type="dxa"/>
        </w:tblCellMar>
      </w:tblPr>
      <w:tblGrid>
        <w:gridCol w:w="1635"/>
        <w:gridCol w:w="3285"/>
        <w:gridCol w:w="1701"/>
        <w:gridCol w:w="1701"/>
        <w:gridCol w:w="1701"/>
        <w:gridCol w:w="1701"/>
        <w:gridCol w:w="1765"/>
        <w:gridCol w:w="1833"/>
      </w:tblGrid>
      <w:tr>
        <w:tblPrEx>
          <w:tblLayout w:type="fixed"/>
          <w:tblCellMar>
            <w:top w:w="0" w:type="dxa"/>
            <w:left w:w="0" w:type="dxa"/>
            <w:bottom w:w="0" w:type="dxa"/>
            <w:right w:w="0" w:type="dxa"/>
          </w:tblCellMar>
        </w:tblPrEx>
        <w:trPr>
          <w:trHeight w:val="644" w:hRule="atLeast"/>
        </w:trPr>
        <w:tc>
          <w:tcPr>
            <w:tcW w:w="15322" w:type="dxa"/>
            <w:gridSpan w:val="8"/>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政府性基金预算财政拨款收入支出决算表</w:t>
            </w:r>
          </w:p>
        </w:tc>
      </w:tr>
      <w:tr>
        <w:tblPrEx>
          <w:tblLayout w:type="fixed"/>
          <w:tblCellMar>
            <w:top w:w="0" w:type="dxa"/>
            <w:left w:w="0" w:type="dxa"/>
            <w:bottom w:w="0" w:type="dxa"/>
            <w:right w:w="0" w:type="dxa"/>
          </w:tblCellMar>
        </w:tblPrEx>
        <w:trPr>
          <w:trHeight w:val="329" w:hRule="atLeast"/>
        </w:trPr>
        <w:tc>
          <w:tcPr>
            <w:tcW w:w="6621" w:type="dxa"/>
            <w:gridSpan w:val="3"/>
            <w:vMerge w:val="restart"/>
            <w:tcBorders>
              <w:top w:val="nil"/>
              <w:left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rPr>
            </w:pPr>
            <w:r>
              <w:rPr>
                <w:rFonts w:hint="default" w:ascii="Times New Roman" w:hAnsi="Times New Roman" w:cs="Times New Roman"/>
                <w:sz w:val="20"/>
                <w:szCs w:val="20"/>
              </w:rPr>
              <w:t>部门</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秀山土家族苗族自治县就业和人才中心</w:t>
            </w: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rPr>
            </w:pPr>
          </w:p>
        </w:tc>
        <w:tc>
          <w:tcPr>
            <w:tcW w:w="1765" w:type="dxa"/>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rPr>
            </w:pPr>
          </w:p>
        </w:tc>
        <w:tc>
          <w:tcPr>
            <w:tcW w:w="1833"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公开07表</w:t>
            </w:r>
          </w:p>
        </w:tc>
      </w:tr>
      <w:tr>
        <w:tblPrEx>
          <w:tblLayout w:type="fixed"/>
          <w:tblCellMar>
            <w:top w:w="0" w:type="dxa"/>
            <w:left w:w="0" w:type="dxa"/>
            <w:bottom w:w="0" w:type="dxa"/>
            <w:right w:w="0" w:type="dxa"/>
          </w:tblCellMar>
        </w:tblPrEx>
        <w:trPr>
          <w:trHeight w:val="329" w:hRule="atLeast"/>
        </w:trPr>
        <w:tc>
          <w:tcPr>
            <w:tcW w:w="6621"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rPr>
            </w:pPr>
          </w:p>
        </w:tc>
        <w:tc>
          <w:tcPr>
            <w:tcW w:w="1765" w:type="dxa"/>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rPr>
            </w:pPr>
          </w:p>
        </w:tc>
        <w:tc>
          <w:tcPr>
            <w:tcW w:w="1833"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tblPrEx>
          <w:tblLayout w:type="fixed"/>
          <w:tblCellMar>
            <w:top w:w="0" w:type="dxa"/>
            <w:left w:w="0" w:type="dxa"/>
            <w:bottom w:w="0" w:type="dxa"/>
            <w:right w:w="0" w:type="dxa"/>
          </w:tblCellMar>
        </w:tblPrEx>
        <w:trPr>
          <w:trHeight w:val="339" w:hRule="atLeast"/>
        </w:trPr>
        <w:tc>
          <w:tcPr>
            <w:tcW w:w="492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1701"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年初结转和结余</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本年收入</w:t>
            </w:r>
          </w:p>
        </w:tc>
        <w:tc>
          <w:tcPr>
            <w:tcW w:w="5167"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本年支出</w:t>
            </w:r>
          </w:p>
        </w:tc>
        <w:tc>
          <w:tcPr>
            <w:tcW w:w="183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年末结转和结余</w:t>
            </w:r>
          </w:p>
        </w:tc>
      </w:tr>
      <w:tr>
        <w:tblPrEx>
          <w:tblLayout w:type="fixed"/>
          <w:tblCellMar>
            <w:top w:w="0" w:type="dxa"/>
            <w:left w:w="0" w:type="dxa"/>
            <w:bottom w:w="0" w:type="dxa"/>
            <w:right w:w="0" w:type="dxa"/>
          </w:tblCellMar>
        </w:tblPrEx>
        <w:trPr>
          <w:trHeight w:val="335" w:hRule="atLeast"/>
        </w:trPr>
        <w:tc>
          <w:tcPr>
            <w:tcW w:w="163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32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项目（按“项”级功能分类科目）</w:t>
            </w: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基本支出</w:t>
            </w:r>
          </w:p>
        </w:tc>
        <w:tc>
          <w:tcPr>
            <w:tcW w:w="176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项目支出</w:t>
            </w:r>
          </w:p>
        </w:tc>
        <w:tc>
          <w:tcPr>
            <w:tcW w:w="18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r>
      <w:tr>
        <w:tblPrEx>
          <w:tblLayout w:type="fixed"/>
          <w:tblCellMar>
            <w:top w:w="0" w:type="dxa"/>
            <w:left w:w="0" w:type="dxa"/>
            <w:bottom w:w="0" w:type="dxa"/>
            <w:right w:w="0" w:type="dxa"/>
          </w:tblCellMar>
        </w:tblPrEx>
        <w:trPr>
          <w:trHeight w:val="335" w:hRule="atLeast"/>
        </w:trPr>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32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8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r>
      <w:tr>
        <w:tblPrEx>
          <w:tblLayout w:type="fixed"/>
          <w:tblCellMar>
            <w:top w:w="0" w:type="dxa"/>
            <w:left w:w="0" w:type="dxa"/>
            <w:bottom w:w="0" w:type="dxa"/>
            <w:right w:w="0" w:type="dxa"/>
          </w:tblCellMar>
        </w:tblPrEx>
        <w:trPr>
          <w:trHeight w:val="645" w:hRule="atLeast"/>
        </w:trPr>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32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8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r>
      <w:tr>
        <w:tblPrEx>
          <w:tblLayout w:type="fixed"/>
          <w:tblCellMar>
            <w:top w:w="0" w:type="dxa"/>
            <w:left w:w="0" w:type="dxa"/>
            <w:bottom w:w="0" w:type="dxa"/>
            <w:right w:w="0" w:type="dxa"/>
          </w:tblCellMar>
        </w:tblPrEx>
        <w:trPr>
          <w:trHeight w:val="339" w:hRule="atLeast"/>
        </w:trPr>
        <w:tc>
          <w:tcPr>
            <w:tcW w:w="4920"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18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r>
      <w:tr>
        <w:tblPrEx>
          <w:tblLayout w:type="fixed"/>
          <w:tblCellMar>
            <w:top w:w="0" w:type="dxa"/>
            <w:left w:w="0" w:type="dxa"/>
            <w:bottom w:w="0" w:type="dxa"/>
            <w:right w:w="0" w:type="dxa"/>
          </w:tblCellMar>
        </w:tblPrEx>
        <w:trPr>
          <w:trHeight w:val="349" w:hRule="atLeast"/>
        </w:trPr>
        <w:tc>
          <w:tcPr>
            <w:tcW w:w="163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ascii="Times New Roman" w:hAnsi="Times New Roman" w:cs="Times New Roman"/>
                <w:color w:val="000000"/>
                <w:sz w:val="20"/>
                <w:szCs w:val="20"/>
              </w:rPr>
            </w:pPr>
          </w:p>
        </w:tc>
        <w:tc>
          <w:tcPr>
            <w:tcW w:w="328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ascii="Times New Roman" w:hAnsi="Times New Roman" w:cs="Times New Roman"/>
                <w:color w:val="000000"/>
                <w:sz w:val="20"/>
                <w:szCs w:val="20"/>
              </w:rPr>
            </w:pP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8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bl>
    <w:p>
      <w:pPr>
        <w:rPr>
          <w:rFonts w:hint="default" w:ascii="Times New Roman" w:hAnsi="Times New Roman" w:cs="Times New Roman"/>
          <w:sz w:val="21"/>
          <w:szCs w:val="21"/>
        </w:rPr>
      </w:pPr>
      <w:r>
        <w:rPr>
          <w:rFonts w:hint="default" w:ascii="Times New Roman" w:hAnsi="Times New Roman" w:cs="Times New Roman"/>
          <w:sz w:val="20"/>
          <w:szCs w:val="20"/>
        </w:rPr>
        <w:t>备注：本表反映部门本年度政府性基金预算财政拨款收入支出及结转和结余情况。本部门无政府性基金收支，故本表无数据。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pPr>
        <w:rPr>
          <w:rFonts w:hint="default" w:ascii="Times New Roman" w:hAnsi="Times New Roman" w:cs="Times New Roman"/>
          <w:sz w:val="21"/>
          <w:szCs w:val="21"/>
        </w:rPr>
      </w:pPr>
      <w:r>
        <w:rPr>
          <w:rFonts w:hint="default" w:ascii="Times New Roman" w:hAnsi="Times New Roman" w:cs="Times New Roman"/>
          <w:sz w:val="21"/>
          <w:szCs w:val="21"/>
        </w:rPr>
        <w:br w:type="page"/>
      </w:r>
    </w:p>
    <w:tbl>
      <w:tblPr>
        <w:tblStyle w:val="9"/>
        <w:tblW w:w="15322" w:type="dxa"/>
        <w:tblInd w:w="0" w:type="dxa"/>
        <w:tblLayout w:type="fixed"/>
        <w:tblCellMar>
          <w:top w:w="0" w:type="dxa"/>
          <w:left w:w="0" w:type="dxa"/>
          <w:bottom w:w="0" w:type="dxa"/>
          <w:right w:w="0" w:type="dxa"/>
        </w:tblCellMar>
      </w:tblPr>
      <w:tblGrid>
        <w:gridCol w:w="2001"/>
        <w:gridCol w:w="2917"/>
        <w:gridCol w:w="3264"/>
        <w:gridCol w:w="199"/>
        <w:gridCol w:w="3463"/>
        <w:gridCol w:w="77"/>
        <w:gridCol w:w="3401"/>
      </w:tblGrid>
      <w:tr>
        <w:tblPrEx>
          <w:tblLayout w:type="fixed"/>
          <w:tblCellMar>
            <w:top w:w="0" w:type="dxa"/>
            <w:left w:w="0" w:type="dxa"/>
            <w:bottom w:w="0" w:type="dxa"/>
            <w:right w:w="0" w:type="dxa"/>
          </w:tblCellMar>
        </w:tblPrEx>
        <w:trPr>
          <w:trHeight w:val="650" w:hRule="atLeast"/>
        </w:trPr>
        <w:tc>
          <w:tcPr>
            <w:tcW w:w="15322" w:type="dxa"/>
            <w:gridSpan w:val="7"/>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国有资本经营预算财政拨款支出决算表</w:t>
            </w:r>
          </w:p>
        </w:tc>
      </w:tr>
      <w:tr>
        <w:tblPrEx>
          <w:tblLayout w:type="fixed"/>
          <w:tblCellMar>
            <w:top w:w="0" w:type="dxa"/>
            <w:left w:w="0" w:type="dxa"/>
            <w:bottom w:w="0" w:type="dxa"/>
            <w:right w:w="0" w:type="dxa"/>
          </w:tblCellMar>
        </w:tblPrEx>
        <w:trPr>
          <w:trHeight w:val="332" w:hRule="atLeast"/>
        </w:trPr>
        <w:tc>
          <w:tcPr>
            <w:tcW w:w="8182" w:type="dxa"/>
            <w:gridSpan w:val="3"/>
            <w:vMerge w:val="restart"/>
            <w:tcBorders>
              <w:top w:val="nil"/>
              <w:left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rPr>
            </w:pPr>
            <w:r>
              <w:rPr>
                <w:rFonts w:hint="default" w:ascii="Times New Roman" w:hAnsi="Times New Roman" w:cs="Times New Roman"/>
                <w:sz w:val="20"/>
                <w:szCs w:val="20"/>
              </w:rPr>
              <w:t>部门</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秀山土家族苗族自治县就业和人才中心</w:t>
            </w:r>
          </w:p>
        </w:tc>
        <w:tc>
          <w:tcPr>
            <w:tcW w:w="3739" w:type="dxa"/>
            <w:gridSpan w:val="3"/>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rPr>
            </w:pPr>
          </w:p>
        </w:tc>
        <w:tc>
          <w:tcPr>
            <w:tcW w:w="3401"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公开08表</w:t>
            </w:r>
          </w:p>
        </w:tc>
      </w:tr>
      <w:tr>
        <w:tblPrEx>
          <w:tblLayout w:type="fixed"/>
          <w:tblCellMar>
            <w:top w:w="0" w:type="dxa"/>
            <w:left w:w="0" w:type="dxa"/>
            <w:bottom w:w="0" w:type="dxa"/>
            <w:right w:w="0" w:type="dxa"/>
          </w:tblCellMar>
        </w:tblPrEx>
        <w:trPr>
          <w:trHeight w:val="332" w:hRule="atLeast"/>
        </w:trPr>
        <w:tc>
          <w:tcPr>
            <w:tcW w:w="8182"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rPr>
            </w:pPr>
          </w:p>
        </w:tc>
        <w:tc>
          <w:tcPr>
            <w:tcW w:w="3739" w:type="dxa"/>
            <w:gridSpan w:val="3"/>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rPr>
            </w:pPr>
          </w:p>
        </w:tc>
        <w:tc>
          <w:tcPr>
            <w:tcW w:w="3401"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tblPrEx>
          <w:tblLayout w:type="fixed"/>
          <w:tblCellMar>
            <w:top w:w="0" w:type="dxa"/>
            <w:left w:w="0" w:type="dxa"/>
            <w:bottom w:w="0" w:type="dxa"/>
            <w:right w:w="0" w:type="dxa"/>
          </w:tblCellMar>
        </w:tblPrEx>
        <w:trPr>
          <w:trHeight w:val="422" w:hRule="atLeast"/>
        </w:trPr>
        <w:tc>
          <w:tcPr>
            <w:tcW w:w="491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10404"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本年支出</w:t>
            </w:r>
          </w:p>
        </w:tc>
      </w:tr>
      <w:tr>
        <w:tblPrEx>
          <w:tblLayout w:type="fixed"/>
          <w:tblCellMar>
            <w:top w:w="0" w:type="dxa"/>
            <w:left w:w="0" w:type="dxa"/>
            <w:bottom w:w="0" w:type="dxa"/>
            <w:right w:w="0" w:type="dxa"/>
          </w:tblCellMar>
        </w:tblPrEx>
        <w:trPr>
          <w:trHeight w:val="339" w:hRule="atLeast"/>
        </w:trPr>
        <w:tc>
          <w:tcPr>
            <w:tcW w:w="2001"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291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科目名称</w:t>
            </w:r>
          </w:p>
        </w:tc>
        <w:tc>
          <w:tcPr>
            <w:tcW w:w="3463"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346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基本支出</w:t>
            </w:r>
          </w:p>
        </w:tc>
        <w:tc>
          <w:tcPr>
            <w:tcW w:w="3478"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项目支出</w:t>
            </w:r>
          </w:p>
        </w:tc>
      </w:tr>
      <w:tr>
        <w:tblPrEx>
          <w:tblLayout w:type="fixed"/>
          <w:tblCellMar>
            <w:top w:w="0" w:type="dxa"/>
            <w:left w:w="0" w:type="dxa"/>
            <w:bottom w:w="0" w:type="dxa"/>
            <w:right w:w="0" w:type="dxa"/>
          </w:tblCellMar>
        </w:tblPrEx>
        <w:trPr>
          <w:trHeight w:val="339" w:hRule="atLeast"/>
        </w:trPr>
        <w:tc>
          <w:tcPr>
            <w:tcW w:w="200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29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3478"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r>
      <w:tr>
        <w:tblPrEx>
          <w:tblLayout w:type="fixed"/>
          <w:tblCellMar>
            <w:top w:w="0" w:type="dxa"/>
            <w:left w:w="0" w:type="dxa"/>
            <w:bottom w:w="0" w:type="dxa"/>
            <w:right w:w="0" w:type="dxa"/>
          </w:tblCellMar>
        </w:tblPrEx>
        <w:trPr>
          <w:trHeight w:val="339" w:hRule="atLeast"/>
        </w:trPr>
        <w:tc>
          <w:tcPr>
            <w:tcW w:w="200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29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3478"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r>
      <w:tr>
        <w:tblPrEx>
          <w:tblLayout w:type="fixed"/>
          <w:tblCellMar>
            <w:top w:w="0" w:type="dxa"/>
            <w:left w:w="0" w:type="dxa"/>
            <w:bottom w:w="0" w:type="dxa"/>
            <w:right w:w="0" w:type="dxa"/>
          </w:tblCellMar>
        </w:tblPrEx>
        <w:trPr>
          <w:trHeight w:val="326" w:hRule="atLeast"/>
        </w:trPr>
        <w:tc>
          <w:tcPr>
            <w:tcW w:w="200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29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3478"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r>
      <w:tr>
        <w:tblPrEx>
          <w:tblLayout w:type="fixed"/>
          <w:tblCellMar>
            <w:top w:w="0" w:type="dxa"/>
            <w:left w:w="0" w:type="dxa"/>
            <w:bottom w:w="0" w:type="dxa"/>
            <w:right w:w="0" w:type="dxa"/>
          </w:tblCellMar>
        </w:tblPrEx>
        <w:trPr>
          <w:trHeight w:val="611" w:hRule="atLeast"/>
        </w:trPr>
        <w:tc>
          <w:tcPr>
            <w:tcW w:w="491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3463"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34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Times New Roman" w:hAnsi="Times New Roman" w:cs="Times New Roman"/>
                <w:b/>
                <w:color w:val="000000"/>
                <w:sz w:val="20"/>
                <w:szCs w:val="20"/>
              </w:rPr>
            </w:pPr>
          </w:p>
        </w:tc>
        <w:tc>
          <w:tcPr>
            <w:tcW w:w="3478"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r>
      <w:tr>
        <w:tblPrEx>
          <w:tblLayout w:type="fixed"/>
          <w:tblCellMar>
            <w:top w:w="0" w:type="dxa"/>
            <w:left w:w="0" w:type="dxa"/>
            <w:bottom w:w="0" w:type="dxa"/>
            <w:right w:w="0" w:type="dxa"/>
          </w:tblCellMar>
        </w:tblPrEx>
        <w:trPr>
          <w:trHeight w:val="488" w:hRule="atLeast"/>
        </w:trPr>
        <w:tc>
          <w:tcPr>
            <w:tcW w:w="200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p>
        </w:tc>
        <w:tc>
          <w:tcPr>
            <w:tcW w:w="29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p>
        </w:tc>
        <w:tc>
          <w:tcPr>
            <w:tcW w:w="3463"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 xml:space="preserve">0.00 </w:t>
            </w:r>
          </w:p>
        </w:tc>
        <w:tc>
          <w:tcPr>
            <w:tcW w:w="34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Times New Roman" w:hAnsi="Times New Roman" w:cs="Times New Roman"/>
                <w:b/>
                <w:color w:val="000000"/>
                <w:sz w:val="20"/>
                <w:szCs w:val="20"/>
              </w:rPr>
            </w:pPr>
          </w:p>
        </w:tc>
        <w:tc>
          <w:tcPr>
            <w:tcW w:w="3478"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 xml:space="preserve">0.00 </w:t>
            </w:r>
          </w:p>
        </w:tc>
      </w:tr>
    </w:tbl>
    <w:p>
      <w:pPr>
        <w:rPr>
          <w:rFonts w:hint="default" w:ascii="Times New Roman" w:hAnsi="Times New Roman" w:cs="Times New Roman"/>
          <w:sz w:val="21"/>
          <w:szCs w:val="21"/>
        </w:rPr>
      </w:pPr>
      <w:r>
        <w:rPr>
          <w:rFonts w:hint="default" w:ascii="Times New Roman" w:hAnsi="Times New Roman" w:cs="Times New Roman"/>
          <w:sz w:val="20"/>
          <w:szCs w:val="20"/>
        </w:rPr>
        <w:t>备注：本表反映部门本年度国有资本经营预算财政拨款支出情况。本部门无国有资本经营收支，故本表无数据。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pPr>
        <w:rPr>
          <w:rFonts w:hint="default" w:ascii="Times New Roman" w:hAnsi="Times New Roman" w:cs="Times New Roman"/>
          <w:sz w:val="21"/>
          <w:szCs w:val="21"/>
        </w:rPr>
      </w:pPr>
      <w:r>
        <w:rPr>
          <w:rFonts w:hint="default" w:ascii="Times New Roman" w:hAnsi="Times New Roman" w:cs="Times New Roman"/>
          <w:sz w:val="21"/>
          <w:szCs w:val="21"/>
        </w:rPr>
        <w:br w:type="page"/>
      </w:r>
    </w:p>
    <w:tbl>
      <w:tblPr>
        <w:tblStyle w:val="9"/>
        <w:tblW w:w="14131" w:type="dxa"/>
        <w:tblInd w:w="0" w:type="dxa"/>
        <w:tblLayout w:type="fixed"/>
        <w:tblCellMar>
          <w:top w:w="0" w:type="dxa"/>
          <w:left w:w="170" w:type="dxa"/>
          <w:bottom w:w="0" w:type="dxa"/>
          <w:right w:w="170" w:type="dxa"/>
        </w:tblCellMar>
      </w:tblPr>
      <w:tblGrid>
        <w:gridCol w:w="3179"/>
        <w:gridCol w:w="2416"/>
        <w:gridCol w:w="2375"/>
        <w:gridCol w:w="3674"/>
        <w:gridCol w:w="2487"/>
      </w:tblGrid>
      <w:tr>
        <w:tblPrEx>
          <w:tblLayout w:type="fixed"/>
          <w:tblCellMar>
            <w:top w:w="0" w:type="dxa"/>
            <w:left w:w="170" w:type="dxa"/>
            <w:bottom w:w="0" w:type="dxa"/>
            <w:right w:w="170" w:type="dxa"/>
          </w:tblCellMar>
        </w:tblPrEx>
        <w:trPr>
          <w:trHeight w:val="343" w:hRule="atLeast"/>
        </w:trPr>
        <w:tc>
          <w:tcPr>
            <w:tcW w:w="14131" w:type="dxa"/>
            <w:gridSpan w:val="5"/>
            <w:shd w:val="clear" w:color="auto" w:fill="auto"/>
            <w:tcMar>
              <w:top w:w="15" w:type="dxa"/>
              <w:left w:w="15" w:type="dxa"/>
              <w:right w:w="15" w:type="dxa"/>
            </w:tcMar>
            <w:vAlign w:val="bottom"/>
          </w:tcPr>
          <w:p>
            <w:pPr>
              <w:spacing w:line="400" w:lineRule="exact"/>
              <w:jc w:val="center"/>
              <w:textAlignment w:val="bottom"/>
              <w:rPr>
                <w:rFonts w:hint="default" w:ascii="Times New Roman" w:hAnsi="Times New Roman" w:cs="Times New Roman"/>
                <w:b/>
                <w:color w:val="000000"/>
                <w:kern w:val="2"/>
                <w:sz w:val="32"/>
                <w:szCs w:val="32"/>
              </w:rPr>
            </w:pPr>
            <w:r>
              <w:rPr>
                <w:rFonts w:hint="default" w:ascii="Times New Roman" w:hAnsi="Times New Roman" w:cs="Times New Roman"/>
                <w:b/>
                <w:color w:val="000000"/>
                <w:kern w:val="2"/>
                <w:sz w:val="32"/>
                <w:szCs w:val="32"/>
              </w:rPr>
              <w:t>机构运行信息表</w:t>
            </w:r>
          </w:p>
        </w:tc>
      </w:tr>
      <w:tr>
        <w:tblPrEx>
          <w:tblLayout w:type="fixed"/>
          <w:tblCellMar>
            <w:top w:w="0" w:type="dxa"/>
            <w:left w:w="170" w:type="dxa"/>
            <w:bottom w:w="0" w:type="dxa"/>
            <w:right w:w="170" w:type="dxa"/>
          </w:tblCellMar>
        </w:tblPrEx>
        <w:trPr>
          <w:trHeight w:val="244" w:hRule="atLeast"/>
        </w:trPr>
        <w:tc>
          <w:tcPr>
            <w:tcW w:w="3179" w:type="dxa"/>
            <w:shd w:val="clear" w:color="auto" w:fill="auto"/>
            <w:tcMar>
              <w:top w:w="15" w:type="dxa"/>
              <w:left w:w="15" w:type="dxa"/>
              <w:right w:w="15" w:type="dxa"/>
            </w:tcMar>
            <w:vAlign w:val="bottom"/>
          </w:tcPr>
          <w:p>
            <w:pPr>
              <w:spacing w:line="280" w:lineRule="exact"/>
              <w:rPr>
                <w:rFonts w:hint="default" w:ascii="Times New Roman" w:hAnsi="Times New Roman" w:cs="Times New Roman"/>
                <w:color w:val="000000"/>
                <w:kern w:val="2"/>
                <w:sz w:val="20"/>
                <w:szCs w:val="20"/>
              </w:rPr>
            </w:pPr>
          </w:p>
        </w:tc>
        <w:tc>
          <w:tcPr>
            <w:tcW w:w="2416" w:type="dxa"/>
            <w:shd w:val="clear" w:color="auto" w:fill="auto"/>
            <w:tcMar>
              <w:top w:w="15" w:type="dxa"/>
              <w:left w:w="15" w:type="dxa"/>
              <w:right w:w="15" w:type="dxa"/>
            </w:tcMar>
            <w:vAlign w:val="bottom"/>
          </w:tcPr>
          <w:p>
            <w:pPr>
              <w:spacing w:line="280" w:lineRule="exact"/>
              <w:jc w:val="center"/>
              <w:rPr>
                <w:rFonts w:hint="default" w:ascii="Times New Roman" w:hAnsi="Times New Roman" w:cs="Times New Roman"/>
                <w:color w:val="000000"/>
                <w:kern w:val="2"/>
                <w:sz w:val="20"/>
                <w:szCs w:val="20"/>
              </w:rPr>
            </w:pPr>
          </w:p>
        </w:tc>
        <w:tc>
          <w:tcPr>
            <w:tcW w:w="2375" w:type="dxa"/>
            <w:shd w:val="clear" w:color="auto" w:fill="auto"/>
            <w:tcMar>
              <w:top w:w="15" w:type="dxa"/>
              <w:left w:w="15" w:type="dxa"/>
              <w:right w:w="15" w:type="dxa"/>
            </w:tcMar>
            <w:vAlign w:val="bottom"/>
          </w:tcPr>
          <w:p>
            <w:pPr>
              <w:spacing w:line="280" w:lineRule="exact"/>
              <w:jc w:val="right"/>
              <w:rPr>
                <w:rFonts w:hint="default" w:ascii="Times New Roman" w:hAnsi="Times New Roman" w:cs="Times New Roman"/>
                <w:color w:val="000000"/>
                <w:kern w:val="2"/>
                <w:sz w:val="20"/>
                <w:szCs w:val="20"/>
              </w:rPr>
            </w:pPr>
          </w:p>
        </w:tc>
        <w:tc>
          <w:tcPr>
            <w:tcW w:w="3674" w:type="dxa"/>
            <w:shd w:val="clear" w:color="auto" w:fill="auto"/>
            <w:tcMar>
              <w:top w:w="15" w:type="dxa"/>
              <w:left w:w="15" w:type="dxa"/>
              <w:right w:w="15" w:type="dxa"/>
            </w:tcMar>
            <w:vAlign w:val="bottom"/>
          </w:tcPr>
          <w:p>
            <w:pPr>
              <w:spacing w:line="280" w:lineRule="exact"/>
              <w:rPr>
                <w:rFonts w:hint="default" w:ascii="Times New Roman" w:hAnsi="Times New Roman" w:cs="Times New Roman"/>
                <w:color w:val="000000"/>
                <w:kern w:val="2"/>
                <w:sz w:val="20"/>
                <w:szCs w:val="20"/>
              </w:rPr>
            </w:pPr>
          </w:p>
        </w:tc>
        <w:tc>
          <w:tcPr>
            <w:tcW w:w="2487" w:type="dxa"/>
            <w:shd w:val="clear" w:color="auto" w:fill="auto"/>
            <w:tcMar>
              <w:top w:w="15" w:type="dxa"/>
              <w:left w:w="15" w:type="dxa"/>
              <w:right w:w="15" w:type="dxa"/>
            </w:tcMar>
            <w:vAlign w:val="bottom"/>
          </w:tcPr>
          <w:p>
            <w:pPr>
              <w:spacing w:line="280" w:lineRule="exact"/>
              <w:jc w:val="right"/>
              <w:textAlignment w:val="bottom"/>
              <w:rPr>
                <w:rFonts w:hint="default" w:ascii="Times New Roman" w:hAnsi="Times New Roman" w:cs="Times New Roman"/>
                <w:color w:val="000000"/>
                <w:kern w:val="2"/>
                <w:sz w:val="20"/>
                <w:szCs w:val="20"/>
              </w:rPr>
            </w:pPr>
            <w:r>
              <w:rPr>
                <w:rFonts w:hint="default" w:ascii="Times New Roman" w:hAnsi="Times New Roman" w:cs="Times New Roman"/>
                <w:color w:val="000000"/>
                <w:kern w:val="2"/>
                <w:sz w:val="20"/>
                <w:szCs w:val="20"/>
              </w:rPr>
              <w:t>公开09表</w:t>
            </w:r>
          </w:p>
        </w:tc>
      </w:tr>
      <w:tr>
        <w:tblPrEx>
          <w:tblLayout w:type="fixed"/>
          <w:tblCellMar>
            <w:top w:w="0" w:type="dxa"/>
            <w:left w:w="170" w:type="dxa"/>
            <w:bottom w:w="0" w:type="dxa"/>
            <w:right w:w="170" w:type="dxa"/>
          </w:tblCellMar>
        </w:tblPrEx>
        <w:trPr>
          <w:trHeight w:val="244" w:hRule="atLeast"/>
        </w:trPr>
        <w:tc>
          <w:tcPr>
            <w:tcW w:w="5595" w:type="dxa"/>
            <w:gridSpan w:val="2"/>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rPr>
                <w:rFonts w:hint="default" w:ascii="Times New Roman" w:hAnsi="Times New Roman" w:cs="Times New Roman"/>
                <w:color w:val="000000"/>
                <w:kern w:val="2"/>
                <w:sz w:val="20"/>
                <w:szCs w:val="20"/>
              </w:rPr>
            </w:pPr>
            <w:r>
              <w:rPr>
                <w:rFonts w:hint="default" w:ascii="Times New Roman" w:hAnsi="Times New Roman" w:cs="Times New Roman"/>
                <w:kern w:val="2"/>
                <w:sz w:val="20"/>
                <w:szCs w:val="20"/>
              </w:rPr>
              <w:t>部门</w:t>
            </w:r>
            <w:r>
              <w:rPr>
                <w:rFonts w:hint="default" w:ascii="Times New Roman" w:hAnsi="Times New Roman" w:cs="Times New Roman"/>
                <w:color w:val="000000"/>
                <w:kern w:val="2"/>
                <w:sz w:val="20"/>
                <w:szCs w:val="20"/>
              </w:rPr>
              <w:t>：</w:t>
            </w:r>
            <w:r>
              <w:rPr>
                <w:rFonts w:hint="default" w:ascii="Times New Roman" w:hAnsi="Times New Roman" w:cs="Times New Roman"/>
                <w:color w:val="000000"/>
                <w:sz w:val="20"/>
                <w:u w:color="auto"/>
              </w:rPr>
              <w:t>秀山土家族苗族自治县就业和人才中心</w:t>
            </w:r>
          </w:p>
        </w:tc>
        <w:tc>
          <w:tcPr>
            <w:tcW w:w="2375" w:type="dxa"/>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jc w:val="right"/>
              <w:rPr>
                <w:rFonts w:hint="default" w:ascii="Times New Roman" w:hAnsi="Times New Roman" w:cs="Times New Roman"/>
                <w:color w:val="000000"/>
                <w:kern w:val="2"/>
                <w:sz w:val="20"/>
                <w:szCs w:val="20"/>
              </w:rPr>
            </w:pPr>
          </w:p>
        </w:tc>
        <w:tc>
          <w:tcPr>
            <w:tcW w:w="3674" w:type="dxa"/>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rPr>
                <w:rFonts w:hint="default" w:ascii="Times New Roman" w:hAnsi="Times New Roman" w:cs="Times New Roman"/>
                <w:color w:val="000000"/>
                <w:kern w:val="2"/>
                <w:sz w:val="20"/>
                <w:szCs w:val="20"/>
              </w:rPr>
            </w:pPr>
          </w:p>
        </w:tc>
        <w:tc>
          <w:tcPr>
            <w:tcW w:w="2487" w:type="dxa"/>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jc w:val="right"/>
              <w:textAlignment w:val="bottom"/>
              <w:rPr>
                <w:rFonts w:hint="default" w:ascii="Times New Roman" w:hAnsi="Times New Roman" w:cs="Times New Roman"/>
                <w:color w:val="000000"/>
                <w:kern w:val="2"/>
                <w:sz w:val="20"/>
                <w:szCs w:val="20"/>
              </w:rPr>
            </w:pPr>
            <w:r>
              <w:rPr>
                <w:rFonts w:hint="default" w:ascii="Times New Roman" w:hAnsi="Times New Roman" w:cs="Times New Roman"/>
                <w:color w:val="000000"/>
                <w:kern w:val="2"/>
                <w:sz w:val="20"/>
                <w:szCs w:val="20"/>
              </w:rPr>
              <w:t>单位：</w:t>
            </w:r>
            <w:r>
              <w:rPr>
                <w:rFonts w:hint="default" w:ascii="Times New Roman" w:hAnsi="Times New Roman" w:cs="Times New Roman"/>
                <w:kern w:val="2"/>
                <w:sz w:val="20"/>
                <w:szCs w:val="20"/>
              </w:rPr>
              <w:t>万元</w:t>
            </w:r>
          </w:p>
        </w:tc>
      </w:tr>
      <w:tr>
        <w:tblPrEx>
          <w:tblLayout w:type="fixed"/>
          <w:tblCellMar>
            <w:top w:w="0" w:type="dxa"/>
            <w:left w:w="170" w:type="dxa"/>
            <w:bottom w:w="0" w:type="dxa"/>
            <w:right w:w="170" w:type="dxa"/>
          </w:tblCellMar>
        </w:tblPrEx>
        <w:trPr>
          <w:trHeight w:val="28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项  目</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预算数</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决算数</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项  目</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决算数</w:t>
            </w:r>
          </w:p>
        </w:tc>
      </w:tr>
      <w:tr>
        <w:tblPrEx>
          <w:tblLayout w:type="fixed"/>
          <w:tblCellMar>
            <w:top w:w="0" w:type="dxa"/>
            <w:left w:w="170" w:type="dxa"/>
            <w:bottom w:w="0" w:type="dxa"/>
            <w:right w:w="170" w:type="dxa"/>
          </w:tblCellMar>
        </w:tblPrEx>
        <w:trPr>
          <w:trHeight w:val="28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一、“三公”经费支出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五、机关运行经费</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93.63</w:t>
            </w:r>
            <w:r>
              <w:rPr>
                <w:rFonts w:hint="default" w:ascii="Times New Roman" w:hAnsi="Times New Roman" w:cs="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（一）支出合计</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4.09</w:t>
            </w:r>
            <w:r>
              <w:rPr>
                <w:rFonts w:hint="default" w:ascii="Times New Roman" w:hAnsi="Times New Roman" w:cs="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4.09</w:t>
            </w:r>
            <w:r>
              <w:rPr>
                <w:rFonts w:hint="default" w:ascii="Times New Roman" w:hAnsi="Times New Roman" w:cs="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（一）行政单位</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1．因公出国（境）费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（二）参照公务员法管理事业单位</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93.63</w:t>
            </w:r>
            <w:r>
              <w:rPr>
                <w:rFonts w:hint="default" w:ascii="Times New Roman" w:hAnsi="Times New Roman" w:cs="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2．公务用车购置及运行维护费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3.63</w:t>
            </w:r>
            <w:r>
              <w:rPr>
                <w:rFonts w:hint="default" w:ascii="Times New Roman" w:hAnsi="Times New Roman" w:cs="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3.63</w:t>
            </w:r>
            <w:r>
              <w:rPr>
                <w:rFonts w:hint="default" w:ascii="Times New Roman" w:hAnsi="Times New Roman" w:cs="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六、资产信息</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w:t>
            </w:r>
          </w:p>
        </w:tc>
      </w:tr>
      <w:tr>
        <w:tblPrEx>
          <w:tblLayout w:type="fixed"/>
          <w:tblCellMar>
            <w:top w:w="0" w:type="dxa"/>
            <w:left w:w="170" w:type="dxa"/>
            <w:bottom w:w="0" w:type="dxa"/>
            <w:right w:w="170" w:type="dxa"/>
          </w:tblCellMar>
        </w:tblPrEx>
        <w:trPr>
          <w:trHeight w:val="31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（1）公务用车购置费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（一）车辆数合计（辆）</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w:t>
            </w:r>
            <w:r>
              <w:rPr>
                <w:rFonts w:hint="default" w:ascii="Times New Roman" w:hAnsi="Times New Roman" w:cs="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（2）公务用车运行维护费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3.63</w:t>
            </w:r>
            <w:r>
              <w:rPr>
                <w:rFonts w:hint="default" w:ascii="Times New Roman" w:hAnsi="Times New Roman" w:cs="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3.63</w:t>
            </w:r>
            <w:r>
              <w:rPr>
                <w:rFonts w:hint="default" w:ascii="Times New Roman" w:hAnsi="Times New Roman" w:cs="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1．副部（省）级及以上领导用车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3．公务接待费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0.47</w:t>
            </w:r>
            <w:r>
              <w:rPr>
                <w:rFonts w:hint="default" w:ascii="Times New Roman" w:hAnsi="Times New Roman" w:cs="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0.47</w:t>
            </w:r>
            <w:r>
              <w:rPr>
                <w:rFonts w:hint="default" w:ascii="Times New Roman" w:hAnsi="Times New Roman" w:cs="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2．主要领导干部用车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（1）国内接待费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0.47</w:t>
            </w:r>
            <w:r>
              <w:rPr>
                <w:rFonts w:hint="default" w:ascii="Times New Roman" w:hAnsi="Times New Roman" w:cs="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3．机要通信用车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其中：外事接待费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4．应急保障用车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w:t>
            </w:r>
            <w:r>
              <w:rPr>
                <w:rFonts w:hint="default" w:ascii="Times New Roman" w:hAnsi="Times New Roman" w:cs="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（2）国（境）外接待费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5．执法执勤用车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（二）相关统计数</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6．特种专业技术用车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1．因公出国（境）团组数（个）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7．离退休干部用车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2．因公出国（境）人次数（人）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8．其他用车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3．公务用车购置数（辆）</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（二）单价100万元（含）以上设备（不含车辆）</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4．公务用车保有量（辆）</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1</w:t>
            </w:r>
            <w:r>
              <w:rPr>
                <w:rFonts w:hint="default" w:ascii="Times New Roman" w:hAnsi="Times New Roman" w:cs="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七、政府采购支出信息</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5．国内公务接待批次（个）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4</w:t>
            </w:r>
            <w:r>
              <w:rPr>
                <w:rFonts w:hint="default" w:ascii="Times New Roman" w:hAnsi="Times New Roman" w:cs="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（一）政府采购支出合计</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91.77</w:t>
            </w:r>
            <w:r>
              <w:rPr>
                <w:rFonts w:hint="default" w:ascii="Times New Roman" w:hAnsi="Times New Roman" w:cs="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其中：外事接待批次（个）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1．政府采购货物支出</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1.77</w:t>
            </w:r>
            <w:r>
              <w:rPr>
                <w:rFonts w:hint="default" w:ascii="Times New Roman" w:hAnsi="Times New Roman" w:cs="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6．国内公务接待人次（人）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44</w:t>
            </w:r>
            <w:r>
              <w:rPr>
                <w:rFonts w:hint="default" w:ascii="Times New Roman" w:hAnsi="Times New Roman" w:cs="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2．政府采购工程支出</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其中：外事接待人次（人）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3．政府采购服务支出</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90.00</w:t>
            </w:r>
            <w:r>
              <w:rPr>
                <w:rFonts w:hint="default" w:ascii="Times New Roman" w:hAnsi="Times New Roman" w:cs="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7．国（境）外公务接待批次（个）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（二）政府采购授予中小企业合同金额</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91.77</w:t>
            </w:r>
            <w:r>
              <w:rPr>
                <w:rFonts w:hint="default" w:ascii="Times New Roman" w:hAnsi="Times New Roman" w:cs="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8．国（境）外公务接待人次（人）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其中：授予小微企业合同金额</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91.77</w:t>
            </w:r>
            <w:r>
              <w:rPr>
                <w:rFonts w:hint="default" w:ascii="Times New Roman" w:hAnsi="Times New Roman" w:cs="Times New Roman"/>
                <w:color w:val="000000"/>
                <w:sz w:val="18"/>
                <w:u w:color="auto"/>
              </w:rPr>
              <w:t xml:space="preserve"> </w:t>
            </w:r>
          </w:p>
        </w:tc>
      </w:tr>
      <w:tr>
        <w:tblPrEx>
          <w:tblLayout w:type="fixed"/>
          <w:tblCellMar>
            <w:top w:w="0" w:type="dxa"/>
            <w:left w:w="170" w:type="dxa"/>
            <w:bottom w:w="0" w:type="dxa"/>
            <w:right w:w="170" w:type="dxa"/>
          </w:tblCellMar>
        </w:tblPrEx>
        <w:trPr>
          <w:trHeight w:val="286"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二、会议费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cs="Times New Roman"/>
                <w:color w:val="000000"/>
                <w:kern w:val="2"/>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ascii="Times New Roman" w:hAnsi="Times New Roman" w:cs="Times New Roman"/>
                <w:color w:val="000000"/>
                <w:kern w:val="2"/>
                <w:sz w:val="16"/>
                <w:szCs w:val="16"/>
              </w:rPr>
            </w:pPr>
          </w:p>
        </w:tc>
      </w:tr>
      <w:tr>
        <w:tblPrEx>
          <w:tblLayout w:type="fixed"/>
          <w:tblCellMar>
            <w:top w:w="0" w:type="dxa"/>
            <w:left w:w="170" w:type="dxa"/>
            <w:bottom w:w="0" w:type="dxa"/>
            <w:right w:w="170" w:type="dxa"/>
          </w:tblCellMar>
        </w:tblPrEx>
        <w:trPr>
          <w:trHeight w:val="389"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三、培训费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2.43</w:t>
            </w:r>
            <w:r>
              <w:rPr>
                <w:rFonts w:hint="default" w:ascii="Times New Roman" w:hAnsi="Times New Roman" w:cs="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cs="Times New Roman"/>
                <w:color w:val="000000"/>
                <w:kern w:val="2"/>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ascii="Times New Roman" w:hAnsi="Times New Roman" w:cs="Times New Roman"/>
                <w:color w:val="000000"/>
                <w:kern w:val="2"/>
                <w:sz w:val="16"/>
                <w:szCs w:val="16"/>
              </w:rPr>
            </w:pPr>
          </w:p>
        </w:tc>
      </w:tr>
      <w:tr>
        <w:tblPrEx>
          <w:tblLayout w:type="fixed"/>
          <w:tblCellMar>
            <w:top w:w="0" w:type="dxa"/>
            <w:left w:w="170" w:type="dxa"/>
            <w:bottom w:w="0" w:type="dxa"/>
            <w:right w:w="170" w:type="dxa"/>
          </w:tblCellMar>
        </w:tblPrEx>
        <w:trPr>
          <w:trHeight w:val="389"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sz w:val="16"/>
                <w:szCs w:val="16"/>
              </w:rPr>
            </w:pPr>
            <w:r>
              <w:rPr>
                <w:rFonts w:hint="default" w:ascii="Times New Roman" w:hAnsi="Times New Roman" w:cs="Times New Roman"/>
                <w:b/>
                <w:bCs/>
                <w:color w:val="000000"/>
                <w:sz w:val="16"/>
                <w:szCs w:val="16"/>
              </w:rPr>
              <w:t>四、差旅费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3.59</w:t>
            </w:r>
            <w:r>
              <w:rPr>
                <w:rFonts w:hint="default" w:ascii="Times New Roman" w:hAnsi="Times New Roman" w:cs="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cs="Times New Roman"/>
                <w:color w:val="000000"/>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ascii="Times New Roman" w:hAnsi="Times New Roman" w:cs="Times New Roman"/>
                <w:color w:val="000000"/>
                <w:sz w:val="16"/>
                <w:szCs w:val="16"/>
              </w:rPr>
            </w:pPr>
          </w:p>
        </w:tc>
      </w:tr>
    </w:tbl>
    <w:p>
      <w:pPr>
        <w:rPr>
          <w:rFonts w:hint="default" w:ascii="Times New Roman" w:hAnsi="Times New Roman" w:cs="Times New Roman"/>
          <w:sz w:val="18"/>
          <w:szCs w:val="18"/>
        </w:rPr>
      </w:pPr>
      <w:r>
        <w:rPr>
          <w:rFonts w:hint="default" w:ascii="Times New Roman" w:hAnsi="Times New Roman" w:cs="Times New Roman"/>
          <w:sz w:val="18"/>
          <w:szCs w:val="18"/>
        </w:rPr>
        <w:t>备注：1.本表反映部门本年度财政拨款“三公”经费支出预决算情况。其中，预算数为“三公”经费全年预算数，反映按规定程序调整后的预算数；决算数为包括本年度财政拨款和以前年度结转资金安排的实际支出。</w:t>
      </w:r>
      <w:r>
        <w:rPr>
          <w:rFonts w:hint="default" w:ascii="Times New Roman" w:hAnsi="Times New Roman" w:cs="Times New Roman"/>
          <w:sz w:val="18"/>
          <w:szCs w:val="18"/>
        </w:rPr>
        <w:br w:type="textWrapping"/>
      </w:r>
      <w:r>
        <w:rPr>
          <w:rFonts w:hint="default" w:ascii="Times New Roman" w:hAnsi="Times New Roman" w:cs="Times New Roman"/>
          <w:sz w:val="18"/>
          <w:szCs w:val="18"/>
        </w:rPr>
        <w:t xml:space="preserve">      2.本套报表金额单位转换时可能存在尾数误差。</w:t>
      </w:r>
      <w:r>
        <w:rPr>
          <w:rFonts w:hint="default" w:ascii="Times New Roman" w:hAnsi="Times New Roman" w:cs="Times New Roman"/>
          <w:sz w:val="18"/>
          <w:szCs w:val="18"/>
        </w:rPr>
        <w:br w:type="textWrapping"/>
      </w:r>
      <w:r>
        <w:rPr>
          <w:rFonts w:hint="default" w:ascii="Times New Roman" w:hAnsi="Times New Roman" w:cs="Times New Roman"/>
          <w:sz w:val="18"/>
          <w:szCs w:val="18"/>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3000509000000000000"/>
    <w:charset w:val="86"/>
    <w:family w:val="script"/>
    <w:pitch w:val="default"/>
    <w:sig w:usb0="00000000" w:usb1="00000000" w:usb2="00000000" w:usb3="00000000" w:csb0="00040000" w:csb1="00000000"/>
  </w:font>
  <w:font w:name="方正仿宋_GBK">
    <w:altName w:val="微软雅黑"/>
    <w:panose1 w:val="03000509000000000000"/>
    <w:charset w:val="86"/>
    <w:family w:val="auto"/>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黑体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default"/>
      </w:rPr>
    </w:pPr>
    <w:r>
      <w:rPr>
        <w:rFonts w:hint="default"/>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rPr>
                              <w:rFonts w:hint="default"/>
                            </w:rPr>
                          </w:pPr>
                          <w:r>
                            <w:fldChar w:fldCharType="begin"/>
                          </w:r>
                          <w:r>
                            <w:instrText xml:space="preserve"> PAGE  \* MERGEFORMAT </w:instrText>
                          </w:r>
                          <w:r>
                            <w:fldChar w:fldCharType="separate"/>
                          </w:r>
                          <w:r>
                            <w:rPr>
                              <w:rFonts w:hint="default"/>
                            </w:rPr>
                            <w:t>- 23 -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zSVju0AAAAAUBAAAPAAAAAAAA&#10;AAEAIAAAACIAAABkcnMvZG93bnJldi54bWxQSwECFAAUAAAACACHTuJAyMZ+WxoCAAAhBAAADgAA&#10;AAAAAAABACAAAAAfAQAAZHJzL2Uyb0RvYy54bWxQSwUGAAAAAAYABgBZAQAAqwUAAAAA&#10;">
              <v:fill on="f" focussize="0,0"/>
              <v:stroke on="f" weight="0.5pt"/>
              <v:imagedata o:title=""/>
              <o:lock v:ext="edit" aspectratio="f"/>
              <v:textbox inset="0mm,0mm,0mm,0mm" style="mso-fit-shape-to-text:t;">
                <w:txbxContent>
                  <w:p>
                    <w:pPr>
                      <w:pStyle w:val="3"/>
                      <w:rPr>
                        <w:rFonts w:hint="default"/>
                      </w:rPr>
                    </w:pPr>
                    <w:r>
                      <w:fldChar w:fldCharType="begin"/>
                    </w:r>
                    <w:r>
                      <w:instrText xml:space="preserve"> PAGE  \* MERGEFORMAT </w:instrText>
                    </w:r>
                    <w:r>
                      <w:fldChar w:fldCharType="separate"/>
                    </w:r>
                    <w:r>
                      <w:rPr>
                        <w:rFonts w:hint="default"/>
                      </w:rPr>
                      <w:t>- 23 -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both"/>
      <w:rPr>
        <w:rFonts w:hint="default"/>
      </w:rPr>
    </w:pP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30 -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zSVju0AAAAAUBAAAPAAAAAAAAAAEA&#10;IAAAACIAAABkcnMvZG93bnJldi54bWxQSwECFAAUAAAACACHTuJAsPgxiRcCAAAZBAAADgAAAAAA&#10;AAABACAAAAAfAQAAZHJzL2Uyb0RvYy54bWxQSwUGAAAAAAYABgBZAQAAqAUAAAAA&#10;">
              <v:fill on="f" focussize="0,0"/>
              <v:stroke on="f" weight="0.5pt"/>
              <v:imagedata o:title=""/>
              <o:lock v:ext="edit" aspectratio="f"/>
              <v:textbox inset="0mm,0mm,0mm,0mm" style="mso-fit-shape-to-text:t;">
                <w:txbxContent>
                  <w:p>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30 -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3"/>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eA1UVNgAAAAKAQAA&#10;DwAAAAAAAAABACAAAAAiAAAAZHJzL2Rvd25yZXYueG1sUEsBAhQAFAAAAAgAh07iQG8zbR0ZAgAA&#10;GAQAAA4AAAAAAAAAAQAgAAAAJwEAAGRycy9lMm9Eb2MueG1sUEsFBgAAAAAGAAYAWQEAALIFAAAA&#10;AA==&#10;">
              <v:fill on="f" focussize="0,0"/>
              <v:stroke on="f" weight="0.5pt"/>
              <v:imagedata o:title=""/>
              <o:lock v:ext="edit" aspectratio="f"/>
              <v:textbox inset="0mm,0mm,0mm,0mm">
                <w:txbxContent>
                  <w:p>
                    <w:pPr>
                      <w:pStyle w:val="3"/>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C01CC"/>
    <w:rsid w:val="000D7702"/>
    <w:rsid w:val="000F6721"/>
    <w:rsid w:val="001632EC"/>
    <w:rsid w:val="00261065"/>
    <w:rsid w:val="002D0E5A"/>
    <w:rsid w:val="002D71F4"/>
    <w:rsid w:val="002E5443"/>
    <w:rsid w:val="0032196C"/>
    <w:rsid w:val="004852DA"/>
    <w:rsid w:val="004C12FF"/>
    <w:rsid w:val="004D0390"/>
    <w:rsid w:val="00550ABE"/>
    <w:rsid w:val="005B023C"/>
    <w:rsid w:val="00600322"/>
    <w:rsid w:val="006137D7"/>
    <w:rsid w:val="00634FA8"/>
    <w:rsid w:val="0063613A"/>
    <w:rsid w:val="0068170B"/>
    <w:rsid w:val="006E2034"/>
    <w:rsid w:val="00732392"/>
    <w:rsid w:val="00792285"/>
    <w:rsid w:val="007A0D2E"/>
    <w:rsid w:val="007A3314"/>
    <w:rsid w:val="007B419D"/>
    <w:rsid w:val="007C5C5B"/>
    <w:rsid w:val="00810F13"/>
    <w:rsid w:val="00826B47"/>
    <w:rsid w:val="00893689"/>
    <w:rsid w:val="00940231"/>
    <w:rsid w:val="00944711"/>
    <w:rsid w:val="009574D5"/>
    <w:rsid w:val="009821E3"/>
    <w:rsid w:val="00984852"/>
    <w:rsid w:val="009B37A6"/>
    <w:rsid w:val="009B67B8"/>
    <w:rsid w:val="00A03B1E"/>
    <w:rsid w:val="00A67739"/>
    <w:rsid w:val="00A820B7"/>
    <w:rsid w:val="00A830E1"/>
    <w:rsid w:val="00AC5566"/>
    <w:rsid w:val="00B03CCD"/>
    <w:rsid w:val="00B104B0"/>
    <w:rsid w:val="00B40138"/>
    <w:rsid w:val="00BF5A85"/>
    <w:rsid w:val="00C307F6"/>
    <w:rsid w:val="00C96B11"/>
    <w:rsid w:val="00C97747"/>
    <w:rsid w:val="00CC6B99"/>
    <w:rsid w:val="00DF7706"/>
    <w:rsid w:val="00E05175"/>
    <w:rsid w:val="00E654E2"/>
    <w:rsid w:val="00E76362"/>
    <w:rsid w:val="00E86B80"/>
    <w:rsid w:val="00F137D3"/>
    <w:rsid w:val="00F13C36"/>
    <w:rsid w:val="00F23C68"/>
    <w:rsid w:val="00F32C53"/>
    <w:rsid w:val="00F73F90"/>
    <w:rsid w:val="00F7623D"/>
    <w:rsid w:val="00F8598B"/>
    <w:rsid w:val="00FA0819"/>
    <w:rsid w:val="00FB7EF0"/>
    <w:rsid w:val="01474EBF"/>
    <w:rsid w:val="01F3521E"/>
    <w:rsid w:val="03B87EA0"/>
    <w:rsid w:val="03E3214F"/>
    <w:rsid w:val="044C50BA"/>
    <w:rsid w:val="05BC6D49"/>
    <w:rsid w:val="06194FF1"/>
    <w:rsid w:val="06A2550B"/>
    <w:rsid w:val="06F80EE2"/>
    <w:rsid w:val="07001CCA"/>
    <w:rsid w:val="075678DB"/>
    <w:rsid w:val="079D7CC7"/>
    <w:rsid w:val="08051BCA"/>
    <w:rsid w:val="086C12F4"/>
    <w:rsid w:val="087B3940"/>
    <w:rsid w:val="08BA052C"/>
    <w:rsid w:val="08DB07BA"/>
    <w:rsid w:val="0969353F"/>
    <w:rsid w:val="098305D0"/>
    <w:rsid w:val="098A0877"/>
    <w:rsid w:val="0A5C4B69"/>
    <w:rsid w:val="0A86124A"/>
    <w:rsid w:val="0A877980"/>
    <w:rsid w:val="0AB54CC0"/>
    <w:rsid w:val="0B9335CE"/>
    <w:rsid w:val="0C7927C4"/>
    <w:rsid w:val="0C9B098C"/>
    <w:rsid w:val="0D673E11"/>
    <w:rsid w:val="0D9C04B7"/>
    <w:rsid w:val="0DDA54E4"/>
    <w:rsid w:val="0E3A5F83"/>
    <w:rsid w:val="0E74421A"/>
    <w:rsid w:val="0EA46639"/>
    <w:rsid w:val="0EC6180C"/>
    <w:rsid w:val="0F497FB6"/>
    <w:rsid w:val="0F836721"/>
    <w:rsid w:val="0FA25D96"/>
    <w:rsid w:val="107B59E5"/>
    <w:rsid w:val="10EC0126"/>
    <w:rsid w:val="10F70B9A"/>
    <w:rsid w:val="111445C7"/>
    <w:rsid w:val="114278C6"/>
    <w:rsid w:val="1158083A"/>
    <w:rsid w:val="11643A4B"/>
    <w:rsid w:val="11ED0F98"/>
    <w:rsid w:val="11F03528"/>
    <w:rsid w:val="12C921C4"/>
    <w:rsid w:val="12F52ECF"/>
    <w:rsid w:val="13871C70"/>
    <w:rsid w:val="139D5716"/>
    <w:rsid w:val="13A71CB4"/>
    <w:rsid w:val="13AF1D43"/>
    <w:rsid w:val="13CE1647"/>
    <w:rsid w:val="13DA0C25"/>
    <w:rsid w:val="13FD55AB"/>
    <w:rsid w:val="14200702"/>
    <w:rsid w:val="14907817"/>
    <w:rsid w:val="163A6CEE"/>
    <w:rsid w:val="173708E3"/>
    <w:rsid w:val="174C19C7"/>
    <w:rsid w:val="17C374FC"/>
    <w:rsid w:val="189079DC"/>
    <w:rsid w:val="189B0D0B"/>
    <w:rsid w:val="18B43F7C"/>
    <w:rsid w:val="194A1770"/>
    <w:rsid w:val="19B906A4"/>
    <w:rsid w:val="1B6F15B6"/>
    <w:rsid w:val="1BAA2EDC"/>
    <w:rsid w:val="1C5C0973"/>
    <w:rsid w:val="1CA55E64"/>
    <w:rsid w:val="1D014A01"/>
    <w:rsid w:val="1D022362"/>
    <w:rsid w:val="1D1B04B0"/>
    <w:rsid w:val="1D6534C4"/>
    <w:rsid w:val="1DBD6767"/>
    <w:rsid w:val="1DC52125"/>
    <w:rsid w:val="1DD26311"/>
    <w:rsid w:val="1E374ACB"/>
    <w:rsid w:val="1E5E27E3"/>
    <w:rsid w:val="1EA33588"/>
    <w:rsid w:val="1ECF0A66"/>
    <w:rsid w:val="1EF67CA4"/>
    <w:rsid w:val="1F020D3A"/>
    <w:rsid w:val="1F2C5189"/>
    <w:rsid w:val="1F4B0B02"/>
    <w:rsid w:val="1FBB35CD"/>
    <w:rsid w:val="1FCD26AF"/>
    <w:rsid w:val="20642787"/>
    <w:rsid w:val="21556F04"/>
    <w:rsid w:val="22403BD3"/>
    <w:rsid w:val="22BD104E"/>
    <w:rsid w:val="23DA37D9"/>
    <w:rsid w:val="24B92327"/>
    <w:rsid w:val="24C14514"/>
    <w:rsid w:val="2533755C"/>
    <w:rsid w:val="253A3D88"/>
    <w:rsid w:val="25791755"/>
    <w:rsid w:val="26396DF4"/>
    <w:rsid w:val="27167136"/>
    <w:rsid w:val="27B23302"/>
    <w:rsid w:val="29310A5F"/>
    <w:rsid w:val="29C37A35"/>
    <w:rsid w:val="29EA00E9"/>
    <w:rsid w:val="2A076083"/>
    <w:rsid w:val="2A73162E"/>
    <w:rsid w:val="2B167953"/>
    <w:rsid w:val="2B200583"/>
    <w:rsid w:val="2B220436"/>
    <w:rsid w:val="2B8209DE"/>
    <w:rsid w:val="2C6762A3"/>
    <w:rsid w:val="2E0E29F7"/>
    <w:rsid w:val="2EBF7B3E"/>
    <w:rsid w:val="2EDE1934"/>
    <w:rsid w:val="2FCA4B37"/>
    <w:rsid w:val="2FE029D7"/>
    <w:rsid w:val="2FF06E00"/>
    <w:rsid w:val="30562E26"/>
    <w:rsid w:val="30586FEC"/>
    <w:rsid w:val="30EC7046"/>
    <w:rsid w:val="315F0B22"/>
    <w:rsid w:val="319D022C"/>
    <w:rsid w:val="31C90022"/>
    <w:rsid w:val="31D84415"/>
    <w:rsid w:val="32285F6F"/>
    <w:rsid w:val="32770556"/>
    <w:rsid w:val="329C0913"/>
    <w:rsid w:val="32AA0460"/>
    <w:rsid w:val="3337290D"/>
    <w:rsid w:val="33E31118"/>
    <w:rsid w:val="33EF7674"/>
    <w:rsid w:val="342D7BC6"/>
    <w:rsid w:val="34475F39"/>
    <w:rsid w:val="34D92688"/>
    <w:rsid w:val="352930DB"/>
    <w:rsid w:val="352B2AC3"/>
    <w:rsid w:val="35573069"/>
    <w:rsid w:val="355F6038"/>
    <w:rsid w:val="358C217E"/>
    <w:rsid w:val="35937598"/>
    <w:rsid w:val="36C9128A"/>
    <w:rsid w:val="372E3953"/>
    <w:rsid w:val="37841E99"/>
    <w:rsid w:val="37BF1123"/>
    <w:rsid w:val="383C3F15"/>
    <w:rsid w:val="38BE4696"/>
    <w:rsid w:val="3939115E"/>
    <w:rsid w:val="39B82A39"/>
    <w:rsid w:val="39C42CA8"/>
    <w:rsid w:val="39DC4FD6"/>
    <w:rsid w:val="39F03D7A"/>
    <w:rsid w:val="39F33306"/>
    <w:rsid w:val="3A2C1C67"/>
    <w:rsid w:val="3B1705E5"/>
    <w:rsid w:val="3B18334B"/>
    <w:rsid w:val="3B36794F"/>
    <w:rsid w:val="3C566AD6"/>
    <w:rsid w:val="3C6A5B02"/>
    <w:rsid w:val="3CD45FD0"/>
    <w:rsid w:val="3D2757A1"/>
    <w:rsid w:val="3D3D4FC4"/>
    <w:rsid w:val="3DDF3AB1"/>
    <w:rsid w:val="3E1D0952"/>
    <w:rsid w:val="3E42660A"/>
    <w:rsid w:val="3E7555B1"/>
    <w:rsid w:val="3E787ED9"/>
    <w:rsid w:val="3EEC37F3"/>
    <w:rsid w:val="3F032E93"/>
    <w:rsid w:val="3F0527E5"/>
    <w:rsid w:val="3F4814B0"/>
    <w:rsid w:val="3F5E5D98"/>
    <w:rsid w:val="3F694D83"/>
    <w:rsid w:val="3F885DCC"/>
    <w:rsid w:val="3FCD675E"/>
    <w:rsid w:val="3FD86860"/>
    <w:rsid w:val="4004000C"/>
    <w:rsid w:val="40A227E5"/>
    <w:rsid w:val="40D54604"/>
    <w:rsid w:val="40F16DC2"/>
    <w:rsid w:val="411B6CE5"/>
    <w:rsid w:val="412070D7"/>
    <w:rsid w:val="41314E40"/>
    <w:rsid w:val="41E0734B"/>
    <w:rsid w:val="426554D0"/>
    <w:rsid w:val="426C1EA8"/>
    <w:rsid w:val="42736402"/>
    <w:rsid w:val="42E86A87"/>
    <w:rsid w:val="43307B09"/>
    <w:rsid w:val="43470647"/>
    <w:rsid w:val="438D0E97"/>
    <w:rsid w:val="43BB152F"/>
    <w:rsid w:val="44494994"/>
    <w:rsid w:val="44B96DCF"/>
    <w:rsid w:val="44C37687"/>
    <w:rsid w:val="45CB699A"/>
    <w:rsid w:val="465B470D"/>
    <w:rsid w:val="469D6AD4"/>
    <w:rsid w:val="471E6C84"/>
    <w:rsid w:val="4748792B"/>
    <w:rsid w:val="475D719D"/>
    <w:rsid w:val="47674801"/>
    <w:rsid w:val="47916FE2"/>
    <w:rsid w:val="48225EF7"/>
    <w:rsid w:val="488F422B"/>
    <w:rsid w:val="48E36915"/>
    <w:rsid w:val="495C4A24"/>
    <w:rsid w:val="497135DF"/>
    <w:rsid w:val="4A1605D9"/>
    <w:rsid w:val="4A263DF2"/>
    <w:rsid w:val="4A6F6675"/>
    <w:rsid w:val="4ABF0746"/>
    <w:rsid w:val="4B0502DF"/>
    <w:rsid w:val="4B135857"/>
    <w:rsid w:val="4B7951CB"/>
    <w:rsid w:val="4B7C315C"/>
    <w:rsid w:val="4CCF773C"/>
    <w:rsid w:val="4DAC4ACA"/>
    <w:rsid w:val="4DBE01D2"/>
    <w:rsid w:val="4EFC6D10"/>
    <w:rsid w:val="4F0C6BA3"/>
    <w:rsid w:val="4F10477D"/>
    <w:rsid w:val="4F186D58"/>
    <w:rsid w:val="4FEA65B7"/>
    <w:rsid w:val="500E5F33"/>
    <w:rsid w:val="5042146E"/>
    <w:rsid w:val="50F06B6E"/>
    <w:rsid w:val="52234D33"/>
    <w:rsid w:val="52261ABA"/>
    <w:rsid w:val="522F6E0C"/>
    <w:rsid w:val="52463BA1"/>
    <w:rsid w:val="5298794F"/>
    <w:rsid w:val="52F163D4"/>
    <w:rsid w:val="531A2DB4"/>
    <w:rsid w:val="53C0244D"/>
    <w:rsid w:val="53DD4D4E"/>
    <w:rsid w:val="53E578CE"/>
    <w:rsid w:val="541330F0"/>
    <w:rsid w:val="54272666"/>
    <w:rsid w:val="543B029D"/>
    <w:rsid w:val="54861779"/>
    <w:rsid w:val="552256E1"/>
    <w:rsid w:val="554E5773"/>
    <w:rsid w:val="555A3CBC"/>
    <w:rsid w:val="5582012B"/>
    <w:rsid w:val="558E4E05"/>
    <w:rsid w:val="55BE2E85"/>
    <w:rsid w:val="55D82B6C"/>
    <w:rsid w:val="561D52C4"/>
    <w:rsid w:val="5651697D"/>
    <w:rsid w:val="56530F5D"/>
    <w:rsid w:val="56692AE5"/>
    <w:rsid w:val="567700D3"/>
    <w:rsid w:val="56FF7E9E"/>
    <w:rsid w:val="578867FC"/>
    <w:rsid w:val="579779E3"/>
    <w:rsid w:val="5842572D"/>
    <w:rsid w:val="5A3B59D6"/>
    <w:rsid w:val="5AD134D8"/>
    <w:rsid w:val="5B6503B1"/>
    <w:rsid w:val="5C0F7EC4"/>
    <w:rsid w:val="5C263CE4"/>
    <w:rsid w:val="5C5D2777"/>
    <w:rsid w:val="5CF66BF3"/>
    <w:rsid w:val="5D290C69"/>
    <w:rsid w:val="5D4F4940"/>
    <w:rsid w:val="5F2D4A41"/>
    <w:rsid w:val="60C74F6C"/>
    <w:rsid w:val="60F81AB5"/>
    <w:rsid w:val="61025A59"/>
    <w:rsid w:val="613D5BBC"/>
    <w:rsid w:val="61536C39"/>
    <w:rsid w:val="61E64F4A"/>
    <w:rsid w:val="623E0993"/>
    <w:rsid w:val="62944DD7"/>
    <w:rsid w:val="6319381F"/>
    <w:rsid w:val="63236436"/>
    <w:rsid w:val="63303185"/>
    <w:rsid w:val="63C25DC5"/>
    <w:rsid w:val="63C62057"/>
    <w:rsid w:val="64571EF5"/>
    <w:rsid w:val="64CB0157"/>
    <w:rsid w:val="64FB113D"/>
    <w:rsid w:val="65036946"/>
    <w:rsid w:val="654A25FE"/>
    <w:rsid w:val="656152C6"/>
    <w:rsid w:val="6587477F"/>
    <w:rsid w:val="658C3A08"/>
    <w:rsid w:val="65C031CA"/>
    <w:rsid w:val="65CE6852"/>
    <w:rsid w:val="65EB6584"/>
    <w:rsid w:val="66267C04"/>
    <w:rsid w:val="663F505A"/>
    <w:rsid w:val="66967186"/>
    <w:rsid w:val="66EE5541"/>
    <w:rsid w:val="67924660"/>
    <w:rsid w:val="67B3608E"/>
    <w:rsid w:val="683200C2"/>
    <w:rsid w:val="68407834"/>
    <w:rsid w:val="6883293E"/>
    <w:rsid w:val="688412AD"/>
    <w:rsid w:val="68EB1B71"/>
    <w:rsid w:val="69475C96"/>
    <w:rsid w:val="6AAD2300"/>
    <w:rsid w:val="6B474EF5"/>
    <w:rsid w:val="6BBF53FD"/>
    <w:rsid w:val="6C560CAE"/>
    <w:rsid w:val="6C576495"/>
    <w:rsid w:val="6D903FF5"/>
    <w:rsid w:val="6DA955B8"/>
    <w:rsid w:val="6DE346AB"/>
    <w:rsid w:val="6DE5391A"/>
    <w:rsid w:val="6EEA5552"/>
    <w:rsid w:val="6EFD1324"/>
    <w:rsid w:val="6F5A53AC"/>
    <w:rsid w:val="6FAC003D"/>
    <w:rsid w:val="6FC704B6"/>
    <w:rsid w:val="6FE55E12"/>
    <w:rsid w:val="6FFB2E76"/>
    <w:rsid w:val="708F6F7F"/>
    <w:rsid w:val="70D94BD3"/>
    <w:rsid w:val="71C34D91"/>
    <w:rsid w:val="72DB435C"/>
    <w:rsid w:val="72E2613A"/>
    <w:rsid w:val="72F771F4"/>
    <w:rsid w:val="734150D5"/>
    <w:rsid w:val="736650B0"/>
    <w:rsid w:val="73934AD2"/>
    <w:rsid w:val="750837F0"/>
    <w:rsid w:val="754758CF"/>
    <w:rsid w:val="761275E6"/>
    <w:rsid w:val="764F62AB"/>
    <w:rsid w:val="765C45EC"/>
    <w:rsid w:val="76727F96"/>
    <w:rsid w:val="768A7619"/>
    <w:rsid w:val="772E1EBA"/>
    <w:rsid w:val="77EB79F7"/>
    <w:rsid w:val="796D60A4"/>
    <w:rsid w:val="79A031D5"/>
    <w:rsid w:val="7A1525F7"/>
    <w:rsid w:val="7B420052"/>
    <w:rsid w:val="7B861484"/>
    <w:rsid w:val="7BD06A28"/>
    <w:rsid w:val="7C3A7C0B"/>
    <w:rsid w:val="7C5248E4"/>
    <w:rsid w:val="7C566698"/>
    <w:rsid w:val="7C5866A3"/>
    <w:rsid w:val="7D7406BB"/>
    <w:rsid w:val="7DE94331"/>
    <w:rsid w:val="7F446A19"/>
    <w:rsid w:val="7F7452B9"/>
    <w:rsid w:val="7F8401D1"/>
    <w:rsid w:val="7FAC32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7">
    <w:name w:val="Default Paragraph Font"/>
    <w:semiHidden/>
    <w:unhideWhenUsed/>
    <w:qFormat/>
    <w:uiPriority w:val="1"/>
  </w:style>
  <w:style w:type="table" w:default="1" w:styleId="9">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15"/>
    <w:qFormat/>
    <w:uiPriority w:val="0"/>
    <w:rPr>
      <w:sz w:val="18"/>
      <w:szCs w:val="18"/>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character" w:styleId="8">
    <w:name w:val="Strong"/>
    <w:qFormat/>
    <w:uiPriority w:val="0"/>
    <w:rPr>
      <w:b/>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qFormat/>
    <w:uiPriority w:val="0"/>
    <w:rPr>
      <w:rFonts w:hint="default" w:ascii="Wingdings" w:hAnsi="Wingdings" w:cs="Wingdings"/>
      <w:b/>
      <w:bCs/>
    </w:rPr>
  </w:style>
  <w:style w:type="paragraph" w:customStyle="1" w:styleId="14">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5">
    <w:name w:val="批注框文本 Char"/>
    <w:basedOn w:val="7"/>
    <w:link w:val="2"/>
    <w:qFormat/>
    <w:uiPriority w:val="0"/>
    <w:rPr>
      <w:rFonts w:ascii="宋体" w:hAnsi="宋体"/>
      <w:sz w:val="18"/>
      <w:szCs w:val="18"/>
    </w:rPr>
  </w:style>
  <w:style w:type="paragraph" w:customStyle="1" w:styleId="16">
    <w:name w:val="List Paragraph"/>
    <w:qFormat/>
    <w:uiPriority w:val="99"/>
    <w:pPr>
      <w:ind w:firstLine="420" w:firstLineChars="200"/>
    </w:pPr>
    <w:rPr>
      <w:rFonts w:hint="default" w:ascii="宋体" w:hAnsi="宋体" w:eastAsia="宋体" w:cs="Times New Roman"/>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30</Pages>
  <Words>3933</Words>
  <Characters>22421</Characters>
  <Lines>186</Lines>
  <Paragraphs>52</Paragraphs>
  <TotalTime>25</TotalTime>
  <ScaleCrop>false</ScaleCrop>
  <LinksUpToDate>false</LinksUpToDate>
  <CharactersWithSpaces>26302</CharactersWithSpaces>
  <Application>WPS Office_10.8.2.7090_F1E327BC-269C-435d-A152-05C5408002CA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2025-06-26T07:40:00Z</dcterms:created>
  <dc:creator>Administrator</dc:creator>
  <cp:lastModifiedBy>黄靖宇</cp:lastModifiedBy>
  <dcterms:modified xsi:type="dcterms:W3CDTF">2025-09-28T08:53:37Z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2052-10.8.2.7090</vt:lpwstr>
  </property>
  <property fmtid="{D5CDD505-2E9C-101B-9397-08002B2CF9AE}" pid="3" name="ICV">
    <vt:lpwstr>BB46EABDBB2749749395447164B066B3_12</vt:lpwstr>
  </property>
</Properties>
</file>