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重庆市秀山土家族苗族自治县住房和城乡建设委员会</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黑体" w:hAnsi="黑体" w:eastAsia="黑体" w:cs="黑体"/>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负责推进住房和城乡建设事业改革发展。贯彻执行住房和城乡建设法律、法规、规章和方针政策。拟订和实施住房和城乡建设发展战略、发展规划和年度计划。负责规范全县住房城乡建设管理秩序。指导乡镇（街道）住房和城乡建设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2.负责住房和城乡建设财政性资金的监督管理。负责城市建设配套费的征收和管理。监督管理住房和城乡建设财政性资金的使用。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负责房地产行业的监督管理。组织实施全县房地产调控政策。负责规范房地产开发建设市场秩序、房地产交易市场秩序。监督执行房屋面积管理、交易管理的规章制度。负责房地产开发企业、房地产估价机构资质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4.负责建筑行业的监督管理。负责规范建筑市场秩序。负责房屋建筑和市政基础设施工程质量、安全的监督管理，负责或参与房屋建筑和市政基础设施工程重大质量安全事故的调查处理和突发事件的应急处置，负责建筑企业及从业人员的资质资格管理。执行地方建设工程造价计价。负责新型建筑材料、建筑机械与设备的应用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5.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6.负责住房保障工作。贯彻实施住房保障、住房改革政策。监督管理和协调推进保障性住房建设，负责保障性住房的分配和管理。负责直管公有房屋改革和管理。指导住房公积金缴存、使用和管理。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7.推进城市基础设施建设工作。组织实施城市道路桥梁隧道及其附属设施等城市基础设施建设，负责项目储备、前期工作和协调推进。协调推进房屋建筑和市政基础设施县级重点项目建设。负责历史文化名城、名镇、名村、街区和传统风貌区的保护建设管理工作。指导历史建筑、传统风貌建筑的修复建设。</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8.负责推进城市提升相关工作。实施城市提升相关政策、规范、标准。牵头推进城市提升相关前期工作和项目协调。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9.统筹城市人居环境改善工作。负责城市管线的综合管理。统筹城市综合管廊建设与管理。牵头协调推进海绵城市建设。</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10.负责城镇排水与污水处理的监督管理。贯彻实施城镇排水与污水处理政策、标准、规划。负责城市污水处理厂建设运行管理，负责城镇排水（雨水、污水）管网建设维护管理，负责城镇污水处理费征收的管理工作。负责城镇排水监测的监督管理。牵头负责城市排水防涝工作。指导乡镇污水处理管理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11.负责推进城市修补和有机更新。指导老旧小区改造提升工作。推进城市棚户区改造。监督指导城市既有建筑保留利用、更新改造工作。负责房屋使用安全、物业管理活动的监督管理。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12.指导村镇建设。监督实施村镇建设政策。负责指导村镇建设管理工作，组织村镇建设专项建设示范。指导特色景观旅游名镇名村管理工作。指导农村住房建设和农村危房改造工作。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13.负责建设科技推广应用。推进住房城乡建设科技研究开发与成果转化。指导住房城乡建设新技术示范、推广、应用。承担行业信息化、智能化等管理工作。监督实施工程建设地方标准。推进建筑产业现代化，负责工程建设标准化工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14.负责绿色建筑与建筑节能管理。监督实施绿色建筑与建筑节能政策。承担绿色建筑评价及建筑能效测评标识管理。推进建筑节能发展。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15.负责建设工程消防设计审查验收相关工作。实施建设工程消防设计审查验收政策。</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16.负责住房城乡建设领域综合行政执法，具体交由相关行政执法队伍承担，并以部门名义统一执法。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17.负责住房和城建档案管理，指导行业人才队伍建设。开展相关领域的交流合作。</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18.负责机关、所属单位和行业社会组织党建工作。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19.完成县委县政府交办的其他任务。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楷体" w:hAnsi="楷体" w:eastAsia="楷体" w:cs="楷体"/>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秀山土家族苗族自治县住房和城乡建设委员会是县政府工作部门。</w:t>
      </w:r>
      <w:r>
        <w:rPr>
          <w:rFonts w:hint="default" w:ascii="Times New Roman" w:hAnsi="Times New Roman" w:eastAsia="方正仿宋_GBK"/>
          <w:b w:val="0"/>
          <w:bCs/>
          <w:sz w:val="32"/>
          <w:szCs w:val="32"/>
          <w:shd w:val="clear" w:color="auto" w:fill="FFFFFF"/>
        </w:rPr>
        <w:t>委机关内设办公室（挂内审科牌子）、财务科、村镇建设科、建筑业管理科、设计与绿色建筑发展科、城市建设科、行政审批科、房屋管理科、法制信访科、消防科</w:t>
      </w:r>
      <w:r>
        <w:rPr>
          <w:rFonts w:ascii="Times New Roman" w:hAnsi="Times New Roman" w:eastAsia="方正仿宋_GBK"/>
          <w:b w:val="0"/>
          <w:bCs/>
          <w:sz w:val="32"/>
          <w:szCs w:val="32"/>
          <w:shd w:val="clear" w:color="auto" w:fill="FFFFFF"/>
        </w:rPr>
        <w:t>；</w:t>
      </w:r>
      <w:r>
        <w:rPr>
          <w:rFonts w:ascii="Times New Roman" w:hAnsi="Times New Roman" w:eastAsia="方正仿宋_GBK"/>
          <w:b w:val="0"/>
          <w:bCs/>
          <w:color w:val="333333"/>
          <w:sz w:val="32"/>
          <w:szCs w:val="32"/>
          <w:shd w:val="clear" w:color="auto" w:fill="FFFFFF"/>
        </w:rPr>
        <w:t>下属7个事业单位，分别是：</w:t>
      </w:r>
      <w:r>
        <w:rPr>
          <w:rFonts w:ascii="方正仿宋_GBK" w:hAnsi="方正仿宋_GBK" w:eastAsia="方正仿宋_GBK" w:cs="方正仿宋_GBK"/>
          <w:b w:val="0"/>
          <w:bCs/>
          <w:sz w:val="32"/>
          <w:szCs w:val="32"/>
          <w:shd w:val="clear" w:color="auto" w:fill="FFFFFF"/>
        </w:rPr>
        <w:t>住房和城乡建设管理综合执法大队、县住房保障管理中心、县房地产开发管理服务中心、县城乡建设档案中心、县管线综合管理事务中心、县房屋交易管理中心、县建设工程质量管理事务中心。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二、部门决算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w:t>
      </w:r>
      <w:r>
        <w:rPr>
          <w:rFonts w:hint="eastAsia" w:ascii="Times New Roman" w:hAnsi="Times New Roman" w:eastAsia="方正仿宋_GBK" w:cs="方正仿宋_GBK"/>
          <w:b w:val="0"/>
          <w:bCs/>
          <w:sz w:val="32"/>
          <w:szCs w:val="32"/>
          <w:shd w:val="clear" w:color="auto" w:fill="FFFFFF"/>
          <w:lang w:eastAsia="zh-CN"/>
        </w:rPr>
        <w:t>、支</w:t>
      </w:r>
      <w:r>
        <w:rPr>
          <w:rFonts w:ascii="Times New Roman" w:hAnsi="Times New Roman" w:eastAsia="方正仿宋_GBK" w:cs="方正仿宋_GBK"/>
          <w:b w:val="0"/>
          <w:bCs/>
          <w:sz w:val="32"/>
          <w:szCs w:val="32"/>
          <w:shd w:val="clear" w:color="auto" w:fill="FFFFFF"/>
        </w:rPr>
        <w:t>总计</w:t>
      </w:r>
      <w:r>
        <w:rPr>
          <w:rFonts w:hint="eastAsia" w:ascii="Times New Roman" w:hAnsi="Times New Roman"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55216.44</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收、支与2023年度相比，增加5229.93万元，增长10.5%</w:t>
      </w:r>
      <w:r>
        <w:rPr>
          <w:rFonts w:ascii="Times New Roman" w:hAnsi="Times New Roman" w:eastAsia="方正仿宋_GBK" w:cs="方正仿宋_GBK"/>
          <w:b w:val="0"/>
          <w:bCs/>
          <w:sz w:val="32"/>
          <w:szCs w:val="32"/>
          <w:shd w:val="clear" w:color="auto" w:fill="FFFFFF"/>
        </w:rPr>
        <w:t>，主要原因</w:t>
      </w:r>
      <w:r>
        <w:rPr>
          <w:rFonts w:hint="eastAsia" w:ascii="Times New Roman" w:hAnsi="Times New Roman" w:eastAsia="方正仿宋_GBK" w:cs="方正仿宋_GBK"/>
          <w:b w:val="0"/>
          <w:bCs/>
          <w:sz w:val="32"/>
          <w:szCs w:val="32"/>
          <w:shd w:val="clear" w:color="auto" w:fill="FFFFFF"/>
          <w:lang w:val="en-US" w:eastAsia="zh-CN"/>
        </w:rPr>
        <w:t>一是机构人员方面新增9名公务员、2名事业人员；二是新增土地整治安排支出等项目。</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Times New Roman" w:hAnsi="Times New Roman"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53928.08</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与2023年度相比，增加6401.69万元，增长13.5%</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一是机构人员方面新增9名公务员、2名事业人员；二是新增土地整治安排支出等项目。</w:t>
      </w:r>
      <w:r>
        <w:rPr>
          <w:rFonts w:ascii="Times New Roman" w:hAnsi="Times New Roman"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53928.08</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Times New Roman" w:hAnsi="Times New Roman"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w:t>
      </w:r>
      <w:r>
        <w:rPr>
          <w:rFonts w:hint="eastAsia" w:ascii="Times New Roman" w:hAnsi="Times New Roman"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1288.35</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Times New Roman" w:hAnsi="Times New Roman"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55216.44</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与2023年度相比，增加5229.93万元，增长10.5%</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一是机构人员方面新增9名公务员、2名事业人员；二是新增土地整治安排支出等项目。</w:t>
      </w:r>
      <w:r>
        <w:rPr>
          <w:rFonts w:ascii="Times New Roman" w:hAnsi="Times New Roman"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1991.90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3.6%</w:t>
      </w:r>
      <w:r>
        <w:rPr>
          <w:rFonts w:ascii="Times New Roman" w:hAnsi="Times New Roman"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53224.54</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96.4%</w:t>
      </w:r>
      <w:r>
        <w:rPr>
          <w:rFonts w:ascii="Times New Roman" w:hAnsi="Times New Roman"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Times New Roman" w:hAnsi="Times New Roman"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Times New Roman" w:hAnsi="Times New Roman"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Times New Roman" w:hAnsi="Times New Roman"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Times New Roman" w:hAnsi="Times New Roman"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Times New Roman" w:hAnsi="Times New Roman"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Times New Roman" w:hAnsi="Times New Roman"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2024年度财政拨款收、支总计均为55216.44万元。与2023年</w:t>
      </w:r>
      <w:r>
        <w:rPr>
          <w:rFonts w:hint="default" w:ascii="Times New Roman" w:hAnsi="Times New Roman" w:eastAsia="方正仿宋_GBK" w:cs="Times New Roman"/>
          <w:b w:val="0"/>
          <w:bCs/>
          <w:sz w:val="32"/>
          <w:szCs w:val="32"/>
          <w:shd w:val="clear" w:color="auto" w:fill="FFFFFF"/>
          <w:lang w:eastAsia="zh-CN"/>
        </w:rPr>
        <w:t>度</w:t>
      </w:r>
      <w:r>
        <w:rPr>
          <w:rFonts w:hint="default" w:ascii="Times New Roman" w:hAnsi="Times New Roman" w:eastAsia="方正仿宋_GBK" w:cs="Times New Roman"/>
          <w:b w:val="0"/>
          <w:bCs/>
          <w:sz w:val="32"/>
          <w:szCs w:val="32"/>
          <w:shd w:val="clear" w:color="auto" w:fill="FFFFFF"/>
        </w:rPr>
        <w:t>相比，财政拨款收、支总计各增加5229.93万元，增长10.5%。主要原因是</w:t>
      </w:r>
      <w:r>
        <w:rPr>
          <w:rFonts w:hint="default" w:ascii="Times New Roman" w:hAnsi="Times New Roman" w:eastAsia="方正仿宋_GBK" w:cs="Times New Roman"/>
          <w:b w:val="0"/>
          <w:bCs/>
          <w:sz w:val="32"/>
          <w:szCs w:val="32"/>
          <w:shd w:val="clear" w:color="auto" w:fill="FFFFFF"/>
          <w:lang w:val="en-US" w:eastAsia="zh-CN"/>
        </w:rPr>
        <w:t>一是机构人员方面新增9名公务员、2名事业人员；二是新增土地整治安排支出等项目。</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30825.62</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与2023年度相比，增加19140.17万元，增长163.8%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一是机构人员方面新增9名公务员、2名事业人员；二是新增土地整治安排支出等项目。</w:t>
      </w:r>
      <w:r>
        <w:rPr>
          <w:rFonts w:hint="default" w:ascii="Times New Roman" w:hAnsi="Times New Roman" w:eastAsia="方正仿宋_GBK"/>
          <w:b w:val="0"/>
          <w:bCs/>
          <w:sz w:val="32"/>
          <w:szCs w:val="32"/>
          <w:shd w:val="clear" w:color="auto" w:fill="FFFFFF"/>
        </w:rPr>
        <w:t>较年初预算数增加3276.61万元，增长11.9%</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一是机构人员方面新</w:t>
      </w:r>
      <w:r>
        <w:rPr>
          <w:rFonts w:hint="default" w:ascii="Times New Roman" w:hAnsi="Times New Roman" w:eastAsia="方正仿宋_GBK" w:cs="Times New Roman"/>
          <w:b w:val="0"/>
          <w:bCs/>
          <w:sz w:val="32"/>
          <w:szCs w:val="32"/>
          <w:shd w:val="clear" w:color="auto" w:fill="FFFFFF"/>
          <w:lang w:val="en-US" w:eastAsia="zh-CN"/>
        </w:rPr>
        <w:t>增9名公务员、2名事业人</w:t>
      </w:r>
      <w:r>
        <w:rPr>
          <w:rFonts w:hint="eastAsia" w:ascii="方正仿宋_GBK" w:hAnsi="方正仿宋_GBK" w:eastAsia="方正仿宋_GBK" w:cs="方正仿宋_GBK"/>
          <w:b w:val="0"/>
          <w:bCs/>
          <w:sz w:val="32"/>
          <w:szCs w:val="32"/>
          <w:shd w:val="clear" w:color="auto" w:fill="FFFFFF"/>
          <w:lang w:val="en-US" w:eastAsia="zh-CN"/>
        </w:rPr>
        <w:t>员；二是新增土地整治安排支出等项目。</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1288.35</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32113.98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与2023年度相比，增加17968.40万元，增长127.0%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一是机构人员方面新增9名公务员、2名事业人员；二是新增土地整治安排支出等项目。</w:t>
      </w:r>
      <w:r>
        <w:rPr>
          <w:rFonts w:hint="default" w:ascii="Times New Roman" w:hAnsi="Times New Roman" w:eastAsia="方正仿宋_GBK"/>
          <w:b w:val="0"/>
          <w:bCs/>
          <w:sz w:val="32"/>
          <w:szCs w:val="32"/>
          <w:shd w:val="clear" w:color="auto" w:fill="FFFFFF"/>
        </w:rPr>
        <w:t>较年初预算数增加4564.97万元，增长16.6%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一是机构人员方面新</w:t>
      </w:r>
      <w:r>
        <w:rPr>
          <w:rFonts w:hint="default" w:ascii="Times New Roman" w:hAnsi="Times New Roman" w:eastAsia="方正仿宋_GBK" w:cs="Times New Roman"/>
          <w:b w:val="0"/>
          <w:bCs/>
          <w:sz w:val="32"/>
          <w:szCs w:val="32"/>
          <w:shd w:val="clear" w:color="auto" w:fill="FFFFFF"/>
          <w:lang w:val="en-US" w:eastAsia="zh-CN"/>
        </w:rPr>
        <w:t>增9名公务员、2名事业人</w:t>
      </w:r>
      <w:r>
        <w:rPr>
          <w:rFonts w:hint="eastAsia" w:ascii="方正仿宋_GBK" w:hAnsi="方正仿宋_GBK" w:eastAsia="方正仿宋_GBK" w:cs="方正仿宋_GBK"/>
          <w:b w:val="0"/>
          <w:bCs/>
          <w:sz w:val="32"/>
          <w:szCs w:val="32"/>
          <w:shd w:val="clear" w:color="auto" w:fill="FFFFFF"/>
          <w:lang w:val="en-US" w:eastAsia="zh-CN"/>
        </w:rPr>
        <w:t>员；二是新增土地整治安排支出等项目。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0.30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较年初预算数增加0.30万元，增长100.0%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增加公务员奖励经费项目。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hint="eastAsia" w:ascii="Times New Roman" w:hAnsi="Times New Roman" w:eastAsia="方正仿宋_GBK" w:cs="Times New Roman"/>
          <w:b w:val="0"/>
          <w:bCs/>
          <w:sz w:val="32"/>
          <w:szCs w:val="32"/>
          <w:shd w:val="clear" w:color="auto" w:fill="FFFFFF"/>
          <w:lang w:eastAsia="zh-CN"/>
        </w:rPr>
        <w:t>（</w:t>
      </w:r>
      <w:r>
        <w:rPr>
          <w:rFonts w:hint="eastAsia" w:ascii="Times New Roman" w:hAnsi="Times New Roman" w:eastAsia="方正仿宋_GBK" w:cs="Times New Roman"/>
          <w:b w:val="0"/>
          <w:bCs/>
          <w:sz w:val="32"/>
          <w:szCs w:val="32"/>
          <w:shd w:val="clear" w:color="auto" w:fill="FFFFFF"/>
          <w:lang w:val="en-US" w:eastAsia="zh-CN"/>
        </w:rPr>
        <w:t>2</w:t>
      </w:r>
      <w:r>
        <w:rPr>
          <w:rFonts w:hint="eastAsia" w:ascii="Times New Roman" w:hAnsi="Times New Roman" w:eastAsia="方正仿宋_GBK" w:cs="Times New Roman"/>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科学技术支出</w:t>
      </w:r>
      <w:r>
        <w:rPr>
          <w:rFonts w:hint="default" w:ascii="Times New Roman" w:hAnsi="Times New Roman" w:eastAsia="方正仿宋_GBK"/>
          <w:b w:val="0"/>
          <w:bCs/>
          <w:sz w:val="32"/>
          <w:szCs w:val="32"/>
          <w:shd w:val="clear" w:color="auto" w:fill="FFFFFF"/>
        </w:rPr>
        <w:t>53.61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较年初预算数增加53.61万元，增长100.0%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增加秀山县房屋建筑承灾体项目。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319.10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较年初预算数减少14.86万元，下降4.5%</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highlight w:val="none"/>
          <w:shd w:val="clear" w:color="auto" w:fill="FFFFFF"/>
          <w:lang w:val="en-US" w:eastAsia="zh-CN"/>
        </w:rPr>
        <w:t xml:space="preserve">年初预算的未改制工业企业人员补助更正为城乡社区支出。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88.48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0.3%</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较年初预算数增加5.61万元，增长6.8%</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增加</w:t>
      </w:r>
      <w:r>
        <w:rPr>
          <w:rFonts w:hint="default" w:ascii="Times New Roman" w:hAnsi="Times New Roman" w:eastAsia="方正仿宋_GBK" w:cs="Times New Roman"/>
          <w:b w:val="0"/>
          <w:bCs/>
          <w:sz w:val="32"/>
          <w:szCs w:val="32"/>
          <w:shd w:val="clear" w:color="auto" w:fill="FFFFFF"/>
          <w:lang w:val="en-US" w:eastAsia="zh-CN"/>
        </w:rPr>
        <w:t>11</w:t>
      </w:r>
      <w:r>
        <w:rPr>
          <w:rFonts w:hint="eastAsia" w:ascii="方正仿宋_GBK" w:hAnsi="方正仿宋_GBK" w:eastAsia="方正仿宋_GBK" w:cs="方正仿宋_GBK"/>
          <w:b w:val="0"/>
          <w:bCs/>
          <w:sz w:val="32"/>
          <w:szCs w:val="32"/>
          <w:shd w:val="clear" w:color="auto" w:fill="FFFFFF"/>
          <w:lang w:val="en-US" w:eastAsia="zh-CN"/>
        </w:rPr>
        <w:t>名工作人员。</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5</w:t>
      </w:r>
      <w:r>
        <w:rPr>
          <w:rFonts w:ascii="方正仿宋_GBK" w:hAnsi="方正仿宋_GBK" w:eastAsia="方正仿宋_GBK" w:cs="方正仿宋_GBK"/>
          <w:b w:val="0"/>
          <w:bCs/>
          <w:sz w:val="32"/>
          <w:szCs w:val="32"/>
          <w:shd w:val="clear" w:color="auto" w:fill="FFFFFF"/>
        </w:rPr>
        <w:t>）节能环保支出</w:t>
      </w:r>
      <w:r>
        <w:rPr>
          <w:rFonts w:hint="default" w:ascii="Times New Roman" w:hAnsi="Times New Roman" w:eastAsia="方正仿宋_GBK"/>
          <w:b w:val="0"/>
          <w:bCs/>
          <w:sz w:val="32"/>
          <w:szCs w:val="32"/>
          <w:shd w:val="clear" w:color="auto" w:fill="FFFFFF"/>
        </w:rPr>
        <w:t>292.05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较年初预算数增加292.05万元，增长100.0%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增加城镇生活污泥无害化处置项目。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6</w:t>
      </w:r>
      <w:r>
        <w:rPr>
          <w:rFonts w:ascii="方正仿宋_GBK" w:hAnsi="方正仿宋_GBK"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26262.51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81.8%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较年初预算数增加16553.29万元，增长170.5%</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增加城市更新激励奖补资金、土地整治安排支出、秀山县官湖片区雨污水管网整治工程等项目。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7</w:t>
      </w:r>
      <w:r>
        <w:rPr>
          <w:rFonts w:ascii="方正仿宋_GBK" w:hAnsi="方正仿宋_GBK" w:eastAsia="方正仿宋_GBK" w:cs="方正仿宋_GBK"/>
          <w:b w:val="0"/>
          <w:bCs/>
          <w:sz w:val="32"/>
          <w:szCs w:val="32"/>
          <w:shd w:val="clear" w:color="auto" w:fill="FFFFFF"/>
        </w:rPr>
        <w:t>）农林水支出</w:t>
      </w:r>
      <w:r>
        <w:rPr>
          <w:rFonts w:hint="default" w:ascii="Times New Roman" w:hAnsi="Times New Roman" w:eastAsia="方正仿宋_GBK"/>
          <w:b w:val="0"/>
          <w:bCs/>
          <w:sz w:val="32"/>
          <w:szCs w:val="32"/>
          <w:shd w:val="clear" w:color="auto" w:fill="FFFFFF"/>
        </w:rPr>
        <w:t>9.88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较年初预算数增加9.88万元，增长100.0%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lang w:val="en-US" w:eastAsia="zh-CN"/>
        </w:rPr>
        <w:t>增加2021</w:t>
      </w:r>
      <w:r>
        <w:rPr>
          <w:rFonts w:hint="eastAsia" w:ascii="方正仿宋_GBK" w:hAnsi="方正仿宋_GBK" w:eastAsia="方正仿宋_GBK" w:cs="方正仿宋_GBK"/>
          <w:b w:val="0"/>
          <w:bCs/>
          <w:sz w:val="32"/>
          <w:szCs w:val="32"/>
          <w:shd w:val="clear" w:color="auto" w:fill="FFFFFF"/>
          <w:lang w:val="en-US" w:eastAsia="zh-CN"/>
        </w:rPr>
        <w:t>年县域节水社会达标创建工程项目。</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8</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5038.04</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15.7%</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较年初预算数减少12334.92万元，下降71.0%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减少保障性安居工程项目。</w:t>
      </w:r>
    </w:p>
    <w:p>
      <w:pPr>
        <w:keepNext w:val="0"/>
        <w:keepLines w:val="0"/>
        <w:pageBreakBefore w:val="0"/>
        <w:widowControl/>
        <w:kinsoku/>
        <w:wordWrap/>
        <w:overflowPunct/>
        <w:topLinePunct w:val="0"/>
        <w:autoSpaceDN/>
        <w:bidi w:val="0"/>
        <w:adjustRightInd/>
        <w:spacing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9</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灾害防治及应急管理支出</w:t>
      </w:r>
      <w:r>
        <w:rPr>
          <w:rFonts w:hint="default" w:ascii="Times New Roman" w:hAnsi="Times New Roman" w:eastAsia="方正仿宋_GBK"/>
          <w:b w:val="0"/>
          <w:bCs/>
          <w:sz w:val="32"/>
          <w:szCs w:val="32"/>
          <w:shd w:val="clear" w:color="auto" w:fill="FFFFFF"/>
        </w:rPr>
        <w:t>50.00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新增高层建筑消防安全“除险清患”整治经费项目。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rPr>
        <w:t>2024年度一般公共财政拨款基本支出1991.90万元。其中：人员经费1641.43万元，与2023年度相比，增加149.72万元，增长10.0%，主要原因</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lang w:val="en-US" w:eastAsia="zh-CN"/>
        </w:rPr>
        <w:t>2024年度增加11名工作人员。</w:t>
      </w:r>
      <w:r>
        <w:rPr>
          <w:rFonts w:hint="default" w:ascii="Times New Roman" w:hAnsi="Times New Roman" w:eastAsia="方正仿宋_GBK" w:cs="Times New Roman"/>
          <w:b w:val="0"/>
          <w:bCs/>
          <w:sz w:val="32"/>
          <w:szCs w:val="32"/>
          <w:shd w:val="clear" w:color="auto" w:fill="FFFFFF"/>
        </w:rPr>
        <w:t>人员经费用途主要包括基本工资、津贴补贴、奖金、社会保障缴费等。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公用经费350.47万元，与2023年度相比，增加192.68万元，增长122.1%，主要原因是</w:t>
      </w:r>
      <w:r>
        <w:rPr>
          <w:rFonts w:hint="default" w:ascii="Times New Roman" w:hAnsi="Times New Roman" w:eastAsia="方正仿宋_GBK" w:cs="Times New Roman"/>
          <w:b w:val="0"/>
          <w:bCs/>
          <w:sz w:val="32"/>
          <w:szCs w:val="32"/>
          <w:shd w:val="clear" w:color="auto" w:fill="FFFFFF"/>
          <w:lang w:val="en-US" w:eastAsia="zh-CN"/>
        </w:rPr>
        <w:t>新增事业发展经费、事业服务经费项目。</w:t>
      </w:r>
      <w:r>
        <w:rPr>
          <w:rFonts w:hint="default" w:ascii="Times New Roman" w:hAnsi="Times New Roman" w:eastAsia="方正仿宋_GBK" w:cs="Times New Roman"/>
          <w:b w:val="0"/>
          <w:bCs/>
          <w:sz w:val="32"/>
          <w:szCs w:val="32"/>
          <w:shd w:val="clear" w:color="auto" w:fill="FFFFFF"/>
        </w:rPr>
        <w:t>公用经费用途主要包括办公费、印刷费、邮电费、物业管理费、差旅费、会议费、培训费、公务接待费、公务用车运行维护费等。</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年度政府性基金预算财政拨款年初结转结余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万元，年末结转结余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万元。本年收入</w:t>
      </w:r>
      <w:r>
        <w:rPr>
          <w:rFonts w:hint="default" w:ascii="Times New Roman" w:hAnsi="Times New Roman" w:eastAsia="方正仿宋_GBK"/>
          <w:b w:val="0"/>
          <w:bCs/>
          <w:sz w:val="32"/>
          <w:szCs w:val="32"/>
          <w:shd w:val="clear" w:color="auto" w:fill="FFFFFF"/>
        </w:rPr>
        <w:t>23102.46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与2023年度相比，减少12738.48万元，下降35.5%</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调整了支出结构，本年由政府性基金</w:t>
      </w:r>
      <w:r>
        <w:rPr>
          <w:rFonts w:hint="default" w:ascii="Times New Roman" w:hAnsi="Times New Roman" w:eastAsia="方正仿宋_GBK" w:cs="Times New Roman"/>
          <w:b w:val="0"/>
          <w:bCs/>
          <w:sz w:val="32"/>
          <w:szCs w:val="32"/>
          <w:shd w:val="clear" w:color="auto" w:fill="FFFFFF"/>
          <w:lang w:val="en-US" w:eastAsia="zh-CN"/>
        </w:rPr>
        <w:t>安排</w:t>
      </w:r>
      <w:r>
        <w:rPr>
          <w:rFonts w:hint="default" w:ascii="Times New Roman" w:hAnsi="Times New Roman" w:eastAsia="方正仿宋_GBK" w:cs="Times New Roman"/>
          <w:b w:val="0"/>
          <w:bCs/>
          <w:sz w:val="32"/>
          <w:szCs w:val="32"/>
          <w:shd w:val="clear" w:color="auto" w:fill="FFFFFF"/>
        </w:rPr>
        <w:t>的项目减少。</w:t>
      </w:r>
      <w:r>
        <w:rPr>
          <w:rFonts w:ascii="方正仿宋_GBK" w:hAnsi="方正仿宋_GBK" w:eastAsia="方正仿宋_GBK" w:cs="方正仿宋_GBK"/>
          <w:b w:val="0"/>
          <w:bCs/>
          <w:sz w:val="32"/>
          <w:szCs w:val="32"/>
          <w:shd w:val="clear" w:color="auto" w:fill="FFFFFF"/>
        </w:rPr>
        <w:t>本年支出</w:t>
      </w:r>
      <w:r>
        <w:rPr>
          <w:rFonts w:hint="default" w:ascii="Times New Roman" w:hAnsi="Times New Roman" w:eastAsia="方正仿宋_GBK"/>
          <w:b w:val="0"/>
          <w:bCs/>
          <w:sz w:val="32"/>
          <w:szCs w:val="32"/>
          <w:shd w:val="clear" w:color="auto" w:fill="FFFFFF"/>
        </w:rPr>
        <w:t>23102.46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与2023年度相比，减少12738.48万元，下降35.5%</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调整了支出结构，本年由政府性基金</w:t>
      </w:r>
      <w:r>
        <w:rPr>
          <w:rFonts w:hint="default" w:ascii="Times New Roman" w:hAnsi="Times New Roman" w:eastAsia="方正仿宋_GBK" w:cs="Times New Roman"/>
          <w:b w:val="0"/>
          <w:bCs/>
          <w:sz w:val="32"/>
          <w:szCs w:val="32"/>
          <w:shd w:val="clear" w:color="auto" w:fill="FFFFFF"/>
          <w:lang w:val="en-US" w:eastAsia="zh-CN"/>
        </w:rPr>
        <w:t>安排</w:t>
      </w:r>
      <w:r>
        <w:rPr>
          <w:rFonts w:hint="default" w:ascii="Times New Roman" w:hAnsi="Times New Roman" w:eastAsia="方正仿宋_GBK" w:cs="Times New Roman"/>
          <w:b w:val="0"/>
          <w:bCs/>
          <w:sz w:val="32"/>
          <w:szCs w:val="32"/>
          <w:shd w:val="clear" w:color="auto" w:fill="FFFFFF"/>
        </w:rPr>
        <w:t>的项目减少。</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Style w:val="8"/>
          <w:rFonts w:hint="default" w:ascii="Times New Roman" w:hAnsi="Times New Roman" w:eastAsia="方正仿宋_GBK" w:cs="Times New Roman"/>
          <w:b w:val="0"/>
          <w:bCs/>
          <w:sz w:val="32"/>
          <w:szCs w:val="32"/>
        </w:rPr>
        <w:t>本单位202</w:t>
      </w:r>
      <w:r>
        <w:rPr>
          <w:rStyle w:val="8"/>
          <w:rFonts w:hint="eastAsia" w:ascii="Times New Roman" w:hAnsi="Times New Roman" w:eastAsia="方正仿宋_GBK" w:cs="Times New Roman"/>
          <w:b w:val="0"/>
          <w:bCs/>
          <w:sz w:val="32"/>
          <w:szCs w:val="32"/>
          <w:lang w:val="en-US" w:eastAsia="zh-CN"/>
        </w:rPr>
        <w:t>4</w:t>
      </w:r>
      <w:r>
        <w:rPr>
          <w:rStyle w:val="8"/>
          <w:rFonts w:hint="default" w:ascii="Times New Roman" w:hAnsi="Times New Roman" w:eastAsia="方正仿宋_GBK" w:cs="Times New Roman"/>
          <w:b w:val="0"/>
          <w:bCs/>
          <w:sz w:val="32"/>
          <w:szCs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黑体" w:hAnsi="黑体" w:eastAsia="黑体" w:cs="黑体"/>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12.31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较年初预算数增加0.31万元，增长2.6%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本单位公车使用年限较长，产生的修理费用较多。</w:t>
      </w:r>
      <w:r>
        <w:rPr>
          <w:rFonts w:hint="default" w:ascii="Times New Roman" w:hAnsi="Times New Roman" w:eastAsia="方正仿宋_GBK"/>
          <w:b w:val="0"/>
          <w:bCs/>
          <w:sz w:val="32"/>
          <w:szCs w:val="32"/>
          <w:shd w:val="clear" w:color="auto" w:fill="FFFFFF"/>
        </w:rPr>
        <w:t>较上年支出数减少8.74万元，下降41.5%</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认真贯彻落实中央八项规定精神、政府过</w:t>
      </w:r>
      <w:r>
        <w:rPr>
          <w:rFonts w:hint="eastAsia" w:ascii="方正仿宋_GBK" w:hAnsi="方正仿宋_GBK" w:eastAsia="方正仿宋_GBK" w:cs="方正仿宋_GBK"/>
          <w:b w:val="0"/>
          <w:bCs/>
          <w:sz w:val="32"/>
          <w:szCs w:val="32"/>
          <w:shd w:val="clear" w:color="auto" w:fill="FFFFFF"/>
        </w:rPr>
        <w:t>“紧日子”思想</w:t>
      </w:r>
      <w:r>
        <w:rPr>
          <w:rFonts w:hint="default" w:ascii="Times New Roman" w:hAnsi="Times New Roman" w:eastAsia="方正仿宋_GBK" w:cs="Times New Roman"/>
          <w:b w:val="0"/>
          <w:bCs/>
          <w:sz w:val="32"/>
          <w:szCs w:val="32"/>
          <w:shd w:val="clear" w:color="auto" w:fill="FFFFFF"/>
        </w:rPr>
        <w:t>和厉行节约要求从严控制三公经费支出，并加强经费收支管理。</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val="en-US" w:eastAsia="zh-CN"/>
        </w:rPr>
        <w:t>部门</w:t>
      </w:r>
      <w:r>
        <w:rPr>
          <w:rFonts w:ascii="方正仿宋_GBK" w:hAnsi="方正仿宋_GBK"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，主要原因</w:t>
      </w:r>
      <w:r>
        <w:rPr>
          <w:rFonts w:hint="eastAsia" w:ascii="Times New Roman" w:hAnsi="Times New Roman" w:eastAsia="方正仿宋_GBK" w:cs="Times New Roman"/>
          <w:b w:val="0"/>
          <w:bCs/>
          <w:sz w:val="32"/>
          <w:szCs w:val="32"/>
          <w:shd w:val="clear" w:color="auto" w:fill="FFFFFF"/>
          <w:lang w:val="en-US" w:eastAsia="zh-CN"/>
        </w:rPr>
        <w:t>是2024年</w:t>
      </w:r>
      <w:r>
        <w:rPr>
          <w:rFonts w:hint="default" w:ascii="Times New Roman" w:hAnsi="Times New Roman" w:eastAsia="方正仿宋_GBK" w:cs="Times New Roman"/>
          <w:b w:val="0"/>
          <w:bCs/>
          <w:sz w:val="32"/>
          <w:szCs w:val="32"/>
          <w:shd w:val="clear" w:color="auto" w:fill="FFFFFF"/>
        </w:rPr>
        <w:t>未安排人员出国出访</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较上年支出数无增减</w:t>
      </w:r>
      <w:r>
        <w:rPr>
          <w:rFonts w:ascii="Times New Roman" w:hAnsi="Times New Roman" w:eastAsia="方正仿宋_GBK" w:cs="Times New Roman"/>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2023-2024年均</w:t>
      </w:r>
      <w:r>
        <w:rPr>
          <w:rFonts w:hint="default" w:ascii="Times New Roman" w:hAnsi="Times New Roman" w:eastAsia="方正仿宋_GBK" w:cs="Times New Roman"/>
          <w:b w:val="0"/>
          <w:bCs/>
          <w:sz w:val="32"/>
          <w:szCs w:val="32"/>
          <w:shd w:val="clear" w:color="auto" w:fill="FFFFFF"/>
        </w:rPr>
        <w:t>未安排人员出国出访</w:t>
      </w:r>
      <w:r>
        <w:rPr>
          <w:rFonts w:hint="eastAsia" w:ascii="Times New Roman" w:hAnsi="Times New Roman" w:eastAsia="方正仿宋_GBK" w:cs="Times New Roman"/>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shd w:val="clear" w:color="auto" w:fill="FFFFFF"/>
        </w:rPr>
        <w:t>公务</w:t>
      </w:r>
      <w:r>
        <w:rPr>
          <w:rFonts w:hint="eastAsia" w:ascii="Times New Roman" w:hAnsi="Times New Roman" w:eastAsia="方正仿宋_GBK" w:cs="Times New Roman"/>
          <w:b w:val="0"/>
          <w:bCs/>
          <w:sz w:val="32"/>
          <w:szCs w:val="32"/>
          <w:shd w:val="clear" w:color="auto" w:fill="FFFFFF"/>
          <w:lang w:eastAsia="zh-CN"/>
        </w:rPr>
        <w:t>用</w:t>
      </w:r>
      <w:r>
        <w:rPr>
          <w:rFonts w:ascii="Times New Roman" w:hAnsi="Times New Roman" w:eastAsia="方正仿宋_GBK" w:cs="Times New Roman"/>
          <w:b w:val="0"/>
          <w:bCs/>
          <w:sz w:val="32"/>
          <w:szCs w:val="32"/>
          <w:shd w:val="clear" w:color="auto" w:fill="FFFFFF"/>
        </w:rPr>
        <w:t>车购置费</w:t>
      </w:r>
      <w:r>
        <w:rPr>
          <w:rFonts w:hint="default" w:ascii="Times New Roman" w:hAnsi="Times New Roman" w:eastAsia="方正仿宋_GBK" w:cs="Times New Roman"/>
          <w:b w:val="0"/>
          <w:bCs/>
          <w:sz w:val="32"/>
          <w:szCs w:val="32"/>
          <w:shd w:val="clear" w:color="auto" w:fill="FFFFFF"/>
        </w:rPr>
        <w:t>0.00</w:t>
      </w:r>
      <w:r>
        <w:rPr>
          <w:rFonts w:ascii="Times New Roman" w:hAnsi="Times New Roman" w:eastAsia="方正仿宋_GBK" w:cs="Times New Roman"/>
          <w:b w:val="0"/>
          <w:bCs/>
          <w:sz w:val="32"/>
          <w:szCs w:val="32"/>
          <w:shd w:val="clear" w:color="auto" w:fill="FFFFFF"/>
        </w:rPr>
        <w:t>万元</w:t>
      </w:r>
      <w:r>
        <w:rPr>
          <w:rFonts w:hint="eastAsia" w:ascii="Times New Roman" w:hAnsi="Times New Roman" w:eastAsia="方正仿宋_GBK" w:cs="Times New Roman"/>
          <w:b w:val="0"/>
          <w:bCs/>
          <w:sz w:val="32"/>
          <w:szCs w:val="32"/>
          <w:shd w:val="clear" w:color="auto" w:fill="FFFFFF"/>
          <w:lang w:eastAsia="zh-CN"/>
        </w:rPr>
        <w:t>。</w:t>
      </w:r>
      <w:r>
        <w:rPr>
          <w:rFonts w:ascii="Times New Roman" w:hAnsi="Times New Roman" w:eastAsia="方正仿宋_GBK" w:cs="Times New Roman"/>
          <w:b w:val="0"/>
          <w:bCs/>
          <w:sz w:val="32"/>
          <w:szCs w:val="32"/>
          <w:shd w:val="clear" w:color="auto" w:fill="FFFFFF"/>
        </w:rPr>
        <w:t>费用支出</w:t>
      </w:r>
      <w:r>
        <w:rPr>
          <w:rFonts w:hint="default" w:ascii="Times New Roman" w:hAnsi="Times New Roman" w:eastAsia="方正仿宋_GBK" w:cs="Times New Roman"/>
          <w:b w:val="0"/>
          <w:bCs/>
          <w:sz w:val="32"/>
          <w:szCs w:val="32"/>
          <w:shd w:val="clear" w:color="auto" w:fill="FFFFFF"/>
        </w:rPr>
        <w:t>较年初预算数无增减</w:t>
      </w:r>
      <w:r>
        <w:rPr>
          <w:rFonts w:ascii="Times New Roman" w:hAnsi="Times New Roman" w:eastAsia="方正仿宋_GBK" w:cs="Times New Roman"/>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2024年</w:t>
      </w:r>
      <w:r>
        <w:rPr>
          <w:rFonts w:hint="default" w:ascii="Times New Roman" w:hAnsi="Times New Roman" w:eastAsia="方正仿宋_GBK" w:cs="Times New Roman"/>
          <w:b w:val="0"/>
          <w:bCs/>
          <w:sz w:val="32"/>
          <w:szCs w:val="32"/>
          <w:shd w:val="clear" w:color="auto" w:fill="FFFFFF"/>
        </w:rPr>
        <w:t>未购置公务车辆。较上年支出数无增减</w:t>
      </w:r>
      <w:r>
        <w:rPr>
          <w:rFonts w:ascii="Times New Roman" w:hAnsi="Times New Roman" w:eastAsia="方正仿宋_GBK" w:cs="Times New Roman"/>
          <w:b w:val="0"/>
          <w:bCs/>
          <w:sz w:val="32"/>
          <w:szCs w:val="32"/>
          <w:shd w:val="clear" w:color="auto" w:fill="FFFFFF"/>
        </w:rPr>
        <w:t>，主要原因是</w:t>
      </w:r>
      <w:r>
        <w:rPr>
          <w:rFonts w:hint="eastAsia" w:ascii="Times New Roman" w:hAnsi="Times New Roman" w:eastAsia="方正仿宋_GBK" w:cs="Times New Roman"/>
          <w:b w:val="0"/>
          <w:bCs/>
          <w:sz w:val="32"/>
          <w:szCs w:val="32"/>
          <w:shd w:val="clear" w:color="auto" w:fill="FFFFFF"/>
          <w:lang w:val="en-US" w:eastAsia="zh-CN"/>
        </w:rPr>
        <w:t>2023-2024年均</w:t>
      </w:r>
      <w:r>
        <w:rPr>
          <w:rFonts w:hint="default" w:ascii="Times New Roman" w:hAnsi="Times New Roman" w:eastAsia="方正仿宋_GBK" w:cs="Times New Roman"/>
          <w:b w:val="0"/>
          <w:bCs/>
          <w:sz w:val="32"/>
          <w:szCs w:val="32"/>
          <w:shd w:val="clear" w:color="auto" w:fill="FFFFFF"/>
        </w:rPr>
        <w:t>未购置公务车辆。</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10.06</w:t>
      </w:r>
      <w:r>
        <w:rPr>
          <w:rFonts w:ascii="方正仿宋_GBK" w:hAnsi="方正仿宋_GBK" w:eastAsia="方正仿宋_GBK" w:cs="方正仿宋_GBK"/>
          <w:b w:val="0"/>
          <w:bCs/>
          <w:sz w:val="32"/>
          <w:szCs w:val="32"/>
          <w:shd w:val="clear" w:color="auto" w:fill="FFFFFF"/>
        </w:rPr>
        <w:t>万元，主要用于</w:t>
      </w:r>
      <w:r>
        <w:rPr>
          <w:rFonts w:hint="default" w:ascii="Times New Roman" w:hAnsi="Times New Roman" w:eastAsia="方正仿宋_GBK" w:cs="Times New Roman"/>
          <w:b w:val="0"/>
          <w:bCs/>
          <w:sz w:val="32"/>
          <w:szCs w:val="32"/>
          <w:shd w:val="clear" w:color="auto" w:fill="FFFFFF"/>
        </w:rPr>
        <w:t>机要文件交换、因公出行、质量安全监督等工作所需车辆的燃料费、维修费、过路过桥费、保险费等。</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较年初预算数增加1.06万元，增长11.8%</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是</w:t>
      </w:r>
      <w:r>
        <w:rPr>
          <w:rFonts w:hint="eastAsia" w:ascii="方正仿宋_GBK" w:hAnsi="方正仿宋_GBK" w:eastAsia="方正仿宋_GBK" w:cs="方正仿宋_GBK"/>
          <w:b w:val="0"/>
          <w:bCs/>
          <w:sz w:val="32"/>
          <w:szCs w:val="32"/>
          <w:shd w:val="clear" w:color="auto" w:fill="FFFFFF"/>
          <w:lang w:val="en-US" w:eastAsia="zh-CN"/>
        </w:rPr>
        <w:t>我部门公车使用年限较长，产生的维修费用较多。</w:t>
      </w:r>
      <w:r>
        <w:rPr>
          <w:rFonts w:hint="default" w:ascii="Times New Roman" w:hAnsi="Times New Roman" w:eastAsia="方正仿宋_GBK"/>
          <w:b w:val="0"/>
          <w:bCs/>
          <w:sz w:val="32"/>
          <w:szCs w:val="32"/>
          <w:shd w:val="clear" w:color="auto" w:fill="FFFFFF"/>
        </w:rPr>
        <w:t>较上年支出数减少6.03万元，下降37.5%</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w:t>
      </w:r>
      <w:r>
        <w:rPr>
          <w:rFonts w:hint="eastAsia" w:ascii="方正仿宋_GBK" w:hAnsi="方正仿宋_GBK" w:eastAsia="方正仿宋_GBK" w:cs="方正仿宋_GBK"/>
          <w:b w:val="0"/>
          <w:bCs/>
          <w:sz w:val="32"/>
          <w:szCs w:val="32"/>
          <w:shd w:val="clear" w:color="auto" w:fill="FFFFFF"/>
        </w:rPr>
        <w:t>府过“紧日子”思</w:t>
      </w:r>
      <w:r>
        <w:rPr>
          <w:rFonts w:hint="default" w:ascii="Times New Roman" w:hAnsi="Times New Roman" w:eastAsia="方正仿宋_GBK" w:cs="Times New Roman"/>
          <w:b w:val="0"/>
          <w:bCs/>
          <w:sz w:val="32"/>
          <w:szCs w:val="32"/>
          <w:shd w:val="clear" w:color="auto" w:fill="FFFFFF"/>
        </w:rPr>
        <w:t>想和厉行节约要求，从严控制三公经费支出。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2.25</w:t>
      </w:r>
      <w:r>
        <w:rPr>
          <w:rFonts w:ascii="方正仿宋_GBK" w:hAnsi="方正仿宋_GBK" w:eastAsia="方正仿宋_GBK" w:cs="方正仿宋_GBK"/>
          <w:b w:val="0"/>
          <w:bCs/>
          <w:sz w:val="32"/>
          <w:szCs w:val="32"/>
          <w:shd w:val="clear" w:color="auto" w:fill="FFFFFF"/>
        </w:rPr>
        <w:t>万元，主要用于接待</w:t>
      </w:r>
      <w:r>
        <w:rPr>
          <w:rFonts w:hint="default" w:ascii="Times New Roman" w:hAnsi="Times New Roman" w:eastAsia="方正仿宋_GBK" w:cs="Times New Roman"/>
          <w:b w:val="0"/>
          <w:bCs/>
          <w:sz w:val="32"/>
          <w:szCs w:val="32"/>
          <w:shd w:val="clear" w:color="auto" w:fill="FFFFFF"/>
        </w:rPr>
        <w:t>市级相关部门检查指导工作及调研发生的支出。</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较年初预算数减少0.75万元，下降25.0%</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认真贯彻落实中央八项规定精神、政府</w:t>
      </w:r>
      <w:r>
        <w:rPr>
          <w:rFonts w:hint="eastAsia" w:ascii="方正仿宋_GBK" w:hAnsi="方正仿宋_GBK" w:eastAsia="方正仿宋_GBK" w:cs="方正仿宋_GBK"/>
          <w:b w:val="0"/>
          <w:bCs/>
          <w:sz w:val="32"/>
          <w:szCs w:val="32"/>
          <w:shd w:val="clear" w:color="auto" w:fill="FFFFFF"/>
        </w:rPr>
        <w:t>过“紧日子”思</w:t>
      </w:r>
      <w:r>
        <w:rPr>
          <w:rFonts w:hint="default" w:ascii="Times New Roman" w:hAnsi="Times New Roman" w:eastAsia="方正仿宋_GBK" w:cs="Times New Roman"/>
          <w:b w:val="0"/>
          <w:bCs/>
          <w:sz w:val="32"/>
          <w:szCs w:val="32"/>
          <w:shd w:val="clear" w:color="auto" w:fill="FFFFFF"/>
        </w:rPr>
        <w:t>想和厉行节约要求，从严控制三公经费支出。</w:t>
      </w:r>
      <w:r>
        <w:rPr>
          <w:rFonts w:hint="default" w:ascii="Times New Roman" w:hAnsi="Times New Roman" w:eastAsia="方正仿宋_GBK"/>
          <w:b w:val="0"/>
          <w:bCs/>
          <w:sz w:val="32"/>
          <w:szCs w:val="32"/>
          <w:shd w:val="clear" w:color="auto" w:fill="FFFFFF"/>
        </w:rPr>
        <w:t>较上年支出数减少2.71万元，下降54.6%</w:t>
      </w:r>
      <w:r>
        <w:rPr>
          <w:rFonts w:ascii="方正仿宋_GBK" w:hAnsi="方正仿宋_GBK" w:eastAsia="方正仿宋_GBK" w:cs="方正仿宋_GBK"/>
          <w:b w:val="0"/>
          <w:bCs/>
          <w:sz w:val="32"/>
          <w:szCs w:val="32"/>
          <w:shd w:val="clear" w:color="auto" w:fill="FFFFFF"/>
        </w:rPr>
        <w:t>，主要原因是</w:t>
      </w:r>
      <w:r>
        <w:rPr>
          <w:rFonts w:hint="default" w:ascii="Times New Roman" w:hAnsi="Times New Roman" w:eastAsia="方正仿宋_GBK" w:cs="Times New Roman"/>
          <w:b w:val="0"/>
          <w:bCs/>
          <w:sz w:val="32"/>
          <w:szCs w:val="32"/>
          <w:shd w:val="clear" w:color="auto" w:fill="FFFFFF"/>
        </w:rPr>
        <w:t>认真贯彻落实中央八项规定精神、政</w:t>
      </w:r>
      <w:r>
        <w:rPr>
          <w:rFonts w:hint="eastAsia" w:ascii="方正仿宋_GBK" w:hAnsi="方正仿宋_GBK" w:eastAsia="方正仿宋_GBK" w:cs="方正仿宋_GBK"/>
          <w:b w:val="0"/>
          <w:bCs/>
          <w:sz w:val="32"/>
          <w:szCs w:val="32"/>
          <w:shd w:val="clear" w:color="auto" w:fill="FFFFFF"/>
        </w:rPr>
        <w:t>府过“紧日子”思想和厉行节约要求，从严控制三公经费支出。</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年度本部门因公出国（境）共计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37</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230</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年本部门人均接待费</w:t>
      </w:r>
      <w:r>
        <w:rPr>
          <w:rFonts w:hint="default" w:ascii="Times New Roman" w:hAnsi="Times New Roman" w:eastAsia="方正仿宋_GBK"/>
          <w:b w:val="0"/>
          <w:bCs/>
          <w:sz w:val="32"/>
          <w:szCs w:val="32"/>
          <w:shd w:val="clear" w:color="auto" w:fill="FFFFFF"/>
        </w:rPr>
        <w:t>97.81</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3.35</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ascii="方正仿宋_GBK" w:hAnsi="方正仿宋_GBK"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0.09</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与2023年度相比，减少1.83万元，下降95.3%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根据工作需要，市级部门开展相关会议支出减少。</w:t>
      </w:r>
      <w:r>
        <w:rPr>
          <w:rFonts w:ascii="方正仿宋_GBK" w:hAnsi="方正仿宋_GBK"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20.98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与2023年度相比，增加9.36万元，增长80.6%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根据工作需要，培训人数及次数增加。</w:t>
      </w:r>
      <w:r>
        <w:rPr>
          <w:rFonts w:ascii="方正仿宋_GBK" w:hAnsi="方正仿宋_GBK"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19.93</w:t>
      </w:r>
      <w:r>
        <w:rPr>
          <w:rFonts w:ascii="方正仿宋_GBK" w:hAnsi="方正仿宋_GBK"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与2023年度相比，增加5.64万元，增长39.5%</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根据工作需要，本年度出差向市级部门汇报、交流工作次数增加。</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年度本部门机关运行经费支出</w:t>
      </w:r>
      <w:r>
        <w:rPr>
          <w:rFonts w:hint="default" w:ascii="Times New Roman" w:hAnsi="Times New Roman" w:eastAsia="方正仿宋_GBK"/>
          <w:b w:val="0"/>
          <w:bCs/>
          <w:sz w:val="32"/>
          <w:szCs w:val="32"/>
          <w:shd w:val="clear" w:color="auto" w:fill="FFFFFF"/>
        </w:rPr>
        <w:t>270.54</w:t>
      </w:r>
      <w:r>
        <w:rPr>
          <w:rFonts w:ascii="方正仿宋_GBK" w:hAnsi="方正仿宋_GBK" w:eastAsia="方正仿宋_GBK" w:cs="方正仿宋_GBK"/>
          <w:b w:val="0"/>
          <w:bCs/>
          <w:sz w:val="32"/>
          <w:szCs w:val="32"/>
          <w:shd w:val="clear" w:color="auto" w:fill="FFFFFF"/>
        </w:rPr>
        <w:t>万元，机关运行经费主要用于开支</w:t>
      </w:r>
      <w:r>
        <w:rPr>
          <w:rFonts w:hint="default" w:ascii="Times New Roman" w:hAnsi="Times New Roman" w:eastAsia="方正仿宋_GBK" w:cs="Times New Roman"/>
          <w:b w:val="0"/>
          <w:bCs/>
          <w:sz w:val="32"/>
          <w:szCs w:val="32"/>
          <w:shd w:val="clear" w:color="auto" w:fill="FFFFFF"/>
        </w:rPr>
        <w:t>办公费、印刷费、邮电费、物业管理费、差旅费、会议费、培训费、公务接待费、公务用车运行维护费等保障</w:t>
      </w:r>
      <w:r>
        <w:rPr>
          <w:rFonts w:hint="eastAsia" w:ascii="Times New Roman" w:hAnsi="Times New Roman" w:eastAsia="方正仿宋_GBK" w:cs="Times New Roman"/>
          <w:b w:val="0"/>
          <w:bCs/>
          <w:sz w:val="32"/>
          <w:szCs w:val="32"/>
          <w:shd w:val="clear" w:color="auto" w:fill="FFFFFF"/>
          <w:lang w:val="en-US" w:eastAsia="zh-CN"/>
        </w:rPr>
        <w:t>部门</w:t>
      </w:r>
      <w:r>
        <w:rPr>
          <w:rFonts w:hint="default" w:ascii="Times New Roman" w:hAnsi="Times New Roman" w:eastAsia="方正仿宋_GBK" w:cs="Times New Roman"/>
          <w:b w:val="0"/>
          <w:bCs/>
          <w:sz w:val="32"/>
          <w:szCs w:val="32"/>
          <w:shd w:val="clear" w:color="auto" w:fill="FFFFFF"/>
        </w:rPr>
        <w:t>运行的支出。</w:t>
      </w:r>
      <w:r>
        <w:rPr>
          <w:rFonts w:ascii="方正仿宋_GBK" w:hAnsi="方正仿宋_GBK" w:eastAsia="方正仿宋_GBK" w:cs="方正仿宋_GBK"/>
          <w:b w:val="0"/>
          <w:bCs/>
          <w:sz w:val="32"/>
          <w:szCs w:val="32"/>
          <w:shd w:val="clear" w:color="auto" w:fill="FFFFFF"/>
        </w:rPr>
        <w:t>机关运行经费</w:t>
      </w:r>
      <w:r>
        <w:rPr>
          <w:rFonts w:hint="default" w:ascii="Times New Roman" w:hAnsi="Times New Roman" w:eastAsia="方正仿宋_GBK"/>
          <w:b w:val="0"/>
          <w:bCs/>
          <w:sz w:val="32"/>
          <w:szCs w:val="32"/>
          <w:shd w:val="clear" w:color="auto" w:fill="FFFFFF"/>
        </w:rPr>
        <w:t>较上年支出数增加205.22万元，增长314.2%</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本年新增事业发展经费、事业服务经费等项目，由全部门共同使用。</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日，本部门共有车辆</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3</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年度本部门政府采购支出总额</w:t>
      </w:r>
      <w:r>
        <w:rPr>
          <w:rFonts w:hint="default" w:ascii="Times New Roman" w:hAnsi="Times New Roman" w:eastAsia="方正仿宋_GBK"/>
          <w:b w:val="0"/>
          <w:bCs/>
          <w:sz w:val="32"/>
          <w:szCs w:val="32"/>
          <w:shd w:val="clear" w:color="auto" w:fill="FFFFFF"/>
        </w:rPr>
        <w:t>9.37</w:t>
      </w:r>
      <w:r>
        <w:rPr>
          <w:rFonts w:ascii="方正仿宋_GBK" w:hAnsi="方正仿宋_GBK"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9.37</w:t>
      </w:r>
      <w:r>
        <w:rPr>
          <w:rFonts w:ascii="方正仿宋_GBK" w:hAnsi="方正仿宋_GBK"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9.37</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8.88</w:t>
      </w:r>
      <w:r>
        <w:rPr>
          <w:rFonts w:ascii="方正仿宋_GBK" w:hAnsi="方正仿宋_GBK"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94.7 %</w:t>
      </w:r>
      <w:r>
        <w:rPr>
          <w:rFonts w:ascii="方正仿宋_GBK" w:hAnsi="方正仿宋_GBK" w:eastAsia="方正仿宋_GBK" w:cs="方正仿宋_GBK"/>
          <w:b w:val="0"/>
          <w:bCs/>
          <w:sz w:val="32"/>
          <w:szCs w:val="32"/>
          <w:shd w:val="clear" w:color="auto" w:fill="FFFFFF"/>
        </w:rPr>
        <w:t>。主要用于采购</w:t>
      </w:r>
      <w:r>
        <w:rPr>
          <w:rFonts w:hint="eastAsia" w:ascii="方正仿宋_GBK" w:hAnsi="方正仿宋_GBK" w:eastAsia="方正仿宋_GBK" w:cs="方正仿宋_GBK"/>
          <w:b w:val="0"/>
          <w:bCs/>
          <w:color w:val="auto"/>
          <w:sz w:val="32"/>
          <w:szCs w:val="32"/>
          <w:shd w:val="clear" w:color="auto" w:fill="FFFFFF"/>
          <w:lang w:val="en-US" w:eastAsia="zh-CN"/>
        </w:rPr>
        <w:t>办公电脑等设备。</w:t>
      </w:r>
    </w:p>
    <w:p>
      <w:pPr>
        <w:pStyle w:val="11"/>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8"/>
          <w:rFonts w:hint="eastAsia" w:ascii="黑体" w:hAnsi="黑体" w:eastAsia="黑体" w:cs="黑体"/>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（一）</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default" w:ascii="楷体" w:hAnsi="楷体" w:eastAsia="楷体" w:cs="楷体"/>
          <w:b w:val="0"/>
          <w:bCs/>
          <w:sz w:val="32"/>
          <w:szCs w:val="32"/>
          <w:shd w:val="clear" w:color="auto" w:fill="FFFFFF"/>
          <w:lang w:val="en-US" w:eastAsia="zh-CN" w:bidi="ar"/>
        </w:rPr>
      </w:pPr>
      <w:r>
        <w:rPr>
          <w:rFonts w:hint="eastAsia" w:ascii="方正仿宋_GBK" w:hAnsi="方正仿宋_GBK" w:eastAsia="方正仿宋_GBK" w:cs="方正仿宋_GBK"/>
          <w:b w:val="0"/>
          <w:bCs/>
          <w:sz w:val="32"/>
          <w:szCs w:val="32"/>
          <w:shd w:val="clear" w:color="auto" w:fill="FFFFFF"/>
          <w:lang w:bidi="ar"/>
        </w:rPr>
        <w:t>根据预算绩效管理要求，我</w:t>
      </w:r>
      <w:r>
        <w:rPr>
          <w:rFonts w:hint="eastAsia" w:ascii="方正仿宋_GBK" w:hAnsi="方正仿宋_GBK" w:eastAsia="方正仿宋_GBK" w:cs="方正仿宋_GBK"/>
          <w:b w:val="0"/>
          <w:bCs/>
          <w:sz w:val="32"/>
          <w:szCs w:val="32"/>
          <w:shd w:val="clear" w:color="auto" w:fill="FFFFFF"/>
          <w:lang w:val="en-US" w:eastAsia="zh-CN" w:bidi="ar"/>
        </w:rPr>
        <w:t>单位</w:t>
      </w:r>
      <w:r>
        <w:rPr>
          <w:rFonts w:hint="eastAsia" w:ascii="方正仿宋_GBK" w:hAnsi="方正仿宋_GBK" w:eastAsia="方正仿宋_GBK" w:cs="方正仿宋_GBK"/>
          <w:b w:val="0"/>
          <w:bCs/>
          <w:sz w:val="32"/>
          <w:szCs w:val="32"/>
          <w:shd w:val="clear" w:color="auto" w:fill="FFFFFF"/>
          <w:lang w:bidi="ar"/>
        </w:rPr>
        <w:t>对</w:t>
      </w:r>
      <w:r>
        <w:rPr>
          <w:rFonts w:hint="default" w:ascii="Times New Roman" w:hAnsi="Times New Roman" w:eastAsia="方正仿宋_GBK" w:cs="Times New Roman"/>
          <w:b w:val="0"/>
          <w:bCs/>
          <w:sz w:val="32"/>
          <w:szCs w:val="32"/>
          <w:shd w:val="clear" w:color="auto" w:fill="FFFFFF"/>
          <w:lang w:val="en-US" w:eastAsia="zh-CN" w:bidi="ar"/>
        </w:rPr>
        <w:t>52</w:t>
      </w:r>
      <w:r>
        <w:rPr>
          <w:rFonts w:hint="eastAsia" w:ascii="方正仿宋_GBK" w:hAnsi="方正仿宋_GBK" w:eastAsia="方正仿宋_GBK" w:cs="方正仿宋_GBK"/>
          <w:b w:val="0"/>
          <w:bCs/>
          <w:sz w:val="32"/>
          <w:szCs w:val="32"/>
          <w:shd w:val="clear" w:color="auto" w:fill="FFFFFF"/>
          <w:lang w:bidi="ar"/>
        </w:rPr>
        <w:t>个项目开展了绩效自评，涉及项目支出资金</w:t>
      </w:r>
      <w:r>
        <w:rPr>
          <w:rFonts w:hint="eastAsia" w:ascii="Times New Roman" w:hAnsi="Times New Roman" w:eastAsia="仿宋_GB2312" w:cs="Times New Roman"/>
          <w:b w:val="0"/>
          <w:bCs/>
          <w:sz w:val="32"/>
          <w:szCs w:val="32"/>
          <w:lang w:val="en-US" w:eastAsia="zh-CN"/>
        </w:rPr>
        <w:t>55216.44</w:t>
      </w:r>
      <w:r>
        <w:rPr>
          <w:rFonts w:hint="default" w:ascii="Times New Roman" w:hAnsi="Times New Roman" w:eastAsia="仿宋_GB2312" w:cs="Times New Roman"/>
          <w:b w:val="0"/>
          <w:bCs/>
          <w:sz w:val="32"/>
          <w:szCs w:val="32"/>
          <w:lang w:val="en-US" w:eastAsia="zh-CN"/>
        </w:rPr>
        <w:t>万元，预算执行率</w:t>
      </w:r>
      <w:r>
        <w:rPr>
          <w:rFonts w:hint="eastAsia" w:ascii="Times New Roman" w:hAnsi="Times New Roman" w:eastAsia="仿宋_GB2312" w:cs="Times New Roman"/>
          <w:b w:val="0"/>
          <w:bCs/>
          <w:sz w:val="32"/>
          <w:szCs w:val="32"/>
          <w:lang w:val="en-US" w:eastAsia="zh-CN"/>
        </w:rPr>
        <w:t>73.4%</w:t>
      </w:r>
      <w:r>
        <w:rPr>
          <w:rFonts w:hint="default" w:ascii="Times New Roman" w:hAnsi="Times New Roman" w:eastAsia="仿宋_GB2312" w:cs="Times New Roman"/>
          <w:b w:val="0"/>
          <w:bCs/>
          <w:sz w:val="32"/>
          <w:szCs w:val="32"/>
          <w:lang w:val="en-US" w:eastAsia="zh-CN"/>
        </w:rPr>
        <w:t>，整体支出评价得分</w:t>
      </w:r>
      <w:r>
        <w:rPr>
          <w:rFonts w:hint="eastAsia" w:ascii="Times New Roman" w:hAnsi="Times New Roman" w:eastAsia="仿宋_GB2312" w:cs="Times New Roman"/>
          <w:b w:val="0"/>
          <w:bCs/>
          <w:color w:val="auto"/>
          <w:sz w:val="32"/>
          <w:szCs w:val="32"/>
          <w:lang w:val="en-US" w:eastAsia="zh-CN"/>
        </w:rPr>
        <w:t>88.74</w:t>
      </w:r>
      <w:r>
        <w:rPr>
          <w:rFonts w:hint="default" w:ascii="Times New Roman" w:hAnsi="Times New Roman" w:eastAsia="仿宋_GB2312" w:cs="Times New Roman"/>
          <w:b w:val="0"/>
          <w:bCs/>
          <w:sz w:val="32"/>
          <w:szCs w:val="32"/>
          <w:lang w:val="en-US" w:eastAsia="zh-CN"/>
        </w:rPr>
        <w:t>分。</w:t>
      </w:r>
    </w:p>
    <w:tbl>
      <w:tblPr>
        <w:tblStyle w:val="9"/>
        <w:tblW w:w="9110" w:type="dxa"/>
        <w:tblInd w:w="93" w:type="dxa"/>
        <w:tblLayout w:type="fixed"/>
        <w:tblCellMar>
          <w:top w:w="0" w:type="dxa"/>
          <w:left w:w="108" w:type="dxa"/>
          <w:bottom w:w="0" w:type="dxa"/>
          <w:right w:w="108" w:type="dxa"/>
        </w:tblCellMar>
      </w:tblPr>
      <w:tblGrid>
        <w:gridCol w:w="600"/>
        <w:gridCol w:w="56"/>
        <w:gridCol w:w="694"/>
        <w:gridCol w:w="186"/>
        <w:gridCol w:w="489"/>
        <w:gridCol w:w="171"/>
        <w:gridCol w:w="549"/>
        <w:gridCol w:w="151"/>
        <w:gridCol w:w="680"/>
        <w:gridCol w:w="84"/>
        <w:gridCol w:w="616"/>
        <w:gridCol w:w="74"/>
        <w:gridCol w:w="343"/>
        <w:gridCol w:w="357"/>
        <w:gridCol w:w="5"/>
        <w:gridCol w:w="940"/>
        <w:gridCol w:w="5"/>
        <w:gridCol w:w="536"/>
        <w:gridCol w:w="244"/>
        <w:gridCol w:w="590"/>
        <w:gridCol w:w="205"/>
        <w:gridCol w:w="495"/>
        <w:gridCol w:w="773"/>
        <w:gridCol w:w="267"/>
      </w:tblGrid>
      <w:tr>
        <w:tblPrEx>
          <w:tblLayout w:type="fixed"/>
          <w:tblCellMar>
            <w:top w:w="0" w:type="dxa"/>
            <w:left w:w="108" w:type="dxa"/>
            <w:bottom w:w="0" w:type="dxa"/>
            <w:right w:w="108" w:type="dxa"/>
          </w:tblCellMar>
        </w:tblPrEx>
        <w:trPr>
          <w:trHeight w:val="799" w:hRule="atLeast"/>
        </w:trPr>
        <w:tc>
          <w:tcPr>
            <w:tcW w:w="9110" w:type="dxa"/>
            <w:gridSpan w:val="24"/>
            <w:tcBorders>
              <w:top w:val="nil"/>
              <w:left w:val="nil"/>
              <w:bottom w:val="single" w:color="auto" w:sz="4" w:space="0"/>
              <w:right w:val="nil"/>
            </w:tcBorders>
            <w:shd w:val="clear" w:color="auto" w:fill="auto"/>
            <w:vAlign w:val="center"/>
          </w:tcPr>
          <w:p>
            <w:pPr>
              <w:jc w:val="center"/>
              <w:rPr>
                <w:rFonts w:hint="eastAsia" w:ascii="方正小标宋_GBK" w:hAnsi="方正小标宋_GBK" w:eastAsia="方正小标宋_GBK" w:cs="方正小标宋_GBK"/>
                <w:b w:val="0"/>
                <w:bCs/>
                <w:color w:val="000000"/>
                <w:sz w:val="32"/>
                <w:szCs w:val="32"/>
              </w:rPr>
            </w:pPr>
            <w:r>
              <w:rPr>
                <w:rFonts w:hint="eastAsia" w:ascii="方正小标宋_GBK" w:hAnsi="方正小标宋_GBK" w:eastAsia="方正小标宋_GBK" w:cs="方正小标宋_GBK"/>
                <w:b w:val="0"/>
                <w:bCs/>
                <w:color w:val="000000"/>
                <w:sz w:val="32"/>
                <w:szCs w:val="32"/>
              </w:rPr>
              <w:t>秀山土家族苗族自治县住房和城乡建设委员会</w:t>
            </w:r>
          </w:p>
          <w:p>
            <w:pPr>
              <w:jc w:val="center"/>
              <w:rPr>
                <w:rFonts w:hint="default" w:ascii="Times New Roman" w:hAnsi="Times New Roman" w:eastAsia="方正仿宋_GBK" w:cs="Times New Roman"/>
                <w:b w:val="0"/>
                <w:bCs/>
                <w:color w:val="000000"/>
                <w:sz w:val="32"/>
                <w:szCs w:val="32"/>
              </w:rPr>
            </w:pPr>
            <w:r>
              <w:rPr>
                <w:rFonts w:hint="eastAsia" w:ascii="方正小标宋_GBK" w:hAnsi="方正小标宋_GBK" w:eastAsia="方正小标宋_GBK" w:cs="方正小标宋_GBK"/>
                <w:b w:val="0"/>
                <w:bCs/>
                <w:color w:val="000000"/>
                <w:sz w:val="32"/>
                <w:szCs w:val="32"/>
              </w:rPr>
              <w:t>202</w:t>
            </w:r>
            <w:r>
              <w:rPr>
                <w:rFonts w:hint="eastAsia" w:ascii="方正小标宋_GBK" w:hAnsi="方正小标宋_GBK" w:eastAsia="方正小标宋_GBK" w:cs="方正小标宋_GBK"/>
                <w:b w:val="0"/>
                <w:bCs/>
                <w:color w:val="000000"/>
                <w:sz w:val="32"/>
                <w:szCs w:val="32"/>
                <w:lang w:val="en-US" w:eastAsia="zh-CN"/>
              </w:rPr>
              <w:t>4</w:t>
            </w:r>
            <w:r>
              <w:rPr>
                <w:rFonts w:hint="eastAsia" w:ascii="方正小标宋_GBK" w:hAnsi="方正小标宋_GBK" w:eastAsia="方正小标宋_GBK" w:cs="方正小标宋_GBK"/>
                <w:b w:val="0"/>
                <w:bCs/>
                <w:color w:val="000000"/>
                <w:sz w:val="32"/>
                <w:szCs w:val="32"/>
              </w:rPr>
              <w:t>年度部门整体绩效自评表</w:t>
            </w:r>
          </w:p>
        </w:tc>
      </w:tr>
      <w:tr>
        <w:tblPrEx>
          <w:tblLayout w:type="fixed"/>
          <w:tblCellMar>
            <w:top w:w="0" w:type="dxa"/>
            <w:left w:w="108" w:type="dxa"/>
            <w:bottom w:w="0" w:type="dxa"/>
            <w:right w:w="108" w:type="dxa"/>
          </w:tblCellMar>
        </w:tblPrEx>
        <w:trPr>
          <w:trHeight w:val="930"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主管部门</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秀山土家族苗族自治县住房和城乡建设委员会</w:t>
            </w:r>
          </w:p>
        </w:tc>
        <w:tc>
          <w:tcPr>
            <w:tcW w:w="68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部门编码</w:t>
            </w:r>
          </w:p>
        </w:tc>
        <w:tc>
          <w:tcPr>
            <w:tcW w:w="1117" w:type="dxa"/>
            <w:gridSpan w:val="4"/>
            <w:tcBorders>
              <w:top w:val="single" w:color="auto" w:sz="4" w:space="0"/>
              <w:left w:val="nil"/>
              <w:bottom w:val="single" w:color="auto" w:sz="4" w:space="0"/>
              <w:right w:val="single" w:color="auto" w:sz="4" w:space="0"/>
            </w:tcBorders>
            <w:shd w:val="clear" w:color="auto" w:fill="auto"/>
            <w:vAlign w:val="center"/>
          </w:tcPr>
          <w:p>
            <w:pPr>
              <w:ind w:firstLine="220" w:firstLineChars="100"/>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203</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自评总分：</w:t>
            </w:r>
          </w:p>
        </w:tc>
        <w:tc>
          <w:tcPr>
            <w:tcW w:w="2574"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88.74</w:t>
            </w:r>
          </w:p>
        </w:tc>
      </w:tr>
      <w:tr>
        <w:tblPrEx>
          <w:tblLayout w:type="fixed"/>
          <w:tblCellMar>
            <w:top w:w="0" w:type="dxa"/>
            <w:left w:w="108" w:type="dxa"/>
            <w:bottom w:w="0" w:type="dxa"/>
            <w:right w:w="108" w:type="dxa"/>
          </w:tblCellMar>
        </w:tblPrEx>
        <w:trPr>
          <w:trHeight w:val="942"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部门联系人</w:t>
            </w:r>
          </w:p>
        </w:tc>
        <w:tc>
          <w:tcPr>
            <w:tcW w:w="4037" w:type="dxa"/>
            <w:gridSpan w:val="11"/>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彭文祥</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联系电话：</w:t>
            </w:r>
          </w:p>
        </w:tc>
        <w:tc>
          <w:tcPr>
            <w:tcW w:w="2574"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023-76671508</w:t>
            </w:r>
          </w:p>
        </w:tc>
      </w:tr>
      <w:tr>
        <w:tblPrEx>
          <w:tblLayout w:type="fixed"/>
          <w:tblCellMar>
            <w:top w:w="0" w:type="dxa"/>
            <w:left w:w="108" w:type="dxa"/>
            <w:bottom w:w="0" w:type="dxa"/>
            <w:right w:w="108" w:type="dxa"/>
          </w:tblCellMar>
        </w:tblPrEx>
        <w:trPr>
          <w:trHeight w:val="600"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年初预算数</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全年（调整）预算数</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全年执行数</w:t>
            </w:r>
          </w:p>
        </w:tc>
        <w:tc>
          <w:tcPr>
            <w:tcW w:w="834"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执行率</w:t>
            </w:r>
          </w:p>
        </w:tc>
        <w:tc>
          <w:tcPr>
            <w:tcW w:w="700" w:type="dxa"/>
            <w:gridSpan w:val="2"/>
            <w:tcBorders>
              <w:top w:val="nil"/>
              <w:left w:val="nil"/>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执行率权重</w:t>
            </w:r>
          </w:p>
        </w:tc>
        <w:tc>
          <w:tcPr>
            <w:tcW w:w="1040"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执行率得分</w:t>
            </w:r>
          </w:p>
        </w:tc>
      </w:tr>
      <w:tr>
        <w:tblPrEx>
          <w:tblLayout w:type="fixed"/>
          <w:tblCellMar>
            <w:top w:w="0" w:type="dxa"/>
            <w:left w:w="108" w:type="dxa"/>
            <w:bottom w:w="0" w:type="dxa"/>
            <w:right w:w="108" w:type="dxa"/>
          </w:tblCellMar>
        </w:tblPrEx>
        <w:trPr>
          <w:trHeight w:val="1380"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年度总金额</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30107.32</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eastAsia" w:ascii="Times New Roman" w:hAnsi="Times New Roman" w:eastAsia="方正仿宋_GBK" w:cs="Times New Roman"/>
                <w:b w:val="0"/>
                <w:bCs/>
                <w:color w:val="000000"/>
                <w:sz w:val="22"/>
                <w:szCs w:val="22"/>
                <w:lang w:val="en-US" w:eastAsia="zh-CN"/>
              </w:rPr>
              <w:t>75,221.9</w:t>
            </w:r>
            <w:r>
              <w:rPr>
                <w:rFonts w:hint="default" w:ascii="Times New Roman" w:hAnsi="Times New Roman" w:eastAsia="方正仿宋_GBK" w:cs="Times New Roman"/>
                <w:b w:val="0"/>
                <w:bCs/>
                <w:color w:val="000000"/>
                <w:sz w:val="22"/>
                <w:szCs w:val="22"/>
                <w:lang w:val="en-US" w:eastAsia="zh-CN"/>
              </w:rPr>
              <w:t>9</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eastAsia" w:ascii="Times New Roman" w:hAnsi="Times New Roman" w:eastAsia="方正仿宋_GBK" w:cs="Times New Roman"/>
                <w:b w:val="0"/>
                <w:bCs/>
                <w:color w:val="000000"/>
                <w:sz w:val="22"/>
                <w:szCs w:val="22"/>
                <w:lang w:val="en-US" w:eastAsia="zh-CN"/>
              </w:rPr>
              <w:t>55216.44</w:t>
            </w:r>
            <w:r>
              <w:rPr>
                <w:rFonts w:hint="default" w:ascii="Times New Roman" w:hAnsi="Times New Roman" w:eastAsia="方正仿宋_GBK" w:cs="Times New Roman"/>
                <w:b w:val="0"/>
                <w:bCs/>
                <w:color w:val="000000"/>
                <w:sz w:val="22"/>
                <w:szCs w:val="22"/>
              </w:rPr>
              <w:t xml:space="preserve"> </w:t>
            </w:r>
          </w:p>
        </w:tc>
        <w:tc>
          <w:tcPr>
            <w:tcW w:w="834" w:type="dxa"/>
            <w:gridSpan w:val="2"/>
            <w:tcBorders>
              <w:top w:val="nil"/>
              <w:left w:val="nil"/>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w:t>
            </w:r>
          </w:p>
        </w:tc>
        <w:tc>
          <w:tcPr>
            <w:tcW w:w="700" w:type="dxa"/>
            <w:gridSpan w:val="2"/>
            <w:tcBorders>
              <w:top w:val="nil"/>
              <w:left w:val="nil"/>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w:t>
            </w:r>
          </w:p>
        </w:tc>
        <w:tc>
          <w:tcPr>
            <w:tcW w:w="1040" w:type="dxa"/>
            <w:gridSpan w:val="2"/>
            <w:tcBorders>
              <w:top w:val="nil"/>
              <w:left w:val="nil"/>
              <w:bottom w:val="single" w:color="auto" w:sz="4" w:space="0"/>
              <w:right w:val="single" w:color="auto" w:sz="4" w:space="0"/>
            </w:tcBorders>
            <w:shd w:val="clear" w:color="auto" w:fill="auto"/>
            <w:vAlign w:val="center"/>
          </w:tcPr>
          <w:p>
            <w:pPr>
              <w:ind w:firstLine="220" w:firstLineChars="100"/>
              <w:jc w:val="right"/>
              <w:rPr>
                <w:rFonts w:hint="default" w:ascii="Times New Roman" w:hAnsi="Times New Roman" w:eastAsia="方正仿宋_GBK" w:cs="Times New Roman"/>
                <w:b w:val="0"/>
                <w:bCs/>
                <w:sz w:val="22"/>
                <w:szCs w:val="22"/>
              </w:rPr>
            </w:pPr>
            <w:r>
              <w:rPr>
                <w:rFonts w:hint="default" w:ascii="Times New Roman" w:hAnsi="Times New Roman" w:eastAsia="方正仿宋_GBK" w:cs="Times New Roman"/>
                <w:b w:val="0"/>
                <w:bCs/>
                <w:sz w:val="22"/>
                <w:szCs w:val="22"/>
              </w:rPr>
              <w:t>—</w:t>
            </w:r>
          </w:p>
        </w:tc>
      </w:tr>
      <w:tr>
        <w:tblPrEx>
          <w:tblLayout w:type="fixed"/>
          <w:tblCellMar>
            <w:top w:w="0" w:type="dxa"/>
            <w:left w:w="108" w:type="dxa"/>
            <w:bottom w:w="0" w:type="dxa"/>
            <w:right w:w="108" w:type="dxa"/>
          </w:tblCellMar>
        </w:tblPrEx>
        <w:trPr>
          <w:trHeight w:val="1519"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其中：财政拨款</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eastAsia" w:ascii="Times New Roman" w:hAnsi="Times New Roman" w:eastAsia="方正仿宋_GBK" w:cs="Times New Roman"/>
                <w:b w:val="0"/>
                <w:bCs/>
                <w:color w:val="000000"/>
                <w:sz w:val="22"/>
                <w:szCs w:val="22"/>
                <w:lang w:val="en-US" w:eastAsia="zh-CN"/>
              </w:rPr>
              <w:t>30107.32</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eastAsia" w:ascii="Times New Roman" w:hAnsi="Times New Roman" w:eastAsia="方正仿宋_GBK" w:cs="Times New Roman"/>
                <w:b w:val="0"/>
                <w:bCs/>
                <w:color w:val="000000"/>
                <w:sz w:val="22"/>
                <w:szCs w:val="22"/>
                <w:lang w:val="en-US" w:eastAsia="zh-CN"/>
              </w:rPr>
              <w:t>75,221.9</w:t>
            </w:r>
            <w:r>
              <w:rPr>
                <w:rFonts w:hint="default" w:ascii="Times New Roman" w:hAnsi="Times New Roman" w:eastAsia="方正仿宋_GBK" w:cs="Times New Roman"/>
                <w:b w:val="0"/>
                <w:bCs/>
                <w:color w:val="000000"/>
                <w:sz w:val="22"/>
                <w:szCs w:val="22"/>
                <w:lang w:val="en-US" w:eastAsia="zh-CN"/>
              </w:rPr>
              <w:t>9</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eastAsia" w:ascii="Times New Roman" w:hAnsi="Times New Roman" w:eastAsia="方正仿宋_GBK" w:cs="Times New Roman"/>
                <w:b w:val="0"/>
                <w:bCs/>
                <w:color w:val="000000"/>
                <w:sz w:val="22"/>
                <w:szCs w:val="22"/>
                <w:lang w:val="en-US" w:eastAsia="zh-CN"/>
              </w:rPr>
              <w:t>55216.44</w:t>
            </w:r>
            <w:r>
              <w:rPr>
                <w:rFonts w:hint="default" w:ascii="Times New Roman" w:hAnsi="Times New Roman" w:eastAsia="方正仿宋_GBK" w:cs="Times New Roman"/>
                <w:b w:val="0"/>
                <w:bCs/>
                <w:color w:val="000000"/>
                <w:sz w:val="22"/>
                <w:szCs w:val="22"/>
              </w:rPr>
              <w:t xml:space="preserve"> </w:t>
            </w:r>
          </w:p>
        </w:tc>
        <w:tc>
          <w:tcPr>
            <w:tcW w:w="834" w:type="dxa"/>
            <w:gridSpan w:val="2"/>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73.40</w:t>
            </w:r>
          </w:p>
        </w:tc>
        <w:tc>
          <w:tcPr>
            <w:tcW w:w="700" w:type="dxa"/>
            <w:gridSpan w:val="2"/>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10</w:t>
            </w:r>
          </w:p>
        </w:tc>
        <w:tc>
          <w:tcPr>
            <w:tcW w:w="1040" w:type="dxa"/>
            <w:gridSpan w:val="2"/>
            <w:tcBorders>
              <w:top w:val="nil"/>
              <w:left w:val="nil"/>
              <w:bottom w:val="single" w:color="auto" w:sz="4" w:space="0"/>
              <w:right w:val="single" w:color="auto" w:sz="4" w:space="0"/>
            </w:tcBorders>
            <w:shd w:val="clear" w:color="auto" w:fill="auto"/>
            <w:vAlign w:val="center"/>
          </w:tcPr>
          <w:p>
            <w:pPr>
              <w:ind w:firstLine="220" w:firstLineChars="100"/>
              <w:jc w:val="right"/>
              <w:rPr>
                <w:rFonts w:hint="eastAsia" w:ascii="Times New Roman" w:hAnsi="Times New Roman" w:eastAsia="方正仿宋_GBK" w:cs="Times New Roman"/>
                <w:b w:val="0"/>
                <w:bCs/>
                <w:sz w:val="22"/>
                <w:szCs w:val="22"/>
                <w:lang w:val="en-US" w:eastAsia="zh-CN"/>
              </w:rPr>
            </w:pPr>
            <w:r>
              <w:rPr>
                <w:rFonts w:hint="eastAsia" w:ascii="Times New Roman" w:hAnsi="Times New Roman" w:eastAsia="方正仿宋_GBK" w:cs="Times New Roman"/>
                <w:b w:val="0"/>
                <w:bCs/>
                <w:sz w:val="22"/>
                <w:szCs w:val="22"/>
                <w:lang w:val="en-US" w:eastAsia="zh-CN"/>
              </w:rPr>
              <w:t>7.34</w:t>
            </w:r>
          </w:p>
        </w:tc>
      </w:tr>
      <w:tr>
        <w:tblPrEx>
          <w:tblLayout w:type="fixed"/>
          <w:tblCellMar>
            <w:top w:w="0" w:type="dxa"/>
            <w:left w:w="108" w:type="dxa"/>
            <w:bottom w:w="0" w:type="dxa"/>
            <w:right w:w="108" w:type="dxa"/>
          </w:tblCellMar>
        </w:tblPrEx>
        <w:trPr>
          <w:trHeight w:val="1519"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一般公共预算</w:t>
            </w:r>
          </w:p>
        </w:tc>
        <w:tc>
          <w:tcPr>
            <w:tcW w:w="2240"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27549.01</w:t>
            </w:r>
          </w:p>
        </w:tc>
        <w:tc>
          <w:tcPr>
            <w:tcW w:w="1797"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50984.67</w:t>
            </w:r>
          </w:p>
        </w:tc>
        <w:tc>
          <w:tcPr>
            <w:tcW w:w="1843"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32113.98</w:t>
            </w:r>
          </w:p>
        </w:tc>
        <w:tc>
          <w:tcPr>
            <w:tcW w:w="834" w:type="dxa"/>
            <w:gridSpan w:val="2"/>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方正仿宋_GBK" w:cs="Times New Roman"/>
                <w:b w:val="0"/>
                <w:bCs/>
                <w:color w:val="000000"/>
                <w:sz w:val="22"/>
                <w:szCs w:val="22"/>
                <w:lang w:val="en-US" w:eastAsia="zh-CN"/>
              </w:rPr>
            </w:pPr>
            <w:r>
              <w:rPr>
                <w:rFonts w:hint="eastAsia" w:ascii="Times New Roman" w:hAnsi="Times New Roman" w:eastAsia="方正仿宋_GBK" w:cs="Times New Roman"/>
                <w:b w:val="0"/>
                <w:bCs/>
                <w:color w:val="000000"/>
                <w:sz w:val="22"/>
                <w:szCs w:val="22"/>
                <w:lang w:val="en-US" w:eastAsia="zh-CN"/>
              </w:rPr>
              <w:t>62.99</w:t>
            </w:r>
          </w:p>
        </w:tc>
        <w:tc>
          <w:tcPr>
            <w:tcW w:w="700" w:type="dxa"/>
            <w:gridSpan w:val="2"/>
            <w:tcBorders>
              <w:top w:val="nil"/>
              <w:left w:val="nil"/>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ind w:firstLine="220" w:firstLineChars="100"/>
              <w:jc w:val="right"/>
              <w:rPr>
                <w:rFonts w:hint="default" w:ascii="Times New Roman" w:hAnsi="Times New Roman" w:eastAsia="方正仿宋_GBK" w:cs="Times New Roman"/>
                <w:b w:val="0"/>
                <w:bCs/>
                <w:sz w:val="22"/>
                <w:szCs w:val="22"/>
              </w:rPr>
            </w:pPr>
          </w:p>
        </w:tc>
      </w:tr>
      <w:tr>
        <w:tblPrEx>
          <w:tblLayout w:type="fixed"/>
          <w:tblCellMar>
            <w:top w:w="0" w:type="dxa"/>
            <w:left w:w="108" w:type="dxa"/>
            <w:bottom w:w="0" w:type="dxa"/>
            <w:right w:w="108" w:type="dxa"/>
          </w:tblCellMar>
        </w:tblPrEx>
        <w:trPr>
          <w:trHeight w:val="540" w:hRule="atLeast"/>
        </w:trPr>
        <w:tc>
          <w:tcPr>
            <w:tcW w:w="6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当年绩效目标</w:t>
            </w:r>
          </w:p>
        </w:tc>
        <w:tc>
          <w:tcPr>
            <w:tcW w:w="2920" w:type="dxa"/>
            <w:gridSpan w:val="7"/>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年初绩效目标</w:t>
            </w:r>
          </w:p>
        </w:tc>
        <w:tc>
          <w:tcPr>
            <w:tcW w:w="2960" w:type="dxa"/>
            <w:gridSpan w:val="9"/>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全年（调整）绩效目标</w:t>
            </w:r>
          </w:p>
        </w:tc>
        <w:tc>
          <w:tcPr>
            <w:tcW w:w="2574" w:type="dxa"/>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全年目标实际完成情况</w:t>
            </w:r>
          </w:p>
        </w:tc>
      </w:tr>
      <w:tr>
        <w:tblPrEx>
          <w:tblLayout w:type="fixed"/>
          <w:tblCellMar>
            <w:top w:w="0" w:type="dxa"/>
            <w:left w:w="108" w:type="dxa"/>
            <w:bottom w:w="0" w:type="dxa"/>
            <w:right w:w="108" w:type="dxa"/>
          </w:tblCellMar>
        </w:tblPrEx>
        <w:trPr>
          <w:trHeight w:val="5955"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2920" w:type="dxa"/>
            <w:gridSpan w:val="7"/>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按照县委、县政府工作安排，以“抓建设、强管理、促稳定、树形象”的工作思路，实施城市道路建设项目9.3公里；建设城市污水管网10.5公里；保障农村低收入群众等重点对象动态新增危房改造104户；建成14个传统村落集中连片保护示范县创建项目;完成老旧小区改造工程项目7个、2857户；完成城市危旧房改造30户；继续推进海绵城市建设项目0.5平方公里；保障公租房小区正常运行运转。</w:t>
            </w:r>
          </w:p>
        </w:tc>
        <w:tc>
          <w:tcPr>
            <w:tcW w:w="2960" w:type="dxa"/>
            <w:gridSpan w:val="9"/>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按照县委、县政府工作安排，以“抓建设、强管理、促稳定、树形象”的工作思路，实施城市道路建设项目9.3公里；建设城市污水管网10.5公里；保障农村低收入群众等重点对象动态新增危房改造104户；建成14个传统村落集中连片保护示范县创建项目;完成老旧小区改造工程项目7个、2857户；完成城市危旧房改造30户；继续推进海绵城市建设项目0.5平方公里；保障公租房小区正常运行运转。</w:t>
            </w:r>
          </w:p>
        </w:tc>
        <w:tc>
          <w:tcPr>
            <w:tcW w:w="2574" w:type="dxa"/>
            <w:gridSpan w:val="6"/>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按照县委、县政府工作安排，以“抓建设、强管理、促稳定、树形象”的工作思路，实施城市道路建设项目9.3公里；建设城市污水管网10公里；保障农村低收入群众等重点对象动态新增危房改造100户；建成14个传统村落集中连片保护示范县创建项目;完成老旧小区改造工程项目7个、2857户；完成城市危旧房改造30户；继续推进海绵城市建设项目0.5平方公里；保障公租房小区正常运行运转。</w:t>
            </w:r>
          </w:p>
        </w:tc>
      </w:tr>
      <w:tr>
        <w:tblPrEx>
          <w:tblLayout w:type="fixed"/>
          <w:tblCellMar>
            <w:top w:w="0" w:type="dxa"/>
            <w:left w:w="108" w:type="dxa"/>
            <w:bottom w:w="0" w:type="dxa"/>
            <w:right w:w="108" w:type="dxa"/>
          </w:tblCellMar>
        </w:tblPrEx>
        <w:trPr>
          <w:trHeight w:val="960" w:hRule="atLeast"/>
        </w:trPr>
        <w:tc>
          <w:tcPr>
            <w:tcW w:w="6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绩效指标</w:t>
            </w:r>
          </w:p>
        </w:tc>
        <w:tc>
          <w:tcPr>
            <w:tcW w:w="880"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指标名称</w:t>
            </w:r>
          </w:p>
        </w:tc>
        <w:tc>
          <w:tcPr>
            <w:tcW w:w="660"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计量单位</w:t>
            </w:r>
          </w:p>
        </w:tc>
        <w:tc>
          <w:tcPr>
            <w:tcW w:w="700"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指标性质</w:t>
            </w:r>
          </w:p>
        </w:tc>
        <w:tc>
          <w:tcPr>
            <w:tcW w:w="680"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指标值</w:t>
            </w:r>
          </w:p>
        </w:tc>
        <w:tc>
          <w:tcPr>
            <w:tcW w:w="700"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全年完成值</w:t>
            </w:r>
          </w:p>
        </w:tc>
        <w:tc>
          <w:tcPr>
            <w:tcW w:w="774" w:type="dxa"/>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偏离度（%）</w:t>
            </w:r>
          </w:p>
        </w:tc>
        <w:tc>
          <w:tcPr>
            <w:tcW w:w="945"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得分系数（%）</w:t>
            </w:r>
          </w:p>
        </w:tc>
        <w:tc>
          <w:tcPr>
            <w:tcW w:w="541"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指标权重</w:t>
            </w:r>
          </w:p>
        </w:tc>
        <w:tc>
          <w:tcPr>
            <w:tcW w:w="834" w:type="dxa"/>
            <w:gridSpan w:val="2"/>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指标得分</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说明</w:t>
            </w:r>
          </w:p>
        </w:tc>
      </w:tr>
      <w:tr>
        <w:tblPrEx>
          <w:tblLayout w:type="fixed"/>
          <w:tblCellMar>
            <w:top w:w="0" w:type="dxa"/>
            <w:left w:w="108" w:type="dxa"/>
            <w:bottom w:w="0" w:type="dxa"/>
            <w:right w:w="108" w:type="dxa"/>
          </w:tblCellMar>
        </w:tblPrEx>
        <w:trPr>
          <w:trHeight w:val="1902"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保障农村低收入群众等重点对象动态新增危房改造</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户</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104</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100</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3.85</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61.5</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eastAsia="宋体" w:cs="Times New Roman"/>
                <w:b w:val="0"/>
                <w:bCs/>
                <w:color w:val="000000"/>
                <w:sz w:val="22"/>
                <w:szCs w:val="22"/>
                <w:lang w:val="en-US" w:eastAsia="zh-CN"/>
              </w:rPr>
            </w:pPr>
            <w:r>
              <w:rPr>
                <w:rFonts w:hint="default" w:ascii="Times New Roman" w:hAnsi="Times New Roman" w:eastAsia="宋体" w:cs="Times New Roman"/>
                <w:b w:val="0"/>
                <w:bCs/>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6.15</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56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三季度预算执行进度</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75</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75</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5</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5</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459"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完成城市道路建设项目</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公里</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9.3</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9.3</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12</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12</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完成城市危旧房改造任务</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户</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30</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30</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9</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eastAsia="zh-CN"/>
              </w:rPr>
            </w:pPr>
            <w:r>
              <w:rPr>
                <w:rFonts w:hint="eastAsia" w:ascii="Times New Roman" w:hAnsi="Times New Roman" w:cs="Times New Roman"/>
                <w:b w:val="0"/>
                <w:bCs/>
                <w:color w:val="000000"/>
                <w:sz w:val="22"/>
                <w:szCs w:val="22"/>
                <w:lang w:val="en-US" w:eastAsia="zh-CN"/>
              </w:rPr>
              <w:t>9</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完成城市污水管网建设任务</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公里</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nil"/>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10.5</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4.76</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52.4</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12</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6.29</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完成老旧小区改造项目</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个</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7</w:t>
            </w:r>
          </w:p>
        </w:tc>
        <w:tc>
          <w:tcPr>
            <w:tcW w:w="700" w:type="dxa"/>
            <w:gridSpan w:val="2"/>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eastAsia="zh-CN"/>
              </w:rPr>
            </w:pPr>
            <w:r>
              <w:rPr>
                <w:rFonts w:hint="eastAsia" w:ascii="Times New Roman" w:hAnsi="Times New Roman" w:cs="Times New Roman"/>
                <w:b w:val="0"/>
                <w:bCs/>
                <w:color w:val="000000"/>
                <w:sz w:val="22"/>
                <w:szCs w:val="22"/>
                <w:lang w:val="en-US" w:eastAsia="zh-CN"/>
              </w:rPr>
              <w:t>7</w:t>
            </w:r>
          </w:p>
        </w:tc>
        <w:tc>
          <w:tcPr>
            <w:tcW w:w="774"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12</w:t>
            </w:r>
          </w:p>
        </w:tc>
        <w:tc>
          <w:tcPr>
            <w:tcW w:w="834" w:type="dxa"/>
            <w:gridSpan w:val="2"/>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12</w:t>
            </w:r>
          </w:p>
        </w:tc>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完成推进海绵城市建设任务</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平方公里</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0.5</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0.5</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w:t>
            </w:r>
          </w:p>
        </w:tc>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部门预决算按时公开率</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100</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w:t>
            </w:r>
          </w:p>
        </w:tc>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全年预算支出执行率</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100</w:t>
            </w:r>
          </w:p>
        </w:tc>
        <w:tc>
          <w:tcPr>
            <w:tcW w:w="700"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774" w:type="dxa"/>
            <w:gridSpan w:val="3"/>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10</w:t>
            </w:r>
          </w:p>
        </w:tc>
        <w:tc>
          <w:tcPr>
            <w:tcW w:w="834" w:type="dxa"/>
            <w:gridSpan w:val="2"/>
            <w:tcBorders>
              <w:top w:val="nil"/>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w:t>
            </w:r>
          </w:p>
        </w:tc>
        <w:tc>
          <w:tcPr>
            <w:tcW w:w="174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　</w:t>
            </w:r>
          </w:p>
        </w:tc>
      </w:tr>
      <w:tr>
        <w:tblPrEx>
          <w:tblLayout w:type="fixed"/>
          <w:tblCellMar>
            <w:top w:w="0" w:type="dxa"/>
            <w:left w:w="108" w:type="dxa"/>
            <w:bottom w:w="0" w:type="dxa"/>
            <w:right w:w="108" w:type="dxa"/>
          </w:tblCellMar>
        </w:tblPrEx>
        <w:trPr>
          <w:trHeight w:val="1200" w:hRule="atLeast"/>
        </w:trPr>
        <w:tc>
          <w:tcPr>
            <w:tcW w:w="656"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方正仿宋_GBK" w:cs="Times New Roman"/>
                <w:b w:val="0"/>
                <w:bCs/>
                <w:color w:val="000000"/>
                <w:sz w:val="22"/>
                <w:szCs w:val="22"/>
              </w:rPr>
            </w:pPr>
          </w:p>
        </w:tc>
        <w:tc>
          <w:tcPr>
            <w:tcW w:w="88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公租房正常维修及水电气正常运行</w:t>
            </w:r>
          </w:p>
        </w:tc>
        <w:tc>
          <w:tcPr>
            <w:tcW w:w="66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700"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20" w:firstLineChars="100"/>
              <w:jc w:val="left"/>
              <w:textAlignment w:val="center"/>
              <w:rPr>
                <w:rFonts w:hint="default" w:ascii="Times New Roman" w:hAnsi="Times New Roman" w:eastAsia="方正仿宋_GBK" w:cs="Times New Roman"/>
                <w:b w:val="0"/>
                <w:bCs/>
                <w:color w:val="000000"/>
                <w:sz w:val="22"/>
                <w:szCs w:val="22"/>
              </w:rPr>
            </w:pPr>
            <w:r>
              <w:rPr>
                <w:rFonts w:hint="eastAsia" w:ascii="宋体" w:hAnsi="宋体" w:eastAsia="宋体" w:cs="宋体"/>
                <w:b w:val="0"/>
                <w:bCs/>
                <w:i w:val="0"/>
                <w:color w:val="000000"/>
                <w:kern w:val="0"/>
                <w:sz w:val="22"/>
                <w:szCs w:val="22"/>
                <w:u w:val="none"/>
                <w:lang w:val="en-US" w:eastAsia="zh-CN" w:bidi="ar"/>
              </w:rPr>
              <w:t>≥</w:t>
            </w:r>
          </w:p>
        </w:tc>
        <w:tc>
          <w:tcPr>
            <w:tcW w:w="680" w:type="dxa"/>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95</w:t>
            </w:r>
          </w:p>
        </w:tc>
        <w:tc>
          <w:tcPr>
            <w:tcW w:w="700" w:type="dxa"/>
            <w:gridSpan w:val="2"/>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95</w:t>
            </w:r>
          </w:p>
        </w:tc>
        <w:tc>
          <w:tcPr>
            <w:tcW w:w="774"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0</w:t>
            </w:r>
          </w:p>
        </w:tc>
        <w:tc>
          <w:tcPr>
            <w:tcW w:w="945" w:type="dxa"/>
            <w:gridSpan w:val="2"/>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Times New Roman" w:hAnsi="Times New Roman" w:cs="Times New Roman"/>
                <w:b w:val="0"/>
                <w:bCs/>
                <w:color w:val="000000"/>
                <w:sz w:val="22"/>
                <w:szCs w:val="22"/>
              </w:rPr>
            </w:pPr>
            <w:r>
              <w:rPr>
                <w:rFonts w:hint="default" w:ascii="Times New Roman" w:hAnsi="Times New Roman" w:cs="Times New Roman"/>
                <w:b w:val="0"/>
                <w:bCs/>
                <w:color w:val="000000"/>
                <w:sz w:val="22"/>
                <w:szCs w:val="22"/>
              </w:rPr>
              <w:t>100</w:t>
            </w:r>
          </w:p>
        </w:tc>
        <w:tc>
          <w:tcPr>
            <w:tcW w:w="54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default" w:ascii="Times New Roman" w:hAnsi="Times New Roman" w:cs="Times New Roman"/>
                <w:b w:val="0"/>
                <w:bCs/>
                <w:color w:val="000000"/>
                <w:sz w:val="22"/>
                <w:szCs w:val="22"/>
              </w:rPr>
            </w:pPr>
            <w:r>
              <w:rPr>
                <w:rFonts w:hint="default" w:ascii="Times New Roman" w:hAnsi="Times New Roman" w:eastAsia="宋体" w:cs="Times New Roman"/>
                <w:b w:val="0"/>
                <w:bCs/>
                <w:i w:val="0"/>
                <w:color w:val="000000"/>
                <w:kern w:val="0"/>
                <w:sz w:val="22"/>
                <w:szCs w:val="22"/>
                <w:u w:val="none"/>
                <w:lang w:val="en-US" w:eastAsia="zh-CN" w:bidi="ar"/>
              </w:rPr>
              <w:t>10</w:t>
            </w:r>
          </w:p>
        </w:tc>
        <w:tc>
          <w:tcPr>
            <w:tcW w:w="834" w:type="dxa"/>
            <w:gridSpan w:val="2"/>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b w:val="0"/>
                <w:bCs/>
                <w:color w:val="000000"/>
                <w:sz w:val="22"/>
                <w:szCs w:val="22"/>
                <w:lang w:val="en-US" w:eastAsia="zh-CN"/>
              </w:rPr>
            </w:pPr>
            <w:r>
              <w:rPr>
                <w:rFonts w:hint="eastAsia" w:ascii="Times New Roman" w:hAnsi="Times New Roman" w:cs="Times New Roman"/>
                <w:b w:val="0"/>
                <w:bCs/>
                <w:color w:val="000000"/>
                <w:sz w:val="22"/>
                <w:szCs w:val="22"/>
                <w:lang w:val="en-US" w:eastAsia="zh-CN"/>
              </w:rPr>
              <w:t>10</w:t>
            </w:r>
          </w:p>
        </w:tc>
        <w:tc>
          <w:tcPr>
            <w:tcW w:w="174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trHeight w:val="619" w:hRule="atLeast"/>
        </w:trPr>
        <w:tc>
          <w:tcPr>
            <w:tcW w:w="656"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总体说明</w:t>
            </w:r>
          </w:p>
        </w:tc>
        <w:tc>
          <w:tcPr>
            <w:tcW w:w="8454" w:type="dxa"/>
            <w:gridSpan w:val="22"/>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color w:val="000000"/>
                <w:sz w:val="22"/>
                <w:szCs w:val="22"/>
              </w:rPr>
              <w:t>　</w:t>
            </w:r>
          </w:p>
        </w:tc>
      </w:tr>
      <w:tr>
        <w:tblPrEx>
          <w:tblLayout w:type="fixed"/>
          <w:tblCellMar>
            <w:top w:w="0" w:type="dxa"/>
            <w:left w:w="108" w:type="dxa"/>
            <w:bottom w:w="0" w:type="dxa"/>
            <w:right w:w="108" w:type="dxa"/>
          </w:tblCellMar>
        </w:tblPrEx>
        <w:trPr>
          <w:gridAfter w:val="1"/>
          <w:wAfter w:w="267" w:type="dxa"/>
          <w:trHeight w:val="109" w:hRule="atLeast"/>
        </w:trPr>
        <w:tc>
          <w:tcPr>
            <w:tcW w:w="8843" w:type="dxa"/>
            <w:gridSpan w:val="23"/>
            <w:tcBorders>
              <w:top w:val="nil"/>
              <w:left w:val="nil"/>
              <w:bottom w:val="single" w:color="000000" w:sz="4" w:space="0"/>
              <w:right w:val="nil"/>
            </w:tcBorders>
            <w:vAlign w:val="center"/>
          </w:tcPr>
          <w:p>
            <w:pPr>
              <w:textAlignment w:val="center"/>
              <w:rPr>
                <w:rFonts w:ascii="方正小标宋_GBK" w:hAnsi="方正小标宋_GBK" w:eastAsia="方正小标宋_GBK" w:cs="方正小标宋_GBK"/>
                <w:b w:val="0"/>
                <w:bCs/>
                <w:color w:val="000000"/>
                <w:sz w:val="36"/>
                <w:szCs w:val="36"/>
                <w:lang w:bidi="ar"/>
              </w:rPr>
            </w:pPr>
          </w:p>
          <w:p>
            <w:pPr>
              <w:jc w:val="center"/>
              <w:textAlignment w:val="center"/>
              <w:rPr>
                <w:rFonts w:ascii="方正小标宋_GBK" w:hAnsi="方正小标宋_GBK" w:eastAsia="方正小标宋_GBK" w:cs="方正小标宋_GBK"/>
                <w:b w:val="0"/>
                <w:bCs/>
                <w:color w:val="000000"/>
                <w:sz w:val="32"/>
                <w:szCs w:val="32"/>
              </w:rPr>
            </w:pPr>
            <w:r>
              <w:rPr>
                <w:rFonts w:ascii="方正小标宋_GBK" w:hAnsi="方正小标宋_GBK" w:eastAsia="方正小标宋_GBK" w:cs="方正小标宋_GBK"/>
                <w:b w:val="0"/>
                <w:bCs/>
                <w:color w:val="000000"/>
                <w:sz w:val="32"/>
                <w:szCs w:val="32"/>
                <w:lang w:bidi="ar"/>
              </w:rPr>
              <w:t>秀山土家族苗族自治县住房和城乡建设委员会           202</w:t>
            </w:r>
            <w:r>
              <w:rPr>
                <w:rFonts w:hint="eastAsia" w:ascii="方正小标宋_GBK" w:hAnsi="方正小标宋_GBK" w:eastAsia="方正小标宋_GBK" w:cs="方正小标宋_GBK"/>
                <w:b w:val="0"/>
                <w:bCs/>
                <w:color w:val="000000"/>
                <w:sz w:val="32"/>
                <w:szCs w:val="32"/>
                <w:lang w:val="en-US" w:eastAsia="zh-CN" w:bidi="ar"/>
              </w:rPr>
              <w:t>4</w:t>
            </w:r>
            <w:r>
              <w:rPr>
                <w:rFonts w:ascii="方正小标宋_GBK" w:hAnsi="方正小标宋_GBK" w:eastAsia="方正小标宋_GBK" w:cs="方正小标宋_GBK"/>
                <w:b w:val="0"/>
                <w:bCs/>
                <w:color w:val="000000"/>
                <w:sz w:val="32"/>
                <w:szCs w:val="32"/>
                <w:lang w:bidi="ar"/>
              </w:rPr>
              <w:t>年度项目支出绩效自评表（一级项目）</w:t>
            </w:r>
          </w:p>
        </w:tc>
      </w:tr>
      <w:tr>
        <w:tblPrEx>
          <w:tblLayout w:type="fixed"/>
          <w:tblCellMar>
            <w:top w:w="0" w:type="dxa"/>
            <w:left w:w="108" w:type="dxa"/>
            <w:bottom w:w="0" w:type="dxa"/>
            <w:right w:w="108" w:type="dxa"/>
          </w:tblCellMar>
        </w:tblPrEx>
        <w:trPr>
          <w:gridAfter w:val="1"/>
          <w:wAfter w:w="267" w:type="dxa"/>
          <w:trHeight w:val="60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序号</w:t>
            </w: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项目名称</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指标名称</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指标性质</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指标值</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计量单位</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指标权重</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全年完成值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指标得分</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说明</w:t>
            </w:r>
          </w:p>
        </w:tc>
        <w:tc>
          <w:tcPr>
            <w:tcW w:w="126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黑体_GBK" w:hAnsi="方正黑体_GBK" w:eastAsia="方正黑体_GBK" w:cs="方正黑体_GBK"/>
                <w:b w:val="0"/>
                <w:bCs/>
                <w:color w:val="000000"/>
                <w:sz w:val="22"/>
              </w:rPr>
            </w:pPr>
            <w:r>
              <w:rPr>
                <w:rFonts w:ascii="方正黑体_GBK" w:hAnsi="方正黑体_GBK" w:eastAsia="方正黑体_GBK" w:cs="方正黑体_GBK"/>
                <w:b w:val="0"/>
                <w:bCs/>
                <w:color w:val="000000"/>
                <w:sz w:val="22"/>
                <w:lang w:bidi="ar"/>
              </w:rPr>
              <w:t>自评得分</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restart"/>
            <w:tcBorders>
              <w:top w:val="single" w:color="000000" w:sz="4" w:space="0"/>
              <w:left w:val="single" w:color="000000" w:sz="4" w:space="0"/>
              <w:right w:val="single" w:color="000000" w:sz="4" w:space="0"/>
            </w:tcBorders>
            <w:vAlign w:val="center"/>
          </w:tcPr>
          <w:p>
            <w:pPr>
              <w:jc w:val="center"/>
              <w:textAlignment w:val="center"/>
              <w:rPr>
                <w:b w:val="0"/>
                <w:bCs/>
                <w:color w:val="000000"/>
                <w:sz w:val="22"/>
              </w:rPr>
            </w:pPr>
            <w:r>
              <w:rPr>
                <w:b w:val="0"/>
                <w:bCs/>
                <w:color w:val="000000"/>
                <w:sz w:val="22"/>
                <w:lang w:bidi="ar"/>
              </w:rPr>
              <w:t>1</w:t>
            </w:r>
          </w:p>
        </w:tc>
        <w:tc>
          <w:tcPr>
            <w:tcW w:w="75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r>
              <w:rPr>
                <w:rFonts w:hint="eastAsia" w:ascii="方正仿宋_GBK" w:hAnsi="方正仿宋_GBK" w:eastAsia="方正仿宋_GBK" w:cs="方正仿宋_GBK"/>
                <w:b w:val="0"/>
                <w:bCs/>
                <w:color w:val="000000"/>
                <w:sz w:val="18"/>
                <w:szCs w:val="18"/>
                <w:lang w:bidi="ar"/>
              </w:rPr>
              <w:t>高层建筑消防安全”除险清患”整治经费</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整改高层建筑消防用水楼盘</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仿宋_GBK" w:cs="宋体"/>
                <w:b w:val="0"/>
                <w:bCs/>
                <w:color w:val="000000"/>
                <w:sz w:val="18"/>
                <w:szCs w:val="18"/>
              </w:rPr>
            </w:pPr>
            <w:r>
              <w:rPr>
                <w:rFonts w:ascii="方正仿宋_GBK" w:hAnsi="Times New Roman" w:eastAsia="方正仿宋_GBK" w:cs="宋体"/>
                <w:b w:val="0"/>
                <w:bCs/>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b w:val="0"/>
                <w:bCs/>
                <w:color w:val="000000"/>
                <w:sz w:val="18"/>
                <w:szCs w:val="18"/>
              </w:rPr>
            </w:pPr>
            <w:r>
              <w:rPr>
                <w:rFonts w:hint="eastAsia" w:cs="宋体"/>
                <w:b w:val="0"/>
                <w:bCs/>
                <w:i w:val="0"/>
                <w:color w:val="000000"/>
                <w:kern w:val="0"/>
                <w:sz w:val="22"/>
                <w:szCs w:val="22"/>
                <w:u w:val="none"/>
                <w:lang w:val="en-US" w:eastAsia="zh-CN" w:bidi="ar"/>
              </w:rPr>
              <w:t>座</w:t>
            </w:r>
            <w:r>
              <w:rPr>
                <w:rFonts w:hint="eastAsia" w:ascii="宋体" w:hAnsi="宋体" w:eastAsia="宋体" w:cs="宋体"/>
                <w:b w:val="0"/>
                <w:bCs/>
                <w:i w:val="0"/>
                <w:color w:val="000000"/>
                <w:kern w:val="0"/>
                <w:sz w:val="22"/>
                <w:szCs w:val="22"/>
                <w:u w:val="none"/>
                <w:lang w:val="en-US" w:eastAsia="zh-CN" w:bidi="ar"/>
              </w:rPr>
              <w:t>（处）</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30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r>
              <w:rPr>
                <w:rFonts w:cs="宋体"/>
                <w:b w:val="0"/>
                <w:bCs/>
                <w:color w:val="000000"/>
                <w:sz w:val="18"/>
                <w:szCs w:val="18"/>
              </w:rPr>
              <w:t>90</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消防验收合格率</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方正仿宋_GBK" w:hAnsi="Times New Roman" w:eastAsia="方正仿宋_GBK" w:cs="宋体"/>
                <w:b w:val="0"/>
                <w:bCs/>
                <w:color w:val="000000"/>
                <w:sz w:val="18"/>
                <w:szCs w:val="18"/>
              </w:rPr>
            </w:pPr>
            <w:r>
              <w:rPr>
                <w:rFonts w:ascii="方正仿宋_GBK" w:hAnsi="Times New Roman" w:eastAsia="方正仿宋_GBK" w:cs="宋体"/>
                <w:b w:val="0"/>
                <w:bCs/>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按比选合同价款</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方正仿宋_GBK" w:hAnsi="Times New Roman" w:eastAsia="方正仿宋_GBK" w:cs="宋体"/>
                <w:b w:val="0"/>
                <w:bCs/>
                <w:color w:val="000000"/>
                <w:sz w:val="18"/>
                <w:szCs w:val="18"/>
              </w:rPr>
            </w:pPr>
            <w:r>
              <w:rPr>
                <w:rFonts w:ascii="方正仿宋_GBK" w:hAnsi="Times New Roman" w:eastAsia="方正仿宋_GBK" w:cs="宋体"/>
                <w:b w:val="0"/>
                <w:bCs/>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50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万元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9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50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sz w:val="18"/>
                <w:szCs w:val="18"/>
              </w:rPr>
            </w:pPr>
            <w:r>
              <w:rPr>
                <w:rFonts w:hint="eastAsia" w:ascii="宋体" w:hAnsi="宋体" w:eastAsia="宋体" w:cs="宋体"/>
                <w:b w:val="0"/>
                <w:bCs/>
                <w:i w:val="0"/>
                <w:color w:val="000000"/>
                <w:kern w:val="0"/>
                <w:sz w:val="22"/>
                <w:szCs w:val="22"/>
                <w:u w:val="none"/>
                <w:lang w:val="en-US" w:eastAsia="zh-CN" w:bidi="ar"/>
              </w:rPr>
              <w:t>源头上遏制消防安全管控</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方正仿宋_GBK" w:hAnsi="Times New Roman" w:eastAsia="方正仿宋_GBK" w:cs="宋体"/>
                <w:b w:val="0"/>
                <w:bCs/>
                <w:color w:val="000000"/>
                <w:sz w:val="18"/>
                <w:szCs w:val="18"/>
              </w:rPr>
            </w:pPr>
            <w:r>
              <w:rPr>
                <w:rFonts w:ascii="方正仿宋_GBK" w:hAnsi="Times New Roman" w:eastAsia="方正仿宋_GBK" w:cs="宋体"/>
                <w:b w:val="0"/>
                <w:bCs/>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b w:val="0"/>
                <w:bCs/>
              </w:rPr>
            </w:pPr>
            <w:r>
              <w:rPr>
                <w:rFonts w:hint="eastAsia" w:ascii="宋体" w:hAnsi="宋体" w:eastAsia="宋体" w:cs="宋体"/>
                <w:b w:val="0"/>
                <w:bCs/>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b w:val="0"/>
                <w:bCs/>
                <w:sz w:val="18"/>
                <w:szCs w:val="18"/>
              </w:rPr>
            </w:pPr>
            <w:r>
              <w:rPr>
                <w:rFonts w:hint="eastAsia" w:ascii="宋体" w:hAnsi="宋体" w:eastAsia="宋体" w:cs="宋体"/>
                <w:b w:val="0"/>
                <w:bCs/>
                <w:i w:val="0"/>
                <w:color w:val="000000"/>
                <w:kern w:val="0"/>
                <w:sz w:val="22"/>
                <w:szCs w:val="22"/>
                <w:u w:val="none"/>
                <w:lang w:val="en-US" w:eastAsia="zh-CN" w:bidi="ar"/>
              </w:rPr>
              <w:t>抽查项目楼盘满意度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方正仿宋_GBK" w:hAnsi="Times New Roman" w:eastAsia="方正仿宋_GBK" w:cs="宋体"/>
                <w:b w:val="0"/>
                <w:bCs/>
                <w:color w:val="000000"/>
                <w:sz w:val="18"/>
                <w:szCs w:val="18"/>
              </w:rPr>
            </w:pPr>
            <w:r>
              <w:rPr>
                <w:rFonts w:ascii="方正仿宋_GBK" w:hAnsi="Times New Roman" w:eastAsia="方正仿宋_GBK" w:cs="宋体"/>
                <w:b w:val="0"/>
                <w:bCs/>
                <w:color w:val="000000"/>
                <w:sz w:val="18"/>
                <w:szCs w:val="18"/>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ascii="Times New Roman" w:hAnsi="Times New Roman" w:eastAsia="方正仿宋_GBK"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b w:val="0"/>
                <w:bCs/>
              </w:rPr>
            </w:pPr>
            <w:r>
              <w:rPr>
                <w:rFonts w:hint="eastAsia" w:ascii="宋体" w:hAnsi="宋体" w:eastAsia="宋体" w:cs="宋体"/>
                <w:b w:val="0"/>
                <w:bCs/>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restart"/>
            <w:tcBorders>
              <w:top w:val="single" w:color="000000" w:sz="4" w:space="0"/>
              <w:left w:val="single" w:color="000000" w:sz="4" w:space="0"/>
              <w:right w:val="single" w:color="000000" w:sz="4" w:space="0"/>
            </w:tcBorders>
            <w:vAlign w:val="center"/>
          </w:tcPr>
          <w:p>
            <w:pPr>
              <w:jc w:val="center"/>
              <w:textAlignment w:val="center"/>
              <w:rPr>
                <w:b w:val="0"/>
                <w:bCs/>
                <w:color w:val="000000"/>
                <w:sz w:val="22"/>
              </w:rPr>
            </w:pPr>
            <w:r>
              <w:rPr>
                <w:b w:val="0"/>
                <w:bCs/>
                <w:color w:val="000000"/>
                <w:sz w:val="22"/>
                <w:lang w:bidi="ar"/>
              </w:rPr>
              <w:t>2</w:t>
            </w:r>
          </w:p>
        </w:tc>
        <w:tc>
          <w:tcPr>
            <w:tcW w:w="75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r>
              <w:rPr>
                <w:rFonts w:hint="eastAsia" w:cs="宋体"/>
                <w:b w:val="0"/>
                <w:bCs/>
                <w:color w:val="000000"/>
                <w:sz w:val="18"/>
                <w:szCs w:val="18"/>
              </w:rPr>
              <w:t>超长期国债（秀山县建筑装修垃圾资源化处置服务中心项目）</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建筑垃圾处理量</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万吨</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15</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40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r>
              <w:rPr>
                <w:rFonts w:cs="宋体"/>
                <w:b w:val="0"/>
                <w:bCs/>
                <w:color w:val="000000"/>
                <w:sz w:val="18"/>
                <w:szCs w:val="18"/>
              </w:rPr>
              <w:t>90</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建筑垃圾处理能力和资源利用率</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85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85</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改善周边环境惠及群众</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人</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30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restart"/>
            <w:tcBorders>
              <w:top w:val="single" w:color="000000" w:sz="4" w:space="0"/>
              <w:left w:val="single" w:color="000000" w:sz="4" w:space="0"/>
              <w:right w:val="single" w:color="000000" w:sz="4" w:space="0"/>
            </w:tcBorders>
            <w:vAlign w:val="center"/>
          </w:tcPr>
          <w:p>
            <w:pPr>
              <w:jc w:val="center"/>
              <w:textAlignment w:val="center"/>
              <w:rPr>
                <w:b w:val="0"/>
                <w:bCs/>
                <w:color w:val="000000"/>
                <w:sz w:val="22"/>
              </w:rPr>
            </w:pPr>
            <w:r>
              <w:rPr>
                <w:b w:val="0"/>
                <w:bCs/>
                <w:color w:val="000000"/>
                <w:sz w:val="22"/>
                <w:lang w:bidi="ar"/>
              </w:rPr>
              <w:t>3</w:t>
            </w:r>
          </w:p>
        </w:tc>
        <w:tc>
          <w:tcPr>
            <w:tcW w:w="75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r>
              <w:rPr>
                <w:rFonts w:hint="eastAsia" w:cs="宋体"/>
                <w:b w:val="0"/>
                <w:bCs/>
                <w:color w:val="000000"/>
                <w:sz w:val="18"/>
                <w:szCs w:val="18"/>
              </w:rPr>
              <w:t>秀山县建制镇配套基础设施提挡升级建设项目</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道路长度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4439</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米</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4439</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18"/>
                <w:szCs w:val="18"/>
              </w:rPr>
            </w:pPr>
            <w:r>
              <w:rPr>
                <w:rFonts w:cs="宋体"/>
                <w:b w:val="0"/>
                <w:bCs/>
                <w:color w:val="000000"/>
                <w:sz w:val="18"/>
                <w:szCs w:val="18"/>
              </w:rPr>
              <w:t>90</w:t>
            </w: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铺设综合管网长度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米</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新建停车场面积</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13200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平方米</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13200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工程验收合格率</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18"/>
                <w:szCs w:val="18"/>
              </w:rPr>
            </w:pPr>
            <w:r>
              <w:rPr>
                <w:rFonts w:hint="eastAsia" w:ascii="宋体" w:hAnsi="宋体" w:eastAsia="宋体" w:cs="宋体"/>
                <w:b w:val="0"/>
                <w:bCs/>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18"/>
                <w:szCs w:val="18"/>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带动就业人收入</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120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万元</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120</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20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22"/>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r>
      <w:tr>
        <w:tblPrEx>
          <w:tblLayout w:type="fixed"/>
          <w:tblCellMar>
            <w:top w:w="0" w:type="dxa"/>
            <w:left w:w="108" w:type="dxa"/>
            <w:bottom w:w="0" w:type="dxa"/>
            <w:right w:w="108" w:type="dxa"/>
          </w:tblCellMar>
        </w:tblPrEx>
        <w:trPr>
          <w:gridAfter w:val="1"/>
          <w:wAfter w:w="267" w:type="dxa"/>
          <w:trHeight w:val="432" w:hRule="atLeast"/>
        </w:trPr>
        <w:tc>
          <w:tcPr>
            <w:tcW w:w="600" w:type="dxa"/>
            <w:vMerge w:val="continue"/>
            <w:tcBorders>
              <w:left w:val="single" w:color="000000" w:sz="4" w:space="0"/>
              <w:bottom w:val="single" w:color="000000" w:sz="4" w:space="0"/>
              <w:right w:val="single" w:color="000000" w:sz="4" w:space="0"/>
            </w:tcBorders>
            <w:vAlign w:val="center"/>
          </w:tcPr>
          <w:p>
            <w:pPr>
              <w:jc w:val="center"/>
              <w:textAlignment w:val="center"/>
              <w:rPr>
                <w:b w:val="0"/>
                <w:bCs/>
                <w:color w:val="000000"/>
                <w:sz w:val="22"/>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受益人口满意度</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w:t>
            </w:r>
          </w:p>
        </w:tc>
        <w:tc>
          <w:tcPr>
            <w:tcW w:w="9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95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w:t>
            </w:r>
          </w:p>
        </w:tc>
        <w:tc>
          <w:tcPr>
            <w:tcW w:w="7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center"/>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95</w:t>
            </w:r>
          </w:p>
        </w:tc>
        <w:tc>
          <w:tcPr>
            <w:tcW w:w="78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right"/>
              <w:textAlignment w:val="center"/>
              <w:rPr>
                <w:rFonts w:cs="宋体"/>
                <w:b w:val="0"/>
                <w:bCs/>
                <w:color w:val="000000"/>
                <w:sz w:val="22"/>
              </w:rPr>
            </w:pPr>
            <w:r>
              <w:rPr>
                <w:rFonts w:hint="eastAsia" w:ascii="宋体" w:hAnsi="宋体" w:eastAsia="宋体" w:cs="宋体"/>
                <w:b w:val="0"/>
                <w:bCs/>
                <w:i w:val="0"/>
                <w:color w:val="000000"/>
                <w:kern w:val="0"/>
                <w:sz w:val="22"/>
                <w:szCs w:val="22"/>
                <w:u w:val="none"/>
                <w:lang w:val="en-US" w:eastAsia="zh-CN" w:bidi="ar"/>
              </w:rPr>
              <w:t>10</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pPr>
              <w:rPr>
                <w:rFonts w:cs="宋体"/>
                <w:b w:val="0"/>
                <w:bCs/>
                <w:color w:val="000000"/>
                <w:sz w:val="22"/>
              </w:rPr>
            </w:pPr>
          </w:p>
        </w:tc>
        <w:tc>
          <w:tcPr>
            <w:tcW w:w="126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cs="宋体"/>
                <w:b w:val="0"/>
                <w:bCs/>
                <w:color w:val="000000"/>
                <w:sz w:val="22"/>
              </w:rPr>
            </w:pPr>
          </w:p>
        </w:tc>
      </w:tr>
    </w:tbl>
    <w:p>
      <w:pPr>
        <w:pStyle w:val="12"/>
        <w:autoSpaceDE w:val="0"/>
        <w:spacing w:before="0" w:beforeAutospacing="0" w:line="600" w:lineRule="exact"/>
        <w:ind w:firstLine="640" w:firstLineChars="200"/>
        <w:rPr>
          <w:rFonts w:hint="eastAsia" w:ascii="Times New Roman" w:hAnsi="Times New Roman" w:eastAsia="仿宋_GB2312" w:cs="Times New Roman"/>
          <w:b w:val="0"/>
          <w:bCs/>
          <w:sz w:val="32"/>
          <w:szCs w:val="32"/>
          <w:lang w:val="en-US" w:eastAsia="zh-CN"/>
        </w:rPr>
      </w:pPr>
    </w:p>
    <w:p>
      <w:pPr>
        <w:pStyle w:val="11"/>
        <w:keepNext w:val="0"/>
        <w:keepLines w:val="0"/>
        <w:pageBreakBefore w:val="0"/>
        <w:widowControl/>
        <w:kinsoku/>
        <w:wordWrap/>
        <w:overflowPunct/>
        <w:topLinePunct w:val="0"/>
        <w:autoSpaceDE w:val="0"/>
        <w:autoSpaceDN/>
        <w:bidi w:val="0"/>
        <w:adjustRightInd/>
        <w:snapToGrid/>
        <w:spacing w:line="596" w:lineRule="exact"/>
        <w:jc w:val="both"/>
        <w:textAlignment w:val="auto"/>
        <w:rPr>
          <w:rFonts w:hint="eastAsia" w:ascii="楷体" w:hAnsi="楷体" w:eastAsia="楷体" w:cs="楷体"/>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8"/>
          <w:rFonts w:hint="eastAsia" w:ascii="方正仿宋_GBK" w:hAnsi="方正仿宋_GBK" w:eastAsia="方正仿宋_GBK" w:cs="方正仿宋_GBK"/>
          <w:b w:val="0"/>
          <w:bCs/>
          <w:sz w:val="32"/>
          <w:szCs w:val="32"/>
          <w:highlight w:val="none"/>
          <w:shd w:val="clear" w:color="auto" w:fill="FFFFFF"/>
          <w:lang w:val="en-US" w:eastAsia="zh-CN" w:bidi="ar-SA"/>
        </w:rPr>
      </w:pPr>
      <w:r>
        <w:rPr>
          <w:rFonts w:hint="eastAsia" w:ascii="方正仿宋_GBK" w:hAnsi="方正仿宋_GBK" w:eastAsia="方正仿宋_GBK" w:cs="方正仿宋_GBK"/>
          <w:b w:val="0"/>
          <w:bCs/>
          <w:sz w:val="32"/>
          <w:szCs w:val="32"/>
          <w:highlight w:val="none"/>
          <w:shd w:val="clear" w:color="auto" w:fill="FFFFFF"/>
          <w:lang w:eastAsia="zh-CN" w:bidi="ar"/>
        </w:rPr>
        <w:t>我</w:t>
      </w:r>
      <w:r>
        <w:rPr>
          <w:rFonts w:hint="eastAsia" w:ascii="方正仿宋_GBK" w:hAnsi="方正仿宋_GBK" w:eastAsia="方正仿宋_GBK" w:cs="方正仿宋_GBK"/>
          <w:b w:val="0"/>
          <w:bCs/>
          <w:sz w:val="32"/>
          <w:szCs w:val="32"/>
          <w:highlight w:val="none"/>
          <w:shd w:val="clear" w:color="auto" w:fill="FFFFFF"/>
          <w:lang w:val="en-US" w:eastAsia="zh-CN" w:bidi="ar"/>
        </w:rPr>
        <w:t>单位</w:t>
      </w:r>
      <w:r>
        <w:rPr>
          <w:rFonts w:hint="eastAsia" w:ascii="方正仿宋_GBK" w:hAnsi="方正仿宋_GBK" w:eastAsia="方正仿宋_GBK" w:cs="方正仿宋_GBK"/>
          <w:b w:val="0"/>
          <w:bCs/>
          <w:sz w:val="32"/>
          <w:szCs w:val="32"/>
          <w:highlight w:val="none"/>
          <w:shd w:val="clear" w:color="auto" w:fill="FFFFFF"/>
          <w:lang w:eastAsia="zh-CN" w:bidi="ar"/>
        </w:rPr>
        <w:t>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b w:val="0"/>
          <w:bCs/>
          <w:sz w:val="32"/>
          <w:szCs w:val="32"/>
          <w:shd w:val="clear" w:color="auto" w:fill="FFFFFF"/>
        </w:rPr>
        <w:t>指本年度从本级财政部门取得的财政拨款。</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二</w:t>
      </w:r>
      <w:r>
        <w:rPr>
          <w:rFonts w:hint="eastAsia" w:ascii="方正楷体_GBK" w:hAnsi="方正楷体_GBK" w:eastAsia="方正楷体_GBK" w:cs="方正楷体_GBK"/>
          <w:b w:val="0"/>
          <w:bCs/>
          <w:sz w:val="32"/>
          <w:szCs w:val="32"/>
          <w:shd w:val="clear" w:color="auto" w:fill="FFFFFF"/>
        </w:rPr>
        <w:t>）年初结转和结余：</w:t>
      </w:r>
      <w:r>
        <w:rPr>
          <w:rFonts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三</w:t>
      </w:r>
      <w:r>
        <w:rPr>
          <w:rFonts w:hint="eastAsia" w:ascii="方正楷体_GBK" w:hAnsi="方正楷体_GBK" w:eastAsia="方正楷体_GBK" w:cs="方正楷体_GBK"/>
          <w:b w:val="0"/>
          <w:bCs/>
          <w:sz w:val="32"/>
          <w:szCs w:val="32"/>
          <w:shd w:val="clear" w:color="auto" w:fill="FFFFFF"/>
        </w:rPr>
        <w:t>）基本支出：</w:t>
      </w:r>
      <w:r>
        <w:rPr>
          <w:rFonts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四</w:t>
      </w:r>
      <w:r>
        <w:rPr>
          <w:rFonts w:hint="eastAsia" w:ascii="方正楷体_GBK" w:hAnsi="方正楷体_GBK" w:eastAsia="方正楷体_GBK" w:cs="方正楷体_GBK"/>
          <w:b w:val="0"/>
          <w:bCs/>
          <w:sz w:val="32"/>
          <w:szCs w:val="32"/>
          <w:shd w:val="clear" w:color="auto" w:fill="FFFFFF"/>
        </w:rPr>
        <w:t>）项目支出：</w:t>
      </w:r>
      <w:r>
        <w:rPr>
          <w:rFonts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五</w:t>
      </w:r>
      <w:r>
        <w:rPr>
          <w:rFonts w:hint="eastAsia" w:ascii="方正楷体_GBK" w:hAnsi="方正楷体_GBK" w:eastAsia="方正楷体_GBK" w:cs="方正楷体_GBK"/>
          <w:b w:val="0"/>
          <w:bCs/>
          <w:sz w:val="32"/>
          <w:szCs w:val="32"/>
          <w:shd w:val="clear" w:color="auto" w:fill="FFFFFF"/>
        </w:rPr>
        <w:t>）经营支出：</w:t>
      </w:r>
      <w:r>
        <w:rPr>
          <w:rFonts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六</w:t>
      </w:r>
      <w:r>
        <w:rPr>
          <w:rFonts w:hint="eastAsia" w:ascii="方正楷体_GBK" w:hAnsi="方正楷体_GBK" w:eastAsia="方正楷体_GBK" w:cs="方正楷体_GBK"/>
          <w:b w:val="0"/>
          <w:bCs/>
          <w:sz w:val="32"/>
          <w:szCs w:val="32"/>
          <w:shd w:val="clear" w:color="auto" w:fill="FFFFFF"/>
        </w:rPr>
        <w:t>）“三公”经费：</w:t>
      </w:r>
      <w:r>
        <w:rPr>
          <w:rFonts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七</w:t>
      </w:r>
      <w:r>
        <w:rPr>
          <w:rFonts w:hint="eastAsia" w:ascii="方正楷体_GBK" w:hAnsi="方正楷体_GBK" w:eastAsia="方正楷体_GBK" w:cs="方正楷体_GBK"/>
          <w:b w:val="0"/>
          <w:bCs/>
          <w:sz w:val="32"/>
          <w:szCs w:val="32"/>
          <w:shd w:val="clear" w:color="auto" w:fill="FFFFFF"/>
        </w:rPr>
        <w:t>）机关运行经费：</w:t>
      </w:r>
      <w:r>
        <w:rPr>
          <w:rFonts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八</w:t>
      </w:r>
      <w:r>
        <w:rPr>
          <w:rFonts w:hint="eastAsia" w:ascii="方正楷体_GBK" w:hAnsi="方正楷体_GBK" w:eastAsia="方正楷体_GBK" w:cs="方正楷体_GBK"/>
          <w:b w:val="0"/>
          <w:bCs/>
          <w:sz w:val="32"/>
          <w:szCs w:val="32"/>
          <w:shd w:val="clear" w:color="auto" w:fill="FFFFFF"/>
        </w:rPr>
        <w:t>）工资福利支出（支出经济分类科目类级）：</w:t>
      </w:r>
      <w:r>
        <w:rPr>
          <w:rFonts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w:t>
      </w:r>
      <w:r>
        <w:rPr>
          <w:rFonts w:hint="eastAsia" w:ascii="方正楷体_GBK" w:hAnsi="方正楷体_GBK" w:eastAsia="方正楷体_GBK" w:cs="方正楷体_GBK"/>
          <w:b w:val="0"/>
          <w:bCs/>
          <w:sz w:val="32"/>
          <w:szCs w:val="32"/>
          <w:shd w:val="clear" w:color="auto" w:fill="FFFFFF"/>
          <w:lang w:val="en-US" w:eastAsia="zh-CN"/>
        </w:rPr>
        <w:t>九</w:t>
      </w:r>
      <w:r>
        <w:rPr>
          <w:rFonts w:hint="eastAsia" w:ascii="方正楷体_GBK" w:hAnsi="方正楷体_GBK" w:eastAsia="方正楷体_GBK" w:cs="方正楷体_GBK"/>
          <w:b w:val="0"/>
          <w:bCs/>
          <w:sz w:val="32"/>
          <w:szCs w:val="32"/>
          <w:shd w:val="clear" w:color="auto" w:fill="FFFFFF"/>
        </w:rPr>
        <w:t>）商品和服务支出（支出经济分类科目类级）：</w:t>
      </w:r>
      <w:r>
        <w:rPr>
          <w:rFonts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rPr>
      </w:pPr>
      <w:r>
        <w:rPr>
          <w:rFonts w:hint="eastAsia" w:ascii="方正楷体_GBK" w:hAnsi="方正楷体_GBK" w:eastAsia="方正楷体_GBK" w:cs="方正楷体_GBK"/>
          <w:b w:val="0"/>
          <w:bCs/>
          <w:sz w:val="32"/>
          <w:szCs w:val="32"/>
          <w:shd w:val="clear" w:color="auto" w:fill="FFFFFF"/>
        </w:rPr>
        <w:t>（十）对个人和家庭的补助（支出经济分类科目类级）：</w:t>
      </w:r>
      <w:r>
        <w:rPr>
          <w:rFonts w:ascii="方正仿宋_GBK" w:hAnsi="方正仿宋_GBK" w:eastAsia="方正仿宋_GBK" w:cs="方正仿宋_GBK"/>
          <w:b w:val="0"/>
          <w:bCs/>
          <w:sz w:val="32"/>
          <w:szCs w:val="32"/>
          <w:shd w:val="clear" w:color="auto" w:fill="FFFFFF"/>
        </w:rPr>
        <w:t>反映用于对个人和家庭的补助支出。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（十</w:t>
      </w:r>
      <w:r>
        <w:rPr>
          <w:rFonts w:hint="eastAsia" w:ascii="方正楷体_GBK" w:hAnsi="方正楷体_GBK" w:eastAsia="方正楷体_GBK" w:cs="方正楷体_GBK"/>
          <w:b w:val="0"/>
          <w:bCs/>
          <w:sz w:val="32"/>
          <w:szCs w:val="32"/>
          <w:shd w:val="clear" w:color="auto" w:fill="FFFFFF"/>
          <w:lang w:val="en-US" w:eastAsia="zh-CN"/>
        </w:rPr>
        <w:t>一</w:t>
      </w:r>
      <w:r>
        <w:rPr>
          <w:rFonts w:hint="eastAsia" w:ascii="方正楷体_GBK" w:hAnsi="方正楷体_GBK" w:eastAsia="方正楷体_GBK" w:cs="方正楷体_GBK"/>
          <w:b w:val="0"/>
          <w:bCs/>
          <w:sz w:val="32"/>
          <w:szCs w:val="32"/>
          <w:shd w:val="clear" w:color="auto" w:fill="FFFFFF"/>
        </w:rPr>
        <w:t>）其他资本性支出（支出经济分类科目类级）：</w:t>
      </w:r>
      <w:r>
        <w:rPr>
          <w:rFonts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autoSpaceDE w:val="0"/>
        <w:spacing w:line="596" w:lineRule="exact"/>
        <w:ind w:firstLine="640"/>
        <w:jc w:val="both"/>
        <w:rPr>
          <w:rStyle w:val="8"/>
          <w:rFonts w:ascii="方正仿宋_GBK" w:hAnsi="方正仿宋_GBK" w:eastAsia="方正仿宋_GBK" w:cs="方正仿宋_GBK"/>
          <w:b w:val="0"/>
          <w:bCs/>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sz w:val="32"/>
          <w:szCs w:val="32"/>
          <w:shd w:val="clear" w:color="auto" w:fill="FFFFFF"/>
          <w:lang w:val="en-US" w:eastAsia="zh-CN"/>
        </w:rPr>
        <w:t>023-76671508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秀山土家族苗族自治县住房和城乡建设委员会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30,825.62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23,102.46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40,199.97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5,053.04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53,928.08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55,216.44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1,288.35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55,216.44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55,216.44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秀山土家族苗族自治县住房和城乡建设委员会</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53,928.08</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53,928.08</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39,912.57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39,912.57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3,139.89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3,139.89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住宅建设与房地产市场监管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22,481.89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22,481.89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建设市场管理与监督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建设市场管理与监督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城市防洪</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4,061.97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4,061.97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3,956.23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3,956.23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保障性住房租金补贴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1,211.32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22198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2219899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其他消防救援事务支出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秀山土家族苗族自治县住房和城乡建设委员会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55,216.44</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1,991.90</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53,224.54</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40,199.97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38,706.70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3,427.29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1,493.28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1,934.01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住宅建设与房地产市场监管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970.61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22,481.89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22,481.89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建设市场管理与监督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建设市场管理与监督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城市防洪</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5,053.04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4,962.30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4,947.30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4,947.30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保障性住房租金补贴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22198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2219899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其他消防救援事务支出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超长期特别国债安排的其他支出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秀山土家族苗族自治县住房和城乡建设委员会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30,825.62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23,102.46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40,199.97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26,262.51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13,937.46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5,053.04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5,038.04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53,928.08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55,216.44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23,102.46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1,288.35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55,216.44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55,216.44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32,113.98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23,102.46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秀山土家族苗族自治县住房和城乡建设委员会</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32,113.98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30,122.08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其他科学技术管理事务支出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292.05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26,262.51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1,493.28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24,769.24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3,427.29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1,493.28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1,934.01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住宅建设与房地产市场监管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970.61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22,481.89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22,481.89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22,337.45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建设市场管理与监督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建设市场管理与监督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5,038.04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4,947.30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4,947.30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4,947.30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1,334.82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保障性住房租金补贴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保障性租赁住房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385.11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其他消防救援事务支出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秀山土家族苗族自治县住房和城乡建设委员会</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1,641.43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秀山土家族苗族自治县住房和城乡建设委员会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23,102.46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23,102.46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23,102.46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13,937.46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13,937.46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13,937.46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12,459.97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12,310.00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149.97</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1,450.34</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1,003.92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城市防洪</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365.29</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27.15</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22198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2219899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其他住房保障支出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22998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超长期特别国债安排的其他支出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2299899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秀山土家族苗族自治县住房和城乡建设委员会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秀山土家族苗族自治县住房和城乡建设委员会</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270.54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270.54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9.37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D4D3E"/>
    <w:rsid w:val="01474EBF"/>
    <w:rsid w:val="01F3521E"/>
    <w:rsid w:val="02A21163"/>
    <w:rsid w:val="03B87EA0"/>
    <w:rsid w:val="03E3214F"/>
    <w:rsid w:val="044C50BA"/>
    <w:rsid w:val="05BC6D49"/>
    <w:rsid w:val="06194FF1"/>
    <w:rsid w:val="06A2550B"/>
    <w:rsid w:val="06F80EE2"/>
    <w:rsid w:val="07001CCA"/>
    <w:rsid w:val="075678DB"/>
    <w:rsid w:val="079D7CC7"/>
    <w:rsid w:val="07AD63F6"/>
    <w:rsid w:val="08051BCA"/>
    <w:rsid w:val="086C12F4"/>
    <w:rsid w:val="087B3940"/>
    <w:rsid w:val="08BA052C"/>
    <w:rsid w:val="08DB07BA"/>
    <w:rsid w:val="092E4947"/>
    <w:rsid w:val="093930B8"/>
    <w:rsid w:val="0969353F"/>
    <w:rsid w:val="098305D0"/>
    <w:rsid w:val="098A0877"/>
    <w:rsid w:val="0A5C4B69"/>
    <w:rsid w:val="0A86124A"/>
    <w:rsid w:val="0AB54CC0"/>
    <w:rsid w:val="0B9335CE"/>
    <w:rsid w:val="0C7927C4"/>
    <w:rsid w:val="0C9B098C"/>
    <w:rsid w:val="0CA02614"/>
    <w:rsid w:val="0D673E11"/>
    <w:rsid w:val="0DDA54E4"/>
    <w:rsid w:val="0E212897"/>
    <w:rsid w:val="0E3A5F83"/>
    <w:rsid w:val="0E473B3A"/>
    <w:rsid w:val="0E6278A3"/>
    <w:rsid w:val="0E74421A"/>
    <w:rsid w:val="0EA46639"/>
    <w:rsid w:val="0EC6180C"/>
    <w:rsid w:val="0F497FB6"/>
    <w:rsid w:val="0F836721"/>
    <w:rsid w:val="0FA25D96"/>
    <w:rsid w:val="107B59E5"/>
    <w:rsid w:val="10EC0126"/>
    <w:rsid w:val="10F70B9A"/>
    <w:rsid w:val="111445C7"/>
    <w:rsid w:val="111701FF"/>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5735C4"/>
    <w:rsid w:val="1B6F15B6"/>
    <w:rsid w:val="1BAA2EDC"/>
    <w:rsid w:val="1C120C60"/>
    <w:rsid w:val="1C1C6567"/>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255B0E"/>
    <w:rsid w:val="21556F04"/>
    <w:rsid w:val="22403BD3"/>
    <w:rsid w:val="23DA37D9"/>
    <w:rsid w:val="24B92327"/>
    <w:rsid w:val="24C14514"/>
    <w:rsid w:val="2533755C"/>
    <w:rsid w:val="25791755"/>
    <w:rsid w:val="25BD559F"/>
    <w:rsid w:val="26396DF4"/>
    <w:rsid w:val="27167136"/>
    <w:rsid w:val="27B23302"/>
    <w:rsid w:val="28C61FC9"/>
    <w:rsid w:val="28C75C72"/>
    <w:rsid w:val="29310A5F"/>
    <w:rsid w:val="29C37A35"/>
    <w:rsid w:val="2A076083"/>
    <w:rsid w:val="2A73162E"/>
    <w:rsid w:val="2B167953"/>
    <w:rsid w:val="2B200583"/>
    <w:rsid w:val="2B220436"/>
    <w:rsid w:val="2B8209DE"/>
    <w:rsid w:val="2C6762A3"/>
    <w:rsid w:val="2EBC5CF7"/>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9454C7"/>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BE73DA"/>
    <w:rsid w:val="3B1705E5"/>
    <w:rsid w:val="3B18334B"/>
    <w:rsid w:val="3B36794F"/>
    <w:rsid w:val="3C566AD6"/>
    <w:rsid w:val="3C6A5B02"/>
    <w:rsid w:val="3CD45FD0"/>
    <w:rsid w:val="3CF74AD6"/>
    <w:rsid w:val="3D2757A1"/>
    <w:rsid w:val="3D3D4FC4"/>
    <w:rsid w:val="3DDF3AB1"/>
    <w:rsid w:val="3E1D0952"/>
    <w:rsid w:val="3E32406D"/>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0336A7"/>
    <w:rsid w:val="426554D0"/>
    <w:rsid w:val="426C1EA8"/>
    <w:rsid w:val="42736402"/>
    <w:rsid w:val="42E86A87"/>
    <w:rsid w:val="43307B09"/>
    <w:rsid w:val="43470647"/>
    <w:rsid w:val="438D0E97"/>
    <w:rsid w:val="43BB152F"/>
    <w:rsid w:val="44494994"/>
    <w:rsid w:val="44B7006E"/>
    <w:rsid w:val="44B96DCF"/>
    <w:rsid w:val="44C37687"/>
    <w:rsid w:val="44D6350C"/>
    <w:rsid w:val="45CB699A"/>
    <w:rsid w:val="465B470D"/>
    <w:rsid w:val="469D6AD4"/>
    <w:rsid w:val="471E6C84"/>
    <w:rsid w:val="4748792B"/>
    <w:rsid w:val="475D719D"/>
    <w:rsid w:val="47674801"/>
    <w:rsid w:val="48225EF7"/>
    <w:rsid w:val="488F422B"/>
    <w:rsid w:val="48E36915"/>
    <w:rsid w:val="495C4A24"/>
    <w:rsid w:val="497135DF"/>
    <w:rsid w:val="49DC0E89"/>
    <w:rsid w:val="4A1605D9"/>
    <w:rsid w:val="4A263DF2"/>
    <w:rsid w:val="4A6F6675"/>
    <w:rsid w:val="4ABF0746"/>
    <w:rsid w:val="4B0502DF"/>
    <w:rsid w:val="4B135857"/>
    <w:rsid w:val="4B7951CB"/>
    <w:rsid w:val="4B7C315C"/>
    <w:rsid w:val="4CCF773C"/>
    <w:rsid w:val="4DAC4ACA"/>
    <w:rsid w:val="4DBE01D2"/>
    <w:rsid w:val="4EFC6D10"/>
    <w:rsid w:val="4F0C32EA"/>
    <w:rsid w:val="4F0C6BA3"/>
    <w:rsid w:val="4F10477D"/>
    <w:rsid w:val="4F186D58"/>
    <w:rsid w:val="4FEA65B7"/>
    <w:rsid w:val="5042146E"/>
    <w:rsid w:val="50F06B6E"/>
    <w:rsid w:val="52234D33"/>
    <w:rsid w:val="52261ABA"/>
    <w:rsid w:val="522F6E0C"/>
    <w:rsid w:val="52463BA1"/>
    <w:rsid w:val="5298794F"/>
    <w:rsid w:val="52B227B6"/>
    <w:rsid w:val="52F163D4"/>
    <w:rsid w:val="531A2DB4"/>
    <w:rsid w:val="53C0244D"/>
    <w:rsid w:val="53DD4D4E"/>
    <w:rsid w:val="53E578CE"/>
    <w:rsid w:val="541330F0"/>
    <w:rsid w:val="54272666"/>
    <w:rsid w:val="543B029D"/>
    <w:rsid w:val="54861779"/>
    <w:rsid w:val="552256E1"/>
    <w:rsid w:val="554E5773"/>
    <w:rsid w:val="555A3CBC"/>
    <w:rsid w:val="5582012B"/>
    <w:rsid w:val="558E4E05"/>
    <w:rsid w:val="55AC2A4C"/>
    <w:rsid w:val="55BE2E85"/>
    <w:rsid w:val="55D82B6C"/>
    <w:rsid w:val="561D52C4"/>
    <w:rsid w:val="5651697D"/>
    <w:rsid w:val="56530F5D"/>
    <w:rsid w:val="56692AE5"/>
    <w:rsid w:val="567700D3"/>
    <w:rsid w:val="56FF7E9E"/>
    <w:rsid w:val="578867FC"/>
    <w:rsid w:val="5842572D"/>
    <w:rsid w:val="593410A0"/>
    <w:rsid w:val="5A3B59D6"/>
    <w:rsid w:val="5A4D75A1"/>
    <w:rsid w:val="5AD134D8"/>
    <w:rsid w:val="5B6503B1"/>
    <w:rsid w:val="5BE36B49"/>
    <w:rsid w:val="5C0F7EC4"/>
    <w:rsid w:val="5C263CE4"/>
    <w:rsid w:val="5C5D2777"/>
    <w:rsid w:val="5CBC75F0"/>
    <w:rsid w:val="5CF66BF3"/>
    <w:rsid w:val="5D290C69"/>
    <w:rsid w:val="5EA50A1A"/>
    <w:rsid w:val="5EFF1C81"/>
    <w:rsid w:val="5F2D4A41"/>
    <w:rsid w:val="60C74F6C"/>
    <w:rsid w:val="60F07C97"/>
    <w:rsid w:val="60F81AB5"/>
    <w:rsid w:val="61025A59"/>
    <w:rsid w:val="613D5BBC"/>
    <w:rsid w:val="61536C39"/>
    <w:rsid w:val="61E64F4A"/>
    <w:rsid w:val="623E0993"/>
    <w:rsid w:val="62944DD7"/>
    <w:rsid w:val="6319381F"/>
    <w:rsid w:val="63236436"/>
    <w:rsid w:val="63303185"/>
    <w:rsid w:val="63C25DC5"/>
    <w:rsid w:val="63C62057"/>
    <w:rsid w:val="64571EF5"/>
    <w:rsid w:val="64B0745B"/>
    <w:rsid w:val="64CB0157"/>
    <w:rsid w:val="64FB113D"/>
    <w:rsid w:val="65036946"/>
    <w:rsid w:val="654A25FE"/>
    <w:rsid w:val="656152C6"/>
    <w:rsid w:val="6587477F"/>
    <w:rsid w:val="658C3A08"/>
    <w:rsid w:val="65C031CA"/>
    <w:rsid w:val="65CE6852"/>
    <w:rsid w:val="65EB6584"/>
    <w:rsid w:val="66267C04"/>
    <w:rsid w:val="663F505A"/>
    <w:rsid w:val="66420D10"/>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3D7F52"/>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FE4F79"/>
    <w:rsid w:val="772E1EBA"/>
    <w:rsid w:val="77EB79F7"/>
    <w:rsid w:val="796D60A4"/>
    <w:rsid w:val="79A031D5"/>
    <w:rsid w:val="7A1525F7"/>
    <w:rsid w:val="7A797050"/>
    <w:rsid w:val="7A9773FB"/>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95</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111</cp:lastModifiedBy>
  <dcterms:modified xsi:type="dcterms:W3CDTF">2025-09-29T09:44:36Z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