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秀山土家族苗族自治县住房和城乡建设委员会（本级）</w:t>
      </w:r>
      <w:r>
        <w:rPr>
          <w:rFonts w:hint="default" w:ascii="Times New Roman" w:hAnsi="Times New Roman" w:eastAsia="方正小标宋_GBK" w:cs="Times New Roman"/>
          <w:sz w:val="36"/>
          <w:szCs w:val="36"/>
          <w:shd w:val="clear" w:color="auto" w:fill="FFFFFF"/>
        </w:rPr>
        <w:t>2024</w:t>
      </w:r>
      <w:r>
        <w:rPr>
          <w:rFonts w:ascii="方正小标宋_GBK" w:hAnsi="方正小标宋_GBK" w:eastAsia="方正小标宋_GBK" w:cs="方正小标宋_GBK"/>
          <w:sz w:val="36"/>
          <w:szCs w:val="36"/>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一、</w:t>
      </w:r>
      <w:r>
        <w:rPr>
          <w:rStyle w:val="8"/>
          <w:rFonts w:hint="eastAsia" w:ascii="方正黑体_GBK" w:hAnsi="方正黑体_GBK" w:eastAsia="方正黑体_GBK" w:cs="方正黑体_GBK"/>
          <w:b w:val="0"/>
          <w:bCs/>
          <w:sz w:val="32"/>
          <w:szCs w:val="32"/>
          <w:shd w:val="clear" w:color="auto" w:fill="FFFFFF"/>
          <w:lang w:eastAsia="zh-CN"/>
        </w:rPr>
        <w:t>单位</w:t>
      </w:r>
      <w:r>
        <w:rPr>
          <w:rStyle w:val="8"/>
          <w:rFonts w:hint="eastAsia" w:ascii="方正黑体_GBK" w:hAnsi="方正黑体_GBK" w:eastAsia="方正黑体_GBK" w:cs="方正黑体_GBK"/>
          <w:b w:val="0"/>
          <w:bCs/>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sz w:val="32"/>
          <w:szCs w:val="32"/>
        </w:rPr>
      </w:pPr>
      <w:r>
        <w:rPr>
          <w:rStyle w:val="8"/>
          <w:rFonts w:hint="eastAsia" w:ascii="方正楷体_GBK" w:hAnsi="方正楷体_GBK" w:eastAsia="方正楷体_GBK" w:cs="方正楷体_GBK"/>
          <w:b w:val="0"/>
          <w:bCs/>
          <w:sz w:val="32"/>
          <w:szCs w:val="32"/>
          <w:shd w:val="clear" w:color="auto" w:fill="FFFFFF"/>
        </w:rPr>
        <w:t>（一）职能职责</w:t>
      </w:r>
    </w:p>
    <w:p>
      <w:pPr>
        <w:keepNext w:val="0"/>
        <w:keepLines w:val="0"/>
        <w:pageBreakBefore w:val="0"/>
        <w:widowControl/>
        <w:kinsoku/>
        <w:wordWrap/>
        <w:overflowPunct/>
        <w:topLinePunct w:val="0"/>
        <w:autoSpaceDE/>
        <w:autoSpaceDN/>
        <w:bidi w:val="0"/>
        <w:adjustRightInd/>
        <w:snapToGrid/>
        <w:spacing w:afterAutospacing="0" w:line="560" w:lineRule="exact"/>
        <w:ind w:firstLine="640" w:firstLineChars="200"/>
        <w:jc w:val="both"/>
        <w:textAlignment w:val="auto"/>
        <w:rPr>
          <w:rFonts w:hint="default" w:ascii="Times New Roman" w:hAnsi="Times New Roman" w:eastAsia="方正仿宋_GBK" w:cs="Times New Roman"/>
          <w:b w:val="0"/>
          <w:bCs/>
          <w:color w:val="333333"/>
          <w:sz w:val="32"/>
          <w:szCs w:val="32"/>
          <w:shd w:val="clear" w:color="auto" w:fill="FFFFFF"/>
        </w:rPr>
      </w:pPr>
      <w:r>
        <w:rPr>
          <w:rFonts w:hint="default" w:ascii="Times New Roman" w:hAnsi="Times New Roman" w:eastAsia="方正仿宋_GBK" w:cs="Times New Roman"/>
          <w:b w:val="0"/>
          <w:bCs/>
          <w:color w:val="333333"/>
          <w:sz w:val="32"/>
          <w:szCs w:val="32"/>
          <w:shd w:val="clear" w:color="auto" w:fill="FFFFFF"/>
        </w:rPr>
        <w:t>1.负责推进住房和城乡建设事业改革发展。贯彻执行住房和城乡建设法律、法规、规章和方针政策。拟订和实施住房和城乡建设发展战略、发展规划和年度计划。负责规范全县住房城乡建设管理秩序。指导乡镇（街道）住房和城乡建设工作。</w:t>
      </w:r>
    </w:p>
    <w:p>
      <w:pPr>
        <w:keepNext w:val="0"/>
        <w:keepLines w:val="0"/>
        <w:pageBreakBefore w:val="0"/>
        <w:widowControl/>
        <w:kinsoku/>
        <w:wordWrap/>
        <w:overflowPunct/>
        <w:topLinePunct w:val="0"/>
        <w:autoSpaceDE/>
        <w:autoSpaceDN/>
        <w:bidi w:val="0"/>
        <w:adjustRightInd/>
        <w:snapToGrid/>
        <w:spacing w:afterAutospacing="0" w:line="560" w:lineRule="exact"/>
        <w:ind w:firstLine="640" w:firstLineChars="200"/>
        <w:jc w:val="both"/>
        <w:textAlignment w:val="auto"/>
        <w:rPr>
          <w:rFonts w:hint="default" w:ascii="Times New Roman" w:hAnsi="Times New Roman" w:eastAsia="方正仿宋_GBK" w:cs="Times New Roman"/>
          <w:b w:val="0"/>
          <w:bCs/>
          <w:color w:val="333333"/>
          <w:sz w:val="32"/>
          <w:szCs w:val="32"/>
          <w:shd w:val="clear" w:color="auto" w:fill="FFFFFF"/>
        </w:rPr>
      </w:pPr>
      <w:r>
        <w:rPr>
          <w:rFonts w:hint="default" w:ascii="Times New Roman" w:hAnsi="Times New Roman" w:eastAsia="方正仿宋_GBK" w:cs="Times New Roman"/>
          <w:b w:val="0"/>
          <w:bCs/>
          <w:color w:val="333333"/>
          <w:sz w:val="32"/>
          <w:szCs w:val="32"/>
          <w:shd w:val="clear" w:color="auto" w:fill="FFFFFF"/>
        </w:rPr>
        <w:t>2.负责住房和城乡建设财政性资金的监督管理。负责城市建设配套费的征收和管理。监督管理住房和城乡建设财政性资金的使用。</w:t>
      </w:r>
    </w:p>
    <w:p>
      <w:pPr>
        <w:keepNext w:val="0"/>
        <w:keepLines w:val="0"/>
        <w:pageBreakBefore w:val="0"/>
        <w:widowControl/>
        <w:kinsoku/>
        <w:wordWrap/>
        <w:overflowPunct/>
        <w:topLinePunct w:val="0"/>
        <w:autoSpaceDE/>
        <w:autoSpaceDN/>
        <w:bidi w:val="0"/>
        <w:adjustRightInd/>
        <w:snapToGrid/>
        <w:spacing w:afterAutospacing="0" w:line="560" w:lineRule="exact"/>
        <w:ind w:firstLine="640" w:firstLineChars="200"/>
        <w:jc w:val="both"/>
        <w:textAlignment w:val="auto"/>
        <w:rPr>
          <w:rFonts w:hint="default" w:ascii="Times New Roman" w:hAnsi="Times New Roman" w:eastAsia="方正仿宋_GBK" w:cs="Times New Roman"/>
          <w:b w:val="0"/>
          <w:bCs/>
          <w:color w:val="333333"/>
          <w:sz w:val="32"/>
          <w:szCs w:val="32"/>
          <w:shd w:val="clear" w:color="auto" w:fill="FFFFFF"/>
        </w:rPr>
      </w:pPr>
      <w:r>
        <w:rPr>
          <w:rFonts w:hint="default" w:ascii="Times New Roman" w:hAnsi="Times New Roman" w:eastAsia="方正仿宋_GBK" w:cs="Times New Roman"/>
          <w:b w:val="0"/>
          <w:bCs/>
          <w:color w:val="333333"/>
          <w:sz w:val="32"/>
          <w:szCs w:val="32"/>
          <w:shd w:val="clear" w:color="auto" w:fill="FFFFFF"/>
        </w:rPr>
        <w:t>3.负责房地产行业的监督管理。组织实施全县房地产调控政策。负责规范房地产开发建设市场秩序、房地产交易市场秩序。监督执行房屋面积管理、交易管理的规章制度。负责房地产开发企业、房地产估价机构资质管理。</w:t>
      </w:r>
    </w:p>
    <w:p>
      <w:pPr>
        <w:keepNext w:val="0"/>
        <w:keepLines w:val="0"/>
        <w:pageBreakBefore w:val="0"/>
        <w:widowControl/>
        <w:kinsoku/>
        <w:wordWrap/>
        <w:overflowPunct/>
        <w:topLinePunct w:val="0"/>
        <w:autoSpaceDE/>
        <w:autoSpaceDN/>
        <w:bidi w:val="0"/>
        <w:adjustRightInd/>
        <w:snapToGrid/>
        <w:spacing w:afterAutospacing="0" w:line="560" w:lineRule="exact"/>
        <w:ind w:firstLine="640" w:firstLineChars="200"/>
        <w:jc w:val="both"/>
        <w:textAlignment w:val="auto"/>
        <w:rPr>
          <w:rFonts w:hint="default" w:ascii="Times New Roman" w:hAnsi="Times New Roman" w:eastAsia="方正仿宋_GBK" w:cs="Times New Roman"/>
          <w:b w:val="0"/>
          <w:bCs/>
          <w:color w:val="333333"/>
          <w:sz w:val="32"/>
          <w:szCs w:val="32"/>
          <w:shd w:val="clear" w:color="auto" w:fill="FFFFFF"/>
        </w:rPr>
      </w:pPr>
      <w:r>
        <w:rPr>
          <w:rFonts w:hint="default" w:ascii="Times New Roman" w:hAnsi="Times New Roman" w:eastAsia="方正仿宋_GBK" w:cs="Times New Roman"/>
          <w:b w:val="0"/>
          <w:bCs/>
          <w:color w:val="333333"/>
          <w:sz w:val="32"/>
          <w:szCs w:val="32"/>
          <w:shd w:val="clear" w:color="auto" w:fill="FFFFFF"/>
        </w:rPr>
        <w:t>4.负责建筑行业的监督管理。负责规范建筑市场秩序。负责房屋建筑和市政基础设施工程质量、安全的监督管理，负责或参与房屋建筑和市政基础设施工程重大质量安全事故的调查处理和突发事件的应急处置，负责建筑企业及从业人员的资质资格管理。执行地方建设工程造价计价。负责新型建筑材料、建筑机械与设备的应用管理。</w:t>
      </w:r>
    </w:p>
    <w:p>
      <w:pPr>
        <w:keepNext w:val="0"/>
        <w:keepLines w:val="0"/>
        <w:pageBreakBefore w:val="0"/>
        <w:widowControl/>
        <w:kinsoku/>
        <w:wordWrap/>
        <w:overflowPunct/>
        <w:topLinePunct w:val="0"/>
        <w:autoSpaceDE/>
        <w:autoSpaceDN/>
        <w:bidi w:val="0"/>
        <w:adjustRightInd/>
        <w:snapToGrid/>
        <w:spacing w:afterAutospacing="0" w:line="560" w:lineRule="exact"/>
        <w:ind w:firstLine="640" w:firstLineChars="200"/>
        <w:jc w:val="both"/>
        <w:textAlignment w:val="auto"/>
        <w:rPr>
          <w:rFonts w:hint="default" w:ascii="Times New Roman" w:hAnsi="Times New Roman" w:eastAsia="方正仿宋_GBK" w:cs="Times New Roman"/>
          <w:b w:val="0"/>
          <w:bCs/>
          <w:color w:val="333333"/>
          <w:sz w:val="32"/>
          <w:szCs w:val="32"/>
          <w:shd w:val="clear" w:color="auto" w:fill="FFFFFF"/>
        </w:rPr>
      </w:pPr>
      <w:r>
        <w:rPr>
          <w:rFonts w:hint="default" w:ascii="Times New Roman" w:hAnsi="Times New Roman" w:eastAsia="方正仿宋_GBK" w:cs="Times New Roman"/>
          <w:b w:val="0"/>
          <w:bCs/>
          <w:color w:val="333333"/>
          <w:sz w:val="32"/>
          <w:szCs w:val="32"/>
          <w:shd w:val="clear" w:color="auto" w:fill="FFFFFF"/>
        </w:rPr>
        <w:t>5.负责勘察设计行业的监督管理。负责规范勘察设计市场秩序。负责建设工程勘察设计企业及从业人员的资质资格管理。负责房屋建筑和市政基础设施工程建设抗震设防的监督管理。指导城市地下空间综合开发利用和城市雕塑工作。</w:t>
      </w:r>
    </w:p>
    <w:p>
      <w:pPr>
        <w:keepNext w:val="0"/>
        <w:keepLines w:val="0"/>
        <w:pageBreakBefore w:val="0"/>
        <w:widowControl/>
        <w:kinsoku/>
        <w:wordWrap/>
        <w:overflowPunct/>
        <w:topLinePunct w:val="0"/>
        <w:autoSpaceDE/>
        <w:autoSpaceDN/>
        <w:bidi w:val="0"/>
        <w:adjustRightInd/>
        <w:snapToGrid/>
        <w:spacing w:afterAutospacing="0" w:line="560" w:lineRule="exact"/>
        <w:ind w:firstLine="640" w:firstLineChars="200"/>
        <w:jc w:val="both"/>
        <w:textAlignment w:val="auto"/>
        <w:rPr>
          <w:rFonts w:hint="default" w:ascii="Times New Roman" w:hAnsi="Times New Roman" w:eastAsia="方正仿宋_GBK" w:cs="Times New Roman"/>
          <w:b w:val="0"/>
          <w:bCs/>
          <w:color w:val="333333"/>
          <w:sz w:val="32"/>
          <w:szCs w:val="32"/>
          <w:shd w:val="clear" w:color="auto" w:fill="FFFFFF"/>
        </w:rPr>
      </w:pPr>
      <w:r>
        <w:rPr>
          <w:rFonts w:hint="default" w:ascii="Times New Roman" w:hAnsi="Times New Roman" w:eastAsia="方正仿宋_GBK" w:cs="Times New Roman"/>
          <w:b w:val="0"/>
          <w:bCs/>
          <w:color w:val="333333"/>
          <w:sz w:val="32"/>
          <w:szCs w:val="32"/>
          <w:shd w:val="clear" w:color="auto" w:fill="FFFFFF"/>
        </w:rPr>
        <w:t>6.负责住房保障工作。贯彻实施住房保障、住房改革政策。监督管理和协调推进保障性住房建设，负责保障性住房的分配和管理。负责直管公有房屋改革和管理。指导住房公积金缴存、使用和管理。</w:t>
      </w:r>
    </w:p>
    <w:p>
      <w:pPr>
        <w:keepNext w:val="0"/>
        <w:keepLines w:val="0"/>
        <w:pageBreakBefore w:val="0"/>
        <w:widowControl/>
        <w:kinsoku/>
        <w:wordWrap/>
        <w:overflowPunct/>
        <w:topLinePunct w:val="0"/>
        <w:autoSpaceDE/>
        <w:autoSpaceDN/>
        <w:bidi w:val="0"/>
        <w:adjustRightInd/>
        <w:snapToGrid/>
        <w:spacing w:afterAutospacing="0" w:line="560" w:lineRule="exact"/>
        <w:ind w:firstLine="640" w:firstLineChars="200"/>
        <w:jc w:val="both"/>
        <w:textAlignment w:val="auto"/>
        <w:rPr>
          <w:rFonts w:hint="default" w:ascii="Times New Roman" w:hAnsi="Times New Roman" w:eastAsia="方正仿宋_GBK" w:cs="Times New Roman"/>
          <w:b w:val="0"/>
          <w:bCs/>
          <w:color w:val="333333"/>
          <w:sz w:val="32"/>
          <w:szCs w:val="32"/>
          <w:shd w:val="clear" w:color="auto" w:fill="FFFFFF"/>
        </w:rPr>
      </w:pPr>
      <w:r>
        <w:rPr>
          <w:rFonts w:hint="default" w:ascii="Times New Roman" w:hAnsi="Times New Roman" w:eastAsia="方正仿宋_GBK" w:cs="Times New Roman"/>
          <w:b w:val="0"/>
          <w:bCs/>
          <w:color w:val="333333"/>
          <w:sz w:val="32"/>
          <w:szCs w:val="32"/>
          <w:shd w:val="clear" w:color="auto" w:fill="FFFFFF"/>
        </w:rPr>
        <w:t>7.推进城市基础设施建设工作。组织实施城市道路桥梁隧道及其附属设施等城市基础设施建设，负责项目储备、前期工作和协调推进。协调推进房屋建筑和市政基础设施县级重点项目建设。负责历史文化名城、名镇、名村、街区和传统风貌区的保护建设管理工作。指导历史建筑、传统风貌建筑的修复建设。</w:t>
      </w:r>
    </w:p>
    <w:p>
      <w:pPr>
        <w:keepNext w:val="0"/>
        <w:keepLines w:val="0"/>
        <w:pageBreakBefore w:val="0"/>
        <w:widowControl/>
        <w:kinsoku/>
        <w:wordWrap/>
        <w:overflowPunct/>
        <w:topLinePunct w:val="0"/>
        <w:autoSpaceDE/>
        <w:autoSpaceDN/>
        <w:bidi w:val="0"/>
        <w:adjustRightInd/>
        <w:snapToGrid/>
        <w:spacing w:afterAutospacing="0" w:line="560" w:lineRule="exact"/>
        <w:ind w:firstLine="640" w:firstLineChars="200"/>
        <w:jc w:val="both"/>
        <w:textAlignment w:val="auto"/>
        <w:rPr>
          <w:rFonts w:hint="default" w:ascii="Times New Roman" w:hAnsi="Times New Roman" w:eastAsia="方正仿宋_GBK" w:cs="Times New Roman"/>
          <w:b w:val="0"/>
          <w:bCs/>
          <w:color w:val="333333"/>
          <w:sz w:val="32"/>
          <w:szCs w:val="32"/>
          <w:shd w:val="clear" w:color="auto" w:fill="FFFFFF"/>
        </w:rPr>
      </w:pPr>
      <w:r>
        <w:rPr>
          <w:rFonts w:hint="default" w:ascii="Times New Roman" w:hAnsi="Times New Roman" w:eastAsia="方正仿宋_GBK" w:cs="Times New Roman"/>
          <w:b w:val="0"/>
          <w:bCs/>
          <w:color w:val="333333"/>
          <w:sz w:val="32"/>
          <w:szCs w:val="32"/>
          <w:shd w:val="clear" w:color="auto" w:fill="FFFFFF"/>
        </w:rPr>
        <w:t>8.负责推进城市提升相关工作。实施城市提升相关政策、规范、标准。牵头推进城市提升相关前期工作和项目协调。</w:t>
      </w:r>
    </w:p>
    <w:p>
      <w:pPr>
        <w:keepNext w:val="0"/>
        <w:keepLines w:val="0"/>
        <w:pageBreakBefore w:val="0"/>
        <w:widowControl/>
        <w:kinsoku/>
        <w:wordWrap/>
        <w:overflowPunct/>
        <w:topLinePunct w:val="0"/>
        <w:autoSpaceDE/>
        <w:autoSpaceDN/>
        <w:bidi w:val="0"/>
        <w:adjustRightInd/>
        <w:snapToGrid/>
        <w:spacing w:afterAutospacing="0" w:line="560" w:lineRule="exact"/>
        <w:ind w:firstLine="640" w:firstLineChars="200"/>
        <w:jc w:val="both"/>
        <w:textAlignment w:val="auto"/>
        <w:rPr>
          <w:rFonts w:hint="default" w:ascii="Times New Roman" w:hAnsi="Times New Roman" w:eastAsia="方正仿宋_GBK" w:cs="Times New Roman"/>
          <w:b w:val="0"/>
          <w:bCs/>
          <w:color w:val="333333"/>
          <w:sz w:val="32"/>
          <w:szCs w:val="32"/>
          <w:shd w:val="clear" w:color="auto" w:fill="FFFFFF"/>
        </w:rPr>
      </w:pPr>
      <w:r>
        <w:rPr>
          <w:rFonts w:hint="default" w:ascii="Times New Roman" w:hAnsi="Times New Roman" w:eastAsia="方正仿宋_GBK" w:cs="Times New Roman"/>
          <w:b w:val="0"/>
          <w:bCs/>
          <w:color w:val="333333"/>
          <w:sz w:val="32"/>
          <w:szCs w:val="32"/>
          <w:shd w:val="clear" w:color="auto" w:fill="FFFFFF"/>
        </w:rPr>
        <w:t>9.统筹城市人居环境改善工作。负责城市管线的综合管理。统筹城市综合管廊建设与管理。牵头协调推进海绵城市建设。</w:t>
      </w:r>
    </w:p>
    <w:p>
      <w:pPr>
        <w:keepNext w:val="0"/>
        <w:keepLines w:val="0"/>
        <w:pageBreakBefore w:val="0"/>
        <w:widowControl/>
        <w:kinsoku/>
        <w:wordWrap/>
        <w:overflowPunct/>
        <w:topLinePunct w:val="0"/>
        <w:autoSpaceDE/>
        <w:autoSpaceDN/>
        <w:bidi w:val="0"/>
        <w:adjustRightInd/>
        <w:snapToGrid/>
        <w:spacing w:afterAutospacing="0" w:line="560" w:lineRule="exact"/>
        <w:ind w:firstLine="640" w:firstLineChars="200"/>
        <w:jc w:val="both"/>
        <w:textAlignment w:val="auto"/>
        <w:rPr>
          <w:rFonts w:hint="default" w:ascii="Times New Roman" w:hAnsi="Times New Roman" w:eastAsia="方正仿宋_GBK" w:cs="Times New Roman"/>
          <w:b w:val="0"/>
          <w:bCs/>
          <w:color w:val="333333"/>
          <w:sz w:val="32"/>
          <w:szCs w:val="32"/>
          <w:shd w:val="clear" w:color="auto" w:fill="FFFFFF"/>
        </w:rPr>
      </w:pPr>
      <w:r>
        <w:rPr>
          <w:rFonts w:hint="default" w:ascii="Times New Roman" w:hAnsi="Times New Roman" w:eastAsia="方正仿宋_GBK" w:cs="Times New Roman"/>
          <w:b w:val="0"/>
          <w:bCs/>
          <w:color w:val="333333"/>
          <w:sz w:val="32"/>
          <w:szCs w:val="32"/>
          <w:shd w:val="clear" w:color="auto" w:fill="FFFFFF"/>
        </w:rPr>
        <w:t>10.负责城镇排水与污水处理的监督管理。贯彻实施城镇排水与污水处理政策、标准、规划。负责城市污水处理厂建设运行管理，负责城镇排水（雨水、污水）管网建设维护管理，负责城镇污水处理费征收的管理工作。负责城镇排水监测的监督管理。牵头负责城市排水防涝工作。指导乡镇污水处理管理工作。</w:t>
      </w:r>
    </w:p>
    <w:p>
      <w:pPr>
        <w:keepNext w:val="0"/>
        <w:keepLines w:val="0"/>
        <w:pageBreakBefore w:val="0"/>
        <w:widowControl/>
        <w:kinsoku/>
        <w:wordWrap/>
        <w:overflowPunct/>
        <w:topLinePunct w:val="0"/>
        <w:autoSpaceDE/>
        <w:autoSpaceDN/>
        <w:bidi w:val="0"/>
        <w:adjustRightInd/>
        <w:snapToGrid/>
        <w:spacing w:afterAutospacing="0" w:line="560" w:lineRule="exact"/>
        <w:ind w:firstLine="640" w:firstLineChars="200"/>
        <w:jc w:val="both"/>
        <w:textAlignment w:val="auto"/>
        <w:rPr>
          <w:rFonts w:hint="default" w:ascii="Times New Roman" w:hAnsi="Times New Roman" w:eastAsia="方正仿宋_GBK" w:cs="Times New Roman"/>
          <w:b w:val="0"/>
          <w:bCs/>
          <w:color w:val="333333"/>
          <w:sz w:val="32"/>
          <w:szCs w:val="32"/>
          <w:shd w:val="clear" w:color="auto" w:fill="FFFFFF"/>
        </w:rPr>
      </w:pPr>
      <w:r>
        <w:rPr>
          <w:rFonts w:hint="default" w:ascii="Times New Roman" w:hAnsi="Times New Roman" w:eastAsia="方正仿宋_GBK" w:cs="Times New Roman"/>
          <w:b w:val="0"/>
          <w:bCs/>
          <w:color w:val="333333"/>
          <w:sz w:val="32"/>
          <w:szCs w:val="32"/>
          <w:shd w:val="clear" w:color="auto" w:fill="FFFFFF"/>
        </w:rPr>
        <w:t>11.负责推进城市修补和有机更新。指导老旧小区改造提升工作。推进城市棚户区改造。监督指导城市既有建筑保留利用、更新改造工作。负责房屋使用安全、物业管理活动的监督管理。</w:t>
      </w:r>
    </w:p>
    <w:p>
      <w:pPr>
        <w:keepNext w:val="0"/>
        <w:keepLines w:val="0"/>
        <w:pageBreakBefore w:val="0"/>
        <w:widowControl/>
        <w:kinsoku/>
        <w:wordWrap/>
        <w:overflowPunct/>
        <w:topLinePunct w:val="0"/>
        <w:autoSpaceDE/>
        <w:autoSpaceDN/>
        <w:bidi w:val="0"/>
        <w:adjustRightInd/>
        <w:snapToGrid/>
        <w:spacing w:afterAutospacing="0" w:line="560" w:lineRule="exact"/>
        <w:ind w:firstLine="640" w:firstLineChars="200"/>
        <w:jc w:val="both"/>
        <w:textAlignment w:val="auto"/>
        <w:rPr>
          <w:rFonts w:hint="default" w:ascii="Times New Roman" w:hAnsi="Times New Roman" w:eastAsia="方正仿宋_GBK" w:cs="Times New Roman"/>
          <w:b w:val="0"/>
          <w:bCs/>
          <w:color w:val="333333"/>
          <w:sz w:val="32"/>
          <w:szCs w:val="32"/>
          <w:shd w:val="clear" w:color="auto" w:fill="FFFFFF"/>
        </w:rPr>
      </w:pPr>
      <w:r>
        <w:rPr>
          <w:rFonts w:hint="default" w:ascii="Times New Roman" w:hAnsi="Times New Roman" w:eastAsia="方正仿宋_GBK" w:cs="Times New Roman"/>
          <w:b w:val="0"/>
          <w:bCs/>
          <w:color w:val="333333"/>
          <w:sz w:val="32"/>
          <w:szCs w:val="32"/>
          <w:shd w:val="clear" w:color="auto" w:fill="FFFFFF"/>
        </w:rPr>
        <w:t>12.指导村镇建设。监督实施村镇建设政策。负责指导村镇建设管理工作，组织村镇建设专项建设示范。指导特色景观旅游名镇名村管理工作。指导农村住房建设和农村危房改造工作。</w:t>
      </w:r>
    </w:p>
    <w:p>
      <w:pPr>
        <w:keepNext w:val="0"/>
        <w:keepLines w:val="0"/>
        <w:pageBreakBefore w:val="0"/>
        <w:widowControl/>
        <w:kinsoku/>
        <w:wordWrap/>
        <w:overflowPunct/>
        <w:topLinePunct w:val="0"/>
        <w:autoSpaceDE/>
        <w:autoSpaceDN/>
        <w:bidi w:val="0"/>
        <w:adjustRightInd/>
        <w:snapToGrid/>
        <w:spacing w:afterAutospacing="0" w:line="560" w:lineRule="exact"/>
        <w:ind w:firstLine="640" w:firstLineChars="200"/>
        <w:jc w:val="both"/>
        <w:textAlignment w:val="auto"/>
        <w:rPr>
          <w:rFonts w:hint="default" w:ascii="Times New Roman" w:hAnsi="Times New Roman" w:eastAsia="方正仿宋_GBK" w:cs="Times New Roman"/>
          <w:b w:val="0"/>
          <w:bCs/>
          <w:color w:val="333333"/>
          <w:sz w:val="32"/>
          <w:szCs w:val="32"/>
          <w:shd w:val="clear" w:color="auto" w:fill="FFFFFF"/>
        </w:rPr>
      </w:pPr>
      <w:r>
        <w:rPr>
          <w:rFonts w:hint="default" w:ascii="Times New Roman" w:hAnsi="Times New Roman" w:eastAsia="方正仿宋_GBK" w:cs="Times New Roman"/>
          <w:b w:val="0"/>
          <w:bCs/>
          <w:color w:val="333333"/>
          <w:sz w:val="32"/>
          <w:szCs w:val="32"/>
          <w:shd w:val="clear" w:color="auto" w:fill="FFFFFF"/>
        </w:rPr>
        <w:t>13.负责建设科技推广应用。推进住房城乡建设科技研究开发与成果转化。指导住房城乡建设新技术示范、推广、应用。承担行业信息化、智能化等管理工作。监督实施工程建设地方标准。推进建筑产业现代化，负责工程建设标准化工作。</w:t>
      </w:r>
    </w:p>
    <w:p>
      <w:pPr>
        <w:keepNext w:val="0"/>
        <w:keepLines w:val="0"/>
        <w:pageBreakBefore w:val="0"/>
        <w:widowControl/>
        <w:kinsoku/>
        <w:wordWrap/>
        <w:overflowPunct/>
        <w:topLinePunct w:val="0"/>
        <w:autoSpaceDE/>
        <w:autoSpaceDN/>
        <w:bidi w:val="0"/>
        <w:adjustRightInd/>
        <w:snapToGrid/>
        <w:spacing w:afterAutospacing="0" w:line="560" w:lineRule="exact"/>
        <w:ind w:firstLine="640" w:firstLineChars="200"/>
        <w:jc w:val="both"/>
        <w:textAlignment w:val="auto"/>
        <w:rPr>
          <w:rFonts w:hint="default" w:ascii="Times New Roman" w:hAnsi="Times New Roman" w:eastAsia="方正仿宋_GBK" w:cs="Times New Roman"/>
          <w:b w:val="0"/>
          <w:bCs/>
          <w:color w:val="333333"/>
          <w:sz w:val="32"/>
          <w:szCs w:val="32"/>
          <w:shd w:val="clear" w:color="auto" w:fill="FFFFFF"/>
        </w:rPr>
      </w:pPr>
      <w:r>
        <w:rPr>
          <w:rFonts w:hint="default" w:ascii="Times New Roman" w:hAnsi="Times New Roman" w:eastAsia="方正仿宋_GBK" w:cs="Times New Roman"/>
          <w:b w:val="0"/>
          <w:bCs/>
          <w:color w:val="333333"/>
          <w:sz w:val="32"/>
          <w:szCs w:val="32"/>
          <w:shd w:val="clear" w:color="auto" w:fill="FFFFFF"/>
        </w:rPr>
        <w:t>14.负责绿色建筑与建筑节能管理。监督实施绿色建筑与建筑节能政策。承担绿色建筑评价及建筑能效测评标识管理。推进建筑节能发展。</w:t>
      </w:r>
    </w:p>
    <w:p>
      <w:pPr>
        <w:keepNext w:val="0"/>
        <w:keepLines w:val="0"/>
        <w:pageBreakBefore w:val="0"/>
        <w:widowControl/>
        <w:kinsoku/>
        <w:wordWrap/>
        <w:overflowPunct/>
        <w:topLinePunct w:val="0"/>
        <w:autoSpaceDE/>
        <w:autoSpaceDN/>
        <w:bidi w:val="0"/>
        <w:adjustRightInd/>
        <w:snapToGrid/>
        <w:spacing w:afterAutospacing="0" w:line="560" w:lineRule="exact"/>
        <w:ind w:firstLine="640" w:firstLineChars="200"/>
        <w:jc w:val="both"/>
        <w:textAlignment w:val="auto"/>
        <w:rPr>
          <w:rFonts w:hint="default" w:ascii="Times New Roman" w:hAnsi="Times New Roman" w:eastAsia="方正仿宋_GBK" w:cs="Times New Roman"/>
          <w:b w:val="0"/>
          <w:bCs/>
          <w:color w:val="333333"/>
          <w:sz w:val="32"/>
          <w:szCs w:val="32"/>
          <w:shd w:val="clear" w:color="auto" w:fill="FFFFFF"/>
        </w:rPr>
      </w:pPr>
      <w:r>
        <w:rPr>
          <w:rFonts w:hint="default" w:ascii="Times New Roman" w:hAnsi="Times New Roman" w:eastAsia="方正仿宋_GBK" w:cs="Times New Roman"/>
          <w:b w:val="0"/>
          <w:bCs/>
          <w:color w:val="333333"/>
          <w:sz w:val="32"/>
          <w:szCs w:val="32"/>
          <w:shd w:val="clear" w:color="auto" w:fill="FFFFFF"/>
        </w:rPr>
        <w:t>15.负责建设工程消防设计审查验收相关工作。实施建设工程消防设计审查验收政策。</w:t>
      </w:r>
    </w:p>
    <w:p>
      <w:pPr>
        <w:keepNext w:val="0"/>
        <w:keepLines w:val="0"/>
        <w:pageBreakBefore w:val="0"/>
        <w:widowControl/>
        <w:kinsoku/>
        <w:wordWrap/>
        <w:overflowPunct/>
        <w:topLinePunct w:val="0"/>
        <w:autoSpaceDE/>
        <w:autoSpaceDN/>
        <w:bidi w:val="0"/>
        <w:adjustRightInd/>
        <w:snapToGrid/>
        <w:spacing w:afterAutospacing="0" w:line="560" w:lineRule="exact"/>
        <w:ind w:firstLine="640" w:firstLineChars="200"/>
        <w:jc w:val="both"/>
        <w:textAlignment w:val="auto"/>
        <w:rPr>
          <w:rFonts w:hint="default" w:ascii="Times New Roman" w:hAnsi="Times New Roman" w:eastAsia="方正仿宋_GBK" w:cs="Times New Roman"/>
          <w:b w:val="0"/>
          <w:bCs/>
          <w:color w:val="333333"/>
          <w:sz w:val="32"/>
          <w:szCs w:val="32"/>
          <w:shd w:val="clear" w:color="auto" w:fill="FFFFFF"/>
        </w:rPr>
      </w:pPr>
      <w:r>
        <w:rPr>
          <w:rFonts w:hint="default" w:ascii="Times New Roman" w:hAnsi="Times New Roman" w:eastAsia="方正仿宋_GBK" w:cs="Times New Roman"/>
          <w:b w:val="0"/>
          <w:bCs/>
          <w:color w:val="333333"/>
          <w:sz w:val="32"/>
          <w:szCs w:val="32"/>
          <w:shd w:val="clear" w:color="auto" w:fill="FFFFFF"/>
        </w:rPr>
        <w:t>16.负责住房城乡建设领域综合行政执法，具体交由相关行政执法队伍承担，并以部门名义统一执法。</w:t>
      </w:r>
    </w:p>
    <w:p>
      <w:pPr>
        <w:keepNext w:val="0"/>
        <w:keepLines w:val="0"/>
        <w:pageBreakBefore w:val="0"/>
        <w:widowControl/>
        <w:kinsoku/>
        <w:wordWrap/>
        <w:overflowPunct/>
        <w:topLinePunct w:val="0"/>
        <w:autoSpaceDE/>
        <w:autoSpaceDN/>
        <w:bidi w:val="0"/>
        <w:adjustRightInd/>
        <w:snapToGrid/>
        <w:spacing w:afterAutospacing="0" w:line="560" w:lineRule="exact"/>
        <w:ind w:firstLine="640" w:firstLineChars="200"/>
        <w:jc w:val="both"/>
        <w:textAlignment w:val="auto"/>
        <w:rPr>
          <w:rFonts w:hint="default" w:ascii="Times New Roman" w:hAnsi="Times New Roman" w:eastAsia="方正仿宋_GBK" w:cs="Times New Roman"/>
          <w:b w:val="0"/>
          <w:bCs/>
          <w:color w:val="333333"/>
          <w:sz w:val="32"/>
          <w:szCs w:val="32"/>
          <w:shd w:val="clear" w:color="auto" w:fill="FFFFFF"/>
        </w:rPr>
      </w:pPr>
      <w:r>
        <w:rPr>
          <w:rFonts w:hint="default" w:ascii="Times New Roman" w:hAnsi="Times New Roman" w:eastAsia="方正仿宋_GBK" w:cs="Times New Roman"/>
          <w:b w:val="0"/>
          <w:bCs/>
          <w:color w:val="333333"/>
          <w:sz w:val="32"/>
          <w:szCs w:val="32"/>
          <w:shd w:val="clear" w:color="auto" w:fill="FFFFFF"/>
        </w:rPr>
        <w:t>17.负责住房和城建档案管理，指导行业人才队伍建设。开展相关领域的交流合作。</w:t>
      </w:r>
    </w:p>
    <w:p>
      <w:pPr>
        <w:keepNext w:val="0"/>
        <w:keepLines w:val="0"/>
        <w:pageBreakBefore w:val="0"/>
        <w:widowControl/>
        <w:kinsoku/>
        <w:wordWrap/>
        <w:overflowPunct/>
        <w:topLinePunct w:val="0"/>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b w:val="0"/>
          <w:bCs/>
          <w:color w:val="333333"/>
          <w:sz w:val="32"/>
          <w:szCs w:val="32"/>
          <w:shd w:val="clear" w:color="auto" w:fill="FFFFFF"/>
        </w:rPr>
      </w:pPr>
      <w:r>
        <w:rPr>
          <w:rFonts w:hint="default" w:ascii="Times New Roman" w:hAnsi="Times New Roman" w:eastAsia="方正仿宋_GBK" w:cs="Times New Roman"/>
          <w:b w:val="0"/>
          <w:bCs/>
          <w:color w:val="333333"/>
          <w:sz w:val="32"/>
          <w:szCs w:val="32"/>
          <w:shd w:val="clear" w:color="auto" w:fill="FFFFFF"/>
        </w:rPr>
        <w:t>18.负责机关、所属单位和行业社会组织党建工作。</w:t>
      </w:r>
    </w:p>
    <w:p>
      <w:pPr>
        <w:keepNext w:val="0"/>
        <w:keepLines w:val="0"/>
        <w:pageBreakBefore w:val="0"/>
        <w:widowControl/>
        <w:kinsoku/>
        <w:wordWrap/>
        <w:overflowPunct/>
        <w:topLinePunct w:val="0"/>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b w:val="0"/>
          <w:bCs/>
          <w:color w:val="333333"/>
          <w:sz w:val="32"/>
          <w:szCs w:val="32"/>
          <w:shd w:val="clear" w:color="auto" w:fill="FFFFFF"/>
        </w:rPr>
      </w:pPr>
      <w:r>
        <w:rPr>
          <w:rFonts w:hint="default" w:ascii="Times New Roman" w:hAnsi="Times New Roman" w:eastAsia="方正仿宋_GBK" w:cs="Times New Roman"/>
          <w:b w:val="0"/>
          <w:bCs/>
          <w:color w:val="333333"/>
          <w:sz w:val="32"/>
          <w:szCs w:val="32"/>
          <w:shd w:val="clear" w:color="auto" w:fill="FFFFFF"/>
        </w:rPr>
        <w:t>19.完成县委县政府交办的其他任务。</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default"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（二）机构设置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333333"/>
          <w:sz w:val="32"/>
          <w:szCs w:val="32"/>
          <w:shd w:val="clear" w:color="auto" w:fill="FFFFFF"/>
        </w:rPr>
      </w:pPr>
      <w:r>
        <w:rPr>
          <w:rFonts w:hint="default" w:ascii="Times New Roman" w:hAnsi="Times New Roman" w:eastAsia="方正仿宋_GBK" w:cs="Times New Roman"/>
          <w:b w:val="0"/>
          <w:bCs/>
          <w:color w:val="333333"/>
          <w:sz w:val="32"/>
          <w:szCs w:val="32"/>
          <w:shd w:val="clear" w:color="auto" w:fill="FFFFFF"/>
        </w:rPr>
        <w:t>秀山土家族苗族自治县住房和城乡建设委员会是县政府工作部门，内设10个职能科室，分别是：办公室（挂内审科牌子）、财务科、法制信访科、房屋管理科、建筑业管理科、行政审批科、设计与绿色建筑发展科、城市建设科、村镇建设科、消防科。</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二、</w:t>
      </w:r>
      <w:r>
        <w:rPr>
          <w:rStyle w:val="8"/>
          <w:rFonts w:hint="eastAsia" w:ascii="方正黑体_GBK" w:hAnsi="方正黑体_GBK" w:eastAsia="方正黑体_GBK" w:cs="方正黑体_GBK"/>
          <w:b w:val="0"/>
          <w:bCs/>
          <w:sz w:val="32"/>
          <w:szCs w:val="32"/>
          <w:shd w:val="clear" w:color="auto" w:fill="FFFFFF"/>
          <w:lang w:eastAsia="zh-CN"/>
        </w:rPr>
        <w:t>单位</w:t>
      </w:r>
      <w:r>
        <w:rPr>
          <w:rStyle w:val="8"/>
          <w:rFonts w:hint="eastAsia" w:ascii="方正黑体_GBK" w:hAnsi="方正黑体_GBK" w:eastAsia="方正黑体_GBK" w:cs="方正黑体_GBK"/>
          <w:b w:val="0"/>
          <w:bCs/>
          <w:sz w:val="32"/>
          <w:szCs w:val="32"/>
          <w:shd w:val="clear" w:color="auto" w:fill="FFFFFF"/>
        </w:rPr>
        <w:t>决算</w:t>
      </w:r>
      <w:r>
        <w:rPr>
          <w:rStyle w:val="8"/>
          <w:rFonts w:hint="eastAsia" w:ascii="方正黑体_GBK" w:hAnsi="方正黑体_GBK" w:eastAsia="方正黑体_GBK" w:cs="方正黑体_GBK"/>
          <w:b w:val="0"/>
          <w:bCs/>
          <w:sz w:val="32"/>
          <w:szCs w:val="32"/>
          <w:shd w:val="clear" w:color="auto" w:fill="FFFFFF"/>
          <w:lang w:eastAsia="zh-CN"/>
        </w:rPr>
        <w:t>收支</w:t>
      </w:r>
      <w:r>
        <w:rPr>
          <w:rStyle w:val="8"/>
          <w:rFonts w:hint="eastAsia" w:ascii="方正黑体_GBK" w:hAnsi="方正黑体_GBK" w:eastAsia="方正黑体_GBK" w:cs="方正黑体_GBK"/>
          <w:b w:val="0"/>
          <w:bCs/>
          <w:sz w:val="32"/>
          <w:szCs w:val="32"/>
          <w:shd w:val="clear" w:color="auto" w:fill="FFFFFF"/>
        </w:rPr>
        <w:t>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eastAsia"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（一）收入支出决算总体情况说明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rPr>
          <w:rFonts w:hint="eastAsia" w:ascii="方正仿宋_GBK" w:hAnsi="方正仿宋_GBK" w:eastAsia="方正仿宋_GBK" w:cs="方正仿宋_GBK"/>
          <w:b w:val="0"/>
          <w:bCs/>
          <w:color w:val="FF0000"/>
          <w:sz w:val="32"/>
          <w:szCs w:val="32"/>
          <w:shd w:val="clear" w:color="auto" w:fill="FFFFFF"/>
          <w:lang w:val="en-US" w:eastAsia="zh-CN"/>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年度收</w:t>
      </w:r>
      <w:r>
        <w:rPr>
          <w:rFonts w:hint="eastAsia" w:ascii="方正仿宋_GBK" w:hAnsi="方正仿宋_GBK" w:eastAsia="方正仿宋_GBK" w:cs="方正仿宋_GBK"/>
          <w:b w:val="0"/>
          <w:bCs/>
          <w:sz w:val="32"/>
          <w:szCs w:val="32"/>
          <w:shd w:val="clear" w:color="auto" w:fill="FFFFFF"/>
          <w:lang w:eastAsia="zh-CN"/>
        </w:rPr>
        <w:t>、支</w:t>
      </w:r>
      <w:r>
        <w:rPr>
          <w:rFonts w:ascii="方正仿宋_GBK" w:hAnsi="方正仿宋_GBK" w:eastAsia="方正仿宋_GBK" w:cs="方正仿宋_GBK"/>
          <w:b w:val="0"/>
          <w:bCs/>
          <w:sz w:val="32"/>
          <w:szCs w:val="32"/>
          <w:shd w:val="clear" w:color="auto" w:fill="FFFFFF"/>
        </w:rPr>
        <w:t>总计</w:t>
      </w:r>
      <w:r>
        <w:rPr>
          <w:rFonts w:hint="eastAsia" w:ascii="方正仿宋_GBK" w:hAnsi="方正仿宋_GBK" w:eastAsia="方正仿宋_GBK" w:cs="方正仿宋_GBK"/>
          <w:b w:val="0"/>
          <w:bCs/>
          <w:sz w:val="32"/>
          <w:szCs w:val="32"/>
          <w:shd w:val="clear" w:color="auto" w:fill="FFFFFF"/>
          <w:lang w:eastAsia="zh-CN"/>
        </w:rPr>
        <w:t>均为</w:t>
      </w:r>
      <w:r>
        <w:rPr>
          <w:rFonts w:hint="default" w:ascii="Times New Roman" w:hAnsi="Times New Roman" w:eastAsia="方正仿宋_GBK"/>
          <w:b w:val="0"/>
          <w:bCs/>
          <w:sz w:val="32"/>
          <w:szCs w:val="32"/>
          <w:shd w:val="clear" w:color="auto" w:fill="FFFFFF"/>
        </w:rPr>
        <w:t>52813.63</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收、支与2023年度相比，增加4634.56万元，增长9.6%</w:t>
      </w:r>
      <w:r>
        <w:rPr>
          <w:rFonts w:ascii="方正仿宋_GBK" w:hAnsi="方正仿宋_GBK" w:eastAsia="方正仿宋_GBK" w:cs="方正仿宋_GBK"/>
          <w:b w:val="0"/>
          <w:bCs/>
          <w:sz w:val="32"/>
          <w:szCs w:val="32"/>
          <w:shd w:val="clear" w:color="auto" w:fill="FFFFFF"/>
        </w:rPr>
        <w:t>，主要原因</w:t>
      </w:r>
      <w:r>
        <w:rPr>
          <w:rFonts w:hint="eastAsia" w:ascii="方正仿宋_GBK" w:hAnsi="方正仿宋_GBK" w:eastAsia="方正仿宋_GBK" w:cs="方正仿宋_GBK"/>
          <w:b w:val="0"/>
          <w:bCs/>
          <w:sz w:val="32"/>
          <w:szCs w:val="32"/>
          <w:shd w:val="clear" w:color="auto" w:fill="FFFFFF"/>
          <w:lang w:val="en-US" w:eastAsia="zh-CN"/>
        </w:rPr>
        <w:t>一是机构人员方面新</w:t>
      </w:r>
      <w:r>
        <w:rPr>
          <w:rFonts w:hint="default" w:ascii="Times New Roman" w:hAnsi="Times New Roman" w:eastAsia="方正仿宋_GBK" w:cs="Times New Roman"/>
          <w:b w:val="0"/>
          <w:bCs/>
          <w:sz w:val="32"/>
          <w:szCs w:val="32"/>
          <w:shd w:val="clear" w:color="auto" w:fill="FFFFFF"/>
          <w:lang w:val="en-US" w:eastAsia="zh-CN"/>
        </w:rPr>
        <w:t>增9名公务员；二</w:t>
      </w:r>
      <w:r>
        <w:rPr>
          <w:rFonts w:hint="eastAsia" w:ascii="方正仿宋_GBK" w:hAnsi="方正仿宋_GBK" w:eastAsia="方正仿宋_GBK" w:cs="方正仿宋_GBK"/>
          <w:b w:val="0"/>
          <w:bCs/>
          <w:sz w:val="32"/>
          <w:szCs w:val="32"/>
          <w:shd w:val="clear" w:color="auto" w:fill="FFFFFF"/>
          <w:lang w:val="en-US" w:eastAsia="zh-CN"/>
        </w:rPr>
        <w:t>是新增土地整治安排支出等项目。</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rPr>
          <w:rFonts w:hint="default" w:ascii="方正仿宋_GBK" w:hAnsi="方正仿宋_GBK" w:eastAsia="方正仿宋_GBK" w:cs="方正仿宋_GBK"/>
          <w:b w:val="0"/>
          <w:bCs/>
          <w:sz w:val="32"/>
          <w:szCs w:val="32"/>
          <w:shd w:val="clear" w:color="auto" w:fill="FFFFFF"/>
        </w:rPr>
      </w:pPr>
      <w:r>
        <w:rPr>
          <w:rStyle w:val="8"/>
          <w:rFonts w:hint="eastAsia" w:ascii="Times New Roman" w:hAnsi="Times New Roman" w:eastAsia="方正仿宋_GBK"/>
          <w:b w:val="0"/>
          <w:bCs/>
          <w:sz w:val="32"/>
          <w:szCs w:val="32"/>
          <w:shd w:val="clear" w:color="auto" w:fill="FFFFFF"/>
          <w:lang w:val="en-US" w:eastAsia="zh-CN"/>
        </w:rPr>
        <w:t>1</w:t>
      </w:r>
      <w:r>
        <w:rPr>
          <w:rStyle w:val="8"/>
          <w:rFonts w:ascii="方正仿宋_GBK" w:hAnsi="方正仿宋_GBK" w:eastAsia="方正仿宋_GBK" w:cs="方正仿宋_GBK"/>
          <w:b w:val="0"/>
          <w:bCs/>
          <w:sz w:val="32"/>
          <w:szCs w:val="32"/>
          <w:shd w:val="clear" w:color="auto" w:fill="FFFFFF"/>
        </w:rPr>
        <w:t>.收入情况。</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年度收入合计</w:t>
      </w:r>
      <w:r>
        <w:rPr>
          <w:rFonts w:hint="default" w:ascii="Times New Roman" w:hAnsi="Times New Roman" w:eastAsia="方正仿宋_GBK"/>
          <w:b w:val="0"/>
          <w:bCs/>
          <w:sz w:val="32"/>
          <w:szCs w:val="32"/>
          <w:shd w:val="clear" w:color="auto" w:fill="FFFFFF"/>
        </w:rPr>
        <w:t>51525.28</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与2023年度相比，增加5806.33万元，增长12.7%</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本年新增土地整治安排支出项目。</w:t>
      </w:r>
      <w:r>
        <w:rPr>
          <w:rFonts w:ascii="方正仿宋_GBK" w:hAnsi="方正仿宋_GBK" w:eastAsia="方正仿宋_GBK" w:cs="方正仿宋_GBK"/>
          <w:b w:val="0"/>
          <w:bCs/>
          <w:sz w:val="32"/>
          <w:szCs w:val="32"/>
          <w:shd w:val="clear" w:color="auto" w:fill="FFFFFF"/>
        </w:rPr>
        <w:t>其中：财政拨款收入</w:t>
      </w:r>
      <w:r>
        <w:rPr>
          <w:rFonts w:hint="default" w:ascii="Times New Roman" w:hAnsi="Times New Roman" w:eastAsia="方正仿宋_GBK"/>
          <w:b w:val="0"/>
          <w:bCs/>
          <w:sz w:val="32"/>
          <w:szCs w:val="32"/>
          <w:shd w:val="clear" w:color="auto" w:fill="FFFFFF"/>
        </w:rPr>
        <w:t>51525.28</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100.0%</w:t>
      </w:r>
      <w:r>
        <w:rPr>
          <w:rFonts w:ascii="方正仿宋_GBK" w:hAnsi="方正仿宋_GBK" w:eastAsia="方正仿宋_GBK" w:cs="方正仿宋_GBK"/>
          <w:b w:val="0"/>
          <w:bCs/>
          <w:sz w:val="32"/>
          <w:szCs w:val="32"/>
          <w:shd w:val="clear" w:color="auto" w:fill="FFFFFF"/>
        </w:rPr>
        <w:t>；事业收入</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；经营收入</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；其他收入</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。此外，</w:t>
      </w:r>
      <w:r>
        <w:rPr>
          <w:rFonts w:hint="eastAsia" w:ascii="方正仿宋_GBK" w:hAnsi="方正仿宋_GBK" w:eastAsia="方正仿宋_GBK" w:cs="方正仿宋_GBK"/>
          <w:b w:val="0"/>
          <w:bCs/>
          <w:sz w:val="32"/>
          <w:szCs w:val="32"/>
          <w:shd w:val="clear" w:color="auto" w:fill="FFFFFF"/>
        </w:rPr>
        <w:t>使用非财政拨款结余（含专用结余）</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万元，年初结转和结余</w:t>
      </w:r>
      <w:r>
        <w:rPr>
          <w:rFonts w:hint="default" w:ascii="Times New Roman" w:hAnsi="Times New Roman" w:eastAsia="方正仿宋_GBK"/>
          <w:b w:val="0"/>
          <w:bCs/>
          <w:sz w:val="32"/>
          <w:szCs w:val="32"/>
          <w:shd w:val="clear" w:color="auto" w:fill="FFFFFF"/>
        </w:rPr>
        <w:t>1288.35</w:t>
      </w:r>
      <w:r>
        <w:rPr>
          <w:rFonts w:ascii="方正仿宋_GBK" w:hAnsi="方正仿宋_GBK" w:eastAsia="方正仿宋_GBK" w:cs="方正仿宋_GBK"/>
          <w:b w:val="0"/>
          <w:bCs/>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rPr>
          <w:rFonts w:hint="eastAsia" w:ascii="方正仿宋_GBK" w:hAnsi="方正仿宋_GBK" w:eastAsia="方正仿宋_GBK" w:cs="方正仿宋_GBK"/>
          <w:b w:val="0"/>
          <w:bCs/>
          <w:color w:val="FF0000"/>
          <w:sz w:val="32"/>
          <w:szCs w:val="32"/>
          <w:shd w:val="clear" w:color="auto" w:fill="FFFFFF"/>
          <w:lang w:val="en-US" w:eastAsia="zh-CN"/>
        </w:rPr>
      </w:pPr>
      <w:r>
        <w:rPr>
          <w:rStyle w:val="8"/>
          <w:rFonts w:hint="eastAsia" w:ascii="Times New Roman" w:hAnsi="Times New Roman" w:eastAsia="方正仿宋_GBK"/>
          <w:b w:val="0"/>
          <w:bCs/>
          <w:sz w:val="32"/>
          <w:szCs w:val="32"/>
          <w:shd w:val="clear" w:color="auto" w:fill="FFFFFF"/>
          <w:lang w:val="en-US" w:eastAsia="zh-CN"/>
        </w:rPr>
        <w:t>2</w:t>
      </w:r>
      <w:r>
        <w:rPr>
          <w:rStyle w:val="8"/>
          <w:rFonts w:ascii="方正仿宋_GBK" w:hAnsi="方正仿宋_GBK" w:eastAsia="方正仿宋_GBK" w:cs="方正仿宋_GBK"/>
          <w:b w:val="0"/>
          <w:bCs/>
          <w:sz w:val="32"/>
          <w:szCs w:val="32"/>
          <w:shd w:val="clear" w:color="auto" w:fill="FFFFFF"/>
        </w:rPr>
        <w:t>.支出情况。</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年度支出合计</w:t>
      </w:r>
      <w:r>
        <w:rPr>
          <w:rFonts w:hint="default" w:ascii="Times New Roman" w:hAnsi="Times New Roman" w:eastAsia="方正仿宋_GBK"/>
          <w:b w:val="0"/>
          <w:bCs/>
          <w:sz w:val="32"/>
          <w:szCs w:val="32"/>
          <w:shd w:val="clear" w:color="auto" w:fill="FFFFFF"/>
        </w:rPr>
        <w:t>52813.63</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与2023年度相比，增加4634.56万元，增长9.6%</w:t>
      </w:r>
      <w:r>
        <w:rPr>
          <w:rFonts w:ascii="方正仿宋_GBK" w:hAnsi="方正仿宋_GBK" w:eastAsia="方正仿宋_GBK" w:cs="方正仿宋_GBK"/>
          <w:b w:val="0"/>
          <w:bCs/>
          <w:sz w:val="32"/>
          <w:szCs w:val="32"/>
          <w:shd w:val="clear" w:color="auto" w:fill="FFFFFF"/>
        </w:rPr>
        <w:t>，主要原因</w:t>
      </w:r>
      <w:r>
        <w:rPr>
          <w:rFonts w:hint="eastAsia" w:ascii="方正仿宋_GBK" w:hAnsi="方正仿宋_GBK" w:eastAsia="方正仿宋_GBK" w:cs="方正仿宋_GBK"/>
          <w:b w:val="0"/>
          <w:bCs/>
          <w:sz w:val="32"/>
          <w:szCs w:val="32"/>
          <w:shd w:val="clear" w:color="auto" w:fill="FFFFFF"/>
          <w:lang w:val="en-US" w:eastAsia="zh-CN"/>
        </w:rPr>
        <w:t>一是机构人员方</w:t>
      </w:r>
      <w:r>
        <w:rPr>
          <w:rFonts w:hint="default" w:ascii="Times New Roman" w:hAnsi="Times New Roman" w:eastAsia="方正仿宋_GBK" w:cs="Times New Roman"/>
          <w:b w:val="0"/>
          <w:bCs/>
          <w:sz w:val="32"/>
          <w:szCs w:val="32"/>
          <w:shd w:val="clear" w:color="auto" w:fill="FFFFFF"/>
          <w:lang w:val="en-US" w:eastAsia="zh-CN"/>
        </w:rPr>
        <w:t>面新增9名公务员；二</w:t>
      </w:r>
      <w:r>
        <w:rPr>
          <w:rFonts w:hint="eastAsia" w:ascii="方正仿宋_GBK" w:hAnsi="方正仿宋_GBK" w:eastAsia="方正仿宋_GBK" w:cs="方正仿宋_GBK"/>
          <w:b w:val="0"/>
          <w:bCs/>
          <w:sz w:val="32"/>
          <w:szCs w:val="32"/>
          <w:shd w:val="clear" w:color="auto" w:fill="FFFFFF"/>
          <w:lang w:val="en-US" w:eastAsia="zh-CN"/>
        </w:rPr>
        <w:t>是新增土地整治安排支出等项目。</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b w:val="0"/>
          <w:bCs/>
          <w:sz w:val="32"/>
          <w:szCs w:val="32"/>
          <w:shd w:val="clear" w:color="auto" w:fill="FFFFFF"/>
        </w:rPr>
      </w:pPr>
      <w:r>
        <w:rPr>
          <w:rFonts w:ascii="方正仿宋_GBK" w:hAnsi="方正仿宋_GBK" w:eastAsia="方正仿宋_GBK" w:cs="方正仿宋_GBK"/>
          <w:b w:val="0"/>
          <w:bCs/>
          <w:sz w:val="32"/>
          <w:szCs w:val="32"/>
          <w:shd w:val="clear" w:color="auto" w:fill="FFFFFF"/>
        </w:rPr>
        <w:t>其中：基本支出</w:t>
      </w:r>
      <w:r>
        <w:rPr>
          <w:rFonts w:hint="default" w:ascii="Times New Roman" w:hAnsi="Times New Roman" w:eastAsia="方正仿宋_GBK"/>
          <w:b w:val="0"/>
          <w:bCs/>
          <w:sz w:val="32"/>
          <w:szCs w:val="32"/>
          <w:shd w:val="clear" w:color="auto" w:fill="FFFFFF"/>
        </w:rPr>
        <w:t>711.42</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1.4%</w:t>
      </w:r>
      <w:r>
        <w:rPr>
          <w:rFonts w:ascii="方正仿宋_GBK" w:hAnsi="方正仿宋_GBK" w:eastAsia="方正仿宋_GBK" w:cs="方正仿宋_GBK"/>
          <w:b w:val="0"/>
          <w:bCs/>
          <w:sz w:val="32"/>
          <w:szCs w:val="32"/>
          <w:shd w:val="clear" w:color="auto" w:fill="FFFFFF"/>
        </w:rPr>
        <w:t>；项目支出</w:t>
      </w:r>
      <w:r>
        <w:rPr>
          <w:rFonts w:hint="default" w:ascii="Times New Roman" w:hAnsi="Times New Roman" w:eastAsia="方正仿宋_GBK"/>
          <w:b w:val="0"/>
          <w:bCs/>
          <w:sz w:val="32"/>
          <w:szCs w:val="32"/>
          <w:shd w:val="clear" w:color="auto" w:fill="FFFFFF"/>
        </w:rPr>
        <w:t>52102.20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98.7%</w:t>
      </w:r>
      <w:r>
        <w:rPr>
          <w:rFonts w:ascii="方正仿宋_GBK" w:hAnsi="方正仿宋_GBK" w:eastAsia="方正仿宋_GBK" w:cs="方正仿宋_GBK"/>
          <w:b w:val="0"/>
          <w:bCs/>
          <w:sz w:val="32"/>
          <w:szCs w:val="32"/>
          <w:shd w:val="clear" w:color="auto" w:fill="FFFFFF"/>
        </w:rPr>
        <w:t>；经营支出</w:t>
      </w:r>
      <w:r>
        <w:rPr>
          <w:rFonts w:hint="default" w:ascii="Times New Roman" w:hAnsi="Times New Roman" w:eastAsia="方正仿宋_GBK"/>
          <w:b w:val="0"/>
          <w:bCs/>
          <w:sz w:val="32"/>
          <w:szCs w:val="32"/>
        </w:rPr>
        <w:t>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。此外，结余分配</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Style w:val="8"/>
          <w:rFonts w:hint="eastAsia" w:ascii="Times New Roman" w:hAnsi="Times New Roman" w:eastAsia="方正仿宋_GBK"/>
          <w:b w:val="0"/>
          <w:bCs/>
          <w:sz w:val="32"/>
          <w:szCs w:val="32"/>
          <w:shd w:val="clear" w:color="auto" w:fill="FFFFFF"/>
          <w:lang w:val="en-US" w:eastAsia="zh-CN"/>
        </w:rPr>
        <w:t>3</w:t>
      </w:r>
      <w:r>
        <w:rPr>
          <w:rStyle w:val="8"/>
          <w:rFonts w:ascii="方正仿宋_GBK" w:hAnsi="方正仿宋_GBK" w:eastAsia="方正仿宋_GBK" w:cs="方正仿宋_GBK"/>
          <w:b w:val="0"/>
          <w:bCs/>
          <w:sz w:val="32"/>
          <w:szCs w:val="32"/>
          <w:shd w:val="clear" w:color="auto" w:fill="FFFFFF"/>
        </w:rPr>
        <w:t>.结转结余情况。</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年度年末结转和结余</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与2023年度相比，无增减</w:t>
      </w:r>
      <w:r>
        <w:rPr>
          <w:rFonts w:ascii="方正仿宋_GBK" w:hAnsi="方正仿宋_GBK" w:eastAsia="方正仿宋_GBK" w:cs="方正仿宋_GBK"/>
          <w:b w:val="0"/>
          <w:bCs/>
          <w:sz w:val="32"/>
          <w:szCs w:val="32"/>
          <w:shd w:val="clear" w:color="auto" w:fill="FFFFFF"/>
        </w:rPr>
        <w:t>，主要原因是</w:t>
      </w:r>
      <w:r>
        <w:rPr>
          <w:rFonts w:hint="default" w:ascii="Times New Roman" w:hAnsi="Times New Roman" w:eastAsia="方正仿宋_GBK" w:cs="Times New Roman"/>
          <w:b w:val="0"/>
          <w:bCs/>
          <w:sz w:val="32"/>
          <w:szCs w:val="32"/>
          <w:shd w:val="clear" w:color="auto" w:fill="FFFFFF"/>
        </w:rPr>
        <w:t>严格执行预算“零结转”，年度部门预算结余资金、结转满两年及以上的专项转移支付资金一律由县财政收回统筹安排。</w:t>
      </w:r>
    </w:p>
    <w:p>
      <w:pPr>
        <w:pStyle w:val="11"/>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（二）财政拨款收入支出决算总体情况说明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rPr>
          <w:rFonts w:hint="default" w:ascii="方正仿宋_GBK" w:hAnsi="方正仿宋_GBK" w:eastAsia="方正仿宋_GBK" w:cs="方正仿宋_GBK"/>
          <w:b w:val="0"/>
          <w:bCs/>
          <w:sz w:val="32"/>
          <w:szCs w:val="32"/>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年度财政拨款收、支总计均为</w:t>
      </w:r>
      <w:r>
        <w:rPr>
          <w:rFonts w:hint="default" w:ascii="Times New Roman" w:hAnsi="Times New Roman" w:eastAsia="方正仿宋_GBK"/>
          <w:b w:val="0"/>
          <w:bCs/>
          <w:sz w:val="32"/>
          <w:szCs w:val="32"/>
          <w:shd w:val="clear" w:color="auto" w:fill="FFFFFF"/>
        </w:rPr>
        <w:t>52813.63</w:t>
      </w:r>
      <w:r>
        <w:rPr>
          <w:rFonts w:ascii="方正仿宋_GBK" w:hAnsi="方正仿宋_GBK" w:eastAsia="方正仿宋_GBK" w:cs="方正仿宋_GBK"/>
          <w:b w:val="0"/>
          <w:bCs/>
          <w:sz w:val="32"/>
          <w:szCs w:val="32"/>
          <w:shd w:val="clear" w:color="auto" w:fill="FFFFFF"/>
        </w:rPr>
        <w:t>万元。与</w:t>
      </w:r>
      <w:r>
        <w:rPr>
          <w:rFonts w:hint="default" w:ascii="Times New Roman" w:hAnsi="Times New Roman" w:eastAsia="方正仿宋_GBK"/>
          <w:b w:val="0"/>
          <w:bCs/>
          <w:sz w:val="32"/>
          <w:szCs w:val="32"/>
          <w:shd w:val="clear" w:color="auto" w:fill="FFFFFF"/>
        </w:rPr>
        <w:t>2023</w:t>
      </w:r>
      <w:r>
        <w:rPr>
          <w:rFonts w:ascii="方正仿宋_GBK" w:hAnsi="方正仿宋_GBK" w:eastAsia="方正仿宋_GBK" w:cs="方正仿宋_GBK"/>
          <w:b w:val="0"/>
          <w:bCs/>
          <w:sz w:val="32"/>
          <w:szCs w:val="32"/>
          <w:shd w:val="clear" w:color="auto" w:fill="FFFFFF"/>
        </w:rPr>
        <w:t>年</w:t>
      </w:r>
      <w:r>
        <w:rPr>
          <w:rFonts w:hint="eastAsia" w:ascii="方正仿宋_GBK" w:hAnsi="方正仿宋_GBK" w:eastAsia="方正仿宋_GBK" w:cs="方正仿宋_GBK"/>
          <w:b w:val="0"/>
          <w:bCs/>
          <w:sz w:val="32"/>
          <w:szCs w:val="32"/>
          <w:shd w:val="clear" w:color="auto" w:fill="FFFFFF"/>
          <w:lang w:eastAsia="zh-CN"/>
        </w:rPr>
        <w:t>度</w:t>
      </w:r>
      <w:r>
        <w:rPr>
          <w:rFonts w:ascii="方正仿宋_GBK" w:hAnsi="方正仿宋_GBK" w:eastAsia="方正仿宋_GBK" w:cs="方正仿宋_GBK"/>
          <w:b w:val="0"/>
          <w:bCs/>
          <w:sz w:val="32"/>
          <w:szCs w:val="32"/>
          <w:shd w:val="clear" w:color="auto" w:fill="FFFFFF"/>
        </w:rPr>
        <w:t>相比，</w:t>
      </w:r>
      <w:r>
        <w:rPr>
          <w:rFonts w:hint="default" w:ascii="Times New Roman" w:hAnsi="Times New Roman" w:eastAsia="方正仿宋_GBK"/>
          <w:b w:val="0"/>
          <w:bCs/>
          <w:sz w:val="32"/>
          <w:szCs w:val="32"/>
          <w:shd w:val="clear" w:color="auto" w:fill="FFFFFF"/>
        </w:rPr>
        <w:t>财政拨款收、支总计各增加4634.56万元，增长9.6%</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一是机构人员方面新增</w:t>
      </w:r>
      <w:r>
        <w:rPr>
          <w:rFonts w:hint="default" w:ascii="Times New Roman" w:hAnsi="Times New Roman" w:eastAsia="方正仿宋_GBK" w:cs="Times New Roman"/>
          <w:b w:val="0"/>
          <w:bCs/>
          <w:sz w:val="32"/>
          <w:szCs w:val="32"/>
          <w:shd w:val="clear" w:color="auto" w:fill="FFFFFF"/>
          <w:lang w:val="en-US" w:eastAsia="zh-CN"/>
        </w:rPr>
        <w:t>9</w:t>
      </w:r>
      <w:r>
        <w:rPr>
          <w:rFonts w:hint="eastAsia" w:ascii="方正仿宋_GBK" w:hAnsi="方正仿宋_GBK" w:eastAsia="方正仿宋_GBK" w:cs="方正仿宋_GBK"/>
          <w:b w:val="0"/>
          <w:bCs/>
          <w:sz w:val="32"/>
          <w:szCs w:val="32"/>
          <w:shd w:val="clear" w:color="auto" w:fill="FFFFFF"/>
          <w:lang w:val="en-US" w:eastAsia="zh-CN"/>
        </w:rPr>
        <w:t>名公务员；二是新增土地整治安排支出等项目。</w:t>
      </w:r>
    </w:p>
    <w:p>
      <w:pPr>
        <w:pStyle w:val="11"/>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b w:val="0"/>
          <w:bCs/>
          <w:sz w:val="32"/>
          <w:szCs w:val="32"/>
        </w:rPr>
      </w:pPr>
      <w:r>
        <w:rPr>
          <w:rStyle w:val="8"/>
          <w:rFonts w:hint="default" w:ascii="Times New Roman" w:hAnsi="Times New Roman" w:eastAsia="方正仿宋_GBK"/>
          <w:b w:val="0"/>
          <w:bCs/>
          <w:sz w:val="32"/>
          <w:szCs w:val="32"/>
          <w:shd w:val="clear" w:color="auto" w:fill="FFFFFF"/>
        </w:rPr>
        <w:t>1</w:t>
      </w:r>
      <w:r>
        <w:rPr>
          <w:rStyle w:val="8"/>
          <w:rFonts w:ascii="方正仿宋_GBK" w:hAnsi="方正仿宋_GBK" w:eastAsia="方正仿宋_GBK" w:cs="方正仿宋_GBK"/>
          <w:b w:val="0"/>
          <w:bCs/>
          <w:sz w:val="32"/>
          <w:szCs w:val="32"/>
          <w:shd w:val="clear" w:color="auto" w:fill="FFFFFF"/>
        </w:rPr>
        <w:t>.收入情况。</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年度一般公共预算财政拨款收入</w:t>
      </w:r>
      <w:r>
        <w:rPr>
          <w:rFonts w:hint="default" w:ascii="Times New Roman" w:hAnsi="Times New Roman" w:eastAsia="方正仿宋_GBK"/>
          <w:b w:val="0"/>
          <w:bCs/>
          <w:sz w:val="32"/>
          <w:szCs w:val="32"/>
          <w:shd w:val="clear" w:color="auto" w:fill="FFFFFF"/>
        </w:rPr>
        <w:t>28616.75</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与2023年度相比，增加18688.01万元，增长188.2%</w:t>
      </w:r>
      <w:r>
        <w:rPr>
          <w:rFonts w:ascii="方正仿宋_GBK" w:hAnsi="方正仿宋_GBK" w:eastAsia="方正仿宋_GBK" w:cs="方正仿宋_GBK"/>
          <w:b w:val="0"/>
          <w:bCs/>
          <w:sz w:val="32"/>
          <w:szCs w:val="32"/>
          <w:shd w:val="clear" w:color="auto" w:fill="FFFFFF"/>
        </w:rPr>
        <w:t>。主要原因</w:t>
      </w:r>
      <w:r>
        <w:rPr>
          <w:rFonts w:hint="eastAsia" w:ascii="方正仿宋_GBK" w:hAnsi="方正仿宋_GBK" w:eastAsia="方正仿宋_GBK" w:cs="方正仿宋_GBK"/>
          <w:b w:val="0"/>
          <w:bCs/>
          <w:sz w:val="32"/>
          <w:szCs w:val="32"/>
          <w:shd w:val="clear" w:color="auto" w:fill="FFFFFF"/>
          <w:lang w:val="en-US" w:eastAsia="zh-CN"/>
        </w:rPr>
        <w:t>是本年新增事业发展经费、事业服务经费、保障性安居工程补助资金、土地整治安排支出、中央补助农村危房改造资金等项目，</w:t>
      </w:r>
      <w:r>
        <w:rPr>
          <w:rFonts w:hint="default" w:ascii="Times New Roman" w:hAnsi="Times New Roman" w:eastAsia="方正仿宋_GBK"/>
          <w:b w:val="0"/>
          <w:bCs/>
          <w:sz w:val="32"/>
          <w:szCs w:val="32"/>
          <w:shd w:val="clear" w:color="auto" w:fill="FFFFFF"/>
        </w:rPr>
        <w:t>较年初预算数增加12747.73万元，增长80.3%</w:t>
      </w:r>
      <w:r>
        <w:rPr>
          <w:rFonts w:ascii="方正仿宋_GBK" w:hAnsi="方正仿宋_GBK" w:eastAsia="方正仿宋_GBK" w:cs="方正仿宋_GBK"/>
          <w:b w:val="0"/>
          <w:bCs/>
          <w:sz w:val="32"/>
          <w:szCs w:val="32"/>
          <w:shd w:val="clear" w:color="auto" w:fill="FFFFFF"/>
        </w:rPr>
        <w:t>。主要原因</w:t>
      </w:r>
      <w:r>
        <w:rPr>
          <w:rFonts w:hint="eastAsia" w:ascii="方正仿宋_GBK" w:hAnsi="方正仿宋_GBK" w:eastAsia="方正仿宋_GBK" w:cs="方正仿宋_GBK"/>
          <w:b w:val="0"/>
          <w:bCs/>
          <w:sz w:val="32"/>
          <w:szCs w:val="32"/>
          <w:shd w:val="clear" w:color="auto" w:fill="FFFFFF"/>
          <w:lang w:eastAsia="zh-CN"/>
        </w:rPr>
        <w:t>是</w:t>
      </w:r>
      <w:r>
        <w:rPr>
          <w:rFonts w:hint="eastAsia" w:ascii="方正仿宋_GBK" w:hAnsi="方正仿宋_GBK" w:eastAsia="方正仿宋_GBK" w:cs="方正仿宋_GBK"/>
          <w:b w:val="0"/>
          <w:bCs/>
          <w:sz w:val="32"/>
          <w:szCs w:val="32"/>
          <w:shd w:val="clear" w:color="auto" w:fill="FFFFFF"/>
          <w:lang w:val="en-US" w:eastAsia="zh-CN"/>
        </w:rPr>
        <w:t>年中追加保障性安居工程补助资金、土地整治安排支出、中央补助农村危房改造资金等项目，</w:t>
      </w:r>
      <w:r>
        <w:rPr>
          <w:rFonts w:ascii="方正仿宋_GBK" w:hAnsi="方正仿宋_GBK" w:eastAsia="方正仿宋_GBK" w:cs="方正仿宋_GBK"/>
          <w:b w:val="0"/>
          <w:bCs/>
          <w:sz w:val="32"/>
          <w:szCs w:val="32"/>
          <w:shd w:val="clear" w:color="auto" w:fill="FFFFFF"/>
        </w:rPr>
        <w:t>此外，年初财政拨款结转和结余</w:t>
      </w:r>
      <w:r>
        <w:rPr>
          <w:rFonts w:hint="default" w:ascii="Times New Roman" w:hAnsi="Times New Roman" w:eastAsia="方正仿宋_GBK"/>
          <w:b w:val="0"/>
          <w:bCs/>
          <w:sz w:val="32"/>
          <w:szCs w:val="32"/>
          <w:shd w:val="clear" w:color="auto" w:fill="FFFFFF"/>
        </w:rPr>
        <w:t>1288.35</w:t>
      </w:r>
      <w:r>
        <w:rPr>
          <w:rFonts w:ascii="方正仿宋_GBK" w:hAnsi="方正仿宋_GBK" w:eastAsia="方正仿宋_GBK" w:cs="方正仿宋_GBK"/>
          <w:b w:val="0"/>
          <w:bCs/>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ascii="方正仿宋_GBK" w:hAnsi="方正仿宋_GBK" w:eastAsia="方正仿宋_GBK" w:cs="方正仿宋_GBK"/>
          <w:b w:val="0"/>
          <w:bCs/>
          <w:color w:val="FF0000"/>
          <w:sz w:val="32"/>
          <w:szCs w:val="32"/>
          <w:shd w:val="clear" w:color="auto" w:fill="FFFFFF"/>
        </w:rPr>
      </w:pPr>
      <w:r>
        <w:rPr>
          <w:rStyle w:val="8"/>
          <w:rFonts w:hint="default" w:ascii="Times New Roman" w:hAnsi="Times New Roman" w:eastAsia="方正仿宋_GBK"/>
          <w:b w:val="0"/>
          <w:bCs/>
          <w:sz w:val="32"/>
          <w:szCs w:val="32"/>
          <w:shd w:val="clear" w:color="auto" w:fill="FFFFFF"/>
        </w:rPr>
        <w:t>2</w:t>
      </w:r>
      <w:r>
        <w:rPr>
          <w:rStyle w:val="8"/>
          <w:rFonts w:ascii="方正仿宋_GBK" w:hAnsi="方正仿宋_GBK" w:eastAsia="方正仿宋_GBK" w:cs="方正仿宋_GBK"/>
          <w:b w:val="0"/>
          <w:bCs/>
          <w:sz w:val="32"/>
          <w:szCs w:val="32"/>
          <w:shd w:val="clear" w:color="auto" w:fill="FFFFFF"/>
        </w:rPr>
        <w:t>.支出情况。</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年度一般公共预算财政拨款支出</w:t>
      </w:r>
      <w:r>
        <w:rPr>
          <w:rFonts w:hint="default" w:ascii="Times New Roman" w:hAnsi="Times New Roman" w:eastAsia="方正仿宋_GBK"/>
          <w:b w:val="0"/>
          <w:bCs/>
          <w:sz w:val="32"/>
          <w:szCs w:val="32"/>
          <w:shd w:val="clear" w:color="auto" w:fill="FFFFFF"/>
        </w:rPr>
        <w:t>29905.10</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与2023年度相比，增加17516.23万元，增长141.4%</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本年新增事业发展经费、事业服务经费、保障性安居工程补助资金、土地整治安排支出、中央补助农村危房改造资金等项目。</w:t>
      </w:r>
      <w:r>
        <w:rPr>
          <w:rFonts w:hint="default" w:ascii="Times New Roman" w:hAnsi="Times New Roman" w:eastAsia="方正仿宋_GBK"/>
          <w:b w:val="0"/>
          <w:bCs/>
          <w:sz w:val="32"/>
          <w:szCs w:val="32"/>
          <w:shd w:val="clear" w:color="auto" w:fill="FFFFFF"/>
        </w:rPr>
        <w:t>较年初预算数增加14036.08万元，增长88.5%</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年中追加保障性安居工程补助资金、土地整治安排支出、中央补助农村危房改造资金等项目。</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sz w:val="32"/>
          <w:szCs w:val="32"/>
          <w:highlight w:val="none"/>
          <w:shd w:val="clear" w:color="auto" w:fill="FFFFFF"/>
        </w:rPr>
      </w:pPr>
      <w:r>
        <w:rPr>
          <w:rFonts w:ascii="方正仿宋_GBK" w:hAnsi="方正仿宋_GBK" w:eastAsia="方正仿宋_GBK" w:cs="方正仿宋_GBK"/>
          <w:b w:val="0"/>
          <w:bCs/>
          <w:sz w:val="32"/>
          <w:szCs w:val="32"/>
          <w:highlight w:val="none"/>
          <w:shd w:val="clear" w:color="auto" w:fill="FFFFFF"/>
        </w:rPr>
        <w:t>一般公共预算财政拨款支出主要</w:t>
      </w:r>
      <w:r>
        <w:rPr>
          <w:rFonts w:hint="eastAsia" w:ascii="方正仿宋_GBK" w:hAnsi="方正仿宋_GBK" w:eastAsia="方正仿宋_GBK" w:cs="方正仿宋_GBK"/>
          <w:b w:val="0"/>
          <w:bCs/>
          <w:sz w:val="32"/>
          <w:szCs w:val="32"/>
          <w:highlight w:val="none"/>
          <w:shd w:val="clear" w:color="auto" w:fill="FFFFFF"/>
          <w:lang w:eastAsia="zh-CN"/>
        </w:rPr>
        <w:t>用途如下</w:t>
      </w:r>
      <w:r>
        <w:rPr>
          <w:rFonts w:ascii="方正仿宋_GBK" w:hAnsi="方正仿宋_GBK" w:eastAsia="方正仿宋_GBK" w:cs="方正仿宋_GBK"/>
          <w:b w:val="0"/>
          <w:bCs/>
          <w:sz w:val="32"/>
          <w:szCs w:val="32"/>
          <w:highlight w:val="none"/>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eastAsia" w:ascii="方正仿宋_GBK" w:hAnsi="方正仿宋_GBK" w:eastAsia="方正仿宋_GBK" w:cs="方正仿宋_GBK"/>
          <w:b w:val="0"/>
          <w:bCs/>
          <w:sz w:val="32"/>
          <w:szCs w:val="32"/>
          <w:lang w:val="en-US" w:eastAsia="zh-CN"/>
        </w:rPr>
      </w:pP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1</w:t>
      </w:r>
      <w:r>
        <w:rPr>
          <w:rFonts w:ascii="方正仿宋_GBK" w:hAnsi="方正仿宋_GBK" w:eastAsia="方正仿宋_GBK" w:cs="方正仿宋_GBK"/>
          <w:b w:val="0"/>
          <w:bCs/>
          <w:sz w:val="32"/>
          <w:szCs w:val="32"/>
          <w:shd w:val="clear" w:color="auto" w:fill="FFFFFF"/>
        </w:rPr>
        <w:t>）一般公共服务支出</w:t>
      </w:r>
      <w:r>
        <w:rPr>
          <w:rFonts w:hint="default" w:ascii="Times New Roman" w:hAnsi="Times New Roman" w:eastAsia="方正仿宋_GBK"/>
          <w:b w:val="0"/>
          <w:bCs/>
          <w:sz w:val="32"/>
          <w:szCs w:val="32"/>
          <w:shd w:val="clear" w:color="auto" w:fill="FFFFFF"/>
        </w:rPr>
        <w:t>0.30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较年初预算数增加0.30万元，增长100.0%</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增加公务员奖励经费项目。</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eastAsia" w:ascii="方正仿宋_GBK" w:hAnsi="方正仿宋_GBK" w:eastAsia="方正仿宋_GBK" w:cs="方正仿宋_GBK"/>
          <w:b w:val="0"/>
          <w:bCs/>
          <w:sz w:val="32"/>
          <w:szCs w:val="32"/>
          <w:lang w:val="en-US" w:eastAsia="zh-CN"/>
        </w:rPr>
      </w:pPr>
      <w:r>
        <w:rPr>
          <w:rFonts w:hint="eastAsia" w:ascii="Times New Roman" w:hAnsi="Times New Roman" w:eastAsia="方正仿宋_GBK" w:cs="Times New Roman"/>
          <w:b w:val="0"/>
          <w:bCs/>
          <w:sz w:val="32"/>
          <w:szCs w:val="32"/>
          <w:shd w:val="clear" w:color="auto" w:fill="FFFFFF"/>
          <w:lang w:eastAsia="zh-CN"/>
        </w:rPr>
        <w:t>（</w:t>
      </w:r>
      <w:r>
        <w:rPr>
          <w:rFonts w:hint="eastAsia" w:ascii="Times New Roman" w:hAnsi="Times New Roman" w:eastAsia="方正仿宋_GBK" w:cs="Times New Roman"/>
          <w:b w:val="0"/>
          <w:bCs/>
          <w:sz w:val="32"/>
          <w:szCs w:val="32"/>
          <w:shd w:val="clear" w:color="auto" w:fill="FFFFFF"/>
          <w:lang w:val="en-US" w:eastAsia="zh-CN"/>
        </w:rPr>
        <w:t>2</w:t>
      </w:r>
      <w:r>
        <w:rPr>
          <w:rFonts w:hint="eastAsia" w:ascii="Times New Roman" w:hAnsi="Times New Roman" w:eastAsia="方正仿宋_GBK" w:cs="Times New Roman"/>
          <w:b w:val="0"/>
          <w:bCs/>
          <w:sz w:val="32"/>
          <w:szCs w:val="32"/>
          <w:shd w:val="clear" w:color="auto" w:fill="FFFFFF"/>
          <w:lang w:eastAsia="zh-CN"/>
        </w:rPr>
        <w:t>）</w:t>
      </w:r>
      <w:r>
        <w:rPr>
          <w:rFonts w:ascii="方正仿宋_GBK" w:hAnsi="方正仿宋_GBK" w:eastAsia="方正仿宋_GBK" w:cs="方正仿宋_GBK"/>
          <w:b w:val="0"/>
          <w:bCs/>
          <w:sz w:val="32"/>
          <w:szCs w:val="32"/>
          <w:shd w:val="clear" w:color="auto" w:fill="FFFFFF"/>
        </w:rPr>
        <w:t>科学技术支出</w:t>
      </w:r>
      <w:r>
        <w:rPr>
          <w:rFonts w:hint="default" w:ascii="Times New Roman" w:hAnsi="Times New Roman" w:eastAsia="方正仿宋_GBK"/>
          <w:b w:val="0"/>
          <w:bCs/>
          <w:sz w:val="32"/>
          <w:szCs w:val="32"/>
          <w:shd w:val="clear" w:color="auto" w:fill="FFFFFF"/>
        </w:rPr>
        <w:t>53.61</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0.2%</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较年初预算数增加53.61万元，增长100.0%</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增加秀山县房屋建筑承灾体项目。</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eastAsia" w:ascii="方正仿宋_GBK" w:hAnsi="方正仿宋_GBK" w:eastAsia="方正仿宋_GBK" w:cs="方正仿宋_GBK"/>
          <w:b w:val="0"/>
          <w:bCs/>
          <w:sz w:val="32"/>
          <w:szCs w:val="32"/>
          <w:highlight w:val="none"/>
          <w:lang w:val="en-US" w:eastAsia="zh-CN"/>
        </w:rPr>
      </w:pPr>
      <w:r>
        <w:rPr>
          <w:rFonts w:ascii="方正仿宋_GBK" w:hAnsi="方正仿宋_GBK" w:eastAsia="方正仿宋_GBK" w:cs="方正仿宋_GBK"/>
          <w:b w:val="0"/>
          <w:bCs/>
          <w:sz w:val="32"/>
          <w:szCs w:val="32"/>
          <w:highlight w:val="none"/>
          <w:shd w:val="clear" w:color="auto" w:fill="FFFFFF"/>
        </w:rPr>
        <w:t>（</w:t>
      </w:r>
      <w:r>
        <w:rPr>
          <w:rFonts w:hint="eastAsia" w:ascii="Times New Roman" w:hAnsi="Times New Roman" w:eastAsia="方正仿宋_GBK"/>
          <w:b w:val="0"/>
          <w:bCs/>
          <w:sz w:val="32"/>
          <w:szCs w:val="32"/>
          <w:highlight w:val="none"/>
          <w:shd w:val="clear" w:color="auto" w:fill="FFFFFF"/>
          <w:lang w:val="en-US" w:eastAsia="zh-CN"/>
        </w:rPr>
        <w:t>3</w:t>
      </w:r>
      <w:r>
        <w:rPr>
          <w:rFonts w:ascii="方正仿宋_GBK" w:hAnsi="方正仿宋_GBK" w:eastAsia="方正仿宋_GBK" w:cs="方正仿宋_GBK"/>
          <w:b w:val="0"/>
          <w:bCs/>
          <w:sz w:val="32"/>
          <w:szCs w:val="32"/>
          <w:highlight w:val="none"/>
          <w:shd w:val="clear" w:color="auto" w:fill="FFFFFF"/>
        </w:rPr>
        <w:t>）社会保障</w:t>
      </w:r>
      <w:r>
        <w:rPr>
          <w:rFonts w:hint="eastAsia" w:ascii="方正仿宋_GBK" w:hAnsi="方正仿宋_GBK" w:eastAsia="方正仿宋_GBK" w:cs="方正仿宋_GBK"/>
          <w:b w:val="0"/>
          <w:bCs/>
          <w:sz w:val="32"/>
          <w:szCs w:val="32"/>
          <w:highlight w:val="none"/>
          <w:shd w:val="clear" w:color="auto" w:fill="FFFFFF"/>
          <w:lang w:eastAsia="zh-CN"/>
        </w:rPr>
        <w:t>和</w:t>
      </w:r>
      <w:r>
        <w:rPr>
          <w:rFonts w:ascii="方正仿宋_GBK" w:hAnsi="方正仿宋_GBK" w:eastAsia="方正仿宋_GBK" w:cs="方正仿宋_GBK"/>
          <w:b w:val="0"/>
          <w:bCs/>
          <w:sz w:val="32"/>
          <w:szCs w:val="32"/>
          <w:highlight w:val="none"/>
          <w:shd w:val="clear" w:color="auto" w:fill="FFFFFF"/>
        </w:rPr>
        <w:t>就业支出</w:t>
      </w:r>
      <w:r>
        <w:rPr>
          <w:rFonts w:hint="default" w:ascii="Times New Roman" w:hAnsi="Times New Roman" w:eastAsia="方正仿宋_GBK"/>
          <w:b w:val="0"/>
          <w:bCs/>
          <w:sz w:val="32"/>
          <w:szCs w:val="32"/>
          <w:highlight w:val="none"/>
          <w:shd w:val="clear" w:color="auto" w:fill="FFFFFF"/>
        </w:rPr>
        <w:t>137.06</w:t>
      </w:r>
      <w:r>
        <w:rPr>
          <w:rFonts w:ascii="方正仿宋_GBK" w:hAnsi="方正仿宋_GBK" w:eastAsia="方正仿宋_GBK" w:cs="方正仿宋_GBK"/>
          <w:b w:val="0"/>
          <w:bCs/>
          <w:sz w:val="32"/>
          <w:szCs w:val="32"/>
          <w:highlight w:val="none"/>
          <w:shd w:val="clear" w:color="auto" w:fill="FFFFFF"/>
        </w:rPr>
        <w:t>万元，占</w:t>
      </w:r>
      <w:r>
        <w:rPr>
          <w:rFonts w:hint="default" w:ascii="Times New Roman" w:hAnsi="Times New Roman" w:eastAsia="方正仿宋_GBK"/>
          <w:b w:val="0"/>
          <w:bCs/>
          <w:sz w:val="32"/>
          <w:szCs w:val="32"/>
          <w:highlight w:val="none"/>
          <w:shd w:val="clear" w:color="auto" w:fill="FFFFFF"/>
        </w:rPr>
        <w:t>0.5%</w:t>
      </w:r>
      <w:r>
        <w:rPr>
          <w:rFonts w:ascii="方正仿宋_GBK" w:hAnsi="方正仿宋_GBK" w:eastAsia="方正仿宋_GBK" w:cs="方正仿宋_GBK"/>
          <w:b w:val="0"/>
          <w:bCs/>
          <w:sz w:val="32"/>
          <w:szCs w:val="32"/>
          <w:highlight w:val="none"/>
          <w:shd w:val="clear" w:color="auto" w:fill="FFFFFF"/>
        </w:rPr>
        <w:t>，</w:t>
      </w:r>
      <w:r>
        <w:rPr>
          <w:rFonts w:hint="default" w:ascii="Times New Roman" w:hAnsi="Times New Roman" w:eastAsia="方正仿宋_GBK"/>
          <w:b w:val="0"/>
          <w:bCs/>
          <w:sz w:val="32"/>
          <w:szCs w:val="32"/>
          <w:highlight w:val="none"/>
          <w:shd w:val="clear" w:color="auto" w:fill="FFFFFF"/>
        </w:rPr>
        <w:t>较年初预算数减少73.64万元，下降35.0%</w:t>
      </w:r>
      <w:r>
        <w:rPr>
          <w:rFonts w:ascii="方正仿宋_GBK" w:hAnsi="方正仿宋_GBK" w:eastAsia="方正仿宋_GBK" w:cs="方正仿宋_GBK"/>
          <w:b w:val="0"/>
          <w:bCs/>
          <w:sz w:val="32"/>
          <w:szCs w:val="32"/>
          <w:highlight w:val="none"/>
          <w:shd w:val="clear" w:color="auto" w:fill="FFFFFF"/>
        </w:rPr>
        <w:t>，主要原因是</w:t>
      </w:r>
      <w:r>
        <w:rPr>
          <w:rFonts w:hint="eastAsia" w:ascii="方正仿宋_GBK" w:hAnsi="方正仿宋_GBK" w:eastAsia="方正仿宋_GBK" w:cs="方正仿宋_GBK"/>
          <w:b w:val="0"/>
          <w:bCs/>
          <w:sz w:val="32"/>
          <w:szCs w:val="32"/>
          <w:highlight w:val="none"/>
          <w:shd w:val="clear" w:color="auto" w:fill="FFFFFF"/>
          <w:lang w:val="en-US" w:eastAsia="zh-CN"/>
        </w:rPr>
        <w:t xml:space="preserve">年初预算的未改制工业企业人员补助更正为城乡社区支出。 </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eastAsia" w:ascii="方正仿宋_GBK" w:hAnsi="方正仿宋_GBK" w:eastAsia="方正仿宋_GBK" w:cs="方正仿宋_GBK"/>
          <w:b w:val="0"/>
          <w:bCs/>
          <w:sz w:val="32"/>
          <w:szCs w:val="32"/>
          <w:lang w:val="en-US" w:eastAsia="zh-CN"/>
        </w:rPr>
      </w:pPr>
      <w:r>
        <w:rPr>
          <w:rFonts w:ascii="方正仿宋_GBK" w:hAnsi="方正仿宋_GBK" w:eastAsia="方正仿宋_GBK" w:cs="方正仿宋_GBK"/>
          <w:b w:val="0"/>
          <w:bCs/>
          <w:sz w:val="32"/>
          <w:szCs w:val="32"/>
          <w:shd w:val="clear" w:color="auto" w:fill="FFFFFF"/>
        </w:rPr>
        <w:t>（</w:t>
      </w:r>
      <w:r>
        <w:rPr>
          <w:rFonts w:hint="eastAsia" w:ascii="Times New Roman" w:hAnsi="Times New Roman" w:eastAsia="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）卫生健康支出</w:t>
      </w:r>
      <w:r>
        <w:rPr>
          <w:rFonts w:hint="default" w:ascii="Times New Roman" w:hAnsi="Times New Roman" w:eastAsia="方正仿宋_GBK"/>
          <w:b w:val="0"/>
          <w:bCs/>
          <w:sz w:val="32"/>
          <w:szCs w:val="32"/>
          <w:shd w:val="clear" w:color="auto" w:fill="FFFFFF"/>
        </w:rPr>
        <w:t>22.48</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0.1%</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较年初预算数增加5.61万元，增长33.3%</w:t>
      </w:r>
      <w:r>
        <w:rPr>
          <w:rFonts w:ascii="方正仿宋_GBK" w:hAnsi="方正仿宋_GBK" w:eastAsia="方正仿宋_GBK" w:cs="方正仿宋_GBK"/>
          <w:b w:val="0"/>
          <w:bCs/>
          <w:sz w:val="32"/>
          <w:szCs w:val="32"/>
          <w:shd w:val="clear" w:color="auto" w:fill="FFFFFF"/>
        </w:rPr>
        <w:t>，主要原因是</w:t>
      </w:r>
      <w:r>
        <w:rPr>
          <w:rFonts w:hint="default" w:ascii="Times New Roman" w:hAnsi="Times New Roman" w:eastAsia="方正仿宋_GBK" w:cs="Times New Roman"/>
          <w:b w:val="0"/>
          <w:bCs/>
          <w:sz w:val="32"/>
          <w:szCs w:val="32"/>
          <w:shd w:val="clear" w:color="auto" w:fill="FFFFFF"/>
          <w:lang w:val="en-US" w:eastAsia="zh-CN"/>
        </w:rPr>
        <w:t>增加9名公务员</w:t>
      </w:r>
      <w:r>
        <w:rPr>
          <w:rFonts w:hint="eastAsia" w:ascii="方正仿宋_GBK" w:hAnsi="方正仿宋_GBK" w:eastAsia="方正仿宋_GBK" w:cs="方正仿宋_GBK"/>
          <w:b w:val="0"/>
          <w:bCs/>
          <w:sz w:val="32"/>
          <w:szCs w:val="32"/>
          <w:shd w:val="clear" w:color="auto" w:fill="FFFFFF"/>
          <w:lang w:val="en-US" w:eastAsia="zh-CN"/>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eastAsia" w:ascii="方正仿宋_GBK" w:hAnsi="方正仿宋_GBK" w:eastAsia="方正仿宋_GBK" w:cs="方正仿宋_GBK"/>
          <w:b w:val="0"/>
          <w:bCs/>
          <w:sz w:val="32"/>
          <w:szCs w:val="32"/>
          <w:lang w:val="en-US" w:eastAsia="zh-CN"/>
        </w:rPr>
      </w:pPr>
      <w:r>
        <w:rPr>
          <w:rFonts w:ascii="方正仿宋_GBK" w:hAnsi="方正仿宋_GBK" w:eastAsia="方正仿宋_GBK" w:cs="方正仿宋_GBK"/>
          <w:b w:val="0"/>
          <w:bCs/>
          <w:sz w:val="32"/>
          <w:szCs w:val="32"/>
          <w:shd w:val="clear" w:color="auto" w:fill="FFFFFF"/>
        </w:rPr>
        <w:t>（</w:t>
      </w:r>
      <w:r>
        <w:rPr>
          <w:rFonts w:hint="eastAsia" w:ascii="Times New Roman" w:hAnsi="Times New Roman" w:eastAsia="方正仿宋_GBK"/>
          <w:b w:val="0"/>
          <w:bCs/>
          <w:sz w:val="32"/>
          <w:szCs w:val="32"/>
          <w:shd w:val="clear" w:color="auto" w:fill="FFFFFF"/>
          <w:lang w:val="en-US" w:eastAsia="zh-CN"/>
        </w:rPr>
        <w:t>5</w:t>
      </w:r>
      <w:r>
        <w:rPr>
          <w:rFonts w:ascii="方正仿宋_GBK" w:hAnsi="方正仿宋_GBK" w:eastAsia="方正仿宋_GBK" w:cs="方正仿宋_GBK"/>
          <w:b w:val="0"/>
          <w:bCs/>
          <w:sz w:val="32"/>
          <w:szCs w:val="32"/>
          <w:shd w:val="clear" w:color="auto" w:fill="FFFFFF"/>
        </w:rPr>
        <w:t>）节能环保支出</w:t>
      </w:r>
      <w:r>
        <w:rPr>
          <w:rFonts w:hint="default" w:ascii="Times New Roman" w:hAnsi="Times New Roman" w:eastAsia="方正仿宋_GBK"/>
          <w:b w:val="0"/>
          <w:bCs/>
          <w:sz w:val="32"/>
          <w:szCs w:val="32"/>
          <w:shd w:val="clear" w:color="auto" w:fill="FFFFFF"/>
        </w:rPr>
        <w:t>292.05</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1.0%</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较年初预算数增加292.05万元，增长100.0%</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增加城镇生活污泥无害化处置项目。</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eastAsia" w:ascii="方正仿宋_GBK" w:hAnsi="方正仿宋_GBK" w:eastAsia="方正仿宋_GBK" w:cs="方正仿宋_GBK"/>
          <w:b w:val="0"/>
          <w:bCs/>
          <w:sz w:val="32"/>
          <w:szCs w:val="32"/>
          <w:lang w:val="en-US" w:eastAsia="zh-CN"/>
        </w:rPr>
      </w:pPr>
      <w:r>
        <w:rPr>
          <w:rFonts w:ascii="方正仿宋_GBK" w:hAnsi="方正仿宋_GBK" w:eastAsia="方正仿宋_GBK" w:cs="方正仿宋_GBK"/>
          <w:b w:val="0"/>
          <w:bCs/>
          <w:sz w:val="32"/>
          <w:szCs w:val="32"/>
          <w:shd w:val="clear" w:color="auto" w:fill="FFFFFF"/>
        </w:rPr>
        <w:t>（</w:t>
      </w:r>
      <w:r>
        <w:rPr>
          <w:rFonts w:hint="eastAsia" w:ascii="Times New Roman" w:hAnsi="Times New Roman" w:eastAsia="方正仿宋_GBK"/>
          <w:b w:val="0"/>
          <w:bCs/>
          <w:sz w:val="32"/>
          <w:szCs w:val="32"/>
          <w:shd w:val="clear" w:color="auto" w:fill="FFFFFF"/>
          <w:lang w:val="en-US" w:eastAsia="zh-CN"/>
        </w:rPr>
        <w:t>6</w:t>
      </w:r>
      <w:r>
        <w:rPr>
          <w:rFonts w:ascii="方正仿宋_GBK" w:hAnsi="方正仿宋_GBK" w:eastAsia="方正仿宋_GBK" w:cs="方正仿宋_GBK"/>
          <w:b w:val="0"/>
          <w:bCs/>
          <w:sz w:val="32"/>
          <w:szCs w:val="32"/>
          <w:shd w:val="clear" w:color="auto" w:fill="FFFFFF"/>
        </w:rPr>
        <w:t>）城乡社区支出</w:t>
      </w:r>
      <w:r>
        <w:rPr>
          <w:rFonts w:hint="default" w:ascii="Times New Roman" w:hAnsi="Times New Roman" w:eastAsia="方正仿宋_GBK"/>
          <w:b w:val="0"/>
          <w:bCs/>
          <w:sz w:val="32"/>
          <w:szCs w:val="32"/>
          <w:shd w:val="clear" w:color="auto" w:fill="FFFFFF"/>
        </w:rPr>
        <w:t>24919.80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83.3%</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较年初预算数增加17418.06万元，增长232.2%</w:t>
      </w:r>
      <w:r>
        <w:rPr>
          <w:rFonts w:ascii="方正仿宋_GBK" w:hAnsi="方正仿宋_GBK" w:eastAsia="方正仿宋_GBK" w:cs="方正仿宋_GBK"/>
          <w:b w:val="0"/>
          <w:bCs/>
          <w:sz w:val="32"/>
          <w:szCs w:val="32"/>
          <w:shd w:val="clear" w:color="auto" w:fill="FFFFFF"/>
        </w:rPr>
        <w:t>，主要原因</w:t>
      </w:r>
      <w:r>
        <w:rPr>
          <w:rFonts w:hint="eastAsia" w:ascii="方正仿宋_GBK" w:hAnsi="方正仿宋_GBK" w:eastAsia="方正仿宋_GBK" w:cs="方正仿宋_GBK"/>
          <w:b w:val="0"/>
          <w:bCs/>
          <w:sz w:val="32"/>
          <w:szCs w:val="32"/>
          <w:shd w:val="clear" w:color="auto" w:fill="FFFFFF"/>
          <w:lang w:eastAsia="zh-CN"/>
        </w:rPr>
        <w:t>是</w:t>
      </w:r>
      <w:r>
        <w:rPr>
          <w:rFonts w:hint="eastAsia" w:ascii="方正仿宋_GBK" w:hAnsi="方正仿宋_GBK" w:eastAsia="方正仿宋_GBK" w:cs="方正仿宋_GBK"/>
          <w:b w:val="0"/>
          <w:bCs/>
          <w:sz w:val="32"/>
          <w:szCs w:val="32"/>
          <w:shd w:val="clear" w:color="auto" w:fill="FFFFFF"/>
          <w:lang w:val="en-US" w:eastAsia="zh-CN"/>
        </w:rPr>
        <w:t>增加城市更新激励奖补资金、土地整治安排支出、秀山县官湖片区雨污水管网整治工程等项目。</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eastAsia" w:ascii="方正仿宋_GBK" w:hAnsi="方正仿宋_GBK" w:eastAsia="方正仿宋_GBK" w:cs="方正仿宋_GBK"/>
          <w:b w:val="0"/>
          <w:bCs/>
          <w:color w:val="FF0000"/>
          <w:sz w:val="32"/>
          <w:szCs w:val="32"/>
          <w:shd w:val="clear" w:color="auto" w:fill="FFFFFF"/>
          <w:lang w:val="en-US" w:eastAsia="zh-CN"/>
        </w:rPr>
      </w:pPr>
      <w:r>
        <w:rPr>
          <w:rFonts w:ascii="方正仿宋_GBK" w:hAnsi="方正仿宋_GBK" w:eastAsia="方正仿宋_GBK" w:cs="方正仿宋_GBK"/>
          <w:b w:val="0"/>
          <w:bCs/>
          <w:sz w:val="32"/>
          <w:szCs w:val="32"/>
          <w:shd w:val="clear" w:color="auto" w:fill="FFFFFF"/>
        </w:rPr>
        <w:t>（</w:t>
      </w:r>
      <w:r>
        <w:rPr>
          <w:rFonts w:hint="eastAsia" w:ascii="Times New Roman" w:hAnsi="Times New Roman" w:eastAsia="方正仿宋_GBK"/>
          <w:b w:val="0"/>
          <w:bCs/>
          <w:sz w:val="32"/>
          <w:szCs w:val="32"/>
          <w:shd w:val="clear" w:color="auto" w:fill="FFFFFF"/>
          <w:lang w:val="en-US" w:eastAsia="zh-CN"/>
        </w:rPr>
        <w:t>7</w:t>
      </w:r>
      <w:r>
        <w:rPr>
          <w:rFonts w:ascii="方正仿宋_GBK" w:hAnsi="方正仿宋_GBK" w:eastAsia="方正仿宋_GBK" w:cs="方正仿宋_GBK"/>
          <w:b w:val="0"/>
          <w:bCs/>
          <w:sz w:val="32"/>
          <w:szCs w:val="32"/>
          <w:shd w:val="clear" w:color="auto" w:fill="FFFFFF"/>
        </w:rPr>
        <w:t>）农林水支出</w:t>
      </w:r>
      <w:r>
        <w:rPr>
          <w:rFonts w:hint="default" w:ascii="Times New Roman" w:hAnsi="Times New Roman" w:eastAsia="方正仿宋_GBK"/>
          <w:b w:val="0"/>
          <w:bCs/>
          <w:sz w:val="32"/>
          <w:szCs w:val="32"/>
          <w:shd w:val="clear" w:color="auto" w:fill="FFFFFF"/>
        </w:rPr>
        <w:t>9.88</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较年初预算数增加9.88万元，增长100.0%</w:t>
      </w:r>
      <w:r>
        <w:rPr>
          <w:rFonts w:ascii="方正仿宋_GBK" w:hAnsi="方正仿宋_GBK" w:eastAsia="方正仿宋_GBK" w:cs="方正仿宋_GBK"/>
          <w:b w:val="0"/>
          <w:bCs/>
          <w:sz w:val="32"/>
          <w:szCs w:val="32"/>
          <w:shd w:val="clear" w:color="auto" w:fill="FFFFFF"/>
        </w:rPr>
        <w:t>，主要原因是</w:t>
      </w:r>
      <w:r>
        <w:rPr>
          <w:rFonts w:hint="default" w:ascii="Times New Roman" w:hAnsi="Times New Roman" w:eastAsia="方正仿宋_GBK" w:cs="Times New Roman"/>
          <w:b w:val="0"/>
          <w:bCs/>
          <w:sz w:val="32"/>
          <w:szCs w:val="32"/>
          <w:shd w:val="clear" w:color="auto" w:fill="FFFFFF"/>
          <w:lang w:val="en-US" w:eastAsia="zh-CN"/>
        </w:rPr>
        <w:t>增加2021</w:t>
      </w:r>
      <w:r>
        <w:rPr>
          <w:rFonts w:hint="eastAsia" w:ascii="方正仿宋_GBK" w:hAnsi="方正仿宋_GBK" w:eastAsia="方正仿宋_GBK" w:cs="方正仿宋_GBK"/>
          <w:b w:val="0"/>
          <w:bCs/>
          <w:sz w:val="32"/>
          <w:szCs w:val="32"/>
          <w:shd w:val="clear" w:color="auto" w:fill="FFFFFF"/>
          <w:lang w:val="en-US" w:eastAsia="zh-CN"/>
        </w:rPr>
        <w:t>年县域节水社会达标创建工程项目。</w:t>
      </w:r>
    </w:p>
    <w:p>
      <w:pPr>
        <w:keepNext w:val="0"/>
        <w:keepLines w:val="0"/>
        <w:pageBreakBefore w:val="0"/>
        <w:widowControl/>
        <w:kinsoku/>
        <w:wordWrap/>
        <w:overflowPunct/>
        <w:topLinePunct w:val="0"/>
        <w:autoSpaceDN/>
        <w:bidi w:val="0"/>
        <w:adjustRightInd/>
        <w:spacing w:afterAutospacing="0" w:line="560" w:lineRule="exact"/>
        <w:ind w:firstLine="640" w:firstLineChars="200"/>
        <w:jc w:val="both"/>
        <w:rPr>
          <w:rFonts w:hint="eastAsia" w:ascii="方正仿宋_GBK" w:hAnsi="方正仿宋_GBK" w:eastAsia="方正仿宋_GBK" w:cs="方正仿宋_GBK"/>
          <w:b w:val="0"/>
          <w:bCs/>
          <w:color w:val="FF0000"/>
          <w:sz w:val="32"/>
          <w:szCs w:val="32"/>
          <w:shd w:val="clear" w:color="auto" w:fill="FFFFFF"/>
          <w:lang w:val="en-US" w:eastAsia="zh-CN"/>
        </w:rPr>
      </w:pPr>
      <w:r>
        <w:rPr>
          <w:rFonts w:ascii="方正仿宋_GBK" w:hAnsi="方正仿宋_GBK" w:eastAsia="方正仿宋_GBK" w:cs="方正仿宋_GBK"/>
          <w:b w:val="0"/>
          <w:bCs/>
          <w:sz w:val="32"/>
          <w:szCs w:val="32"/>
          <w:shd w:val="clear" w:color="auto" w:fill="FFFFFF"/>
        </w:rPr>
        <w:t>（</w:t>
      </w:r>
      <w:r>
        <w:rPr>
          <w:rFonts w:hint="eastAsia" w:ascii="Times New Roman" w:hAnsi="Times New Roman" w:eastAsia="方正仿宋_GBK"/>
          <w:b w:val="0"/>
          <w:bCs/>
          <w:sz w:val="32"/>
          <w:szCs w:val="32"/>
          <w:shd w:val="clear" w:color="auto" w:fill="FFFFFF"/>
          <w:lang w:val="en-US" w:eastAsia="zh-CN"/>
        </w:rPr>
        <w:t>8</w:t>
      </w:r>
      <w:r>
        <w:rPr>
          <w:rFonts w:ascii="方正仿宋_GBK" w:hAnsi="方正仿宋_GBK" w:eastAsia="方正仿宋_GBK" w:cs="方正仿宋_GBK"/>
          <w:b w:val="0"/>
          <w:bCs/>
          <w:sz w:val="32"/>
          <w:szCs w:val="32"/>
          <w:shd w:val="clear" w:color="auto" w:fill="FFFFFF"/>
        </w:rPr>
        <w:t>）</w:t>
      </w:r>
      <w:r>
        <w:rPr>
          <w:rFonts w:ascii="方正仿宋_GBK" w:hAnsi="方正仿宋_GBK" w:eastAsia="方正仿宋_GBK" w:cs="方正仿宋_GBK"/>
          <w:b w:val="0"/>
          <w:bCs/>
          <w:sz w:val="32"/>
          <w:szCs w:val="32"/>
        </w:rPr>
        <w:t>住房保障支出</w:t>
      </w:r>
      <w:r>
        <w:rPr>
          <w:rFonts w:hint="default" w:ascii="Times New Roman" w:hAnsi="Times New Roman" w:eastAsia="方正仿宋_GBK"/>
          <w:b w:val="0"/>
          <w:bCs/>
          <w:sz w:val="32"/>
          <w:szCs w:val="32"/>
          <w:shd w:val="clear" w:color="auto" w:fill="FFFFFF"/>
        </w:rPr>
        <w:t>4419.92</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14.8%</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较年初预算数减少3669.78万元，下降45.4%</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减少保障性安居工程项目。</w:t>
      </w:r>
    </w:p>
    <w:p>
      <w:pPr>
        <w:keepNext w:val="0"/>
        <w:keepLines w:val="0"/>
        <w:pageBreakBefore w:val="0"/>
        <w:widowControl/>
        <w:kinsoku/>
        <w:wordWrap/>
        <w:overflowPunct/>
        <w:topLinePunct w:val="0"/>
        <w:autoSpaceDN/>
        <w:bidi w:val="0"/>
        <w:adjustRightInd/>
        <w:spacing w:afterAutospacing="0" w:line="560" w:lineRule="exact"/>
        <w:ind w:firstLine="640" w:firstLineChars="200"/>
        <w:jc w:val="both"/>
        <w:rPr>
          <w:rFonts w:hint="eastAsia" w:ascii="方正仿宋_GBK" w:hAnsi="方正仿宋_GBK" w:eastAsia="方正仿宋_GBK" w:cs="方正仿宋_GBK"/>
          <w:b w:val="0"/>
          <w:bCs/>
          <w:color w:val="FF0000"/>
          <w:sz w:val="32"/>
          <w:szCs w:val="32"/>
          <w:shd w:val="clear" w:color="auto" w:fill="FFFFFF"/>
          <w:lang w:val="en-US" w:eastAsia="zh-CN"/>
        </w:rPr>
      </w:pPr>
      <w:r>
        <w:rPr>
          <w:rFonts w:ascii="方正仿宋_GBK" w:hAnsi="方正仿宋_GBK" w:eastAsia="方正仿宋_GBK" w:cs="方正仿宋_GBK"/>
          <w:b w:val="0"/>
          <w:bCs/>
          <w:sz w:val="32"/>
          <w:szCs w:val="32"/>
          <w:shd w:val="clear" w:color="auto" w:fill="FFFFFF"/>
        </w:rPr>
        <w:t>（</w:t>
      </w:r>
      <w:r>
        <w:rPr>
          <w:rFonts w:hint="eastAsia" w:ascii="Times New Roman" w:hAnsi="Times New Roman" w:eastAsia="方正仿宋_GBK"/>
          <w:b w:val="0"/>
          <w:bCs/>
          <w:sz w:val="32"/>
          <w:szCs w:val="32"/>
          <w:shd w:val="clear" w:color="auto" w:fill="FFFFFF"/>
          <w:lang w:val="en-US" w:eastAsia="zh-CN"/>
        </w:rPr>
        <w:t>9</w:t>
      </w:r>
      <w:r>
        <w:rPr>
          <w:rFonts w:ascii="方正仿宋_GBK" w:hAnsi="方正仿宋_GBK" w:eastAsia="方正仿宋_GBK" w:cs="方正仿宋_GBK"/>
          <w:b w:val="0"/>
          <w:bCs/>
          <w:sz w:val="32"/>
          <w:szCs w:val="32"/>
          <w:shd w:val="clear" w:color="auto" w:fill="FFFFFF"/>
        </w:rPr>
        <w:t>）</w:t>
      </w:r>
      <w:r>
        <w:rPr>
          <w:rFonts w:ascii="方正仿宋_GBK" w:hAnsi="方正仿宋_GBK" w:eastAsia="方正仿宋_GBK" w:cs="方正仿宋_GBK"/>
          <w:b w:val="0"/>
          <w:bCs/>
          <w:sz w:val="32"/>
          <w:szCs w:val="32"/>
        </w:rPr>
        <w:t>灾害防治及应急管理支出</w:t>
      </w:r>
      <w:r>
        <w:rPr>
          <w:rFonts w:hint="default" w:ascii="Times New Roman" w:hAnsi="Times New Roman" w:eastAsia="方正仿宋_GBK"/>
          <w:b w:val="0"/>
          <w:bCs/>
          <w:sz w:val="32"/>
          <w:szCs w:val="32"/>
          <w:shd w:val="clear" w:color="auto" w:fill="FFFFFF"/>
        </w:rPr>
        <w:t>50.00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0.2%</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较年初预算数无增减</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新增高层建筑消防安全“除险清患”整治经费项目。</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b w:val="0"/>
          <w:bCs/>
          <w:color w:val="FF0000"/>
          <w:sz w:val="32"/>
          <w:szCs w:val="32"/>
          <w:shd w:val="clear" w:color="auto" w:fill="FFFFFF"/>
        </w:rPr>
      </w:pPr>
      <w:r>
        <w:rPr>
          <w:rStyle w:val="8"/>
          <w:rFonts w:hint="default" w:ascii="Times New Roman" w:hAnsi="Times New Roman" w:eastAsia="方正仿宋_GBK"/>
          <w:b w:val="0"/>
          <w:bCs/>
          <w:sz w:val="32"/>
          <w:szCs w:val="32"/>
          <w:shd w:val="clear" w:color="auto" w:fill="FFFFFF"/>
        </w:rPr>
        <w:t>3</w:t>
      </w:r>
      <w:r>
        <w:rPr>
          <w:rStyle w:val="8"/>
          <w:rFonts w:ascii="方正仿宋_GBK" w:hAnsi="方正仿宋_GBK" w:eastAsia="方正仿宋_GBK" w:cs="方正仿宋_GBK"/>
          <w:b w:val="0"/>
          <w:bCs/>
          <w:sz w:val="32"/>
          <w:szCs w:val="32"/>
          <w:shd w:val="clear" w:color="auto" w:fill="FFFFFF"/>
        </w:rPr>
        <w:t>.结转结余情况。</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年度年末一般公共预算财政拨款结转和结余</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与2023年度相比，无增减</w:t>
      </w:r>
      <w:r>
        <w:rPr>
          <w:rFonts w:ascii="方正仿宋_GBK" w:hAnsi="方正仿宋_GBK" w:eastAsia="方正仿宋_GBK" w:cs="方正仿宋_GBK"/>
          <w:b w:val="0"/>
          <w:bCs/>
          <w:sz w:val="32"/>
          <w:szCs w:val="32"/>
          <w:shd w:val="clear" w:color="auto" w:fill="FFFFFF"/>
        </w:rPr>
        <w:t>，主要原因是</w:t>
      </w:r>
      <w:r>
        <w:rPr>
          <w:rFonts w:hint="default" w:ascii="Times New Roman" w:hAnsi="Times New Roman" w:eastAsia="方正仿宋_GBK" w:cs="Times New Roman"/>
          <w:b w:val="0"/>
          <w:bCs/>
          <w:sz w:val="32"/>
          <w:szCs w:val="32"/>
          <w:shd w:val="clear" w:color="auto" w:fill="FFFFFF"/>
        </w:rPr>
        <w:t>严格执行预</w:t>
      </w:r>
      <w:r>
        <w:rPr>
          <w:rFonts w:hint="eastAsia" w:ascii="方正仿宋_GBK" w:hAnsi="方正仿宋_GBK" w:eastAsia="方正仿宋_GBK" w:cs="方正仿宋_GBK"/>
          <w:b w:val="0"/>
          <w:bCs/>
          <w:sz w:val="32"/>
          <w:szCs w:val="32"/>
          <w:shd w:val="clear" w:color="auto" w:fill="FFFFFF"/>
        </w:rPr>
        <w:t>算“零结转”，</w:t>
      </w:r>
      <w:r>
        <w:rPr>
          <w:rFonts w:hint="default" w:ascii="Times New Roman" w:hAnsi="Times New Roman" w:eastAsia="方正仿宋_GBK" w:cs="Times New Roman"/>
          <w:b w:val="0"/>
          <w:bCs/>
          <w:sz w:val="32"/>
          <w:szCs w:val="32"/>
          <w:shd w:val="clear" w:color="auto" w:fill="FFFFFF"/>
        </w:rPr>
        <w:t>年度部门预算结余资金、结转满两年及以上的专项转移支付资金一律由县财政收回统筹安排。</w:t>
      </w:r>
    </w:p>
    <w:p>
      <w:pPr>
        <w:pStyle w:val="11"/>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ascii="方正仿宋_GBK" w:hAnsi="方正仿宋_GBK" w:eastAsia="方正仿宋_GBK" w:cs="方正仿宋_GBK"/>
          <w:b w:val="0"/>
          <w:bCs/>
          <w:color w:val="FF0000"/>
          <w:sz w:val="32"/>
          <w:szCs w:val="32"/>
          <w:shd w:val="clear" w:color="auto" w:fill="FFFFFF"/>
        </w:rPr>
      </w:pPr>
      <w:r>
        <w:rPr>
          <w:rFonts w:hint="default" w:ascii="Times New Roman" w:hAnsi="Times New Roman" w:eastAsia="方正仿宋_GBK" w:cs="Times New Roman"/>
          <w:b w:val="0"/>
          <w:bCs/>
          <w:sz w:val="32"/>
          <w:szCs w:val="32"/>
          <w:shd w:val="clear" w:color="auto" w:fill="FFFFFF"/>
        </w:rPr>
        <w:t>2024年度一般公共财政拨款基本支出711.42万元。其中：人员经费4</w:t>
      </w:r>
      <w:r>
        <w:rPr>
          <w:rFonts w:hint="default" w:ascii="Times New Roman" w:hAnsi="Times New Roman" w:eastAsia="方正仿宋_GBK" w:cs="Times New Roman"/>
          <w:b w:val="0"/>
          <w:bCs/>
          <w:sz w:val="32"/>
          <w:szCs w:val="32"/>
          <w:shd w:val="clear" w:color="auto" w:fill="FFFFFF"/>
          <w:lang w:val="en-US" w:eastAsia="zh-CN"/>
        </w:rPr>
        <w:t>40.89</w:t>
      </w:r>
      <w:r>
        <w:rPr>
          <w:rFonts w:hint="eastAsia" w:ascii="Times New Roman" w:hAnsi="Times New Roman" w:eastAsia="方正仿宋_GBK" w:cs="Times New Roman"/>
          <w:b w:val="0"/>
          <w:bCs/>
          <w:sz w:val="32"/>
          <w:szCs w:val="32"/>
          <w:shd w:val="clear" w:color="auto" w:fill="FFFFFF"/>
          <w:lang w:val="en-US" w:eastAsia="zh-CN"/>
        </w:rPr>
        <w:t>万元，</w:t>
      </w:r>
      <w:r>
        <w:rPr>
          <w:rFonts w:hint="default" w:ascii="Times New Roman" w:hAnsi="Times New Roman" w:eastAsia="方正仿宋_GBK" w:cs="Times New Roman"/>
          <w:b w:val="0"/>
          <w:bCs/>
          <w:sz w:val="32"/>
          <w:szCs w:val="32"/>
          <w:shd w:val="clear" w:color="auto" w:fill="FFFFFF"/>
          <w:lang w:val="en-US" w:eastAsia="zh-CN"/>
        </w:rPr>
        <w:t>与2023</w:t>
      </w:r>
      <w:r>
        <w:rPr>
          <w:rFonts w:hint="default" w:ascii="Times New Roman" w:hAnsi="Times New Roman" w:eastAsia="方正仿宋_GBK" w:cs="Times New Roman"/>
          <w:b w:val="0"/>
          <w:bCs/>
          <w:sz w:val="32"/>
          <w:szCs w:val="32"/>
          <w:shd w:val="clear" w:color="auto" w:fill="FFFFFF"/>
        </w:rPr>
        <w:t>年度相比，增加55.30万元，增长14.3%，主要原因是</w:t>
      </w:r>
      <w:r>
        <w:rPr>
          <w:rFonts w:hint="eastAsia" w:ascii="Times New Roman" w:hAnsi="Times New Roman" w:eastAsia="方正仿宋_GBK" w:cs="Times New Roman"/>
          <w:b w:val="0"/>
          <w:bCs/>
          <w:sz w:val="32"/>
          <w:szCs w:val="32"/>
          <w:shd w:val="clear" w:color="auto" w:fill="FFFFFF"/>
          <w:lang w:val="en-US" w:eastAsia="zh-CN"/>
        </w:rPr>
        <w:t>2024年度增加9名公务员。</w:t>
      </w:r>
      <w:r>
        <w:rPr>
          <w:rFonts w:hint="default" w:ascii="Times New Roman" w:hAnsi="Times New Roman" w:eastAsia="方正仿宋_GBK" w:cs="Times New Roman"/>
          <w:b w:val="0"/>
          <w:bCs/>
          <w:sz w:val="32"/>
          <w:szCs w:val="32"/>
          <w:shd w:val="clear" w:color="auto" w:fill="FFFFFF"/>
        </w:rPr>
        <w:t>人员经费用途主要包括基本工资、津贴补贴、奖金、社会保障缴费等。</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公用经费</w:t>
      </w:r>
      <w:r>
        <w:rPr>
          <w:rFonts w:hint="default" w:ascii="Times New Roman" w:hAnsi="Times New Roman" w:eastAsia="方正仿宋_GBK"/>
          <w:b w:val="0"/>
          <w:bCs/>
          <w:sz w:val="32"/>
          <w:szCs w:val="32"/>
          <w:shd w:val="clear" w:color="auto" w:fill="FFFFFF"/>
        </w:rPr>
        <w:t>270.54</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与2023年度相比，增加205.22万元，增长314.2%</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新增事业发展经费、事业服务经费项目。</w:t>
      </w:r>
      <w:r>
        <w:rPr>
          <w:rFonts w:ascii="方正仿宋_GBK" w:hAnsi="方正仿宋_GBK" w:eastAsia="方正仿宋_GBK" w:cs="方正仿宋_GBK"/>
          <w:b w:val="0"/>
          <w:bCs/>
          <w:sz w:val="32"/>
          <w:szCs w:val="32"/>
          <w:shd w:val="clear" w:color="auto" w:fill="FFFFFF"/>
        </w:rPr>
        <w:t>公用经费用途主要包括</w:t>
      </w:r>
      <w:r>
        <w:rPr>
          <w:rFonts w:hint="default" w:ascii="Times New Roman" w:hAnsi="Times New Roman" w:eastAsia="方正仿宋_GBK" w:cs="Times New Roman"/>
          <w:b w:val="0"/>
          <w:bCs/>
          <w:sz w:val="32"/>
          <w:szCs w:val="32"/>
          <w:shd w:val="clear" w:color="auto" w:fill="FFFFFF"/>
        </w:rPr>
        <w:t>办公费、印刷费、邮电费、物业管理费、差旅费、会议费、培训费、公务接待费、公务用车运行维护费等。</w:t>
      </w:r>
    </w:p>
    <w:p>
      <w:pPr>
        <w:pStyle w:val="11"/>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b w:val="0"/>
          <w:bCs/>
          <w:color w:val="FF0000"/>
          <w:sz w:val="32"/>
          <w:szCs w:val="32"/>
          <w:shd w:val="clear" w:color="auto" w:fill="FFFFFF"/>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年度政府性基金预算财政拨款年初结转结余</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万元，年末结转结余</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万元。本年收入</w:t>
      </w:r>
      <w:r>
        <w:rPr>
          <w:rFonts w:hint="default" w:ascii="Times New Roman" w:hAnsi="Times New Roman" w:eastAsia="方正仿宋_GBK"/>
          <w:b w:val="0"/>
          <w:bCs/>
          <w:sz w:val="32"/>
          <w:szCs w:val="32"/>
          <w:shd w:val="clear" w:color="auto" w:fill="FFFFFF"/>
        </w:rPr>
        <w:t>22908.53</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与2023年度相比，减少12881.67万元，下降36.0%</w:t>
      </w:r>
      <w:r>
        <w:rPr>
          <w:rFonts w:ascii="方正仿宋_GBK" w:hAnsi="方正仿宋_GBK" w:eastAsia="方正仿宋_GBK" w:cs="方正仿宋_GBK"/>
          <w:b w:val="0"/>
          <w:bCs/>
          <w:sz w:val="32"/>
          <w:szCs w:val="32"/>
          <w:shd w:val="clear" w:color="auto" w:fill="FFFFFF"/>
        </w:rPr>
        <w:t>，主要原因是</w:t>
      </w:r>
      <w:r>
        <w:rPr>
          <w:rFonts w:hint="default" w:ascii="Times New Roman" w:hAnsi="Times New Roman" w:eastAsia="方正仿宋_GBK" w:cs="Times New Roman"/>
          <w:b w:val="0"/>
          <w:bCs/>
          <w:sz w:val="32"/>
          <w:szCs w:val="32"/>
          <w:shd w:val="clear" w:color="auto" w:fill="FFFFFF"/>
        </w:rPr>
        <w:t>调整了支出结构，本年由政府性基金</w:t>
      </w:r>
      <w:r>
        <w:rPr>
          <w:rFonts w:hint="default" w:ascii="Times New Roman" w:hAnsi="Times New Roman" w:eastAsia="方正仿宋_GBK" w:cs="Times New Roman"/>
          <w:b w:val="0"/>
          <w:bCs/>
          <w:sz w:val="32"/>
          <w:szCs w:val="32"/>
          <w:shd w:val="clear" w:color="auto" w:fill="FFFFFF"/>
          <w:lang w:val="en-US" w:eastAsia="zh-CN"/>
        </w:rPr>
        <w:t>安排</w:t>
      </w:r>
      <w:r>
        <w:rPr>
          <w:rFonts w:hint="default" w:ascii="Times New Roman" w:hAnsi="Times New Roman" w:eastAsia="方正仿宋_GBK" w:cs="Times New Roman"/>
          <w:b w:val="0"/>
          <w:bCs/>
          <w:sz w:val="32"/>
          <w:szCs w:val="32"/>
          <w:shd w:val="clear" w:color="auto" w:fill="FFFFFF"/>
        </w:rPr>
        <w:t>的项目减少。</w:t>
      </w:r>
      <w:r>
        <w:rPr>
          <w:rFonts w:ascii="方正仿宋_GBK" w:hAnsi="方正仿宋_GBK" w:eastAsia="方正仿宋_GBK" w:cs="方正仿宋_GBK"/>
          <w:b w:val="0"/>
          <w:bCs/>
          <w:sz w:val="32"/>
          <w:szCs w:val="32"/>
          <w:shd w:val="clear" w:color="auto" w:fill="FFFFFF"/>
        </w:rPr>
        <w:t>本年支出</w:t>
      </w:r>
      <w:r>
        <w:rPr>
          <w:rFonts w:hint="default" w:ascii="Times New Roman" w:hAnsi="Times New Roman" w:eastAsia="方正仿宋_GBK"/>
          <w:b w:val="0"/>
          <w:bCs/>
          <w:sz w:val="32"/>
          <w:szCs w:val="32"/>
          <w:shd w:val="clear" w:color="auto" w:fill="FFFFFF"/>
        </w:rPr>
        <w:t>22908.53</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与2023年度相比，减少12881.67万元，下降36.0%</w:t>
      </w:r>
      <w:r>
        <w:rPr>
          <w:rFonts w:ascii="方正仿宋_GBK" w:hAnsi="方正仿宋_GBK" w:eastAsia="方正仿宋_GBK" w:cs="方正仿宋_GBK"/>
          <w:b w:val="0"/>
          <w:bCs/>
          <w:sz w:val="32"/>
          <w:szCs w:val="32"/>
          <w:shd w:val="clear" w:color="auto" w:fill="FFFFFF"/>
        </w:rPr>
        <w:t>，主要原因是</w:t>
      </w:r>
      <w:r>
        <w:rPr>
          <w:rFonts w:hint="default" w:ascii="Times New Roman" w:hAnsi="Times New Roman" w:eastAsia="方正仿宋_GBK" w:cs="Times New Roman"/>
          <w:b w:val="0"/>
          <w:bCs/>
          <w:sz w:val="32"/>
          <w:szCs w:val="32"/>
          <w:shd w:val="clear" w:color="auto" w:fill="FFFFFF"/>
        </w:rPr>
        <w:t>调整了支出结构，本年由政府性基金</w:t>
      </w:r>
      <w:r>
        <w:rPr>
          <w:rFonts w:hint="default" w:ascii="Times New Roman" w:hAnsi="Times New Roman" w:eastAsia="方正仿宋_GBK" w:cs="Times New Roman"/>
          <w:b w:val="0"/>
          <w:bCs/>
          <w:sz w:val="32"/>
          <w:szCs w:val="32"/>
          <w:shd w:val="clear" w:color="auto" w:fill="FFFFFF"/>
          <w:lang w:val="en-US" w:eastAsia="zh-CN"/>
        </w:rPr>
        <w:t>安排</w:t>
      </w:r>
      <w:r>
        <w:rPr>
          <w:rFonts w:hint="default" w:ascii="Times New Roman" w:hAnsi="Times New Roman" w:eastAsia="方正仿宋_GBK" w:cs="Times New Roman"/>
          <w:b w:val="0"/>
          <w:bCs/>
          <w:sz w:val="32"/>
          <w:szCs w:val="32"/>
          <w:shd w:val="clear" w:color="auto" w:fill="FFFFFF"/>
        </w:rPr>
        <w:t>的项目减少。</w:t>
      </w:r>
    </w:p>
    <w:p>
      <w:pPr>
        <w:pStyle w:val="11"/>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b w:val="0"/>
          <w:bCs/>
          <w:sz w:val="32"/>
          <w:szCs w:val="32"/>
        </w:rPr>
      </w:pPr>
      <w:r>
        <w:rPr>
          <w:rStyle w:val="8"/>
          <w:rFonts w:hint="default" w:ascii="Times New Roman" w:hAnsi="Times New Roman" w:eastAsia="方正仿宋_GBK" w:cs="Times New Roman"/>
          <w:b w:val="0"/>
          <w:bCs/>
          <w:sz w:val="32"/>
          <w:szCs w:val="32"/>
        </w:rPr>
        <w:t>本单位202</w:t>
      </w:r>
      <w:r>
        <w:rPr>
          <w:rStyle w:val="8"/>
          <w:rFonts w:hint="eastAsia" w:ascii="Times New Roman" w:hAnsi="Times New Roman" w:eastAsia="方正仿宋_GBK" w:cs="Times New Roman"/>
          <w:b w:val="0"/>
          <w:bCs/>
          <w:sz w:val="32"/>
          <w:szCs w:val="32"/>
          <w:lang w:val="en-US" w:eastAsia="zh-CN"/>
        </w:rPr>
        <w:t>4</w:t>
      </w:r>
      <w:r>
        <w:rPr>
          <w:rStyle w:val="8"/>
          <w:rFonts w:hint="default" w:ascii="Times New Roman" w:hAnsi="Times New Roman" w:eastAsia="方正仿宋_GBK" w:cs="Times New Roman"/>
          <w:b w:val="0"/>
          <w:bCs/>
          <w:sz w:val="32"/>
          <w:szCs w:val="32"/>
        </w:rPr>
        <w:t>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三、</w:t>
      </w:r>
      <w:r>
        <w:rPr>
          <w:rStyle w:val="8"/>
          <w:rFonts w:hint="eastAsia" w:ascii="方正黑体_GBK" w:hAnsi="方正黑体_GBK" w:eastAsia="方正黑体_GBK" w:cs="方正黑体_GBK"/>
          <w:b w:val="0"/>
          <w:bCs/>
          <w:sz w:val="32"/>
          <w:szCs w:val="32"/>
          <w:shd w:val="clear" w:color="auto" w:fill="FFFFFF"/>
          <w:lang w:eastAsia="zh-CN"/>
        </w:rPr>
        <w:t>财政拨款</w:t>
      </w:r>
      <w:r>
        <w:rPr>
          <w:rStyle w:val="8"/>
          <w:rFonts w:hint="eastAsia" w:ascii="方正黑体_GBK" w:hAnsi="方正黑体_GBK" w:eastAsia="方正黑体_GBK" w:cs="方正黑体_GBK"/>
          <w:b w:val="0"/>
          <w:bCs/>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（一）“三公”经费支出总体情况说明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sz w:val="32"/>
          <w:szCs w:val="32"/>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年度“三公”经费支出共计</w:t>
      </w:r>
      <w:r>
        <w:rPr>
          <w:rFonts w:hint="default" w:ascii="Times New Roman" w:hAnsi="Times New Roman" w:eastAsia="方正仿宋_GBK"/>
          <w:b w:val="0"/>
          <w:bCs/>
          <w:sz w:val="32"/>
          <w:szCs w:val="32"/>
          <w:shd w:val="clear" w:color="auto" w:fill="FFFFFF"/>
        </w:rPr>
        <w:t>10.51</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较年初预算数增加1.01万元，增长10.6%</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本单位公车使用年限较长，产生的修理费用较多。</w:t>
      </w:r>
      <w:r>
        <w:rPr>
          <w:rFonts w:hint="default" w:ascii="Times New Roman" w:hAnsi="Times New Roman" w:eastAsia="方正仿宋_GBK"/>
          <w:b w:val="0"/>
          <w:bCs/>
          <w:sz w:val="32"/>
          <w:szCs w:val="32"/>
          <w:shd w:val="clear" w:color="auto" w:fill="FFFFFF"/>
        </w:rPr>
        <w:t>较上年支出数减少6.91万元，下降39.7%</w:t>
      </w:r>
      <w:r>
        <w:rPr>
          <w:rFonts w:ascii="方正仿宋_GBK" w:hAnsi="方正仿宋_GBK" w:eastAsia="方正仿宋_GBK" w:cs="方正仿宋_GBK"/>
          <w:b w:val="0"/>
          <w:bCs/>
          <w:sz w:val="32"/>
          <w:szCs w:val="32"/>
          <w:shd w:val="clear" w:color="auto" w:fill="FFFFFF"/>
        </w:rPr>
        <w:t>，主要原因是</w:t>
      </w:r>
      <w:r>
        <w:rPr>
          <w:rFonts w:hint="default" w:ascii="Times New Roman" w:hAnsi="Times New Roman" w:eastAsia="方正仿宋_GBK" w:cs="Times New Roman"/>
          <w:b w:val="0"/>
          <w:bCs/>
          <w:sz w:val="32"/>
          <w:szCs w:val="32"/>
          <w:shd w:val="clear" w:color="auto" w:fill="FFFFFF"/>
        </w:rPr>
        <w:t>认真贯彻落实中央八项规定精神、政府</w:t>
      </w:r>
      <w:r>
        <w:rPr>
          <w:rFonts w:hint="eastAsia" w:ascii="方正仿宋_GBK" w:hAnsi="方正仿宋_GBK" w:eastAsia="方正仿宋_GBK" w:cs="方正仿宋_GBK"/>
          <w:b w:val="0"/>
          <w:bCs/>
          <w:sz w:val="32"/>
          <w:szCs w:val="32"/>
          <w:shd w:val="clear" w:color="auto" w:fill="FFFFFF"/>
        </w:rPr>
        <w:t>过“紧日子”思想和厉</w:t>
      </w:r>
      <w:r>
        <w:rPr>
          <w:rFonts w:hint="default" w:ascii="Times New Roman" w:hAnsi="Times New Roman" w:eastAsia="方正仿宋_GBK" w:cs="Times New Roman"/>
          <w:b w:val="0"/>
          <w:bCs/>
          <w:sz w:val="32"/>
          <w:szCs w:val="32"/>
          <w:shd w:val="clear" w:color="auto" w:fill="FFFFFF"/>
        </w:rPr>
        <w:t>行节约要求从严控制三公经费支出，并加强经费收支管理。</w:t>
      </w:r>
    </w:p>
    <w:p>
      <w:pPr>
        <w:pStyle w:val="11"/>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（二）“三公”经费分项支出情况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eastAsia" w:ascii="Times New Roman" w:hAnsi="Times New Roman" w:eastAsia="方正仿宋_GBK" w:cs="Times New Roman"/>
          <w:b w:val="0"/>
          <w:bCs/>
          <w:sz w:val="32"/>
          <w:szCs w:val="32"/>
          <w:lang w:eastAsia="zh-CN"/>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年度本</w:t>
      </w:r>
      <w:r>
        <w:rPr>
          <w:rFonts w:hint="eastAsia" w:ascii="方正仿宋_GBK" w:hAnsi="方正仿宋_GBK" w:eastAsia="方正仿宋_GBK" w:cs="方正仿宋_GBK"/>
          <w:b w:val="0"/>
          <w:bCs/>
          <w:sz w:val="32"/>
          <w:szCs w:val="32"/>
          <w:shd w:val="clear" w:color="auto" w:fill="FFFFFF"/>
          <w:lang w:eastAsia="zh-CN"/>
        </w:rPr>
        <w:t>单位</w:t>
      </w:r>
      <w:r>
        <w:rPr>
          <w:rFonts w:ascii="方正仿宋_GBK" w:hAnsi="方正仿宋_GBK" w:eastAsia="方正仿宋_GBK" w:cs="方正仿宋_GBK"/>
          <w:b w:val="0"/>
          <w:bCs/>
          <w:sz w:val="32"/>
          <w:szCs w:val="32"/>
          <w:shd w:val="clear" w:color="auto" w:fill="FFFFFF"/>
        </w:rPr>
        <w:t>因公出国（境）费用</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w:t>
      </w:r>
      <w:r>
        <w:rPr>
          <w:rFonts w:hint="eastAsia" w:ascii="方正仿宋_GBK" w:hAnsi="方正仿宋_GBK" w:eastAsia="方正仿宋_GBK" w:cs="方正仿宋_GBK"/>
          <w:b w:val="0"/>
          <w:bCs/>
          <w:sz w:val="32"/>
          <w:szCs w:val="32"/>
          <w:shd w:val="clear" w:color="auto" w:fill="FFFFFF"/>
          <w:lang w:eastAsia="zh-CN"/>
        </w:rPr>
        <w:t>。</w:t>
      </w:r>
      <w:r>
        <w:rPr>
          <w:rFonts w:ascii="方正仿宋_GBK" w:hAnsi="方正仿宋_GBK" w:eastAsia="方正仿宋_GBK" w:cs="方正仿宋_GBK"/>
          <w:b w:val="0"/>
          <w:bCs/>
          <w:sz w:val="32"/>
          <w:szCs w:val="32"/>
          <w:shd w:val="clear" w:color="auto" w:fill="FFFFFF"/>
        </w:rPr>
        <w:t>费用支出</w:t>
      </w:r>
      <w:r>
        <w:rPr>
          <w:rFonts w:hint="default" w:ascii="Times New Roman" w:hAnsi="Times New Roman" w:eastAsia="方正仿宋_GBK"/>
          <w:b w:val="0"/>
          <w:bCs/>
          <w:sz w:val="32"/>
          <w:szCs w:val="32"/>
          <w:shd w:val="clear" w:color="auto" w:fill="FFFFFF"/>
        </w:rPr>
        <w:t>较年初预算数无增减</w:t>
      </w:r>
      <w:r>
        <w:rPr>
          <w:rFonts w:ascii="方正仿宋_GBK" w:hAnsi="方正仿宋_GBK" w:eastAsia="方正仿宋_GBK" w:cs="方正仿宋_GBK"/>
          <w:b w:val="0"/>
          <w:bCs/>
          <w:sz w:val="32"/>
          <w:szCs w:val="32"/>
          <w:shd w:val="clear" w:color="auto" w:fill="FFFFFF"/>
        </w:rPr>
        <w:t>，主要原因</w:t>
      </w:r>
      <w:r>
        <w:rPr>
          <w:rFonts w:hint="eastAsia" w:ascii="Times New Roman" w:hAnsi="Times New Roman" w:eastAsia="方正仿宋_GBK" w:cs="Times New Roman"/>
          <w:b w:val="0"/>
          <w:bCs/>
          <w:sz w:val="32"/>
          <w:szCs w:val="32"/>
          <w:shd w:val="clear" w:color="auto" w:fill="FFFFFF"/>
          <w:lang w:val="en-US" w:eastAsia="zh-CN"/>
        </w:rPr>
        <w:t>是2024年</w:t>
      </w:r>
      <w:r>
        <w:rPr>
          <w:rFonts w:hint="default" w:ascii="Times New Roman" w:hAnsi="Times New Roman" w:eastAsia="方正仿宋_GBK" w:cs="Times New Roman"/>
          <w:b w:val="0"/>
          <w:bCs/>
          <w:sz w:val="32"/>
          <w:szCs w:val="32"/>
          <w:shd w:val="clear" w:color="auto" w:fill="FFFFFF"/>
        </w:rPr>
        <w:t>未安排人员出国出访</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较上年支出数无增减</w:t>
      </w:r>
      <w:r>
        <w:rPr>
          <w:rFonts w:ascii="Times New Roman" w:hAnsi="Times New Roman" w:eastAsia="方正仿宋_GBK" w:cs="Times New Roman"/>
          <w:b w:val="0"/>
          <w:bCs/>
          <w:sz w:val="32"/>
          <w:szCs w:val="32"/>
          <w:shd w:val="clear" w:color="auto" w:fill="FFFFFF"/>
        </w:rPr>
        <w:t>，主要原因是</w:t>
      </w:r>
      <w:r>
        <w:rPr>
          <w:rFonts w:hint="eastAsia" w:ascii="Times New Roman" w:hAnsi="Times New Roman" w:eastAsia="方正仿宋_GBK" w:cs="Times New Roman"/>
          <w:b w:val="0"/>
          <w:bCs/>
          <w:sz w:val="32"/>
          <w:szCs w:val="32"/>
          <w:shd w:val="clear" w:color="auto" w:fill="FFFFFF"/>
          <w:lang w:val="en-US" w:eastAsia="zh-CN"/>
        </w:rPr>
        <w:t>2023-2024年均</w:t>
      </w:r>
      <w:r>
        <w:rPr>
          <w:rFonts w:hint="default" w:ascii="Times New Roman" w:hAnsi="Times New Roman" w:eastAsia="方正仿宋_GBK" w:cs="Times New Roman"/>
          <w:b w:val="0"/>
          <w:bCs/>
          <w:sz w:val="32"/>
          <w:szCs w:val="32"/>
          <w:shd w:val="clear" w:color="auto" w:fill="FFFFFF"/>
        </w:rPr>
        <w:t>未安排人员出国出访</w:t>
      </w:r>
      <w:r>
        <w:rPr>
          <w:rFonts w:hint="eastAsia" w:ascii="Times New Roman" w:hAnsi="Times New Roman" w:eastAsia="方正仿宋_GBK" w:cs="Times New Roman"/>
          <w:b w:val="0"/>
          <w:bCs/>
          <w:sz w:val="32"/>
          <w:szCs w:val="32"/>
          <w:shd w:val="clear" w:color="auto" w:fill="FFFFFF"/>
          <w:lang w:eastAsia="zh-CN"/>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b w:val="0"/>
          <w:bCs/>
          <w:sz w:val="32"/>
          <w:szCs w:val="32"/>
        </w:rPr>
      </w:pPr>
      <w:r>
        <w:rPr>
          <w:rFonts w:ascii="Times New Roman" w:hAnsi="Times New Roman" w:eastAsia="方正仿宋_GBK" w:cs="Times New Roman"/>
          <w:b w:val="0"/>
          <w:bCs/>
          <w:sz w:val="32"/>
          <w:szCs w:val="32"/>
          <w:shd w:val="clear" w:color="auto" w:fill="FFFFFF"/>
        </w:rPr>
        <w:t>公务</w:t>
      </w:r>
      <w:r>
        <w:rPr>
          <w:rFonts w:hint="eastAsia" w:ascii="Times New Roman" w:hAnsi="Times New Roman" w:eastAsia="方正仿宋_GBK" w:cs="Times New Roman"/>
          <w:b w:val="0"/>
          <w:bCs/>
          <w:sz w:val="32"/>
          <w:szCs w:val="32"/>
          <w:shd w:val="clear" w:color="auto" w:fill="FFFFFF"/>
          <w:lang w:eastAsia="zh-CN"/>
        </w:rPr>
        <w:t>用</w:t>
      </w:r>
      <w:r>
        <w:rPr>
          <w:rFonts w:ascii="Times New Roman" w:hAnsi="Times New Roman" w:eastAsia="方正仿宋_GBK" w:cs="Times New Roman"/>
          <w:b w:val="0"/>
          <w:bCs/>
          <w:sz w:val="32"/>
          <w:szCs w:val="32"/>
          <w:shd w:val="clear" w:color="auto" w:fill="FFFFFF"/>
        </w:rPr>
        <w:t>车购置费</w:t>
      </w:r>
      <w:r>
        <w:rPr>
          <w:rFonts w:hint="default" w:ascii="Times New Roman" w:hAnsi="Times New Roman" w:eastAsia="方正仿宋_GBK" w:cs="Times New Roman"/>
          <w:b w:val="0"/>
          <w:bCs/>
          <w:sz w:val="32"/>
          <w:szCs w:val="32"/>
          <w:shd w:val="clear" w:color="auto" w:fill="FFFFFF"/>
        </w:rPr>
        <w:t>0.00</w:t>
      </w:r>
      <w:r>
        <w:rPr>
          <w:rFonts w:ascii="Times New Roman" w:hAnsi="Times New Roman" w:eastAsia="方正仿宋_GBK" w:cs="Times New Roman"/>
          <w:b w:val="0"/>
          <w:bCs/>
          <w:sz w:val="32"/>
          <w:szCs w:val="32"/>
          <w:shd w:val="clear" w:color="auto" w:fill="FFFFFF"/>
        </w:rPr>
        <w:t>万元</w:t>
      </w:r>
      <w:r>
        <w:rPr>
          <w:rFonts w:hint="eastAsia" w:ascii="Times New Roman" w:hAnsi="Times New Roman" w:eastAsia="方正仿宋_GBK" w:cs="Times New Roman"/>
          <w:b w:val="0"/>
          <w:bCs/>
          <w:sz w:val="32"/>
          <w:szCs w:val="32"/>
          <w:shd w:val="clear" w:color="auto" w:fill="FFFFFF"/>
          <w:lang w:eastAsia="zh-CN"/>
        </w:rPr>
        <w:t>。</w:t>
      </w:r>
      <w:r>
        <w:rPr>
          <w:rFonts w:ascii="Times New Roman" w:hAnsi="Times New Roman" w:eastAsia="方正仿宋_GBK" w:cs="Times New Roman"/>
          <w:b w:val="0"/>
          <w:bCs/>
          <w:sz w:val="32"/>
          <w:szCs w:val="32"/>
          <w:shd w:val="clear" w:color="auto" w:fill="FFFFFF"/>
        </w:rPr>
        <w:t>费用支出</w:t>
      </w:r>
      <w:r>
        <w:rPr>
          <w:rFonts w:hint="default" w:ascii="Times New Roman" w:hAnsi="Times New Roman" w:eastAsia="方正仿宋_GBK" w:cs="Times New Roman"/>
          <w:b w:val="0"/>
          <w:bCs/>
          <w:sz w:val="32"/>
          <w:szCs w:val="32"/>
          <w:shd w:val="clear" w:color="auto" w:fill="FFFFFF"/>
        </w:rPr>
        <w:t>较年初预算数无增减</w:t>
      </w:r>
      <w:r>
        <w:rPr>
          <w:rFonts w:ascii="Times New Roman" w:hAnsi="Times New Roman" w:eastAsia="方正仿宋_GBK" w:cs="Times New Roman"/>
          <w:b w:val="0"/>
          <w:bCs/>
          <w:sz w:val="32"/>
          <w:szCs w:val="32"/>
          <w:shd w:val="clear" w:color="auto" w:fill="FFFFFF"/>
        </w:rPr>
        <w:t>，主要原因是</w:t>
      </w:r>
      <w:r>
        <w:rPr>
          <w:rFonts w:hint="eastAsia" w:ascii="Times New Roman" w:hAnsi="Times New Roman" w:eastAsia="方正仿宋_GBK" w:cs="Times New Roman"/>
          <w:b w:val="0"/>
          <w:bCs/>
          <w:sz w:val="32"/>
          <w:szCs w:val="32"/>
          <w:shd w:val="clear" w:color="auto" w:fill="FFFFFF"/>
          <w:lang w:val="en-US" w:eastAsia="zh-CN"/>
        </w:rPr>
        <w:t>2024年</w:t>
      </w:r>
      <w:r>
        <w:rPr>
          <w:rFonts w:hint="default" w:ascii="Times New Roman" w:hAnsi="Times New Roman" w:eastAsia="方正仿宋_GBK" w:cs="Times New Roman"/>
          <w:b w:val="0"/>
          <w:bCs/>
          <w:sz w:val="32"/>
          <w:szCs w:val="32"/>
          <w:shd w:val="clear" w:color="auto" w:fill="FFFFFF"/>
        </w:rPr>
        <w:t>未购置公务车辆。较上年支出数无增减</w:t>
      </w:r>
      <w:r>
        <w:rPr>
          <w:rFonts w:ascii="Times New Roman" w:hAnsi="Times New Roman" w:eastAsia="方正仿宋_GBK" w:cs="Times New Roman"/>
          <w:b w:val="0"/>
          <w:bCs/>
          <w:sz w:val="32"/>
          <w:szCs w:val="32"/>
          <w:shd w:val="clear" w:color="auto" w:fill="FFFFFF"/>
        </w:rPr>
        <w:t>，主要原因是</w:t>
      </w:r>
      <w:r>
        <w:rPr>
          <w:rFonts w:hint="eastAsia" w:ascii="Times New Roman" w:hAnsi="Times New Roman" w:eastAsia="方正仿宋_GBK" w:cs="Times New Roman"/>
          <w:b w:val="0"/>
          <w:bCs/>
          <w:sz w:val="32"/>
          <w:szCs w:val="32"/>
          <w:shd w:val="clear" w:color="auto" w:fill="FFFFFF"/>
          <w:lang w:val="en-US" w:eastAsia="zh-CN"/>
        </w:rPr>
        <w:t>2023-2024年均</w:t>
      </w:r>
      <w:r>
        <w:rPr>
          <w:rFonts w:hint="default" w:ascii="Times New Roman" w:hAnsi="Times New Roman" w:eastAsia="方正仿宋_GBK" w:cs="Times New Roman"/>
          <w:b w:val="0"/>
          <w:bCs/>
          <w:sz w:val="32"/>
          <w:szCs w:val="32"/>
          <w:shd w:val="clear" w:color="auto" w:fill="FFFFFF"/>
        </w:rPr>
        <w:t>未购置公务车辆。</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公务</w:t>
      </w:r>
      <w:r>
        <w:rPr>
          <w:rFonts w:hint="eastAsia" w:ascii="方正仿宋_GBK" w:hAnsi="方正仿宋_GBK" w:eastAsia="方正仿宋_GBK" w:cs="方正仿宋_GBK"/>
          <w:b w:val="0"/>
          <w:bCs/>
          <w:sz w:val="32"/>
          <w:szCs w:val="32"/>
          <w:shd w:val="clear" w:color="auto" w:fill="FFFFFF"/>
          <w:lang w:eastAsia="zh-CN"/>
        </w:rPr>
        <w:t>用</w:t>
      </w:r>
      <w:r>
        <w:rPr>
          <w:rFonts w:ascii="方正仿宋_GBK" w:hAnsi="方正仿宋_GBK" w:eastAsia="方正仿宋_GBK" w:cs="方正仿宋_GBK"/>
          <w:b w:val="0"/>
          <w:bCs/>
          <w:sz w:val="32"/>
          <w:szCs w:val="32"/>
          <w:shd w:val="clear" w:color="auto" w:fill="FFFFFF"/>
        </w:rPr>
        <w:t>车运行维护费</w:t>
      </w:r>
      <w:r>
        <w:rPr>
          <w:rFonts w:hint="default" w:ascii="Times New Roman" w:hAnsi="Times New Roman" w:eastAsia="方正仿宋_GBK"/>
          <w:b w:val="0"/>
          <w:bCs/>
          <w:sz w:val="32"/>
          <w:szCs w:val="32"/>
          <w:shd w:val="clear" w:color="auto" w:fill="FFFFFF"/>
        </w:rPr>
        <w:t>10.06</w:t>
      </w:r>
      <w:r>
        <w:rPr>
          <w:rFonts w:ascii="方正仿宋_GBK" w:hAnsi="方正仿宋_GBK" w:eastAsia="方正仿宋_GBK" w:cs="方正仿宋_GBK"/>
          <w:b w:val="0"/>
          <w:bCs/>
          <w:sz w:val="32"/>
          <w:szCs w:val="32"/>
          <w:shd w:val="clear" w:color="auto" w:fill="FFFFFF"/>
        </w:rPr>
        <w:t>万元，主要用于</w:t>
      </w:r>
      <w:r>
        <w:rPr>
          <w:rFonts w:hint="default" w:ascii="Times New Roman" w:hAnsi="Times New Roman" w:eastAsia="方正仿宋_GBK" w:cs="Times New Roman"/>
          <w:b w:val="0"/>
          <w:bCs/>
          <w:sz w:val="32"/>
          <w:szCs w:val="32"/>
          <w:shd w:val="clear" w:color="auto" w:fill="FFFFFF"/>
        </w:rPr>
        <w:t>机要文件交换、因公出行、质量安全监督等工作所需车辆的燃料费、维修费、过路过桥费、保险费等。</w:t>
      </w:r>
      <w:r>
        <w:rPr>
          <w:rFonts w:ascii="方正仿宋_GBK" w:hAnsi="方正仿宋_GBK" w:eastAsia="方正仿宋_GBK" w:cs="方正仿宋_GBK"/>
          <w:b w:val="0"/>
          <w:bCs/>
          <w:sz w:val="32"/>
          <w:szCs w:val="32"/>
          <w:shd w:val="clear" w:color="auto" w:fill="FFFFFF"/>
        </w:rPr>
        <w:t>费用支出</w:t>
      </w:r>
      <w:r>
        <w:rPr>
          <w:rFonts w:hint="default" w:ascii="Times New Roman" w:hAnsi="Times New Roman" w:eastAsia="方正仿宋_GBK"/>
          <w:b w:val="0"/>
          <w:bCs/>
          <w:sz w:val="32"/>
          <w:szCs w:val="32"/>
          <w:shd w:val="clear" w:color="auto" w:fill="FFFFFF"/>
        </w:rPr>
        <w:t>较年初预算数增加1.06万元，增长11.8%</w:t>
      </w:r>
      <w:r>
        <w:rPr>
          <w:rFonts w:ascii="方正仿宋_GBK" w:hAnsi="方正仿宋_GBK" w:eastAsia="方正仿宋_GBK" w:cs="方正仿宋_GBK"/>
          <w:b w:val="0"/>
          <w:bCs/>
          <w:sz w:val="32"/>
          <w:szCs w:val="32"/>
          <w:shd w:val="clear" w:color="auto" w:fill="FFFFFF"/>
        </w:rPr>
        <w:t>，主要原因</w:t>
      </w:r>
      <w:r>
        <w:rPr>
          <w:rFonts w:hint="eastAsia" w:ascii="方正仿宋_GBK" w:hAnsi="方正仿宋_GBK" w:eastAsia="方正仿宋_GBK" w:cs="方正仿宋_GBK"/>
          <w:b w:val="0"/>
          <w:bCs/>
          <w:sz w:val="32"/>
          <w:szCs w:val="32"/>
          <w:shd w:val="clear" w:color="auto" w:fill="FFFFFF"/>
          <w:lang w:eastAsia="zh-CN"/>
        </w:rPr>
        <w:t>是</w:t>
      </w:r>
      <w:r>
        <w:rPr>
          <w:rFonts w:hint="eastAsia" w:ascii="方正仿宋_GBK" w:hAnsi="方正仿宋_GBK" w:eastAsia="方正仿宋_GBK" w:cs="方正仿宋_GBK"/>
          <w:b w:val="0"/>
          <w:bCs/>
          <w:sz w:val="32"/>
          <w:szCs w:val="32"/>
          <w:shd w:val="clear" w:color="auto" w:fill="FFFFFF"/>
          <w:lang w:val="en-US" w:eastAsia="zh-CN"/>
        </w:rPr>
        <w:t>我单位公车使用年限较长，产生的维修费用较多。</w:t>
      </w:r>
      <w:r>
        <w:rPr>
          <w:rFonts w:hint="default" w:ascii="Times New Roman" w:hAnsi="Times New Roman" w:eastAsia="方正仿宋_GBK"/>
          <w:b w:val="0"/>
          <w:bCs/>
          <w:sz w:val="32"/>
          <w:szCs w:val="32"/>
          <w:shd w:val="clear" w:color="auto" w:fill="FFFFFF"/>
        </w:rPr>
        <w:t>较上年支出数减少6.03万元，下降37.5%</w:t>
      </w:r>
      <w:r>
        <w:rPr>
          <w:rFonts w:ascii="方正仿宋_GBK" w:hAnsi="方正仿宋_GBK" w:eastAsia="方正仿宋_GBK" w:cs="方正仿宋_GBK"/>
          <w:b w:val="0"/>
          <w:bCs/>
          <w:sz w:val="32"/>
          <w:szCs w:val="32"/>
          <w:shd w:val="clear" w:color="auto" w:fill="FFFFFF"/>
        </w:rPr>
        <w:t>，主要原因是</w:t>
      </w:r>
      <w:r>
        <w:rPr>
          <w:rFonts w:hint="default" w:ascii="Times New Roman" w:hAnsi="Times New Roman" w:eastAsia="方正仿宋_GBK" w:cs="Times New Roman"/>
          <w:b w:val="0"/>
          <w:bCs/>
          <w:sz w:val="32"/>
          <w:szCs w:val="32"/>
          <w:shd w:val="clear" w:color="auto" w:fill="FFFFFF"/>
        </w:rPr>
        <w:t>认真</w:t>
      </w:r>
      <w:r>
        <w:rPr>
          <w:rFonts w:hint="eastAsia" w:ascii="方正仿宋_GBK" w:hAnsi="方正仿宋_GBK" w:eastAsia="方正仿宋_GBK" w:cs="方正仿宋_GBK"/>
          <w:b w:val="0"/>
          <w:bCs/>
          <w:sz w:val="32"/>
          <w:szCs w:val="32"/>
          <w:shd w:val="clear" w:color="auto" w:fill="FFFFFF"/>
        </w:rPr>
        <w:t>贯彻落实中央八项规定精神、政府过“紧日子”思想和厉行节约要求，从严</w:t>
      </w:r>
      <w:r>
        <w:rPr>
          <w:rFonts w:hint="default" w:ascii="Times New Roman" w:hAnsi="Times New Roman" w:eastAsia="方正仿宋_GBK" w:cs="Times New Roman"/>
          <w:b w:val="0"/>
          <w:bCs/>
          <w:sz w:val="32"/>
          <w:szCs w:val="32"/>
          <w:shd w:val="clear" w:color="auto" w:fill="FFFFFF"/>
        </w:rPr>
        <w:t>控制三公经费支出。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公务接待费</w:t>
      </w:r>
      <w:r>
        <w:rPr>
          <w:rFonts w:hint="default" w:ascii="Times New Roman" w:hAnsi="Times New Roman" w:eastAsia="方正仿宋_GBK"/>
          <w:b w:val="0"/>
          <w:bCs/>
          <w:sz w:val="32"/>
          <w:szCs w:val="32"/>
          <w:shd w:val="clear" w:color="auto" w:fill="FFFFFF"/>
        </w:rPr>
        <w:t>0.45</w:t>
      </w:r>
      <w:r>
        <w:rPr>
          <w:rFonts w:ascii="方正仿宋_GBK" w:hAnsi="方正仿宋_GBK" w:eastAsia="方正仿宋_GBK" w:cs="方正仿宋_GBK"/>
          <w:b w:val="0"/>
          <w:bCs/>
          <w:sz w:val="32"/>
          <w:szCs w:val="32"/>
          <w:shd w:val="clear" w:color="auto" w:fill="FFFFFF"/>
        </w:rPr>
        <w:t>万元，主要用于接待</w:t>
      </w:r>
      <w:r>
        <w:rPr>
          <w:rFonts w:hint="default" w:ascii="Times New Roman" w:hAnsi="Times New Roman" w:eastAsia="方正仿宋_GBK" w:cs="Times New Roman"/>
          <w:b w:val="0"/>
          <w:bCs/>
          <w:sz w:val="32"/>
          <w:szCs w:val="32"/>
          <w:shd w:val="clear" w:color="auto" w:fill="FFFFFF"/>
        </w:rPr>
        <w:t>市级相关部门检查指导工作及调研发生的支出。</w:t>
      </w:r>
      <w:r>
        <w:rPr>
          <w:rFonts w:ascii="方正仿宋_GBK" w:hAnsi="方正仿宋_GBK" w:eastAsia="方正仿宋_GBK" w:cs="方正仿宋_GBK"/>
          <w:b w:val="0"/>
          <w:bCs/>
          <w:sz w:val="32"/>
          <w:szCs w:val="32"/>
          <w:shd w:val="clear" w:color="auto" w:fill="FFFFFF"/>
        </w:rPr>
        <w:t>费用支出</w:t>
      </w:r>
      <w:r>
        <w:rPr>
          <w:rFonts w:hint="default" w:ascii="Times New Roman" w:hAnsi="Times New Roman" w:eastAsia="方正仿宋_GBK"/>
          <w:b w:val="0"/>
          <w:bCs/>
          <w:sz w:val="32"/>
          <w:szCs w:val="32"/>
          <w:shd w:val="clear" w:color="auto" w:fill="FFFFFF"/>
        </w:rPr>
        <w:t>较年初预算数减少0.05万元，下降10.0%</w:t>
      </w:r>
      <w:r>
        <w:rPr>
          <w:rFonts w:ascii="方正仿宋_GBK" w:hAnsi="方正仿宋_GBK" w:eastAsia="方正仿宋_GBK" w:cs="方正仿宋_GBK"/>
          <w:b w:val="0"/>
          <w:bCs/>
          <w:sz w:val="32"/>
          <w:szCs w:val="32"/>
          <w:shd w:val="clear" w:color="auto" w:fill="FFFFFF"/>
        </w:rPr>
        <w:t>，主要原因是</w:t>
      </w:r>
      <w:r>
        <w:rPr>
          <w:rFonts w:hint="default" w:ascii="Times New Roman" w:hAnsi="Times New Roman" w:eastAsia="方正仿宋_GBK" w:cs="Times New Roman"/>
          <w:b w:val="0"/>
          <w:bCs/>
          <w:sz w:val="32"/>
          <w:szCs w:val="32"/>
          <w:shd w:val="clear" w:color="auto" w:fill="FFFFFF"/>
        </w:rPr>
        <w:t>认真贯彻落实中央八项规定精神、政</w:t>
      </w:r>
      <w:r>
        <w:rPr>
          <w:rFonts w:hint="eastAsia" w:ascii="方正仿宋_GBK" w:hAnsi="方正仿宋_GBK" w:eastAsia="方正仿宋_GBK" w:cs="方正仿宋_GBK"/>
          <w:b w:val="0"/>
          <w:bCs/>
          <w:sz w:val="32"/>
          <w:szCs w:val="32"/>
          <w:shd w:val="clear" w:color="auto" w:fill="FFFFFF"/>
        </w:rPr>
        <w:t>府过“紧日子”思想</w:t>
      </w:r>
      <w:r>
        <w:rPr>
          <w:rFonts w:hint="default" w:ascii="Times New Roman" w:hAnsi="Times New Roman" w:eastAsia="方正仿宋_GBK" w:cs="Times New Roman"/>
          <w:b w:val="0"/>
          <w:bCs/>
          <w:sz w:val="32"/>
          <w:szCs w:val="32"/>
          <w:shd w:val="clear" w:color="auto" w:fill="FFFFFF"/>
        </w:rPr>
        <w:t>和厉行节约要求，从严控制三公经费支出。</w:t>
      </w:r>
      <w:r>
        <w:rPr>
          <w:rFonts w:hint="default" w:ascii="Times New Roman" w:hAnsi="Times New Roman" w:eastAsia="方正仿宋_GBK"/>
          <w:b w:val="0"/>
          <w:bCs/>
          <w:sz w:val="32"/>
          <w:szCs w:val="32"/>
          <w:shd w:val="clear" w:color="auto" w:fill="FFFFFF"/>
        </w:rPr>
        <w:t>较上年支出数减少0.88万元，下降66.2%</w:t>
      </w:r>
      <w:r>
        <w:rPr>
          <w:rFonts w:ascii="方正仿宋_GBK" w:hAnsi="方正仿宋_GBK" w:eastAsia="方正仿宋_GBK" w:cs="方正仿宋_GBK"/>
          <w:b w:val="0"/>
          <w:bCs/>
          <w:sz w:val="32"/>
          <w:szCs w:val="32"/>
          <w:shd w:val="clear" w:color="auto" w:fill="FFFFFF"/>
        </w:rPr>
        <w:t>，主要原因是</w:t>
      </w:r>
      <w:r>
        <w:rPr>
          <w:rFonts w:hint="default" w:ascii="Times New Roman" w:hAnsi="Times New Roman" w:eastAsia="方正仿宋_GBK" w:cs="Times New Roman"/>
          <w:b w:val="0"/>
          <w:bCs/>
          <w:sz w:val="32"/>
          <w:szCs w:val="32"/>
          <w:shd w:val="clear" w:color="auto" w:fill="FFFFFF"/>
        </w:rPr>
        <w:t>认真贯彻落实中央八项规定精神、政府</w:t>
      </w:r>
      <w:r>
        <w:rPr>
          <w:rFonts w:hint="eastAsia" w:ascii="方正仿宋_GBK" w:hAnsi="方正仿宋_GBK" w:eastAsia="方正仿宋_GBK" w:cs="方正仿宋_GBK"/>
          <w:b w:val="0"/>
          <w:bCs/>
          <w:sz w:val="32"/>
          <w:szCs w:val="32"/>
          <w:shd w:val="clear" w:color="auto" w:fill="FFFFFF"/>
        </w:rPr>
        <w:t>过“紧日子”</w:t>
      </w:r>
      <w:r>
        <w:rPr>
          <w:rFonts w:hint="default" w:ascii="Times New Roman" w:hAnsi="Times New Roman" w:eastAsia="方正仿宋_GBK" w:cs="Times New Roman"/>
          <w:b w:val="0"/>
          <w:bCs/>
          <w:sz w:val="32"/>
          <w:szCs w:val="32"/>
          <w:shd w:val="clear" w:color="auto" w:fill="FFFFFF"/>
        </w:rPr>
        <w:t>思想和厉行节约要求，从严控制三公经费支出。</w:t>
      </w:r>
    </w:p>
    <w:p>
      <w:pPr>
        <w:pStyle w:val="11"/>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（三）“三公”经费实物量情况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b w:val="0"/>
          <w:bCs/>
          <w:sz w:val="32"/>
          <w:szCs w:val="32"/>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年度本</w:t>
      </w:r>
      <w:r>
        <w:rPr>
          <w:rFonts w:hint="eastAsia" w:ascii="方正仿宋_GBK" w:hAnsi="方正仿宋_GBK" w:eastAsia="方正仿宋_GBK" w:cs="方正仿宋_GBK"/>
          <w:b w:val="0"/>
          <w:bCs/>
          <w:sz w:val="32"/>
          <w:szCs w:val="32"/>
          <w:shd w:val="clear" w:color="auto" w:fill="FFFFFF"/>
          <w:lang w:eastAsia="zh-CN"/>
        </w:rPr>
        <w:t>单位</w:t>
      </w:r>
      <w:r>
        <w:rPr>
          <w:rFonts w:ascii="方正仿宋_GBK" w:hAnsi="方正仿宋_GBK" w:eastAsia="方正仿宋_GBK" w:cs="方正仿宋_GBK"/>
          <w:b w:val="0"/>
          <w:bCs/>
          <w:sz w:val="32"/>
          <w:szCs w:val="32"/>
          <w:shd w:val="clear" w:color="auto" w:fill="FFFFFF"/>
        </w:rPr>
        <w:t>因公出国（境）共计</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个团组，</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人；公务用车购置</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辆，公务车保有量为</w:t>
      </w:r>
      <w:r>
        <w:rPr>
          <w:rFonts w:hint="default" w:ascii="Times New Roman" w:hAnsi="Times New Roman" w:eastAsia="方正仿宋_GBK"/>
          <w:b w:val="0"/>
          <w:bCs/>
          <w:sz w:val="32"/>
          <w:szCs w:val="32"/>
          <w:shd w:val="clear" w:color="auto" w:fill="FFFFFF"/>
        </w:rPr>
        <w:t>3</w:t>
      </w:r>
      <w:r>
        <w:rPr>
          <w:rFonts w:ascii="方正仿宋_GBK" w:hAnsi="方正仿宋_GBK" w:eastAsia="方正仿宋_GBK" w:cs="方正仿宋_GBK"/>
          <w:b w:val="0"/>
          <w:bCs/>
          <w:sz w:val="32"/>
          <w:szCs w:val="32"/>
          <w:shd w:val="clear" w:color="auto" w:fill="FFFFFF"/>
        </w:rPr>
        <w:t>辆；国内公务接待</w:t>
      </w:r>
      <w:r>
        <w:rPr>
          <w:rFonts w:hint="default" w:ascii="Times New Roman" w:hAnsi="Times New Roman" w:eastAsia="方正仿宋_GBK"/>
          <w:b w:val="0"/>
          <w:bCs/>
          <w:sz w:val="32"/>
          <w:szCs w:val="32"/>
          <w:shd w:val="clear" w:color="auto" w:fill="FFFFFF"/>
        </w:rPr>
        <w:t>4</w:t>
      </w:r>
      <w:r>
        <w:rPr>
          <w:rFonts w:ascii="方正仿宋_GBK" w:hAnsi="方正仿宋_GBK" w:eastAsia="方正仿宋_GBK" w:cs="方正仿宋_GBK"/>
          <w:b w:val="0"/>
          <w:bCs/>
          <w:sz w:val="32"/>
          <w:szCs w:val="32"/>
          <w:shd w:val="clear" w:color="auto" w:fill="FFFFFF"/>
        </w:rPr>
        <w:t>批次</w:t>
      </w:r>
      <w:r>
        <w:rPr>
          <w:rFonts w:hint="default" w:ascii="Times New Roman" w:hAnsi="Times New Roman" w:eastAsia="方正仿宋_GBK"/>
          <w:b w:val="0"/>
          <w:bCs/>
          <w:sz w:val="32"/>
          <w:szCs w:val="32"/>
          <w:shd w:val="clear" w:color="auto" w:fill="FFFFFF"/>
        </w:rPr>
        <w:t>32</w:t>
      </w:r>
      <w:r>
        <w:rPr>
          <w:rFonts w:ascii="方正仿宋_GBK" w:hAnsi="方正仿宋_GBK" w:eastAsia="方正仿宋_GBK" w:cs="方正仿宋_GBK"/>
          <w:b w:val="0"/>
          <w:bCs/>
          <w:sz w:val="32"/>
          <w:szCs w:val="32"/>
          <w:shd w:val="clear" w:color="auto" w:fill="FFFFFF"/>
        </w:rPr>
        <w:t>人，其中：国内外事接待</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批次，</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人；国（境）外公务接待</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批次，</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人。</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年本</w:t>
      </w:r>
      <w:r>
        <w:rPr>
          <w:rFonts w:hint="eastAsia" w:ascii="方正仿宋_GBK" w:hAnsi="方正仿宋_GBK" w:eastAsia="方正仿宋_GBK" w:cs="方正仿宋_GBK"/>
          <w:b w:val="0"/>
          <w:bCs/>
          <w:sz w:val="32"/>
          <w:szCs w:val="32"/>
          <w:shd w:val="clear" w:color="auto" w:fill="FFFFFF"/>
          <w:lang w:eastAsia="zh-CN"/>
        </w:rPr>
        <w:t>单位</w:t>
      </w:r>
      <w:r>
        <w:rPr>
          <w:rFonts w:ascii="方正仿宋_GBK" w:hAnsi="方正仿宋_GBK" w:eastAsia="方正仿宋_GBK" w:cs="方正仿宋_GBK"/>
          <w:b w:val="0"/>
          <w:bCs/>
          <w:sz w:val="32"/>
          <w:szCs w:val="32"/>
          <w:shd w:val="clear" w:color="auto" w:fill="FFFFFF"/>
        </w:rPr>
        <w:t>人均接待费</w:t>
      </w:r>
      <w:r>
        <w:rPr>
          <w:rFonts w:hint="default" w:ascii="Times New Roman" w:hAnsi="Times New Roman" w:eastAsia="方正仿宋_GBK"/>
          <w:b w:val="0"/>
          <w:bCs/>
          <w:sz w:val="32"/>
          <w:szCs w:val="32"/>
          <w:shd w:val="clear" w:color="auto" w:fill="FFFFFF"/>
        </w:rPr>
        <w:t>140.94</w:t>
      </w:r>
      <w:r>
        <w:rPr>
          <w:rFonts w:ascii="方正仿宋_GBK" w:hAnsi="方正仿宋_GBK" w:eastAsia="方正仿宋_GBK" w:cs="方正仿宋_GBK"/>
          <w:b w:val="0"/>
          <w:bCs/>
          <w:sz w:val="32"/>
          <w:szCs w:val="32"/>
          <w:shd w:val="clear" w:color="auto" w:fill="FFFFFF"/>
        </w:rPr>
        <w:t>元，车均购置费</w:t>
      </w:r>
      <w:r>
        <w:rPr>
          <w:rFonts w:hint="default" w:ascii="Times New Roman" w:hAnsi="Times New Roman" w:eastAsia="方正仿宋_GBK"/>
          <w:b w:val="0"/>
          <w:bCs/>
          <w:sz w:val="32"/>
          <w:szCs w:val="32"/>
          <w:shd w:val="clear" w:color="auto" w:fill="FFFFFF"/>
        </w:rPr>
        <w:t>0</w:t>
      </w:r>
      <w:r>
        <w:rPr>
          <w:rFonts w:hint="eastAsia" w:ascii="Times New Roman" w:hAnsi="Times New Roman" w:eastAsia="方正仿宋_GBK"/>
          <w:b w:val="0"/>
          <w:bCs/>
          <w:sz w:val="32"/>
          <w:szCs w:val="32"/>
          <w:shd w:val="clear" w:color="auto" w:fill="FFFFFF"/>
          <w:lang w:val="en-US" w:eastAsia="zh-CN"/>
        </w:rPr>
        <w:t>.00</w:t>
      </w:r>
      <w:r>
        <w:rPr>
          <w:rFonts w:ascii="方正仿宋_GBK" w:hAnsi="方正仿宋_GBK" w:eastAsia="方正仿宋_GBK" w:cs="方正仿宋_GBK"/>
          <w:b w:val="0"/>
          <w:bCs/>
          <w:sz w:val="32"/>
          <w:szCs w:val="32"/>
          <w:shd w:val="clear" w:color="auto" w:fill="FFFFFF"/>
        </w:rPr>
        <w:t>万元，车均维护费</w:t>
      </w:r>
      <w:r>
        <w:rPr>
          <w:rFonts w:hint="default" w:ascii="Times New Roman" w:hAnsi="Times New Roman" w:eastAsia="方正仿宋_GBK"/>
          <w:b w:val="0"/>
          <w:bCs/>
          <w:sz w:val="32"/>
          <w:szCs w:val="32"/>
          <w:shd w:val="clear" w:color="auto" w:fill="FFFFFF"/>
        </w:rPr>
        <w:t>3.35</w:t>
      </w:r>
      <w:r>
        <w:rPr>
          <w:rFonts w:ascii="方正仿宋_GBK" w:hAnsi="方正仿宋_GBK" w:eastAsia="方正仿宋_GBK" w:cs="方正仿宋_GBK"/>
          <w:b w:val="0"/>
          <w:bCs/>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方正楷体_GBK" w:hAnsi="方正楷体_GBK" w:eastAsia="方正楷体_GBK" w:cs="方正楷体_GBK"/>
          <w:b w:val="0"/>
          <w:bCs/>
          <w:sz w:val="32"/>
          <w:szCs w:val="32"/>
          <w:shd w:val="clear" w:color="auto" w:fill="FFFFFF"/>
          <w:lang w:val="en-US" w:eastAsia="zh-CN" w:bidi="ar-SA"/>
        </w:rPr>
      </w:pPr>
      <w:r>
        <w:rPr>
          <w:rFonts w:hint="eastAsia" w:ascii="方正楷体_GBK" w:hAnsi="方正楷体_GBK" w:eastAsia="方正楷体_GBK" w:cs="方正楷体_GBK"/>
          <w:b w:val="0"/>
          <w:bCs/>
          <w:sz w:val="32"/>
          <w:szCs w:val="32"/>
          <w:shd w:val="clear" w:color="auto" w:fill="FFFFFF"/>
          <w:lang w:val="en-US" w:eastAsia="zh-CN" w:bidi="ar-SA"/>
        </w:rPr>
        <w:t>（一）财政拨款会议费、培训费和差旅费情况说明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eastAsia" w:ascii="方正仿宋_GBK" w:hAnsi="方正仿宋_GBK" w:eastAsia="方正仿宋_GBK" w:cs="方正仿宋_GBK"/>
          <w:b w:val="0"/>
          <w:bCs/>
          <w:color w:val="FF0000"/>
          <w:sz w:val="32"/>
          <w:szCs w:val="32"/>
          <w:lang w:val="en-US" w:eastAsia="zh-CN"/>
        </w:rPr>
      </w:pPr>
      <w:r>
        <w:rPr>
          <w:rFonts w:ascii="方正仿宋_GBK" w:hAnsi="方正仿宋_GBK" w:eastAsia="方正仿宋_GBK" w:cs="方正仿宋_GBK"/>
          <w:b w:val="0"/>
          <w:bCs/>
          <w:sz w:val="32"/>
          <w:szCs w:val="32"/>
          <w:shd w:val="clear" w:color="auto" w:fill="FFFFFF"/>
        </w:rPr>
        <w:t>本年度会议费支出</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与2023年度相比，减少1.29万元，下降100.0%</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根据工作需要，市级部门开展相关会议支出减少。</w:t>
      </w:r>
      <w:r>
        <w:rPr>
          <w:rFonts w:ascii="方正仿宋_GBK" w:hAnsi="方正仿宋_GBK" w:eastAsia="方正仿宋_GBK" w:cs="方正仿宋_GBK"/>
          <w:b w:val="0"/>
          <w:bCs/>
          <w:sz w:val="32"/>
          <w:szCs w:val="32"/>
          <w:shd w:val="clear" w:color="auto" w:fill="FFFFFF"/>
        </w:rPr>
        <w:t>本年度培训费支出</w:t>
      </w:r>
      <w:r>
        <w:rPr>
          <w:rFonts w:hint="default" w:ascii="Times New Roman" w:hAnsi="Times New Roman" w:eastAsia="方正仿宋_GBK"/>
          <w:b w:val="0"/>
          <w:bCs/>
          <w:sz w:val="32"/>
          <w:szCs w:val="32"/>
          <w:shd w:val="clear" w:color="auto" w:fill="FFFFFF"/>
        </w:rPr>
        <w:t>20.88</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与2023年度相比，增加16.75万元，增长405.6%</w:t>
      </w:r>
      <w:r>
        <w:rPr>
          <w:rFonts w:ascii="方正仿宋_GBK" w:hAnsi="方正仿宋_GBK" w:eastAsia="方正仿宋_GBK" w:cs="方正仿宋_GBK"/>
          <w:b w:val="0"/>
          <w:bCs/>
          <w:sz w:val="32"/>
          <w:szCs w:val="32"/>
          <w:shd w:val="clear" w:color="auto" w:fill="FFFFFF"/>
        </w:rPr>
        <w:t>，主要原因</w:t>
      </w:r>
      <w:r>
        <w:rPr>
          <w:rFonts w:hint="eastAsia" w:ascii="方正仿宋_GBK" w:hAnsi="方正仿宋_GBK" w:eastAsia="方正仿宋_GBK" w:cs="方正仿宋_GBK"/>
          <w:b w:val="0"/>
          <w:bCs/>
          <w:sz w:val="32"/>
          <w:szCs w:val="32"/>
          <w:shd w:val="clear" w:color="auto" w:fill="FFFFFF"/>
          <w:lang w:eastAsia="zh-CN"/>
        </w:rPr>
        <w:t>是</w:t>
      </w:r>
      <w:r>
        <w:rPr>
          <w:rFonts w:hint="eastAsia" w:ascii="方正仿宋_GBK" w:hAnsi="方正仿宋_GBK" w:eastAsia="方正仿宋_GBK" w:cs="方正仿宋_GBK"/>
          <w:b w:val="0"/>
          <w:bCs/>
          <w:sz w:val="32"/>
          <w:szCs w:val="32"/>
          <w:shd w:val="clear" w:color="auto" w:fill="FFFFFF"/>
          <w:lang w:val="en-US" w:eastAsia="zh-CN"/>
        </w:rPr>
        <w:t>根据工作需要，培训人数及次数增加。</w:t>
      </w:r>
      <w:r>
        <w:rPr>
          <w:rFonts w:ascii="方正仿宋_GBK" w:hAnsi="方正仿宋_GBK" w:eastAsia="方正仿宋_GBK" w:cs="方正仿宋_GBK"/>
          <w:b w:val="0"/>
          <w:bCs/>
          <w:sz w:val="32"/>
          <w:szCs w:val="32"/>
          <w:shd w:val="clear" w:color="auto" w:fill="FFFFFF"/>
        </w:rPr>
        <w:t>本年度差旅费支出</w:t>
      </w:r>
      <w:r>
        <w:rPr>
          <w:rFonts w:hint="default" w:ascii="Times New Roman" w:hAnsi="Times New Roman" w:eastAsia="方正仿宋_GBK"/>
          <w:b w:val="0"/>
          <w:bCs/>
          <w:sz w:val="32"/>
          <w:szCs w:val="32"/>
          <w:shd w:val="clear" w:color="auto" w:fill="FFFFFF"/>
        </w:rPr>
        <w:t>8.65</w:t>
      </w:r>
      <w:r>
        <w:rPr>
          <w:rFonts w:ascii="方正仿宋_GBK" w:hAnsi="方正仿宋_GBK" w:eastAsia="方正仿宋_GBK" w:cs="方正仿宋_GBK"/>
          <w:b w:val="0"/>
          <w:bCs/>
          <w:sz w:val="32"/>
          <w:szCs w:val="32"/>
        </w:rPr>
        <w:t>万元，</w:t>
      </w:r>
      <w:r>
        <w:rPr>
          <w:rFonts w:hint="default" w:ascii="Times New Roman" w:hAnsi="Times New Roman" w:eastAsia="方正仿宋_GBK"/>
          <w:b w:val="0"/>
          <w:bCs/>
          <w:sz w:val="32"/>
          <w:szCs w:val="32"/>
          <w:shd w:val="clear" w:color="auto" w:fill="FFFFFF"/>
        </w:rPr>
        <w:t>与2023年度相比，增加2.04万元，增长30.9%</w:t>
      </w:r>
      <w:r>
        <w:rPr>
          <w:rFonts w:ascii="方正仿宋_GBK" w:hAnsi="方正仿宋_GBK" w:eastAsia="方正仿宋_GBK" w:cs="方正仿宋_GBK"/>
          <w:b w:val="0"/>
          <w:bCs/>
          <w:sz w:val="32"/>
          <w:szCs w:val="32"/>
          <w:shd w:val="clear" w:color="auto" w:fill="FFFFFF"/>
        </w:rPr>
        <w:t>，主要原因</w:t>
      </w:r>
      <w:r>
        <w:rPr>
          <w:rFonts w:hint="eastAsia" w:ascii="方正仿宋_GBK" w:hAnsi="方正仿宋_GBK" w:eastAsia="方正仿宋_GBK" w:cs="方正仿宋_GBK"/>
          <w:b w:val="0"/>
          <w:bCs/>
          <w:sz w:val="32"/>
          <w:szCs w:val="32"/>
          <w:shd w:val="clear" w:color="auto" w:fill="FFFFFF"/>
          <w:lang w:eastAsia="zh-CN"/>
        </w:rPr>
        <w:t>是</w:t>
      </w:r>
      <w:r>
        <w:rPr>
          <w:rFonts w:hint="eastAsia" w:ascii="方正仿宋_GBK" w:hAnsi="方正仿宋_GBK" w:eastAsia="方正仿宋_GBK" w:cs="方正仿宋_GBK"/>
          <w:b w:val="0"/>
          <w:bCs/>
          <w:sz w:val="32"/>
          <w:szCs w:val="32"/>
          <w:shd w:val="clear" w:color="auto" w:fill="FFFFFF"/>
          <w:lang w:val="en-US" w:eastAsia="zh-CN"/>
        </w:rPr>
        <w:t>根据工作需要，本年度出差向市级部门汇报、交流工作次数增加。</w:t>
      </w:r>
    </w:p>
    <w:p>
      <w:pPr>
        <w:pStyle w:val="11"/>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lang w:val="en-US" w:eastAsia="zh-CN" w:bidi="ar-SA"/>
        </w:rPr>
      </w:pPr>
      <w:r>
        <w:rPr>
          <w:rFonts w:hint="eastAsia" w:ascii="楷体" w:hAnsi="楷体" w:eastAsia="楷体" w:cs="楷体"/>
          <w:b w:val="0"/>
          <w:bCs/>
          <w:sz w:val="32"/>
          <w:szCs w:val="32"/>
          <w:shd w:val="clear" w:color="auto" w:fill="FFFFFF"/>
          <w:lang w:val="en-US" w:eastAsia="zh-CN"/>
        </w:rPr>
        <w:t xml:space="preserve"> </w:t>
      </w:r>
      <w:r>
        <w:rPr>
          <w:rFonts w:hint="eastAsia" w:ascii="方正楷体_GBK" w:hAnsi="方正楷体_GBK" w:eastAsia="方正楷体_GBK" w:cs="方正楷体_GBK"/>
          <w:b w:val="0"/>
          <w:bCs/>
          <w:sz w:val="32"/>
          <w:szCs w:val="32"/>
          <w:shd w:val="clear" w:color="auto" w:fill="FFFFFF"/>
          <w:lang w:val="en-US" w:eastAsia="zh-CN" w:bidi="ar-SA"/>
        </w:rPr>
        <w:t>（二）机关运行经费情况说明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eastAsia" w:ascii="方正仿宋_GBK" w:hAnsi="方正仿宋_GBK" w:eastAsia="方正仿宋_GBK" w:cs="方正仿宋_GBK"/>
          <w:b w:val="0"/>
          <w:bCs/>
          <w:sz w:val="32"/>
          <w:szCs w:val="32"/>
          <w:lang w:val="en-US" w:eastAsia="zh-CN"/>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年度本</w:t>
      </w:r>
      <w:r>
        <w:rPr>
          <w:rFonts w:hint="eastAsia" w:ascii="方正仿宋_GBK" w:hAnsi="方正仿宋_GBK" w:eastAsia="方正仿宋_GBK" w:cs="方正仿宋_GBK"/>
          <w:b w:val="0"/>
          <w:bCs/>
          <w:sz w:val="32"/>
          <w:szCs w:val="32"/>
          <w:shd w:val="clear" w:color="auto" w:fill="FFFFFF"/>
          <w:lang w:eastAsia="zh-CN"/>
        </w:rPr>
        <w:t>单位</w:t>
      </w:r>
      <w:r>
        <w:rPr>
          <w:rFonts w:ascii="方正仿宋_GBK" w:hAnsi="方正仿宋_GBK" w:eastAsia="方正仿宋_GBK" w:cs="方正仿宋_GBK"/>
          <w:b w:val="0"/>
          <w:bCs/>
          <w:sz w:val="32"/>
          <w:szCs w:val="32"/>
          <w:shd w:val="clear" w:color="auto" w:fill="FFFFFF"/>
        </w:rPr>
        <w:t>机关运行经费支出</w:t>
      </w:r>
      <w:r>
        <w:rPr>
          <w:rFonts w:hint="default" w:ascii="Times New Roman" w:hAnsi="Times New Roman" w:eastAsia="方正仿宋_GBK"/>
          <w:b w:val="0"/>
          <w:bCs/>
          <w:sz w:val="32"/>
          <w:szCs w:val="32"/>
          <w:shd w:val="clear" w:color="auto" w:fill="FFFFFF"/>
        </w:rPr>
        <w:t>270.54</w:t>
      </w:r>
      <w:r>
        <w:rPr>
          <w:rFonts w:ascii="方正仿宋_GBK" w:hAnsi="方正仿宋_GBK" w:eastAsia="方正仿宋_GBK" w:cs="方正仿宋_GBK"/>
          <w:b w:val="0"/>
          <w:bCs/>
          <w:sz w:val="32"/>
          <w:szCs w:val="32"/>
          <w:shd w:val="clear" w:color="auto" w:fill="FFFFFF"/>
        </w:rPr>
        <w:t>万元，机关运行经费主要用于开支</w:t>
      </w:r>
      <w:r>
        <w:rPr>
          <w:rFonts w:hint="default" w:ascii="Times New Roman" w:hAnsi="Times New Roman" w:eastAsia="方正仿宋_GBK" w:cs="Times New Roman"/>
          <w:b w:val="0"/>
          <w:bCs/>
          <w:sz w:val="32"/>
          <w:szCs w:val="32"/>
          <w:shd w:val="clear" w:color="auto" w:fill="FFFFFF"/>
        </w:rPr>
        <w:t>办公费、印刷费、邮电费、物业管理费、差旅费、会议费、培训费、公务接待费、公务用车运行维护费等保障单位运行的支出。</w:t>
      </w:r>
      <w:r>
        <w:rPr>
          <w:rFonts w:ascii="方正仿宋_GBK" w:hAnsi="方正仿宋_GBK" w:eastAsia="方正仿宋_GBK" w:cs="方正仿宋_GBK"/>
          <w:b w:val="0"/>
          <w:bCs/>
          <w:sz w:val="32"/>
          <w:szCs w:val="32"/>
          <w:shd w:val="clear" w:color="auto" w:fill="FFFFFF"/>
        </w:rPr>
        <w:t>机关运行经费</w:t>
      </w:r>
      <w:r>
        <w:rPr>
          <w:rFonts w:hint="default" w:ascii="Times New Roman" w:hAnsi="Times New Roman" w:eastAsia="方正仿宋_GBK"/>
          <w:b w:val="0"/>
          <w:bCs/>
          <w:sz w:val="32"/>
          <w:szCs w:val="32"/>
          <w:shd w:val="clear" w:color="auto" w:fill="FFFFFF"/>
        </w:rPr>
        <w:t>较上年支出数增加205.22万元，增长314.2%</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本年新增事业发展经费、事业服务经费等项目，由全部门共同使用。</w:t>
      </w:r>
    </w:p>
    <w:p>
      <w:pPr>
        <w:pStyle w:val="11"/>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lang w:val="en-US" w:eastAsia="zh-CN" w:bidi="ar-SA"/>
        </w:rPr>
      </w:pPr>
      <w:r>
        <w:rPr>
          <w:rFonts w:hint="eastAsia" w:ascii="方正楷体_GBK" w:hAnsi="方正楷体_GBK" w:eastAsia="方正楷体_GBK" w:cs="方正楷体_GBK"/>
          <w:b w:val="0"/>
          <w:bCs/>
          <w:sz w:val="32"/>
          <w:szCs w:val="32"/>
          <w:shd w:val="clear" w:color="auto" w:fill="FFFFFF"/>
          <w:lang w:val="en-US" w:eastAsia="zh-CN" w:bidi="ar-SA"/>
        </w:rPr>
        <w:t>（三）国有资产占用情况说明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截至</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w:t>
      </w:r>
      <w:r>
        <w:rPr>
          <w:rFonts w:hint="default" w:ascii="Times New Roman" w:hAnsi="Times New Roman" w:eastAsia="方正仿宋_GBK"/>
          <w:b w:val="0"/>
          <w:bCs/>
          <w:sz w:val="32"/>
          <w:szCs w:val="32"/>
          <w:shd w:val="clear" w:color="auto" w:fill="FFFFFF"/>
        </w:rPr>
        <w:t>12</w:t>
      </w:r>
      <w:r>
        <w:rPr>
          <w:rFonts w:ascii="方正仿宋_GBK" w:hAnsi="方正仿宋_GBK" w:eastAsia="方正仿宋_GBK" w:cs="方正仿宋_GBK"/>
          <w:b w:val="0"/>
          <w:bCs/>
          <w:sz w:val="32"/>
          <w:szCs w:val="32"/>
          <w:shd w:val="clear" w:color="auto" w:fill="FFFFFF"/>
        </w:rPr>
        <w:t>月</w:t>
      </w:r>
      <w:r>
        <w:rPr>
          <w:rFonts w:hint="default" w:ascii="Times New Roman" w:hAnsi="Times New Roman" w:eastAsia="方正仿宋_GBK"/>
          <w:b w:val="0"/>
          <w:bCs/>
          <w:sz w:val="32"/>
          <w:szCs w:val="32"/>
          <w:shd w:val="clear" w:color="auto" w:fill="FFFFFF"/>
        </w:rPr>
        <w:t>31</w:t>
      </w:r>
      <w:r>
        <w:rPr>
          <w:rFonts w:ascii="方正仿宋_GBK" w:hAnsi="方正仿宋_GBK" w:eastAsia="方正仿宋_GBK" w:cs="方正仿宋_GBK"/>
          <w:b w:val="0"/>
          <w:bCs/>
          <w:sz w:val="32"/>
          <w:szCs w:val="32"/>
          <w:shd w:val="clear" w:color="auto" w:fill="FFFFFF"/>
        </w:rPr>
        <w:t>日，本</w:t>
      </w:r>
      <w:r>
        <w:rPr>
          <w:rFonts w:hint="eastAsia" w:ascii="方正仿宋_GBK" w:hAnsi="方正仿宋_GBK" w:eastAsia="方正仿宋_GBK" w:cs="方正仿宋_GBK"/>
          <w:b w:val="0"/>
          <w:bCs/>
          <w:sz w:val="32"/>
          <w:szCs w:val="32"/>
          <w:shd w:val="clear" w:color="auto" w:fill="FFFFFF"/>
          <w:lang w:eastAsia="zh-CN"/>
        </w:rPr>
        <w:t>单位</w:t>
      </w:r>
      <w:r>
        <w:rPr>
          <w:rFonts w:ascii="方正仿宋_GBK" w:hAnsi="方正仿宋_GBK" w:eastAsia="方正仿宋_GBK" w:cs="方正仿宋_GBK"/>
          <w:b w:val="0"/>
          <w:bCs/>
          <w:sz w:val="32"/>
          <w:szCs w:val="32"/>
          <w:shd w:val="clear" w:color="auto" w:fill="FFFFFF"/>
        </w:rPr>
        <w:t>共有车辆</w:t>
      </w:r>
      <w:r>
        <w:rPr>
          <w:rFonts w:hint="default" w:ascii="Times New Roman" w:hAnsi="Times New Roman" w:eastAsia="方正仿宋_GBK"/>
          <w:b w:val="0"/>
          <w:bCs/>
          <w:sz w:val="32"/>
          <w:szCs w:val="32"/>
          <w:shd w:val="clear" w:color="auto" w:fill="FFFFFF"/>
        </w:rPr>
        <w:t>3</w:t>
      </w:r>
      <w:r>
        <w:rPr>
          <w:rFonts w:ascii="方正仿宋_GBK" w:hAnsi="方正仿宋_GBK" w:eastAsia="方正仿宋_GBK" w:cs="方正仿宋_GBK"/>
          <w:b w:val="0"/>
          <w:bCs/>
          <w:sz w:val="32"/>
          <w:szCs w:val="32"/>
          <w:shd w:val="clear" w:color="auto" w:fill="FFFFFF"/>
        </w:rPr>
        <w:t>辆，其中，副部（省）级及以上领导用车</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辆、主要负责人用车</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辆、机要通信用车</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辆、应急保障用车</w:t>
      </w:r>
      <w:r>
        <w:rPr>
          <w:rFonts w:hint="default" w:ascii="Times New Roman" w:hAnsi="Times New Roman" w:eastAsia="方正仿宋_GBK"/>
          <w:b w:val="0"/>
          <w:bCs/>
          <w:sz w:val="32"/>
          <w:szCs w:val="32"/>
          <w:shd w:val="clear" w:color="auto" w:fill="FFFFFF"/>
        </w:rPr>
        <w:t>3</w:t>
      </w:r>
      <w:r>
        <w:rPr>
          <w:rFonts w:ascii="方正仿宋_GBK" w:hAnsi="方正仿宋_GBK" w:eastAsia="方正仿宋_GBK" w:cs="方正仿宋_GBK"/>
          <w:b w:val="0"/>
          <w:bCs/>
          <w:sz w:val="32"/>
          <w:szCs w:val="32"/>
          <w:shd w:val="clear" w:color="auto" w:fill="FFFFFF"/>
        </w:rPr>
        <w:t>辆、执法执勤用车</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辆，特种专业技术用车</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辆，离退休干部用车</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辆。单价</w:t>
      </w:r>
      <w:r>
        <w:rPr>
          <w:rFonts w:hint="default" w:ascii="Times New Roman" w:hAnsi="Times New Roman" w:eastAsia="方正仿宋_GBK"/>
          <w:b w:val="0"/>
          <w:bCs/>
          <w:sz w:val="32"/>
          <w:szCs w:val="32"/>
          <w:shd w:val="clear" w:color="auto" w:fill="FFFFFF"/>
        </w:rPr>
        <w:t>100</w:t>
      </w:r>
      <w:r>
        <w:rPr>
          <w:rFonts w:hint="eastAsia" w:ascii="Times New Roman" w:hAnsi="Times New Roman" w:eastAsia="方正仿宋_GBK"/>
          <w:b w:val="0"/>
          <w:bCs/>
          <w:sz w:val="32"/>
          <w:szCs w:val="32"/>
          <w:shd w:val="clear" w:color="auto" w:fill="FFFFFF"/>
          <w:lang w:val="en-US" w:eastAsia="zh-CN"/>
        </w:rPr>
        <w:t>.00</w:t>
      </w:r>
      <w:r>
        <w:rPr>
          <w:rFonts w:ascii="方正仿宋_GBK" w:hAnsi="方正仿宋_GBK" w:eastAsia="方正仿宋_GBK" w:cs="方正仿宋_GBK"/>
          <w:b w:val="0"/>
          <w:bCs/>
          <w:sz w:val="32"/>
          <w:szCs w:val="32"/>
          <w:shd w:val="clear" w:color="auto" w:fill="FFFFFF"/>
        </w:rPr>
        <w:t>万元（含）以上专用设备</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（四）政府采购支出情况说明</w:t>
      </w:r>
    </w:p>
    <w:p>
      <w:pPr>
        <w:pStyle w:val="11"/>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val="en-US" w:eastAsia="zh-CN"/>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年度本</w:t>
      </w:r>
      <w:r>
        <w:rPr>
          <w:rFonts w:hint="eastAsia" w:ascii="方正仿宋_GBK" w:hAnsi="方正仿宋_GBK" w:eastAsia="方正仿宋_GBK" w:cs="方正仿宋_GBK"/>
          <w:b w:val="0"/>
          <w:bCs/>
          <w:sz w:val="32"/>
          <w:szCs w:val="32"/>
          <w:shd w:val="clear" w:color="auto" w:fill="FFFFFF"/>
          <w:lang w:eastAsia="zh-CN"/>
        </w:rPr>
        <w:t>单位</w:t>
      </w:r>
      <w:r>
        <w:rPr>
          <w:rFonts w:ascii="方正仿宋_GBK" w:hAnsi="方正仿宋_GBK" w:eastAsia="方正仿宋_GBK" w:cs="方正仿宋_GBK"/>
          <w:b w:val="0"/>
          <w:bCs/>
          <w:sz w:val="32"/>
          <w:szCs w:val="32"/>
          <w:shd w:val="clear" w:color="auto" w:fill="FFFFFF"/>
        </w:rPr>
        <w:t>政府采购支出总额</w:t>
      </w:r>
      <w:r>
        <w:rPr>
          <w:rFonts w:hint="default" w:ascii="Times New Roman" w:hAnsi="Times New Roman" w:eastAsia="方正仿宋_GBK"/>
          <w:b w:val="0"/>
          <w:bCs/>
          <w:sz w:val="32"/>
          <w:szCs w:val="32"/>
          <w:shd w:val="clear" w:color="auto" w:fill="FFFFFF"/>
        </w:rPr>
        <w:t>5.66</w:t>
      </w:r>
      <w:r>
        <w:rPr>
          <w:rFonts w:ascii="方正仿宋_GBK" w:hAnsi="方正仿宋_GBK" w:eastAsia="方正仿宋_GBK" w:cs="方正仿宋_GBK"/>
          <w:b w:val="0"/>
          <w:bCs/>
          <w:sz w:val="32"/>
          <w:szCs w:val="32"/>
          <w:shd w:val="clear" w:color="auto" w:fill="FFFFFF"/>
        </w:rPr>
        <w:t>万元，其中：政府采购货物支出</w:t>
      </w:r>
      <w:r>
        <w:rPr>
          <w:rFonts w:hint="default" w:ascii="Times New Roman" w:hAnsi="Times New Roman" w:eastAsia="方正仿宋_GBK"/>
          <w:b w:val="0"/>
          <w:bCs/>
          <w:sz w:val="32"/>
          <w:szCs w:val="32"/>
          <w:shd w:val="clear" w:color="auto" w:fill="FFFFFF"/>
        </w:rPr>
        <w:t>5.66</w:t>
      </w:r>
      <w:r>
        <w:rPr>
          <w:rFonts w:ascii="方正仿宋_GBK" w:hAnsi="方正仿宋_GBK" w:eastAsia="方正仿宋_GBK" w:cs="方正仿宋_GBK"/>
          <w:b w:val="0"/>
          <w:bCs/>
          <w:sz w:val="32"/>
          <w:szCs w:val="32"/>
          <w:shd w:val="clear" w:color="auto" w:fill="FFFFFF"/>
        </w:rPr>
        <w:t>万元、政府采购工程支出</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万元、政府采购服务支出</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万元。授予中小企业合同金额</w:t>
      </w:r>
      <w:r>
        <w:rPr>
          <w:rFonts w:hint="default" w:ascii="Times New Roman" w:hAnsi="Times New Roman" w:eastAsia="方正仿宋_GBK"/>
          <w:b w:val="0"/>
          <w:bCs/>
          <w:sz w:val="32"/>
          <w:szCs w:val="32"/>
          <w:shd w:val="clear" w:color="auto" w:fill="FFFFFF"/>
        </w:rPr>
        <w:t>5.66</w:t>
      </w:r>
      <w:r>
        <w:rPr>
          <w:rFonts w:ascii="方正仿宋_GBK" w:hAnsi="方正仿宋_GBK" w:eastAsia="方正仿宋_GBK" w:cs="方正仿宋_GBK"/>
          <w:b w:val="0"/>
          <w:bCs/>
          <w:sz w:val="32"/>
          <w:szCs w:val="32"/>
        </w:rPr>
        <w:t>万</w:t>
      </w:r>
      <w:r>
        <w:rPr>
          <w:rFonts w:ascii="方正仿宋_GBK" w:hAnsi="方正仿宋_GBK" w:eastAsia="方正仿宋_GBK" w:cs="方正仿宋_GBK"/>
          <w:b w:val="0"/>
          <w:bCs/>
          <w:sz w:val="32"/>
          <w:szCs w:val="32"/>
          <w:shd w:val="clear" w:color="auto" w:fill="FFFFFF"/>
        </w:rPr>
        <w:t>元，占政府采购支出总额的</w:t>
      </w:r>
      <w:r>
        <w:rPr>
          <w:rFonts w:hint="default" w:ascii="Times New Roman" w:hAnsi="Times New Roman" w:eastAsia="方正仿宋_GBK"/>
          <w:b w:val="0"/>
          <w:bCs/>
          <w:sz w:val="32"/>
          <w:szCs w:val="32"/>
          <w:shd w:val="clear" w:color="auto" w:fill="FFFFFF"/>
        </w:rPr>
        <w:t>100.0%</w:t>
      </w:r>
      <w:r>
        <w:rPr>
          <w:rFonts w:ascii="方正仿宋_GBK" w:hAnsi="方正仿宋_GBK" w:eastAsia="方正仿宋_GBK" w:cs="方正仿宋_GBK"/>
          <w:b w:val="0"/>
          <w:bCs/>
          <w:sz w:val="32"/>
          <w:szCs w:val="32"/>
          <w:shd w:val="clear" w:color="auto" w:fill="FFFFFF"/>
        </w:rPr>
        <w:t>，其中：授予小微企业合同金额</w:t>
      </w:r>
      <w:r>
        <w:rPr>
          <w:rFonts w:hint="default" w:ascii="Times New Roman" w:hAnsi="Times New Roman" w:eastAsia="方正仿宋_GBK"/>
          <w:b w:val="0"/>
          <w:bCs/>
          <w:sz w:val="32"/>
          <w:szCs w:val="32"/>
          <w:shd w:val="clear" w:color="auto" w:fill="FFFFFF"/>
        </w:rPr>
        <w:t>5.66</w:t>
      </w:r>
      <w:r>
        <w:rPr>
          <w:rFonts w:ascii="方正仿宋_GBK" w:hAnsi="方正仿宋_GBK" w:eastAsia="方正仿宋_GBK" w:cs="方正仿宋_GBK"/>
          <w:b w:val="0"/>
          <w:bCs/>
          <w:sz w:val="32"/>
          <w:szCs w:val="32"/>
          <w:shd w:val="clear" w:color="auto" w:fill="FFFFFF"/>
        </w:rPr>
        <w:t>万元，占政府采购支出总额的</w:t>
      </w:r>
      <w:r>
        <w:rPr>
          <w:rFonts w:hint="default" w:ascii="Times New Roman" w:hAnsi="Times New Roman" w:eastAsia="方正仿宋_GBK"/>
          <w:b w:val="0"/>
          <w:bCs/>
          <w:sz w:val="32"/>
          <w:szCs w:val="32"/>
          <w:shd w:val="clear" w:color="auto" w:fill="FFFFFF"/>
        </w:rPr>
        <w:t>100.0 %</w:t>
      </w:r>
      <w:r>
        <w:rPr>
          <w:rFonts w:ascii="方正仿宋_GBK" w:hAnsi="方正仿宋_GBK" w:eastAsia="方正仿宋_GBK" w:cs="方正仿宋_GBK"/>
          <w:b w:val="0"/>
          <w:bCs/>
          <w:sz w:val="32"/>
          <w:szCs w:val="32"/>
          <w:shd w:val="clear" w:color="auto" w:fill="FFFFFF"/>
        </w:rPr>
        <w:t>。主要用于</w:t>
      </w:r>
      <w:r>
        <w:rPr>
          <w:rFonts w:hint="eastAsia" w:ascii="方正仿宋_GBK" w:hAnsi="方正仿宋_GBK" w:eastAsia="方正仿宋_GBK" w:cs="方正仿宋_GBK"/>
          <w:b w:val="0"/>
          <w:bCs/>
          <w:sz w:val="32"/>
          <w:szCs w:val="32"/>
          <w:shd w:val="clear" w:color="auto" w:fill="FFFFFF"/>
          <w:lang w:val="en-US" w:eastAsia="zh-CN"/>
        </w:rPr>
        <w:t>采购办公设备。</w:t>
      </w:r>
    </w:p>
    <w:p>
      <w:pPr>
        <w:pStyle w:val="11"/>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jc w:val="both"/>
        <w:textAlignment w:val="auto"/>
        <w:rPr>
          <w:rStyle w:val="8"/>
          <w:rFonts w:hint="eastAsia" w:ascii="黑体" w:hAnsi="黑体" w:eastAsia="黑体" w:cs="黑体"/>
          <w:b w:val="0"/>
          <w:bCs/>
          <w:sz w:val="32"/>
          <w:szCs w:val="32"/>
          <w:shd w:val="clear" w:color="auto" w:fill="FFFFFF"/>
          <w:lang w:val="en-US" w:eastAsia="zh-CN" w:bidi="ar-SA"/>
        </w:rPr>
      </w:pPr>
      <w:r>
        <w:rPr>
          <w:rStyle w:val="8"/>
          <w:rFonts w:hint="eastAsia" w:ascii="方正黑体_GBK" w:hAnsi="方正黑体_GBK" w:eastAsia="方正黑体_GBK" w:cs="方正黑体_GBK"/>
          <w:b w:val="0"/>
          <w:bCs/>
          <w:sz w:val="32"/>
          <w:szCs w:val="32"/>
          <w:shd w:val="clear" w:color="auto" w:fill="FFFFFF"/>
        </w:rPr>
        <w:t>五、</w:t>
      </w:r>
      <w:r>
        <w:rPr>
          <w:rStyle w:val="8"/>
          <w:rFonts w:hint="eastAsia" w:ascii="方正黑体_GBK" w:hAnsi="方正黑体_GBK" w:eastAsia="方正黑体_GBK" w:cs="方正黑体_GBK"/>
          <w:b w:val="0"/>
          <w:bCs/>
          <w:sz w:val="32"/>
          <w:szCs w:val="32"/>
          <w:shd w:val="clear" w:color="auto" w:fill="FFFFFF"/>
          <w:lang w:eastAsia="zh-CN"/>
        </w:rPr>
        <w:t>预算</w:t>
      </w:r>
      <w:r>
        <w:rPr>
          <w:rStyle w:val="8"/>
          <w:rFonts w:hint="eastAsia" w:ascii="方正黑体_GBK" w:hAnsi="方正黑体_GBK" w:eastAsia="方正黑体_GBK" w:cs="方正黑体_GBK"/>
          <w:b w:val="0"/>
          <w:bCs/>
          <w:sz w:val="32"/>
          <w:szCs w:val="32"/>
          <w:shd w:val="clear" w:color="auto" w:fill="FFFFFF"/>
          <w:lang w:val="en-US" w:eastAsia="zh-CN" w:bidi="ar-SA"/>
        </w:rPr>
        <w:t>绩效管理情况说明</w:t>
      </w:r>
    </w:p>
    <w:p>
      <w:pPr>
        <w:pStyle w:val="11"/>
        <w:keepNext w:val="0"/>
        <w:keepLines w:val="0"/>
        <w:pageBreakBefore w:val="0"/>
        <w:widowControl/>
        <w:kinsoku/>
        <w:wordWrap/>
        <w:overflowPunct/>
        <w:topLinePunct w:val="0"/>
        <w:autoSpaceDE w:val="0"/>
        <w:autoSpaceDN/>
        <w:bidi w:val="0"/>
        <w:adjustRightInd/>
        <w:spacing w:afterAutospacing="0" w:line="560" w:lineRule="exact"/>
        <w:ind w:firstLine="640"/>
        <w:jc w:val="both"/>
        <w:rPr>
          <w:rFonts w:hint="eastAsia" w:ascii="方正楷体_GBK" w:hAnsi="方正楷体_GBK" w:eastAsia="方正楷体_GBK" w:cs="方正楷体_GBK"/>
          <w:b w:val="0"/>
          <w:bCs/>
          <w:sz w:val="32"/>
          <w:szCs w:val="32"/>
          <w:shd w:val="clear" w:color="auto" w:fill="FFFFFF"/>
          <w:lang w:val="en-US" w:eastAsia="zh-CN" w:bidi="ar"/>
        </w:rPr>
      </w:pPr>
      <w:r>
        <w:rPr>
          <w:rFonts w:hint="eastAsia" w:ascii="方正楷体_GBK" w:hAnsi="方正楷体_GBK" w:eastAsia="方正楷体_GBK" w:cs="方正楷体_GBK"/>
          <w:b w:val="0"/>
          <w:bCs/>
          <w:sz w:val="32"/>
          <w:szCs w:val="32"/>
          <w:shd w:val="clear" w:color="auto" w:fill="FFFFFF"/>
          <w:lang w:bidi="ar"/>
        </w:rPr>
        <w:t>（一）</w:t>
      </w:r>
      <w:r>
        <w:rPr>
          <w:rFonts w:hint="eastAsia" w:ascii="方正楷体_GBK" w:hAnsi="方正楷体_GBK" w:eastAsia="方正楷体_GBK" w:cs="方正楷体_GBK"/>
          <w:b w:val="0"/>
          <w:bCs/>
          <w:sz w:val="32"/>
          <w:szCs w:val="32"/>
          <w:shd w:val="clear" w:color="auto" w:fill="FFFFFF"/>
          <w:lang w:val="en-US" w:eastAsia="zh-CN" w:bidi="ar"/>
        </w:rPr>
        <w:t>单位</w:t>
      </w:r>
      <w:r>
        <w:rPr>
          <w:rFonts w:hint="eastAsia" w:ascii="方正楷体_GBK" w:hAnsi="方正楷体_GBK" w:eastAsia="方正楷体_GBK" w:cs="方正楷体_GBK"/>
          <w:b w:val="0"/>
          <w:bCs/>
          <w:sz w:val="32"/>
          <w:szCs w:val="32"/>
          <w:shd w:val="clear" w:color="auto" w:fill="FFFFFF"/>
          <w:lang w:bidi="ar"/>
        </w:rPr>
        <w:t>自评情况</w:t>
      </w:r>
    </w:p>
    <w:p>
      <w:pPr>
        <w:pStyle w:val="12"/>
        <w:keepNext w:val="0"/>
        <w:keepLines w:val="0"/>
        <w:pageBreakBefore w:val="0"/>
        <w:widowControl/>
        <w:kinsoku/>
        <w:wordWrap/>
        <w:overflowPunct/>
        <w:topLinePunct w:val="0"/>
        <w:autoSpaceDE w:val="0"/>
        <w:autoSpaceDN/>
        <w:bidi w:val="0"/>
        <w:adjustRightInd/>
        <w:spacing w:before="0" w:beforeAutospacing="0" w:afterAutospacing="0" w:line="560" w:lineRule="exact"/>
        <w:ind w:firstLine="640" w:firstLineChars="200"/>
        <w:jc w:val="both"/>
        <w:rPr>
          <w:rFonts w:hint="default" w:ascii="Times New Roman" w:hAnsi="Times New Roman" w:eastAsia="仿宋_GB2312" w:cs="Times New Roman"/>
          <w:b w:val="0"/>
          <w:bCs/>
          <w:sz w:val="32"/>
          <w:szCs w:val="32"/>
          <w:lang w:val="en-US" w:eastAsia="zh-CN"/>
        </w:rPr>
      </w:pPr>
      <w:r>
        <w:rPr>
          <w:rFonts w:hint="eastAsia" w:ascii="方正仿宋_GBK" w:hAnsi="方正仿宋_GBK" w:eastAsia="方正仿宋_GBK" w:cs="方正仿宋_GBK"/>
          <w:b w:val="0"/>
          <w:bCs/>
          <w:sz w:val="32"/>
          <w:szCs w:val="32"/>
          <w:shd w:val="clear" w:color="auto" w:fill="FFFFFF"/>
          <w:lang w:bidi="ar"/>
        </w:rPr>
        <w:t>根据预算绩效管理要求，我</w:t>
      </w:r>
      <w:r>
        <w:rPr>
          <w:rFonts w:hint="eastAsia" w:ascii="方正仿宋_GBK" w:hAnsi="方正仿宋_GBK" w:eastAsia="方正仿宋_GBK" w:cs="方正仿宋_GBK"/>
          <w:b w:val="0"/>
          <w:bCs/>
          <w:sz w:val="32"/>
          <w:szCs w:val="32"/>
          <w:shd w:val="clear" w:color="auto" w:fill="FFFFFF"/>
          <w:lang w:val="en-US" w:eastAsia="zh-CN" w:bidi="ar"/>
        </w:rPr>
        <w:t>单位</w:t>
      </w:r>
      <w:r>
        <w:rPr>
          <w:rFonts w:hint="eastAsia" w:ascii="方正仿宋_GBK" w:hAnsi="方正仿宋_GBK" w:eastAsia="方正仿宋_GBK" w:cs="方正仿宋_GBK"/>
          <w:b w:val="0"/>
          <w:bCs/>
          <w:sz w:val="32"/>
          <w:szCs w:val="32"/>
          <w:shd w:val="clear" w:color="auto" w:fill="FFFFFF"/>
          <w:lang w:bidi="ar"/>
        </w:rPr>
        <w:t>对</w:t>
      </w:r>
      <w:r>
        <w:rPr>
          <w:rFonts w:hint="default" w:ascii="Times New Roman" w:hAnsi="Times New Roman" w:eastAsia="方正仿宋_GBK" w:cs="Times New Roman"/>
          <w:b w:val="0"/>
          <w:bCs/>
          <w:sz w:val="32"/>
          <w:szCs w:val="32"/>
          <w:shd w:val="clear" w:color="auto" w:fill="FFFFFF"/>
          <w:lang w:val="en-US" w:eastAsia="zh-CN" w:bidi="ar"/>
        </w:rPr>
        <w:t>52</w:t>
      </w:r>
      <w:r>
        <w:rPr>
          <w:rFonts w:hint="eastAsia" w:ascii="方正仿宋_GBK" w:hAnsi="方正仿宋_GBK" w:eastAsia="方正仿宋_GBK" w:cs="方正仿宋_GBK"/>
          <w:b w:val="0"/>
          <w:bCs/>
          <w:sz w:val="32"/>
          <w:szCs w:val="32"/>
          <w:shd w:val="clear" w:color="auto" w:fill="FFFFFF"/>
          <w:lang w:bidi="ar"/>
        </w:rPr>
        <w:t>个项目开展了绩效自评，涉及项目支出资金</w:t>
      </w:r>
      <w:r>
        <w:rPr>
          <w:rFonts w:hint="eastAsia" w:ascii="Times New Roman" w:hAnsi="Times New Roman" w:eastAsia="仿宋_GB2312" w:cs="Times New Roman"/>
          <w:b w:val="0"/>
          <w:bCs/>
          <w:sz w:val="32"/>
          <w:szCs w:val="32"/>
          <w:lang w:val="en-US" w:eastAsia="zh-CN"/>
        </w:rPr>
        <w:t>55216.44</w:t>
      </w:r>
      <w:r>
        <w:rPr>
          <w:rFonts w:hint="default" w:ascii="Times New Roman" w:hAnsi="Times New Roman" w:eastAsia="仿宋_GB2312" w:cs="Times New Roman"/>
          <w:b w:val="0"/>
          <w:bCs/>
          <w:sz w:val="32"/>
          <w:szCs w:val="32"/>
          <w:lang w:val="en-US" w:eastAsia="zh-CN"/>
        </w:rPr>
        <w:t>万元，预算执行率</w:t>
      </w:r>
      <w:r>
        <w:rPr>
          <w:rFonts w:hint="eastAsia" w:ascii="Times New Roman" w:hAnsi="Times New Roman" w:eastAsia="仿宋_GB2312" w:cs="Times New Roman"/>
          <w:b w:val="0"/>
          <w:bCs/>
          <w:sz w:val="32"/>
          <w:szCs w:val="32"/>
          <w:lang w:val="en-US" w:eastAsia="zh-CN"/>
        </w:rPr>
        <w:t>73.4%</w:t>
      </w:r>
      <w:r>
        <w:rPr>
          <w:rFonts w:hint="default" w:ascii="Times New Roman" w:hAnsi="Times New Roman" w:eastAsia="仿宋_GB2312" w:cs="Times New Roman"/>
          <w:b w:val="0"/>
          <w:bCs/>
          <w:sz w:val="32"/>
          <w:szCs w:val="32"/>
          <w:lang w:val="en-US" w:eastAsia="zh-CN"/>
        </w:rPr>
        <w:t>，整体支出评价得分</w:t>
      </w:r>
      <w:r>
        <w:rPr>
          <w:rFonts w:hint="eastAsia" w:ascii="Times New Roman" w:hAnsi="Times New Roman" w:eastAsia="仿宋_GB2312" w:cs="Times New Roman"/>
          <w:b w:val="0"/>
          <w:bCs/>
          <w:color w:val="auto"/>
          <w:sz w:val="32"/>
          <w:szCs w:val="32"/>
          <w:lang w:val="en-US" w:eastAsia="zh-CN"/>
        </w:rPr>
        <w:t>88.74</w:t>
      </w:r>
      <w:r>
        <w:rPr>
          <w:rFonts w:hint="default" w:ascii="Times New Roman" w:hAnsi="Times New Roman" w:eastAsia="仿宋_GB2312" w:cs="Times New Roman"/>
          <w:b w:val="0"/>
          <w:bCs/>
          <w:sz w:val="32"/>
          <w:szCs w:val="32"/>
          <w:lang w:val="en-US" w:eastAsia="zh-CN"/>
        </w:rPr>
        <w:t>分。</w:t>
      </w:r>
    </w:p>
    <w:tbl>
      <w:tblPr>
        <w:tblStyle w:val="9"/>
        <w:tblW w:w="9110" w:type="dxa"/>
        <w:tblInd w:w="93" w:type="dxa"/>
        <w:tblLayout w:type="fixed"/>
        <w:tblCellMar>
          <w:top w:w="0" w:type="dxa"/>
          <w:left w:w="108" w:type="dxa"/>
          <w:bottom w:w="0" w:type="dxa"/>
          <w:right w:w="108" w:type="dxa"/>
        </w:tblCellMar>
      </w:tblPr>
      <w:tblGrid>
        <w:gridCol w:w="600"/>
        <w:gridCol w:w="56"/>
        <w:gridCol w:w="694"/>
        <w:gridCol w:w="186"/>
        <w:gridCol w:w="489"/>
        <w:gridCol w:w="171"/>
        <w:gridCol w:w="549"/>
        <w:gridCol w:w="151"/>
        <w:gridCol w:w="680"/>
        <w:gridCol w:w="84"/>
        <w:gridCol w:w="616"/>
        <w:gridCol w:w="74"/>
        <w:gridCol w:w="343"/>
        <w:gridCol w:w="357"/>
        <w:gridCol w:w="5"/>
        <w:gridCol w:w="940"/>
        <w:gridCol w:w="5"/>
        <w:gridCol w:w="536"/>
        <w:gridCol w:w="244"/>
        <w:gridCol w:w="590"/>
        <w:gridCol w:w="205"/>
        <w:gridCol w:w="495"/>
        <w:gridCol w:w="773"/>
        <w:gridCol w:w="267"/>
      </w:tblGrid>
      <w:tr>
        <w:tblPrEx>
          <w:tblLayout w:type="fixed"/>
          <w:tblCellMar>
            <w:top w:w="0" w:type="dxa"/>
            <w:left w:w="108" w:type="dxa"/>
            <w:bottom w:w="0" w:type="dxa"/>
            <w:right w:w="108" w:type="dxa"/>
          </w:tblCellMar>
        </w:tblPrEx>
        <w:trPr>
          <w:trHeight w:val="799" w:hRule="atLeast"/>
        </w:trPr>
        <w:tc>
          <w:tcPr>
            <w:tcW w:w="9110" w:type="dxa"/>
            <w:gridSpan w:val="24"/>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eastAsia" w:ascii="方正小标宋_GBK" w:hAnsi="方正小标宋_GBK" w:eastAsia="方正小标宋_GBK" w:cs="方正小标宋_GBK"/>
                <w:b w:val="0"/>
                <w:bCs w:val="0"/>
                <w:color w:val="000000"/>
                <w:sz w:val="32"/>
                <w:szCs w:val="32"/>
              </w:rPr>
            </w:pPr>
            <w:r>
              <w:rPr>
                <w:rFonts w:hint="eastAsia" w:ascii="方正小标宋_GBK" w:hAnsi="方正小标宋_GBK" w:eastAsia="方正小标宋_GBK" w:cs="方正小标宋_GBK"/>
                <w:b w:val="0"/>
                <w:bCs w:val="0"/>
                <w:color w:val="000000"/>
                <w:sz w:val="32"/>
                <w:szCs w:val="32"/>
              </w:rPr>
              <w:t>秀山土家族苗族自治县住房和城乡建设委员会</w:t>
            </w:r>
          </w:p>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32"/>
                <w:szCs w:val="32"/>
              </w:rPr>
            </w:pPr>
            <w:r>
              <w:rPr>
                <w:rFonts w:hint="eastAsia" w:ascii="方正小标宋_GBK" w:hAnsi="方正小标宋_GBK" w:eastAsia="方正小标宋_GBK" w:cs="方正小标宋_GBK"/>
                <w:b w:val="0"/>
                <w:bCs w:val="0"/>
                <w:color w:val="000000"/>
                <w:sz w:val="32"/>
                <w:szCs w:val="32"/>
              </w:rPr>
              <w:t>202</w:t>
            </w:r>
            <w:r>
              <w:rPr>
                <w:rFonts w:hint="eastAsia" w:ascii="方正小标宋_GBK" w:hAnsi="方正小标宋_GBK" w:eastAsia="方正小标宋_GBK" w:cs="方正小标宋_GBK"/>
                <w:b w:val="0"/>
                <w:bCs w:val="0"/>
                <w:color w:val="000000"/>
                <w:sz w:val="32"/>
                <w:szCs w:val="32"/>
                <w:lang w:val="en-US" w:eastAsia="zh-CN"/>
              </w:rPr>
              <w:t>4</w:t>
            </w:r>
            <w:r>
              <w:rPr>
                <w:rFonts w:hint="eastAsia" w:ascii="方正小标宋_GBK" w:hAnsi="方正小标宋_GBK" w:eastAsia="方正小标宋_GBK" w:cs="方正小标宋_GBK"/>
                <w:b w:val="0"/>
                <w:bCs w:val="0"/>
                <w:color w:val="000000"/>
                <w:sz w:val="32"/>
                <w:szCs w:val="32"/>
              </w:rPr>
              <w:t>年度部门整体绩效自评表</w:t>
            </w:r>
          </w:p>
        </w:tc>
      </w:tr>
      <w:tr>
        <w:tblPrEx>
          <w:tblLayout w:type="fixed"/>
          <w:tblCellMar>
            <w:top w:w="0" w:type="dxa"/>
            <w:left w:w="108" w:type="dxa"/>
            <w:bottom w:w="0" w:type="dxa"/>
            <w:right w:w="108" w:type="dxa"/>
          </w:tblCellMar>
        </w:tblPrEx>
        <w:trPr>
          <w:trHeight w:val="930" w:hRule="atLeast"/>
        </w:trPr>
        <w:tc>
          <w:tcPr>
            <w:tcW w:w="656"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主管部门</w:t>
            </w:r>
          </w:p>
        </w:tc>
        <w:tc>
          <w:tcPr>
            <w:tcW w:w="2240" w:type="dxa"/>
            <w:gridSpan w:val="6"/>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秀山土家族苗族自治县住房和城乡建设委员会</w:t>
            </w:r>
          </w:p>
        </w:tc>
        <w:tc>
          <w:tcPr>
            <w:tcW w:w="6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部门编码</w:t>
            </w:r>
          </w:p>
        </w:tc>
        <w:tc>
          <w:tcPr>
            <w:tcW w:w="1117"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ind w:firstLine="220" w:firstLineChars="100"/>
              <w:jc w:val="both"/>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203</w:t>
            </w:r>
          </w:p>
        </w:tc>
        <w:tc>
          <w:tcPr>
            <w:tcW w:w="1843"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自评总分：</w:t>
            </w:r>
          </w:p>
        </w:tc>
        <w:tc>
          <w:tcPr>
            <w:tcW w:w="2574" w:type="dxa"/>
            <w:gridSpan w:val="6"/>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eastAsia" w:ascii="Times New Roman" w:hAnsi="Times New Roman" w:eastAsia="方正仿宋_GBK" w:cs="Times New Roman"/>
                <w:color w:val="000000"/>
                <w:sz w:val="22"/>
                <w:szCs w:val="22"/>
                <w:lang w:val="en-US" w:eastAsia="zh-CN"/>
              </w:rPr>
            </w:pPr>
            <w:r>
              <w:rPr>
                <w:rFonts w:hint="eastAsia" w:ascii="Times New Roman" w:hAnsi="Times New Roman" w:eastAsia="方正仿宋_GBK" w:cs="Times New Roman"/>
                <w:color w:val="000000"/>
                <w:sz w:val="22"/>
                <w:szCs w:val="22"/>
                <w:lang w:val="en-US" w:eastAsia="zh-CN"/>
              </w:rPr>
              <w:t>88.74</w:t>
            </w:r>
          </w:p>
        </w:tc>
      </w:tr>
      <w:tr>
        <w:tblPrEx>
          <w:tblLayout w:type="fixed"/>
          <w:tblCellMar>
            <w:top w:w="0" w:type="dxa"/>
            <w:left w:w="108" w:type="dxa"/>
            <w:bottom w:w="0" w:type="dxa"/>
            <w:right w:w="108" w:type="dxa"/>
          </w:tblCellMar>
        </w:tblPrEx>
        <w:trPr>
          <w:trHeight w:val="942" w:hRule="atLeast"/>
        </w:trPr>
        <w:tc>
          <w:tcPr>
            <w:tcW w:w="656"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部门联系人</w:t>
            </w:r>
          </w:p>
        </w:tc>
        <w:tc>
          <w:tcPr>
            <w:tcW w:w="4037" w:type="dxa"/>
            <w:gridSpan w:val="11"/>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彭文祥</w:t>
            </w:r>
          </w:p>
        </w:tc>
        <w:tc>
          <w:tcPr>
            <w:tcW w:w="1843"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联系电话：</w:t>
            </w:r>
          </w:p>
        </w:tc>
        <w:tc>
          <w:tcPr>
            <w:tcW w:w="2574" w:type="dxa"/>
            <w:gridSpan w:val="6"/>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023-76671508</w:t>
            </w:r>
          </w:p>
        </w:tc>
      </w:tr>
      <w:tr>
        <w:tblPrEx>
          <w:tblLayout w:type="fixed"/>
          <w:tblCellMar>
            <w:top w:w="0" w:type="dxa"/>
            <w:left w:w="108" w:type="dxa"/>
            <w:bottom w:w="0" w:type="dxa"/>
            <w:right w:w="108" w:type="dxa"/>
          </w:tblCellMar>
        </w:tblPrEx>
        <w:trPr>
          <w:trHeight w:val="600" w:hRule="atLeast"/>
        </w:trPr>
        <w:tc>
          <w:tcPr>
            <w:tcW w:w="656"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　</w:t>
            </w:r>
          </w:p>
        </w:tc>
        <w:tc>
          <w:tcPr>
            <w:tcW w:w="2240" w:type="dxa"/>
            <w:gridSpan w:val="6"/>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年初预算数</w:t>
            </w:r>
          </w:p>
        </w:tc>
        <w:tc>
          <w:tcPr>
            <w:tcW w:w="1797"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全年（调整）预算数</w:t>
            </w:r>
          </w:p>
        </w:tc>
        <w:tc>
          <w:tcPr>
            <w:tcW w:w="1843"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全年执行数</w:t>
            </w:r>
          </w:p>
        </w:tc>
        <w:tc>
          <w:tcPr>
            <w:tcW w:w="834"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执行率</w:t>
            </w:r>
          </w:p>
        </w:tc>
        <w:tc>
          <w:tcPr>
            <w:tcW w:w="70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执行率权重</w:t>
            </w:r>
          </w:p>
        </w:tc>
        <w:tc>
          <w:tcPr>
            <w:tcW w:w="104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执行率得分</w:t>
            </w:r>
          </w:p>
        </w:tc>
      </w:tr>
      <w:tr>
        <w:tblPrEx>
          <w:tblLayout w:type="fixed"/>
          <w:tblCellMar>
            <w:top w:w="0" w:type="dxa"/>
            <w:left w:w="108" w:type="dxa"/>
            <w:bottom w:w="0" w:type="dxa"/>
            <w:right w:w="108" w:type="dxa"/>
          </w:tblCellMar>
        </w:tblPrEx>
        <w:trPr>
          <w:trHeight w:val="1380" w:hRule="atLeast"/>
        </w:trPr>
        <w:tc>
          <w:tcPr>
            <w:tcW w:w="656"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年度总金额</w:t>
            </w:r>
          </w:p>
        </w:tc>
        <w:tc>
          <w:tcPr>
            <w:tcW w:w="2240" w:type="dxa"/>
            <w:gridSpan w:val="6"/>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eastAsia" w:ascii="Times New Roman" w:hAnsi="Times New Roman" w:eastAsia="方正仿宋_GBK" w:cs="Times New Roman"/>
                <w:color w:val="000000"/>
                <w:sz w:val="22"/>
                <w:szCs w:val="22"/>
                <w:lang w:val="en-US" w:eastAsia="zh-CN"/>
              </w:rPr>
            </w:pPr>
            <w:r>
              <w:rPr>
                <w:rFonts w:hint="eastAsia" w:ascii="Times New Roman" w:hAnsi="Times New Roman" w:eastAsia="方正仿宋_GBK" w:cs="Times New Roman"/>
                <w:color w:val="000000"/>
                <w:sz w:val="22"/>
                <w:szCs w:val="22"/>
                <w:lang w:val="en-US" w:eastAsia="zh-CN"/>
              </w:rPr>
              <w:t>30107.32</w:t>
            </w:r>
          </w:p>
        </w:tc>
        <w:tc>
          <w:tcPr>
            <w:tcW w:w="1797"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r>
              <w:rPr>
                <w:rFonts w:hint="eastAsia" w:ascii="Times New Roman" w:hAnsi="Times New Roman" w:eastAsia="方正仿宋_GBK" w:cs="Times New Roman"/>
                <w:color w:val="000000"/>
                <w:sz w:val="22"/>
                <w:szCs w:val="22"/>
                <w:lang w:val="en-US" w:eastAsia="zh-CN"/>
              </w:rPr>
              <w:t>75,221.9</w:t>
            </w:r>
            <w:r>
              <w:rPr>
                <w:rFonts w:hint="default" w:ascii="Times New Roman" w:hAnsi="Times New Roman" w:eastAsia="方正仿宋_GBK" w:cs="Times New Roman"/>
                <w:color w:val="000000"/>
                <w:sz w:val="22"/>
                <w:szCs w:val="22"/>
                <w:lang w:val="en-US" w:eastAsia="zh-CN"/>
              </w:rPr>
              <w:t>9</w:t>
            </w:r>
          </w:p>
        </w:tc>
        <w:tc>
          <w:tcPr>
            <w:tcW w:w="1843"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r>
              <w:rPr>
                <w:rFonts w:hint="eastAsia" w:ascii="Times New Roman" w:hAnsi="Times New Roman" w:eastAsia="方正仿宋_GBK" w:cs="Times New Roman"/>
                <w:color w:val="000000"/>
                <w:sz w:val="22"/>
                <w:szCs w:val="22"/>
                <w:lang w:val="en-US" w:eastAsia="zh-CN"/>
              </w:rPr>
              <w:t>55216.44</w:t>
            </w:r>
            <w:r>
              <w:rPr>
                <w:rFonts w:hint="default" w:ascii="Times New Roman" w:hAnsi="Times New Roman" w:eastAsia="方正仿宋_GBK" w:cs="Times New Roman"/>
                <w:color w:val="000000"/>
                <w:sz w:val="22"/>
                <w:szCs w:val="22"/>
              </w:rPr>
              <w:t xml:space="preserve"> </w:t>
            </w:r>
          </w:p>
        </w:tc>
        <w:tc>
          <w:tcPr>
            <w:tcW w:w="834"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w:t>
            </w:r>
          </w:p>
        </w:tc>
        <w:tc>
          <w:tcPr>
            <w:tcW w:w="70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w:t>
            </w:r>
          </w:p>
        </w:tc>
        <w:tc>
          <w:tcPr>
            <w:tcW w:w="104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ind w:firstLine="220" w:firstLineChars="100"/>
              <w:jc w:val="both"/>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w:t>
            </w:r>
          </w:p>
        </w:tc>
      </w:tr>
      <w:tr>
        <w:tblPrEx>
          <w:tblLayout w:type="fixed"/>
          <w:tblCellMar>
            <w:top w:w="0" w:type="dxa"/>
            <w:left w:w="108" w:type="dxa"/>
            <w:bottom w:w="0" w:type="dxa"/>
            <w:right w:w="108" w:type="dxa"/>
          </w:tblCellMar>
        </w:tblPrEx>
        <w:trPr>
          <w:trHeight w:val="1519" w:hRule="atLeast"/>
        </w:trPr>
        <w:tc>
          <w:tcPr>
            <w:tcW w:w="656"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其中：财政拨款</w:t>
            </w:r>
          </w:p>
        </w:tc>
        <w:tc>
          <w:tcPr>
            <w:tcW w:w="2240" w:type="dxa"/>
            <w:gridSpan w:val="6"/>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r>
              <w:rPr>
                <w:rFonts w:hint="eastAsia" w:ascii="Times New Roman" w:hAnsi="Times New Roman" w:eastAsia="方正仿宋_GBK" w:cs="Times New Roman"/>
                <w:color w:val="000000"/>
                <w:sz w:val="22"/>
                <w:szCs w:val="22"/>
                <w:lang w:val="en-US" w:eastAsia="zh-CN"/>
              </w:rPr>
              <w:t>30107.32</w:t>
            </w:r>
          </w:p>
        </w:tc>
        <w:tc>
          <w:tcPr>
            <w:tcW w:w="1797"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r>
              <w:rPr>
                <w:rFonts w:hint="eastAsia" w:ascii="Times New Roman" w:hAnsi="Times New Roman" w:eastAsia="方正仿宋_GBK" w:cs="Times New Roman"/>
                <w:color w:val="000000"/>
                <w:sz w:val="22"/>
                <w:szCs w:val="22"/>
                <w:lang w:val="en-US" w:eastAsia="zh-CN"/>
              </w:rPr>
              <w:t>75,221.9</w:t>
            </w:r>
            <w:r>
              <w:rPr>
                <w:rFonts w:hint="default" w:ascii="Times New Roman" w:hAnsi="Times New Roman" w:eastAsia="方正仿宋_GBK" w:cs="Times New Roman"/>
                <w:color w:val="000000"/>
                <w:sz w:val="22"/>
                <w:szCs w:val="22"/>
                <w:lang w:val="en-US" w:eastAsia="zh-CN"/>
              </w:rPr>
              <w:t>9</w:t>
            </w:r>
          </w:p>
        </w:tc>
        <w:tc>
          <w:tcPr>
            <w:tcW w:w="1843"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r>
              <w:rPr>
                <w:rFonts w:hint="eastAsia" w:ascii="Times New Roman" w:hAnsi="Times New Roman" w:eastAsia="方正仿宋_GBK" w:cs="Times New Roman"/>
                <w:color w:val="000000"/>
                <w:sz w:val="22"/>
                <w:szCs w:val="22"/>
                <w:lang w:val="en-US" w:eastAsia="zh-CN"/>
              </w:rPr>
              <w:t>55216.44</w:t>
            </w:r>
            <w:r>
              <w:rPr>
                <w:rFonts w:hint="default" w:ascii="Times New Roman" w:hAnsi="Times New Roman" w:eastAsia="方正仿宋_GBK" w:cs="Times New Roman"/>
                <w:color w:val="000000"/>
                <w:sz w:val="22"/>
                <w:szCs w:val="22"/>
              </w:rPr>
              <w:t xml:space="preserve"> </w:t>
            </w:r>
          </w:p>
        </w:tc>
        <w:tc>
          <w:tcPr>
            <w:tcW w:w="834"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eastAsia" w:ascii="Times New Roman" w:hAnsi="Times New Roman" w:eastAsia="方正仿宋_GBK" w:cs="Times New Roman"/>
                <w:color w:val="000000"/>
                <w:sz w:val="22"/>
                <w:szCs w:val="22"/>
                <w:lang w:val="en-US" w:eastAsia="zh-CN"/>
              </w:rPr>
            </w:pPr>
            <w:r>
              <w:rPr>
                <w:rFonts w:hint="eastAsia" w:ascii="Times New Roman" w:hAnsi="Times New Roman" w:eastAsia="方正仿宋_GBK" w:cs="Times New Roman"/>
                <w:color w:val="000000"/>
                <w:sz w:val="22"/>
                <w:szCs w:val="22"/>
                <w:lang w:val="en-US" w:eastAsia="zh-CN"/>
              </w:rPr>
              <w:t>73.40</w:t>
            </w:r>
          </w:p>
        </w:tc>
        <w:tc>
          <w:tcPr>
            <w:tcW w:w="70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10</w:t>
            </w:r>
          </w:p>
        </w:tc>
        <w:tc>
          <w:tcPr>
            <w:tcW w:w="104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ind w:firstLine="220" w:firstLineChars="100"/>
              <w:jc w:val="both"/>
              <w:rPr>
                <w:rFonts w:hint="eastAsia" w:ascii="Times New Roman" w:hAnsi="Times New Roman" w:eastAsia="方正仿宋_GBK" w:cs="Times New Roman"/>
                <w:sz w:val="22"/>
                <w:szCs w:val="22"/>
                <w:lang w:val="en-US" w:eastAsia="zh-CN"/>
              </w:rPr>
            </w:pPr>
            <w:r>
              <w:rPr>
                <w:rFonts w:hint="eastAsia" w:ascii="Times New Roman" w:hAnsi="Times New Roman" w:eastAsia="方正仿宋_GBK" w:cs="Times New Roman"/>
                <w:sz w:val="22"/>
                <w:szCs w:val="22"/>
                <w:lang w:val="en-US" w:eastAsia="zh-CN"/>
              </w:rPr>
              <w:t>7.34</w:t>
            </w:r>
          </w:p>
        </w:tc>
      </w:tr>
      <w:tr>
        <w:tblPrEx>
          <w:tblLayout w:type="fixed"/>
          <w:tblCellMar>
            <w:top w:w="0" w:type="dxa"/>
            <w:left w:w="108" w:type="dxa"/>
            <w:bottom w:w="0" w:type="dxa"/>
            <w:right w:w="108" w:type="dxa"/>
          </w:tblCellMar>
        </w:tblPrEx>
        <w:trPr>
          <w:trHeight w:val="1519" w:hRule="atLeast"/>
        </w:trPr>
        <w:tc>
          <w:tcPr>
            <w:tcW w:w="656"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一般公共预算</w:t>
            </w:r>
          </w:p>
        </w:tc>
        <w:tc>
          <w:tcPr>
            <w:tcW w:w="2240" w:type="dxa"/>
            <w:gridSpan w:val="6"/>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eastAsia" w:ascii="Times New Roman" w:hAnsi="Times New Roman" w:eastAsia="方正仿宋_GBK" w:cs="Times New Roman"/>
                <w:color w:val="000000"/>
                <w:sz w:val="22"/>
                <w:szCs w:val="22"/>
                <w:lang w:val="en-US" w:eastAsia="zh-CN"/>
              </w:rPr>
            </w:pPr>
            <w:r>
              <w:rPr>
                <w:rFonts w:hint="eastAsia" w:ascii="Times New Roman" w:hAnsi="Times New Roman" w:eastAsia="方正仿宋_GBK" w:cs="Times New Roman"/>
                <w:color w:val="000000"/>
                <w:sz w:val="22"/>
                <w:szCs w:val="22"/>
                <w:lang w:val="en-US" w:eastAsia="zh-CN"/>
              </w:rPr>
              <w:t>27549.01</w:t>
            </w:r>
          </w:p>
        </w:tc>
        <w:tc>
          <w:tcPr>
            <w:tcW w:w="1797"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eastAsia" w:ascii="Times New Roman" w:hAnsi="Times New Roman" w:eastAsia="方正仿宋_GBK" w:cs="Times New Roman"/>
                <w:color w:val="000000"/>
                <w:sz w:val="22"/>
                <w:szCs w:val="22"/>
                <w:lang w:val="en-US" w:eastAsia="zh-CN"/>
              </w:rPr>
            </w:pPr>
            <w:r>
              <w:rPr>
                <w:rFonts w:hint="eastAsia" w:ascii="Times New Roman" w:hAnsi="Times New Roman" w:eastAsia="方正仿宋_GBK" w:cs="Times New Roman"/>
                <w:color w:val="000000"/>
                <w:sz w:val="22"/>
                <w:szCs w:val="22"/>
                <w:lang w:val="en-US" w:eastAsia="zh-CN"/>
              </w:rPr>
              <w:t>50984.67</w:t>
            </w:r>
          </w:p>
        </w:tc>
        <w:tc>
          <w:tcPr>
            <w:tcW w:w="1843"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eastAsia" w:ascii="Times New Roman" w:hAnsi="Times New Roman" w:eastAsia="方正仿宋_GBK" w:cs="Times New Roman"/>
                <w:color w:val="000000"/>
                <w:sz w:val="22"/>
                <w:szCs w:val="22"/>
                <w:lang w:val="en-US" w:eastAsia="zh-CN"/>
              </w:rPr>
            </w:pPr>
            <w:r>
              <w:rPr>
                <w:rFonts w:hint="eastAsia" w:ascii="Times New Roman" w:hAnsi="Times New Roman" w:eastAsia="方正仿宋_GBK" w:cs="Times New Roman"/>
                <w:color w:val="000000"/>
                <w:sz w:val="22"/>
                <w:szCs w:val="22"/>
                <w:lang w:val="en-US" w:eastAsia="zh-CN"/>
              </w:rPr>
              <w:t>32113.98</w:t>
            </w:r>
          </w:p>
        </w:tc>
        <w:tc>
          <w:tcPr>
            <w:tcW w:w="834"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eastAsia" w:ascii="Times New Roman" w:hAnsi="Times New Roman" w:eastAsia="方正仿宋_GBK" w:cs="Times New Roman"/>
                <w:color w:val="000000"/>
                <w:sz w:val="22"/>
                <w:szCs w:val="22"/>
                <w:lang w:val="en-US" w:eastAsia="zh-CN"/>
              </w:rPr>
            </w:pPr>
            <w:r>
              <w:rPr>
                <w:rFonts w:hint="eastAsia" w:ascii="Times New Roman" w:hAnsi="Times New Roman" w:eastAsia="方正仿宋_GBK" w:cs="Times New Roman"/>
                <w:color w:val="000000"/>
                <w:sz w:val="22"/>
                <w:szCs w:val="22"/>
                <w:lang w:val="en-US" w:eastAsia="zh-CN"/>
              </w:rPr>
              <w:t>62.99</w:t>
            </w:r>
          </w:p>
        </w:tc>
        <w:tc>
          <w:tcPr>
            <w:tcW w:w="70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ind w:firstLine="220" w:firstLineChars="100"/>
              <w:jc w:val="both"/>
              <w:rPr>
                <w:rFonts w:hint="default" w:ascii="Times New Roman" w:hAnsi="Times New Roman" w:eastAsia="方正仿宋_GBK" w:cs="Times New Roman"/>
                <w:sz w:val="22"/>
                <w:szCs w:val="22"/>
              </w:rPr>
            </w:pPr>
          </w:p>
        </w:tc>
      </w:tr>
      <w:tr>
        <w:tblPrEx>
          <w:tblLayout w:type="fixed"/>
          <w:tblCellMar>
            <w:top w:w="0" w:type="dxa"/>
            <w:left w:w="108" w:type="dxa"/>
            <w:bottom w:w="0" w:type="dxa"/>
            <w:right w:w="108" w:type="dxa"/>
          </w:tblCellMar>
        </w:tblPrEx>
        <w:trPr>
          <w:trHeight w:val="540" w:hRule="atLeast"/>
        </w:trPr>
        <w:tc>
          <w:tcPr>
            <w:tcW w:w="656" w:type="dxa"/>
            <w:gridSpan w:val="2"/>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当年绩效目标</w:t>
            </w:r>
          </w:p>
        </w:tc>
        <w:tc>
          <w:tcPr>
            <w:tcW w:w="2920" w:type="dxa"/>
            <w:gridSpan w:val="7"/>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年初绩效目标</w:t>
            </w:r>
          </w:p>
        </w:tc>
        <w:tc>
          <w:tcPr>
            <w:tcW w:w="2960" w:type="dxa"/>
            <w:gridSpan w:val="9"/>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全年（调整）绩效目标</w:t>
            </w:r>
          </w:p>
        </w:tc>
        <w:tc>
          <w:tcPr>
            <w:tcW w:w="2574" w:type="dxa"/>
            <w:gridSpan w:val="6"/>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全年目标实际完成情况</w:t>
            </w:r>
          </w:p>
        </w:tc>
      </w:tr>
      <w:tr>
        <w:tblPrEx>
          <w:tblLayout w:type="fixed"/>
          <w:tblCellMar>
            <w:top w:w="0" w:type="dxa"/>
            <w:left w:w="108" w:type="dxa"/>
            <w:bottom w:w="0" w:type="dxa"/>
            <w:right w:w="108" w:type="dxa"/>
          </w:tblCellMar>
        </w:tblPrEx>
        <w:trPr>
          <w:trHeight w:val="5955" w:hRule="atLeast"/>
        </w:trPr>
        <w:tc>
          <w:tcPr>
            <w:tcW w:w="656" w:type="dxa"/>
            <w:gridSpan w:val="2"/>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p>
        </w:tc>
        <w:tc>
          <w:tcPr>
            <w:tcW w:w="2920" w:type="dxa"/>
            <w:gridSpan w:val="7"/>
            <w:tcBorders>
              <w:top w:val="single" w:color="auto" w:sz="4" w:space="0"/>
              <w:left w:val="nil"/>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按照县委、县政府工作安排，以“抓建设、强管理、促稳定、树形象”的工作思路，实施城市道路建设项目9.3公里；建设城市污水管网10.5公里；保障农村低收入群众等重点对象动态新增危房改造104户；建成14个传统村落集中连片保护示范县创建项目;完成老旧小区改造工程项目7个、2857户；完成城市危旧房改造30户；继续推进海绵城市建设项目0.5平方公里；保障公租房小区正常运行运转。</w:t>
            </w:r>
          </w:p>
        </w:tc>
        <w:tc>
          <w:tcPr>
            <w:tcW w:w="2960" w:type="dxa"/>
            <w:gridSpan w:val="9"/>
            <w:tcBorders>
              <w:top w:val="single" w:color="auto" w:sz="4" w:space="0"/>
              <w:left w:val="nil"/>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按照县委、县政府工作安排，以“抓建设、强管理、促稳定、树形象”的工作思路，实施城市道路建设项目9.3公里；建设城市污水管网10.5公里；保障农村低收入群众等重点对象动态新增危房改造104户；建成14个传统村落集中连片保护示范县创建项目;完成老旧小区改造工程项目7个、2857户；完成城市危旧房改造30户；继续推进海绵城市建设项目0.5平方公里；保障公租房小区正常运行运转。</w:t>
            </w:r>
          </w:p>
        </w:tc>
        <w:tc>
          <w:tcPr>
            <w:tcW w:w="2574" w:type="dxa"/>
            <w:gridSpan w:val="6"/>
            <w:tcBorders>
              <w:top w:val="single" w:color="auto" w:sz="4" w:space="0"/>
              <w:left w:val="nil"/>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按照县委、县政府工作安排，以“抓建设、强管理、促稳定、树形象”的工作思路，实施城市道路建设项目9.3公里；建设城市污水管网10公里；保障农村低收入群众等重点对象动态新增危房改造100户；建成14个传统村落集中连片保护示范县创建项目;完成老旧小区改造工程项目7个、2857户；完成城市危旧房改造30户；继续推进海绵城市建设项目0.5平方公里；保障公租房小区正常运行运转。</w:t>
            </w:r>
          </w:p>
        </w:tc>
      </w:tr>
      <w:tr>
        <w:tblPrEx>
          <w:tblLayout w:type="fixed"/>
          <w:tblCellMar>
            <w:top w:w="0" w:type="dxa"/>
            <w:left w:w="108" w:type="dxa"/>
            <w:bottom w:w="0" w:type="dxa"/>
            <w:right w:w="108" w:type="dxa"/>
          </w:tblCellMar>
        </w:tblPrEx>
        <w:trPr>
          <w:trHeight w:val="960" w:hRule="atLeast"/>
        </w:trPr>
        <w:tc>
          <w:tcPr>
            <w:tcW w:w="656" w:type="dxa"/>
            <w:gridSpan w:val="2"/>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绩效指标</w:t>
            </w:r>
          </w:p>
        </w:tc>
        <w:tc>
          <w:tcPr>
            <w:tcW w:w="88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指标名称</w:t>
            </w:r>
          </w:p>
        </w:tc>
        <w:tc>
          <w:tcPr>
            <w:tcW w:w="66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计量单位</w:t>
            </w:r>
          </w:p>
        </w:tc>
        <w:tc>
          <w:tcPr>
            <w:tcW w:w="70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指标性质</w:t>
            </w:r>
          </w:p>
        </w:tc>
        <w:tc>
          <w:tcPr>
            <w:tcW w:w="6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指标值</w:t>
            </w:r>
          </w:p>
        </w:tc>
        <w:tc>
          <w:tcPr>
            <w:tcW w:w="70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全年完成值</w:t>
            </w:r>
          </w:p>
        </w:tc>
        <w:tc>
          <w:tcPr>
            <w:tcW w:w="774"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偏离度（%）</w:t>
            </w:r>
          </w:p>
        </w:tc>
        <w:tc>
          <w:tcPr>
            <w:tcW w:w="945"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得分系数（%）</w:t>
            </w:r>
          </w:p>
        </w:tc>
        <w:tc>
          <w:tcPr>
            <w:tcW w:w="54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指标权重</w:t>
            </w:r>
          </w:p>
        </w:tc>
        <w:tc>
          <w:tcPr>
            <w:tcW w:w="834"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指标得分</w:t>
            </w:r>
          </w:p>
        </w:tc>
        <w:tc>
          <w:tcPr>
            <w:tcW w:w="1740"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说明</w:t>
            </w:r>
          </w:p>
        </w:tc>
      </w:tr>
      <w:tr>
        <w:tblPrEx>
          <w:tblLayout w:type="fixed"/>
          <w:tblCellMar>
            <w:top w:w="0" w:type="dxa"/>
            <w:left w:w="108" w:type="dxa"/>
            <w:bottom w:w="0" w:type="dxa"/>
            <w:right w:w="108" w:type="dxa"/>
          </w:tblCellMar>
        </w:tblPrEx>
        <w:trPr>
          <w:trHeight w:val="1902" w:hRule="atLeast"/>
        </w:trPr>
        <w:tc>
          <w:tcPr>
            <w:tcW w:w="656" w:type="dxa"/>
            <w:gridSpan w:val="2"/>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p>
        </w:tc>
        <w:tc>
          <w:tcPr>
            <w:tcW w:w="88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afterAutospacing="0" w:line="560" w:lineRule="exact"/>
              <w:jc w:val="both"/>
              <w:textAlignment w:val="center"/>
              <w:rPr>
                <w:rFonts w:hint="default" w:ascii="Times New Roman" w:hAnsi="Times New Roman" w:eastAsia="方正仿宋_GBK" w:cs="Times New Roman"/>
                <w:color w:val="000000"/>
                <w:sz w:val="22"/>
                <w:szCs w:val="22"/>
              </w:rPr>
            </w:pPr>
            <w:r>
              <w:rPr>
                <w:rFonts w:hint="eastAsia" w:ascii="宋体" w:hAnsi="宋体" w:eastAsia="宋体" w:cs="宋体"/>
                <w:i w:val="0"/>
                <w:color w:val="000000"/>
                <w:kern w:val="0"/>
                <w:sz w:val="22"/>
                <w:szCs w:val="22"/>
                <w:u w:val="none"/>
                <w:lang w:val="en-US" w:eastAsia="zh-CN" w:bidi="ar"/>
              </w:rPr>
              <w:t>保障农村低收入群众等重点对象动态新增危房改造</w:t>
            </w:r>
          </w:p>
        </w:tc>
        <w:tc>
          <w:tcPr>
            <w:tcW w:w="66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afterAutospacing="0" w:line="560" w:lineRule="exact"/>
              <w:jc w:val="both"/>
              <w:textAlignment w:val="center"/>
              <w:rPr>
                <w:rFonts w:hint="default" w:ascii="Times New Roman" w:hAnsi="Times New Roman" w:eastAsia="方正仿宋_GBK" w:cs="Times New Roman"/>
                <w:color w:val="000000"/>
                <w:sz w:val="22"/>
                <w:szCs w:val="22"/>
              </w:rPr>
            </w:pPr>
            <w:r>
              <w:rPr>
                <w:rFonts w:hint="eastAsia" w:ascii="宋体" w:hAnsi="宋体" w:eastAsia="宋体" w:cs="宋体"/>
                <w:i w:val="0"/>
                <w:color w:val="000000"/>
                <w:kern w:val="0"/>
                <w:sz w:val="22"/>
                <w:szCs w:val="22"/>
                <w:u w:val="none"/>
                <w:lang w:val="en-US" w:eastAsia="zh-CN" w:bidi="ar"/>
              </w:rPr>
              <w:t>户</w:t>
            </w:r>
          </w:p>
        </w:tc>
        <w:tc>
          <w:tcPr>
            <w:tcW w:w="70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hint="default" w:ascii="Times New Roman" w:hAnsi="Times New Roman" w:eastAsia="方正仿宋_GBK" w:cs="Times New Roman"/>
                <w:color w:val="000000"/>
                <w:sz w:val="22"/>
                <w:szCs w:val="22"/>
              </w:rPr>
            </w:pPr>
            <w:r>
              <w:rPr>
                <w:rFonts w:hint="eastAsia" w:ascii="宋体" w:hAnsi="宋体" w:eastAsia="宋体" w:cs="宋体"/>
                <w:i w:val="0"/>
                <w:color w:val="000000"/>
                <w:kern w:val="0"/>
                <w:sz w:val="22"/>
                <w:szCs w:val="22"/>
                <w:u w:val="none"/>
                <w:lang w:val="en-US" w:eastAsia="zh-CN" w:bidi="ar"/>
              </w:rPr>
              <w:t>≥</w:t>
            </w:r>
          </w:p>
        </w:tc>
        <w:tc>
          <w:tcPr>
            <w:tcW w:w="6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104</w:t>
            </w:r>
          </w:p>
        </w:tc>
        <w:tc>
          <w:tcPr>
            <w:tcW w:w="70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eastAsia" w:ascii="Times New Roman" w:hAnsi="Times New Roman" w:eastAsia="宋体" w:cs="Times New Roman"/>
                <w:color w:val="000000"/>
                <w:sz w:val="22"/>
                <w:szCs w:val="22"/>
                <w:lang w:val="en-US" w:eastAsia="zh-CN"/>
              </w:rPr>
            </w:pPr>
            <w:r>
              <w:rPr>
                <w:rFonts w:hint="eastAsia" w:ascii="Times New Roman" w:hAnsi="Times New Roman" w:cs="Times New Roman"/>
                <w:color w:val="000000"/>
                <w:sz w:val="22"/>
                <w:szCs w:val="22"/>
                <w:lang w:val="en-US" w:eastAsia="zh-CN"/>
              </w:rPr>
              <w:t>100</w:t>
            </w:r>
          </w:p>
        </w:tc>
        <w:tc>
          <w:tcPr>
            <w:tcW w:w="774"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eastAsia" w:ascii="Times New Roman" w:hAnsi="Times New Roman" w:eastAsia="宋体" w:cs="Times New Roman"/>
                <w:color w:val="000000"/>
                <w:sz w:val="22"/>
                <w:szCs w:val="22"/>
                <w:lang w:val="en-US" w:eastAsia="zh-CN"/>
              </w:rPr>
            </w:pPr>
            <w:r>
              <w:rPr>
                <w:rFonts w:hint="eastAsia" w:ascii="Times New Roman" w:hAnsi="Times New Roman" w:cs="Times New Roman"/>
                <w:color w:val="000000"/>
                <w:sz w:val="22"/>
                <w:szCs w:val="22"/>
                <w:lang w:val="en-US" w:eastAsia="zh-CN"/>
              </w:rPr>
              <w:t>3.85</w:t>
            </w:r>
          </w:p>
        </w:tc>
        <w:tc>
          <w:tcPr>
            <w:tcW w:w="945"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eastAsia" w:ascii="Times New Roman" w:hAnsi="Times New Roman" w:eastAsia="宋体" w:cs="Times New Roman"/>
                <w:color w:val="000000"/>
                <w:sz w:val="22"/>
                <w:szCs w:val="22"/>
                <w:lang w:val="en-US" w:eastAsia="zh-CN"/>
              </w:rPr>
            </w:pPr>
            <w:r>
              <w:rPr>
                <w:rFonts w:hint="eastAsia" w:ascii="Times New Roman" w:hAnsi="Times New Roman" w:cs="Times New Roman"/>
                <w:color w:val="000000"/>
                <w:sz w:val="22"/>
                <w:szCs w:val="22"/>
                <w:lang w:val="en-US" w:eastAsia="zh-CN"/>
              </w:rPr>
              <w:t>61.5</w:t>
            </w:r>
          </w:p>
        </w:tc>
        <w:tc>
          <w:tcPr>
            <w:tcW w:w="541"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hint="default" w:ascii="Times New Roman" w:hAnsi="Times New Roman" w:eastAsia="宋体" w:cs="Times New Roman"/>
                <w:color w:val="000000"/>
                <w:sz w:val="22"/>
                <w:szCs w:val="22"/>
                <w:lang w:val="en-US" w:eastAsia="zh-CN"/>
              </w:rPr>
            </w:pPr>
            <w:r>
              <w:rPr>
                <w:rFonts w:hint="default" w:ascii="Times New Roman" w:hAnsi="Times New Roman" w:eastAsia="宋体" w:cs="Times New Roman"/>
                <w:i w:val="0"/>
                <w:color w:val="000000"/>
                <w:kern w:val="0"/>
                <w:sz w:val="22"/>
                <w:szCs w:val="22"/>
                <w:u w:val="none"/>
                <w:lang w:val="en-US" w:eastAsia="zh-CN" w:bidi="ar"/>
              </w:rPr>
              <w:t>10</w:t>
            </w:r>
          </w:p>
        </w:tc>
        <w:tc>
          <w:tcPr>
            <w:tcW w:w="834"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eastAsia" w:ascii="Times New Roman" w:hAnsi="Times New Roman" w:eastAsia="宋体" w:cs="Times New Roman"/>
                <w:color w:val="000000"/>
                <w:sz w:val="22"/>
                <w:szCs w:val="22"/>
                <w:lang w:val="en-US" w:eastAsia="zh-CN"/>
              </w:rPr>
            </w:pPr>
            <w:r>
              <w:rPr>
                <w:rFonts w:hint="eastAsia" w:ascii="Times New Roman" w:hAnsi="Times New Roman" w:cs="Times New Roman"/>
                <w:color w:val="000000"/>
                <w:sz w:val="22"/>
                <w:szCs w:val="22"/>
                <w:lang w:val="en-US" w:eastAsia="zh-CN"/>
              </w:rPr>
              <w:t>6.15</w:t>
            </w:r>
          </w:p>
        </w:tc>
        <w:tc>
          <w:tcPr>
            <w:tcW w:w="1740"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　</w:t>
            </w:r>
          </w:p>
        </w:tc>
      </w:tr>
      <w:tr>
        <w:tblPrEx>
          <w:tblLayout w:type="fixed"/>
          <w:tblCellMar>
            <w:top w:w="0" w:type="dxa"/>
            <w:left w:w="108" w:type="dxa"/>
            <w:bottom w:w="0" w:type="dxa"/>
            <w:right w:w="108" w:type="dxa"/>
          </w:tblCellMar>
        </w:tblPrEx>
        <w:trPr>
          <w:trHeight w:val="1560" w:hRule="atLeast"/>
        </w:trPr>
        <w:tc>
          <w:tcPr>
            <w:tcW w:w="656" w:type="dxa"/>
            <w:gridSpan w:val="2"/>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p>
        </w:tc>
        <w:tc>
          <w:tcPr>
            <w:tcW w:w="88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afterAutospacing="0" w:line="560" w:lineRule="exact"/>
              <w:jc w:val="both"/>
              <w:textAlignment w:val="center"/>
              <w:rPr>
                <w:rFonts w:hint="default" w:ascii="Times New Roman" w:hAnsi="Times New Roman" w:eastAsia="方正仿宋_GBK" w:cs="Times New Roman"/>
                <w:color w:val="000000"/>
                <w:sz w:val="22"/>
                <w:szCs w:val="22"/>
              </w:rPr>
            </w:pPr>
            <w:r>
              <w:rPr>
                <w:rFonts w:hint="eastAsia" w:ascii="宋体" w:hAnsi="宋体" w:eastAsia="宋体" w:cs="宋体"/>
                <w:i w:val="0"/>
                <w:color w:val="000000"/>
                <w:kern w:val="0"/>
                <w:sz w:val="22"/>
                <w:szCs w:val="22"/>
                <w:u w:val="none"/>
                <w:lang w:val="en-US" w:eastAsia="zh-CN" w:bidi="ar"/>
              </w:rPr>
              <w:t>三季度预算执行进度</w:t>
            </w:r>
          </w:p>
        </w:tc>
        <w:tc>
          <w:tcPr>
            <w:tcW w:w="66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afterAutospacing="0" w:line="560" w:lineRule="exact"/>
              <w:jc w:val="both"/>
              <w:textAlignment w:val="center"/>
              <w:rPr>
                <w:rFonts w:hint="default" w:ascii="Times New Roman" w:hAnsi="Times New Roman" w:eastAsia="方正仿宋_GBK" w:cs="Times New Roman"/>
                <w:color w:val="000000"/>
                <w:sz w:val="22"/>
                <w:szCs w:val="22"/>
              </w:rPr>
            </w:pPr>
            <w:r>
              <w:rPr>
                <w:rFonts w:hint="eastAsia" w:ascii="宋体" w:hAnsi="宋体" w:eastAsia="宋体" w:cs="宋体"/>
                <w:i w:val="0"/>
                <w:color w:val="000000"/>
                <w:kern w:val="0"/>
                <w:sz w:val="22"/>
                <w:szCs w:val="22"/>
                <w:u w:val="none"/>
                <w:lang w:val="en-US" w:eastAsia="zh-CN" w:bidi="ar"/>
              </w:rPr>
              <w:t>%</w:t>
            </w:r>
          </w:p>
        </w:tc>
        <w:tc>
          <w:tcPr>
            <w:tcW w:w="70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hint="default" w:ascii="Times New Roman" w:hAnsi="Times New Roman" w:eastAsia="方正仿宋_GBK" w:cs="Times New Roman"/>
                <w:color w:val="000000"/>
                <w:sz w:val="22"/>
                <w:szCs w:val="22"/>
              </w:rPr>
            </w:pPr>
            <w:r>
              <w:rPr>
                <w:rFonts w:hint="eastAsia" w:ascii="宋体" w:hAnsi="宋体" w:eastAsia="宋体" w:cs="宋体"/>
                <w:i w:val="0"/>
                <w:color w:val="000000"/>
                <w:kern w:val="0"/>
                <w:sz w:val="22"/>
                <w:szCs w:val="22"/>
                <w:u w:val="none"/>
                <w:lang w:val="en-US" w:eastAsia="zh-CN" w:bidi="ar"/>
              </w:rPr>
              <w:t>≥</w:t>
            </w:r>
          </w:p>
        </w:tc>
        <w:tc>
          <w:tcPr>
            <w:tcW w:w="6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75</w:t>
            </w:r>
          </w:p>
        </w:tc>
        <w:tc>
          <w:tcPr>
            <w:tcW w:w="70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75</w:t>
            </w:r>
          </w:p>
        </w:tc>
        <w:tc>
          <w:tcPr>
            <w:tcW w:w="774"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945"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541"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hint="default" w:ascii="Times New Roman" w:hAnsi="Times New Roman"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5</w:t>
            </w:r>
          </w:p>
        </w:tc>
        <w:tc>
          <w:tcPr>
            <w:tcW w:w="834"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w:t>
            </w:r>
          </w:p>
        </w:tc>
        <w:tc>
          <w:tcPr>
            <w:tcW w:w="1740"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　</w:t>
            </w:r>
          </w:p>
        </w:tc>
      </w:tr>
      <w:tr>
        <w:tblPrEx>
          <w:tblLayout w:type="fixed"/>
          <w:tblCellMar>
            <w:top w:w="0" w:type="dxa"/>
            <w:left w:w="108" w:type="dxa"/>
            <w:bottom w:w="0" w:type="dxa"/>
            <w:right w:w="108" w:type="dxa"/>
          </w:tblCellMar>
        </w:tblPrEx>
        <w:trPr>
          <w:trHeight w:val="1459" w:hRule="atLeast"/>
        </w:trPr>
        <w:tc>
          <w:tcPr>
            <w:tcW w:w="656" w:type="dxa"/>
            <w:gridSpan w:val="2"/>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p>
        </w:tc>
        <w:tc>
          <w:tcPr>
            <w:tcW w:w="88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afterAutospacing="0" w:line="560" w:lineRule="exact"/>
              <w:jc w:val="both"/>
              <w:textAlignment w:val="center"/>
              <w:rPr>
                <w:rFonts w:hint="default" w:ascii="Times New Roman" w:hAnsi="Times New Roman" w:eastAsia="方正仿宋_GBK" w:cs="Times New Roman"/>
                <w:color w:val="000000"/>
                <w:sz w:val="22"/>
                <w:szCs w:val="22"/>
              </w:rPr>
            </w:pPr>
            <w:r>
              <w:rPr>
                <w:rFonts w:hint="eastAsia" w:ascii="宋体" w:hAnsi="宋体" w:eastAsia="宋体" w:cs="宋体"/>
                <w:i w:val="0"/>
                <w:color w:val="000000"/>
                <w:kern w:val="0"/>
                <w:sz w:val="22"/>
                <w:szCs w:val="22"/>
                <w:u w:val="none"/>
                <w:lang w:val="en-US" w:eastAsia="zh-CN" w:bidi="ar"/>
              </w:rPr>
              <w:t>完成城市道路建设项目</w:t>
            </w:r>
          </w:p>
        </w:tc>
        <w:tc>
          <w:tcPr>
            <w:tcW w:w="66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afterAutospacing="0" w:line="560" w:lineRule="exact"/>
              <w:jc w:val="both"/>
              <w:textAlignment w:val="center"/>
              <w:rPr>
                <w:rFonts w:hint="default" w:ascii="Times New Roman" w:hAnsi="Times New Roman" w:eastAsia="方正仿宋_GBK" w:cs="Times New Roman"/>
                <w:color w:val="000000"/>
                <w:sz w:val="22"/>
                <w:szCs w:val="22"/>
              </w:rPr>
            </w:pPr>
            <w:r>
              <w:rPr>
                <w:rFonts w:hint="eastAsia" w:ascii="宋体" w:hAnsi="宋体" w:eastAsia="宋体" w:cs="宋体"/>
                <w:i w:val="0"/>
                <w:color w:val="000000"/>
                <w:kern w:val="0"/>
                <w:sz w:val="22"/>
                <w:szCs w:val="22"/>
                <w:u w:val="none"/>
                <w:lang w:val="en-US" w:eastAsia="zh-CN" w:bidi="ar"/>
              </w:rPr>
              <w:t>公里</w:t>
            </w:r>
          </w:p>
        </w:tc>
        <w:tc>
          <w:tcPr>
            <w:tcW w:w="70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hint="default" w:ascii="Times New Roman" w:hAnsi="Times New Roman" w:eastAsia="方正仿宋_GBK" w:cs="Times New Roman"/>
                <w:color w:val="000000"/>
                <w:sz w:val="22"/>
                <w:szCs w:val="22"/>
              </w:rPr>
            </w:pPr>
            <w:r>
              <w:rPr>
                <w:rFonts w:hint="eastAsia" w:ascii="宋体" w:hAnsi="宋体" w:eastAsia="宋体" w:cs="宋体"/>
                <w:i w:val="0"/>
                <w:color w:val="000000"/>
                <w:kern w:val="0"/>
                <w:sz w:val="22"/>
                <w:szCs w:val="22"/>
                <w:u w:val="none"/>
                <w:lang w:val="en-US" w:eastAsia="zh-CN" w:bidi="ar"/>
              </w:rPr>
              <w:t>≥</w:t>
            </w:r>
          </w:p>
        </w:tc>
        <w:tc>
          <w:tcPr>
            <w:tcW w:w="6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9.3</w:t>
            </w:r>
          </w:p>
        </w:tc>
        <w:tc>
          <w:tcPr>
            <w:tcW w:w="70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eastAsia" w:ascii="Times New Roman" w:hAnsi="Times New Roman" w:eastAsia="宋体" w:cs="Times New Roman"/>
                <w:color w:val="000000"/>
                <w:sz w:val="22"/>
                <w:szCs w:val="22"/>
                <w:lang w:val="en-US" w:eastAsia="zh-CN"/>
              </w:rPr>
            </w:pPr>
            <w:r>
              <w:rPr>
                <w:rFonts w:hint="eastAsia" w:ascii="Times New Roman" w:hAnsi="Times New Roman" w:cs="Times New Roman"/>
                <w:color w:val="000000"/>
                <w:sz w:val="22"/>
                <w:szCs w:val="22"/>
                <w:lang w:val="en-US" w:eastAsia="zh-CN"/>
              </w:rPr>
              <w:t>9.3</w:t>
            </w:r>
          </w:p>
        </w:tc>
        <w:tc>
          <w:tcPr>
            <w:tcW w:w="774"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945"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541"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hint="default" w:ascii="Times New Roman" w:hAnsi="Times New Roman"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12</w:t>
            </w:r>
          </w:p>
        </w:tc>
        <w:tc>
          <w:tcPr>
            <w:tcW w:w="834"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12</w:t>
            </w:r>
          </w:p>
        </w:tc>
        <w:tc>
          <w:tcPr>
            <w:tcW w:w="1740"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　</w:t>
            </w:r>
          </w:p>
        </w:tc>
      </w:tr>
      <w:tr>
        <w:tblPrEx>
          <w:tblLayout w:type="fixed"/>
          <w:tblCellMar>
            <w:top w:w="0" w:type="dxa"/>
            <w:left w:w="108" w:type="dxa"/>
            <w:bottom w:w="0" w:type="dxa"/>
            <w:right w:w="108" w:type="dxa"/>
          </w:tblCellMar>
        </w:tblPrEx>
        <w:trPr>
          <w:trHeight w:val="1200" w:hRule="atLeast"/>
        </w:trPr>
        <w:tc>
          <w:tcPr>
            <w:tcW w:w="656" w:type="dxa"/>
            <w:gridSpan w:val="2"/>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p>
        </w:tc>
        <w:tc>
          <w:tcPr>
            <w:tcW w:w="88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afterAutospacing="0" w:line="560" w:lineRule="exact"/>
              <w:jc w:val="both"/>
              <w:textAlignment w:val="center"/>
              <w:rPr>
                <w:rFonts w:hint="default" w:ascii="Times New Roman" w:hAnsi="Times New Roman" w:eastAsia="方正仿宋_GBK" w:cs="Times New Roman"/>
                <w:color w:val="000000"/>
                <w:sz w:val="22"/>
                <w:szCs w:val="22"/>
              </w:rPr>
            </w:pPr>
            <w:r>
              <w:rPr>
                <w:rFonts w:hint="eastAsia" w:ascii="宋体" w:hAnsi="宋体" w:eastAsia="宋体" w:cs="宋体"/>
                <w:i w:val="0"/>
                <w:color w:val="000000"/>
                <w:kern w:val="0"/>
                <w:sz w:val="22"/>
                <w:szCs w:val="22"/>
                <w:u w:val="none"/>
                <w:lang w:val="en-US" w:eastAsia="zh-CN" w:bidi="ar"/>
              </w:rPr>
              <w:t>完成城市危旧房改造任务</w:t>
            </w:r>
          </w:p>
        </w:tc>
        <w:tc>
          <w:tcPr>
            <w:tcW w:w="66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afterAutospacing="0" w:line="560" w:lineRule="exact"/>
              <w:jc w:val="both"/>
              <w:textAlignment w:val="center"/>
              <w:rPr>
                <w:rFonts w:hint="default" w:ascii="Times New Roman" w:hAnsi="Times New Roman" w:eastAsia="方正仿宋_GBK" w:cs="Times New Roman"/>
                <w:color w:val="000000"/>
                <w:sz w:val="22"/>
                <w:szCs w:val="22"/>
              </w:rPr>
            </w:pPr>
            <w:r>
              <w:rPr>
                <w:rFonts w:hint="eastAsia" w:ascii="宋体" w:hAnsi="宋体" w:eastAsia="宋体" w:cs="宋体"/>
                <w:i w:val="0"/>
                <w:color w:val="000000"/>
                <w:kern w:val="0"/>
                <w:sz w:val="22"/>
                <w:szCs w:val="22"/>
                <w:u w:val="none"/>
                <w:lang w:val="en-US" w:eastAsia="zh-CN" w:bidi="ar"/>
              </w:rPr>
              <w:t>户</w:t>
            </w:r>
          </w:p>
        </w:tc>
        <w:tc>
          <w:tcPr>
            <w:tcW w:w="70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hint="default" w:ascii="Times New Roman" w:hAnsi="Times New Roman" w:eastAsia="方正仿宋_GBK" w:cs="Times New Roman"/>
                <w:color w:val="000000"/>
                <w:sz w:val="22"/>
                <w:szCs w:val="22"/>
              </w:rPr>
            </w:pPr>
            <w:r>
              <w:rPr>
                <w:rFonts w:hint="eastAsia" w:ascii="宋体" w:hAnsi="宋体" w:eastAsia="宋体" w:cs="宋体"/>
                <w:i w:val="0"/>
                <w:color w:val="000000"/>
                <w:kern w:val="0"/>
                <w:sz w:val="22"/>
                <w:szCs w:val="22"/>
                <w:u w:val="none"/>
                <w:lang w:val="en-US" w:eastAsia="zh-CN" w:bidi="ar"/>
              </w:rPr>
              <w:t>≥</w:t>
            </w:r>
          </w:p>
        </w:tc>
        <w:tc>
          <w:tcPr>
            <w:tcW w:w="6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30</w:t>
            </w:r>
          </w:p>
        </w:tc>
        <w:tc>
          <w:tcPr>
            <w:tcW w:w="70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eastAsia" w:ascii="Times New Roman" w:hAnsi="Times New Roman" w:eastAsia="宋体" w:cs="Times New Roman"/>
                <w:color w:val="000000"/>
                <w:sz w:val="22"/>
                <w:szCs w:val="22"/>
                <w:lang w:val="en-US" w:eastAsia="zh-CN"/>
              </w:rPr>
            </w:pPr>
            <w:r>
              <w:rPr>
                <w:rFonts w:hint="eastAsia" w:ascii="Times New Roman" w:hAnsi="Times New Roman" w:cs="Times New Roman"/>
                <w:color w:val="000000"/>
                <w:sz w:val="22"/>
                <w:szCs w:val="22"/>
                <w:lang w:val="en-US" w:eastAsia="zh-CN"/>
              </w:rPr>
              <w:t>30</w:t>
            </w:r>
          </w:p>
        </w:tc>
        <w:tc>
          <w:tcPr>
            <w:tcW w:w="774"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945"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541"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hint="default" w:ascii="Times New Roman" w:hAnsi="Times New Roman"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9</w:t>
            </w:r>
          </w:p>
        </w:tc>
        <w:tc>
          <w:tcPr>
            <w:tcW w:w="834"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eastAsia" w:ascii="Times New Roman" w:hAnsi="Times New Roman" w:eastAsia="宋体" w:cs="Times New Roman"/>
                <w:color w:val="000000"/>
                <w:sz w:val="22"/>
                <w:szCs w:val="22"/>
                <w:lang w:eastAsia="zh-CN"/>
              </w:rPr>
            </w:pPr>
            <w:r>
              <w:rPr>
                <w:rFonts w:hint="eastAsia" w:ascii="Times New Roman" w:hAnsi="Times New Roman" w:cs="Times New Roman"/>
                <w:color w:val="000000"/>
                <w:sz w:val="22"/>
                <w:szCs w:val="22"/>
                <w:lang w:val="en-US" w:eastAsia="zh-CN"/>
              </w:rPr>
              <w:t>9</w:t>
            </w:r>
          </w:p>
        </w:tc>
        <w:tc>
          <w:tcPr>
            <w:tcW w:w="1740"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　</w:t>
            </w:r>
          </w:p>
        </w:tc>
      </w:tr>
      <w:tr>
        <w:tblPrEx>
          <w:tblLayout w:type="fixed"/>
          <w:tblCellMar>
            <w:top w:w="0" w:type="dxa"/>
            <w:left w:w="108" w:type="dxa"/>
            <w:bottom w:w="0" w:type="dxa"/>
            <w:right w:w="108" w:type="dxa"/>
          </w:tblCellMar>
        </w:tblPrEx>
        <w:trPr>
          <w:trHeight w:val="1200" w:hRule="atLeast"/>
        </w:trPr>
        <w:tc>
          <w:tcPr>
            <w:tcW w:w="656" w:type="dxa"/>
            <w:gridSpan w:val="2"/>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p>
        </w:tc>
        <w:tc>
          <w:tcPr>
            <w:tcW w:w="88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afterAutospacing="0" w:line="560" w:lineRule="exact"/>
              <w:jc w:val="both"/>
              <w:textAlignment w:val="center"/>
              <w:rPr>
                <w:rFonts w:hint="default" w:ascii="Times New Roman" w:hAnsi="Times New Roman" w:eastAsia="方正仿宋_GBK" w:cs="Times New Roman"/>
                <w:color w:val="000000"/>
                <w:sz w:val="22"/>
                <w:szCs w:val="22"/>
              </w:rPr>
            </w:pPr>
            <w:r>
              <w:rPr>
                <w:rFonts w:hint="eastAsia" w:ascii="宋体" w:hAnsi="宋体" w:eastAsia="宋体" w:cs="宋体"/>
                <w:i w:val="0"/>
                <w:color w:val="000000"/>
                <w:kern w:val="0"/>
                <w:sz w:val="22"/>
                <w:szCs w:val="22"/>
                <w:u w:val="none"/>
                <w:lang w:val="en-US" w:eastAsia="zh-CN" w:bidi="ar"/>
              </w:rPr>
              <w:t>完成城市污水管网建设任务</w:t>
            </w:r>
          </w:p>
        </w:tc>
        <w:tc>
          <w:tcPr>
            <w:tcW w:w="66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afterAutospacing="0" w:line="560" w:lineRule="exact"/>
              <w:jc w:val="both"/>
              <w:textAlignment w:val="center"/>
              <w:rPr>
                <w:rFonts w:hint="default" w:ascii="Times New Roman" w:hAnsi="Times New Roman" w:eastAsia="方正仿宋_GBK" w:cs="Times New Roman"/>
                <w:color w:val="000000"/>
                <w:sz w:val="22"/>
                <w:szCs w:val="22"/>
              </w:rPr>
            </w:pPr>
            <w:r>
              <w:rPr>
                <w:rFonts w:hint="eastAsia" w:ascii="宋体" w:hAnsi="宋体" w:eastAsia="宋体" w:cs="宋体"/>
                <w:i w:val="0"/>
                <w:color w:val="000000"/>
                <w:kern w:val="0"/>
                <w:sz w:val="22"/>
                <w:szCs w:val="22"/>
                <w:u w:val="none"/>
                <w:lang w:val="en-US" w:eastAsia="zh-CN" w:bidi="ar"/>
              </w:rPr>
              <w:t>公里</w:t>
            </w:r>
          </w:p>
        </w:tc>
        <w:tc>
          <w:tcPr>
            <w:tcW w:w="70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hint="default" w:ascii="Times New Roman" w:hAnsi="Times New Roman" w:eastAsia="方正仿宋_GBK" w:cs="Times New Roman"/>
                <w:color w:val="000000"/>
                <w:sz w:val="22"/>
                <w:szCs w:val="22"/>
              </w:rPr>
            </w:pPr>
            <w:r>
              <w:rPr>
                <w:rFonts w:hint="eastAsia" w:ascii="宋体" w:hAnsi="宋体" w:eastAsia="宋体" w:cs="宋体"/>
                <w:i w:val="0"/>
                <w:color w:val="000000"/>
                <w:kern w:val="0"/>
                <w:sz w:val="22"/>
                <w:szCs w:val="22"/>
                <w:u w:val="none"/>
                <w:lang w:val="en-US" w:eastAsia="zh-CN" w:bidi="ar"/>
              </w:rPr>
              <w:t>≥</w:t>
            </w:r>
          </w:p>
        </w:tc>
        <w:tc>
          <w:tcPr>
            <w:tcW w:w="6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10.5</w:t>
            </w:r>
          </w:p>
        </w:tc>
        <w:tc>
          <w:tcPr>
            <w:tcW w:w="70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eastAsia" w:ascii="Times New Roman" w:hAnsi="Times New Roman" w:eastAsia="宋体" w:cs="Times New Roman"/>
                <w:color w:val="000000"/>
                <w:sz w:val="22"/>
                <w:szCs w:val="22"/>
                <w:lang w:val="en-US" w:eastAsia="zh-CN"/>
              </w:rPr>
            </w:pPr>
            <w:r>
              <w:rPr>
                <w:rFonts w:hint="eastAsia" w:ascii="Times New Roman" w:hAnsi="Times New Roman" w:cs="Times New Roman"/>
                <w:color w:val="000000"/>
                <w:sz w:val="22"/>
                <w:szCs w:val="22"/>
                <w:lang w:val="en-US" w:eastAsia="zh-CN"/>
              </w:rPr>
              <w:t>10</w:t>
            </w:r>
          </w:p>
        </w:tc>
        <w:tc>
          <w:tcPr>
            <w:tcW w:w="774"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eastAsia" w:ascii="Times New Roman" w:hAnsi="Times New Roman" w:eastAsia="宋体" w:cs="Times New Roman"/>
                <w:color w:val="000000"/>
                <w:sz w:val="22"/>
                <w:szCs w:val="22"/>
                <w:lang w:val="en-US" w:eastAsia="zh-CN"/>
              </w:rPr>
            </w:pPr>
            <w:r>
              <w:rPr>
                <w:rFonts w:hint="eastAsia" w:ascii="Times New Roman" w:hAnsi="Times New Roman" w:cs="Times New Roman"/>
                <w:color w:val="000000"/>
                <w:sz w:val="22"/>
                <w:szCs w:val="22"/>
                <w:lang w:val="en-US" w:eastAsia="zh-CN"/>
              </w:rPr>
              <w:t>4.76</w:t>
            </w:r>
          </w:p>
        </w:tc>
        <w:tc>
          <w:tcPr>
            <w:tcW w:w="945"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eastAsia" w:ascii="Times New Roman" w:hAnsi="Times New Roman" w:eastAsia="宋体" w:cs="Times New Roman"/>
                <w:color w:val="000000"/>
                <w:sz w:val="22"/>
                <w:szCs w:val="22"/>
                <w:lang w:val="en-US" w:eastAsia="zh-CN"/>
              </w:rPr>
            </w:pPr>
            <w:r>
              <w:rPr>
                <w:rFonts w:hint="eastAsia" w:ascii="Times New Roman" w:hAnsi="Times New Roman" w:cs="Times New Roman"/>
                <w:color w:val="000000"/>
                <w:sz w:val="22"/>
                <w:szCs w:val="22"/>
                <w:lang w:val="en-US" w:eastAsia="zh-CN"/>
              </w:rPr>
              <w:t>52.4</w:t>
            </w:r>
          </w:p>
        </w:tc>
        <w:tc>
          <w:tcPr>
            <w:tcW w:w="541"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hint="default" w:ascii="Times New Roman" w:hAnsi="Times New Roman"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12</w:t>
            </w:r>
          </w:p>
        </w:tc>
        <w:tc>
          <w:tcPr>
            <w:tcW w:w="834"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eastAsia" w:ascii="Times New Roman" w:hAnsi="Times New Roman" w:eastAsia="宋体" w:cs="Times New Roman"/>
                <w:color w:val="000000"/>
                <w:sz w:val="22"/>
                <w:szCs w:val="22"/>
                <w:lang w:val="en-US" w:eastAsia="zh-CN"/>
              </w:rPr>
            </w:pPr>
            <w:r>
              <w:rPr>
                <w:rFonts w:hint="eastAsia" w:ascii="Times New Roman" w:hAnsi="Times New Roman" w:cs="Times New Roman"/>
                <w:color w:val="000000"/>
                <w:sz w:val="22"/>
                <w:szCs w:val="22"/>
                <w:lang w:val="en-US" w:eastAsia="zh-CN"/>
              </w:rPr>
              <w:t>6.29</w:t>
            </w:r>
          </w:p>
        </w:tc>
        <w:tc>
          <w:tcPr>
            <w:tcW w:w="1740"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　</w:t>
            </w:r>
          </w:p>
        </w:tc>
      </w:tr>
      <w:tr>
        <w:tblPrEx>
          <w:tblLayout w:type="fixed"/>
          <w:tblCellMar>
            <w:top w:w="0" w:type="dxa"/>
            <w:left w:w="108" w:type="dxa"/>
            <w:bottom w:w="0" w:type="dxa"/>
            <w:right w:w="108" w:type="dxa"/>
          </w:tblCellMar>
        </w:tblPrEx>
        <w:trPr>
          <w:trHeight w:val="1200" w:hRule="atLeast"/>
        </w:trPr>
        <w:tc>
          <w:tcPr>
            <w:tcW w:w="656" w:type="dxa"/>
            <w:gridSpan w:val="2"/>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p>
        </w:tc>
        <w:tc>
          <w:tcPr>
            <w:tcW w:w="88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afterAutospacing="0" w:line="560" w:lineRule="exact"/>
              <w:jc w:val="both"/>
              <w:textAlignment w:val="center"/>
              <w:rPr>
                <w:rFonts w:hint="default" w:ascii="Times New Roman" w:hAnsi="Times New Roman" w:eastAsia="方正仿宋_GBK" w:cs="Times New Roman"/>
                <w:color w:val="000000"/>
                <w:sz w:val="22"/>
                <w:szCs w:val="22"/>
              </w:rPr>
            </w:pPr>
            <w:r>
              <w:rPr>
                <w:rFonts w:hint="eastAsia" w:ascii="宋体" w:hAnsi="宋体" w:eastAsia="宋体" w:cs="宋体"/>
                <w:i w:val="0"/>
                <w:color w:val="000000"/>
                <w:kern w:val="0"/>
                <w:sz w:val="22"/>
                <w:szCs w:val="22"/>
                <w:u w:val="none"/>
                <w:lang w:val="en-US" w:eastAsia="zh-CN" w:bidi="ar"/>
              </w:rPr>
              <w:t>完成老旧小区改造项目</w:t>
            </w:r>
          </w:p>
        </w:tc>
        <w:tc>
          <w:tcPr>
            <w:tcW w:w="66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afterAutospacing="0" w:line="560" w:lineRule="exact"/>
              <w:jc w:val="both"/>
              <w:textAlignment w:val="center"/>
              <w:rPr>
                <w:rFonts w:hint="default" w:ascii="Times New Roman" w:hAnsi="Times New Roman" w:eastAsia="方正仿宋_GBK" w:cs="Times New Roman"/>
                <w:color w:val="000000"/>
                <w:sz w:val="22"/>
                <w:szCs w:val="22"/>
              </w:rPr>
            </w:pPr>
            <w:r>
              <w:rPr>
                <w:rFonts w:hint="eastAsia" w:ascii="宋体" w:hAnsi="宋体" w:eastAsia="宋体" w:cs="宋体"/>
                <w:i w:val="0"/>
                <w:color w:val="000000"/>
                <w:kern w:val="0"/>
                <w:sz w:val="22"/>
                <w:szCs w:val="22"/>
                <w:u w:val="none"/>
                <w:lang w:val="en-US" w:eastAsia="zh-CN" w:bidi="ar"/>
              </w:rPr>
              <w:t>个</w:t>
            </w:r>
          </w:p>
        </w:tc>
        <w:tc>
          <w:tcPr>
            <w:tcW w:w="70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hint="default" w:ascii="Times New Roman" w:hAnsi="Times New Roman" w:eastAsia="方正仿宋_GBK" w:cs="Times New Roman"/>
                <w:color w:val="000000"/>
                <w:sz w:val="22"/>
                <w:szCs w:val="22"/>
              </w:rPr>
            </w:pPr>
            <w:r>
              <w:rPr>
                <w:rFonts w:hint="eastAsia" w:ascii="宋体" w:hAnsi="宋体" w:eastAsia="宋体" w:cs="宋体"/>
                <w:i w:val="0"/>
                <w:color w:val="000000"/>
                <w:kern w:val="0"/>
                <w:sz w:val="22"/>
                <w:szCs w:val="22"/>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7</w:t>
            </w:r>
          </w:p>
        </w:tc>
        <w:tc>
          <w:tcPr>
            <w:tcW w:w="700"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eastAsia" w:ascii="Times New Roman" w:hAnsi="Times New Roman" w:eastAsia="宋体" w:cs="Times New Roman"/>
                <w:color w:val="000000"/>
                <w:sz w:val="22"/>
                <w:szCs w:val="22"/>
                <w:lang w:eastAsia="zh-CN"/>
              </w:rPr>
            </w:pPr>
            <w:r>
              <w:rPr>
                <w:rFonts w:hint="eastAsia" w:ascii="Times New Roman" w:hAnsi="Times New Roman" w:cs="Times New Roman"/>
                <w:color w:val="000000"/>
                <w:sz w:val="22"/>
                <w:szCs w:val="22"/>
                <w:lang w:val="en-US" w:eastAsia="zh-CN"/>
              </w:rPr>
              <w:t>7</w:t>
            </w:r>
          </w:p>
        </w:tc>
        <w:tc>
          <w:tcPr>
            <w:tcW w:w="77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945"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54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hint="default" w:ascii="Times New Roman" w:hAnsi="Times New Roman"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12</w:t>
            </w:r>
          </w:p>
        </w:tc>
        <w:tc>
          <w:tcPr>
            <w:tcW w:w="834"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12</w:t>
            </w:r>
          </w:p>
        </w:tc>
        <w:tc>
          <w:tcPr>
            <w:tcW w:w="17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　</w:t>
            </w:r>
          </w:p>
        </w:tc>
      </w:tr>
      <w:tr>
        <w:tblPrEx>
          <w:tblLayout w:type="fixed"/>
          <w:tblCellMar>
            <w:top w:w="0" w:type="dxa"/>
            <w:left w:w="108" w:type="dxa"/>
            <w:bottom w:w="0" w:type="dxa"/>
            <w:right w:w="108" w:type="dxa"/>
          </w:tblCellMar>
        </w:tblPrEx>
        <w:trPr>
          <w:trHeight w:val="1200" w:hRule="atLeast"/>
        </w:trPr>
        <w:tc>
          <w:tcPr>
            <w:tcW w:w="656" w:type="dxa"/>
            <w:gridSpan w:val="2"/>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p>
        </w:tc>
        <w:tc>
          <w:tcPr>
            <w:tcW w:w="88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afterAutospacing="0" w:line="560" w:lineRule="exact"/>
              <w:jc w:val="both"/>
              <w:textAlignment w:val="center"/>
              <w:rPr>
                <w:rFonts w:hint="default" w:ascii="Times New Roman" w:hAnsi="Times New Roman" w:eastAsia="方正仿宋_GBK" w:cs="Times New Roman"/>
                <w:color w:val="000000"/>
                <w:sz w:val="22"/>
                <w:szCs w:val="22"/>
              </w:rPr>
            </w:pPr>
            <w:r>
              <w:rPr>
                <w:rFonts w:hint="eastAsia" w:ascii="宋体" w:hAnsi="宋体" w:eastAsia="宋体" w:cs="宋体"/>
                <w:i w:val="0"/>
                <w:color w:val="000000"/>
                <w:kern w:val="0"/>
                <w:sz w:val="22"/>
                <w:szCs w:val="22"/>
                <w:u w:val="none"/>
                <w:lang w:val="en-US" w:eastAsia="zh-CN" w:bidi="ar"/>
              </w:rPr>
              <w:t>完成推进海绵城市建设任务</w:t>
            </w:r>
          </w:p>
        </w:tc>
        <w:tc>
          <w:tcPr>
            <w:tcW w:w="66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afterAutospacing="0" w:line="560" w:lineRule="exact"/>
              <w:jc w:val="both"/>
              <w:textAlignment w:val="center"/>
              <w:rPr>
                <w:rFonts w:hint="default" w:ascii="Times New Roman" w:hAnsi="Times New Roman" w:eastAsia="方正仿宋_GBK" w:cs="Times New Roman"/>
                <w:color w:val="000000"/>
                <w:sz w:val="22"/>
                <w:szCs w:val="22"/>
              </w:rPr>
            </w:pPr>
            <w:r>
              <w:rPr>
                <w:rFonts w:hint="eastAsia" w:ascii="宋体" w:hAnsi="宋体" w:eastAsia="宋体" w:cs="宋体"/>
                <w:i w:val="0"/>
                <w:color w:val="000000"/>
                <w:kern w:val="0"/>
                <w:sz w:val="22"/>
                <w:szCs w:val="22"/>
                <w:u w:val="none"/>
                <w:lang w:val="en-US" w:eastAsia="zh-CN" w:bidi="ar"/>
              </w:rPr>
              <w:t>平方公里</w:t>
            </w:r>
          </w:p>
        </w:tc>
        <w:tc>
          <w:tcPr>
            <w:tcW w:w="70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hint="default" w:ascii="Times New Roman" w:hAnsi="Times New Roman" w:eastAsia="方正仿宋_GBK" w:cs="Times New Roman"/>
                <w:color w:val="000000"/>
                <w:sz w:val="22"/>
                <w:szCs w:val="22"/>
              </w:rPr>
            </w:pPr>
            <w:r>
              <w:rPr>
                <w:rFonts w:hint="eastAsia" w:ascii="宋体" w:hAnsi="宋体" w:eastAsia="宋体" w:cs="宋体"/>
                <w:i w:val="0"/>
                <w:color w:val="000000"/>
                <w:kern w:val="0"/>
                <w:sz w:val="22"/>
                <w:szCs w:val="22"/>
                <w:u w:val="none"/>
                <w:lang w:val="en-US" w:eastAsia="zh-CN" w:bidi="ar"/>
              </w:rPr>
              <w:t>≥</w:t>
            </w:r>
          </w:p>
        </w:tc>
        <w:tc>
          <w:tcPr>
            <w:tcW w:w="6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0.5</w:t>
            </w:r>
          </w:p>
        </w:tc>
        <w:tc>
          <w:tcPr>
            <w:tcW w:w="70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0.5</w:t>
            </w:r>
          </w:p>
        </w:tc>
        <w:tc>
          <w:tcPr>
            <w:tcW w:w="774"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945"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541"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hint="default" w:ascii="Times New Roman" w:hAnsi="Times New Roman"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10</w:t>
            </w:r>
          </w:p>
        </w:tc>
        <w:tc>
          <w:tcPr>
            <w:tcW w:w="834"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p>
        </w:tc>
        <w:tc>
          <w:tcPr>
            <w:tcW w:w="17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　</w:t>
            </w:r>
          </w:p>
        </w:tc>
      </w:tr>
      <w:tr>
        <w:tblPrEx>
          <w:tblLayout w:type="fixed"/>
          <w:tblCellMar>
            <w:top w:w="0" w:type="dxa"/>
            <w:left w:w="108" w:type="dxa"/>
            <w:bottom w:w="0" w:type="dxa"/>
            <w:right w:w="108" w:type="dxa"/>
          </w:tblCellMar>
        </w:tblPrEx>
        <w:trPr>
          <w:trHeight w:val="1200" w:hRule="atLeast"/>
        </w:trPr>
        <w:tc>
          <w:tcPr>
            <w:tcW w:w="656" w:type="dxa"/>
            <w:gridSpan w:val="2"/>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p>
        </w:tc>
        <w:tc>
          <w:tcPr>
            <w:tcW w:w="88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afterAutospacing="0" w:line="560" w:lineRule="exact"/>
              <w:jc w:val="both"/>
              <w:textAlignment w:val="center"/>
              <w:rPr>
                <w:rFonts w:hint="default" w:ascii="Times New Roman" w:hAnsi="Times New Roman" w:eastAsia="方正仿宋_GBK" w:cs="Times New Roman"/>
                <w:color w:val="000000"/>
                <w:sz w:val="22"/>
                <w:szCs w:val="22"/>
              </w:rPr>
            </w:pPr>
            <w:r>
              <w:rPr>
                <w:rFonts w:hint="eastAsia" w:ascii="宋体" w:hAnsi="宋体" w:eastAsia="宋体" w:cs="宋体"/>
                <w:i w:val="0"/>
                <w:color w:val="000000"/>
                <w:kern w:val="0"/>
                <w:sz w:val="22"/>
                <w:szCs w:val="22"/>
                <w:u w:val="none"/>
                <w:lang w:val="en-US" w:eastAsia="zh-CN" w:bidi="ar"/>
              </w:rPr>
              <w:t>部门预决算按时公开率</w:t>
            </w:r>
          </w:p>
        </w:tc>
        <w:tc>
          <w:tcPr>
            <w:tcW w:w="66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hint="default" w:ascii="Times New Roman" w:hAnsi="Times New Roman" w:eastAsia="方正仿宋_GBK" w:cs="Times New Roman"/>
                <w:color w:val="000000"/>
                <w:sz w:val="22"/>
                <w:szCs w:val="22"/>
              </w:rPr>
            </w:pPr>
            <w:r>
              <w:rPr>
                <w:rFonts w:hint="eastAsia" w:ascii="宋体" w:hAnsi="宋体" w:eastAsia="宋体" w:cs="宋体"/>
                <w:i w:val="0"/>
                <w:color w:val="000000"/>
                <w:kern w:val="0"/>
                <w:sz w:val="22"/>
                <w:szCs w:val="22"/>
                <w:u w:val="none"/>
                <w:lang w:val="en-US" w:eastAsia="zh-CN" w:bidi="ar"/>
              </w:rPr>
              <w:t>%</w:t>
            </w:r>
          </w:p>
        </w:tc>
        <w:tc>
          <w:tcPr>
            <w:tcW w:w="70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hint="default" w:ascii="Times New Roman" w:hAnsi="Times New Roman" w:eastAsia="方正仿宋_GBK" w:cs="Times New Roman"/>
                <w:color w:val="000000"/>
                <w:sz w:val="22"/>
                <w:szCs w:val="22"/>
              </w:rPr>
            </w:pPr>
            <w:r>
              <w:rPr>
                <w:rFonts w:hint="eastAsia" w:ascii="宋体" w:hAnsi="宋体" w:eastAsia="宋体" w:cs="宋体"/>
                <w:i w:val="0"/>
                <w:color w:val="000000"/>
                <w:kern w:val="0"/>
                <w:sz w:val="22"/>
                <w:szCs w:val="22"/>
                <w:u w:val="none"/>
                <w:lang w:val="en-US" w:eastAsia="zh-CN" w:bidi="ar"/>
              </w:rPr>
              <w:t>≥</w:t>
            </w:r>
          </w:p>
        </w:tc>
        <w:tc>
          <w:tcPr>
            <w:tcW w:w="6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100</w:t>
            </w:r>
          </w:p>
        </w:tc>
        <w:tc>
          <w:tcPr>
            <w:tcW w:w="70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774"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945"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541"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hint="default" w:ascii="Times New Roman" w:hAnsi="Times New Roman"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10</w:t>
            </w:r>
          </w:p>
        </w:tc>
        <w:tc>
          <w:tcPr>
            <w:tcW w:w="834"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p>
        </w:tc>
        <w:tc>
          <w:tcPr>
            <w:tcW w:w="17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　</w:t>
            </w:r>
          </w:p>
        </w:tc>
      </w:tr>
      <w:tr>
        <w:tblPrEx>
          <w:tblLayout w:type="fixed"/>
          <w:tblCellMar>
            <w:top w:w="0" w:type="dxa"/>
            <w:left w:w="108" w:type="dxa"/>
            <w:bottom w:w="0" w:type="dxa"/>
            <w:right w:w="108" w:type="dxa"/>
          </w:tblCellMar>
        </w:tblPrEx>
        <w:trPr>
          <w:trHeight w:val="1200" w:hRule="atLeast"/>
        </w:trPr>
        <w:tc>
          <w:tcPr>
            <w:tcW w:w="656" w:type="dxa"/>
            <w:gridSpan w:val="2"/>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p>
        </w:tc>
        <w:tc>
          <w:tcPr>
            <w:tcW w:w="88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afterAutospacing="0" w:line="560" w:lineRule="exact"/>
              <w:jc w:val="both"/>
              <w:textAlignment w:val="center"/>
              <w:rPr>
                <w:rFonts w:hint="default" w:ascii="Times New Roman" w:hAnsi="Times New Roman" w:eastAsia="方正仿宋_GBK" w:cs="Times New Roman"/>
                <w:color w:val="000000"/>
                <w:sz w:val="22"/>
                <w:szCs w:val="22"/>
              </w:rPr>
            </w:pPr>
            <w:r>
              <w:rPr>
                <w:rFonts w:hint="eastAsia" w:ascii="宋体" w:hAnsi="宋体" w:eastAsia="宋体" w:cs="宋体"/>
                <w:i w:val="0"/>
                <w:color w:val="000000"/>
                <w:kern w:val="0"/>
                <w:sz w:val="22"/>
                <w:szCs w:val="22"/>
                <w:u w:val="none"/>
                <w:lang w:val="en-US" w:eastAsia="zh-CN" w:bidi="ar"/>
              </w:rPr>
              <w:t>全年预算支出执行率</w:t>
            </w:r>
          </w:p>
        </w:tc>
        <w:tc>
          <w:tcPr>
            <w:tcW w:w="66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hint="default" w:ascii="Times New Roman" w:hAnsi="Times New Roman" w:eastAsia="方正仿宋_GBK" w:cs="Times New Roman"/>
                <w:color w:val="000000"/>
                <w:sz w:val="22"/>
                <w:szCs w:val="22"/>
              </w:rPr>
            </w:pPr>
            <w:r>
              <w:rPr>
                <w:rFonts w:hint="eastAsia" w:ascii="宋体" w:hAnsi="宋体" w:eastAsia="宋体" w:cs="宋体"/>
                <w:i w:val="0"/>
                <w:color w:val="000000"/>
                <w:kern w:val="0"/>
                <w:sz w:val="22"/>
                <w:szCs w:val="22"/>
                <w:u w:val="none"/>
                <w:lang w:val="en-US" w:eastAsia="zh-CN" w:bidi="ar"/>
              </w:rPr>
              <w:t>%</w:t>
            </w:r>
          </w:p>
        </w:tc>
        <w:tc>
          <w:tcPr>
            <w:tcW w:w="70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hint="default" w:ascii="Times New Roman" w:hAnsi="Times New Roman" w:eastAsia="方正仿宋_GBK" w:cs="Times New Roman"/>
                <w:color w:val="000000"/>
                <w:sz w:val="22"/>
                <w:szCs w:val="22"/>
              </w:rPr>
            </w:pPr>
            <w:r>
              <w:rPr>
                <w:rFonts w:hint="eastAsia" w:ascii="宋体" w:hAnsi="宋体" w:eastAsia="宋体" w:cs="宋体"/>
                <w:i w:val="0"/>
                <w:color w:val="000000"/>
                <w:kern w:val="0"/>
                <w:sz w:val="22"/>
                <w:szCs w:val="22"/>
                <w:u w:val="none"/>
                <w:lang w:val="en-US" w:eastAsia="zh-CN" w:bidi="ar"/>
              </w:rPr>
              <w:t>≥</w:t>
            </w:r>
          </w:p>
        </w:tc>
        <w:tc>
          <w:tcPr>
            <w:tcW w:w="6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100</w:t>
            </w:r>
          </w:p>
        </w:tc>
        <w:tc>
          <w:tcPr>
            <w:tcW w:w="70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774"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945"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541"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hint="default" w:ascii="Times New Roman" w:hAnsi="Times New Roman"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10</w:t>
            </w:r>
          </w:p>
        </w:tc>
        <w:tc>
          <w:tcPr>
            <w:tcW w:w="834"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p>
        </w:tc>
        <w:tc>
          <w:tcPr>
            <w:tcW w:w="1740"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w:t>
            </w:r>
          </w:p>
        </w:tc>
      </w:tr>
      <w:tr>
        <w:tblPrEx>
          <w:tblLayout w:type="fixed"/>
          <w:tblCellMar>
            <w:top w:w="0" w:type="dxa"/>
            <w:left w:w="108" w:type="dxa"/>
            <w:bottom w:w="0" w:type="dxa"/>
            <w:right w:w="108" w:type="dxa"/>
          </w:tblCellMar>
        </w:tblPrEx>
        <w:trPr>
          <w:trHeight w:val="1200" w:hRule="atLeast"/>
        </w:trPr>
        <w:tc>
          <w:tcPr>
            <w:tcW w:w="656" w:type="dxa"/>
            <w:gridSpan w:val="2"/>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p>
        </w:tc>
        <w:tc>
          <w:tcPr>
            <w:tcW w:w="88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afterAutospacing="0" w:line="560" w:lineRule="exact"/>
              <w:jc w:val="both"/>
              <w:textAlignment w:val="center"/>
              <w:rPr>
                <w:rFonts w:hint="default" w:ascii="Times New Roman" w:hAnsi="Times New Roman" w:eastAsia="方正仿宋_GBK" w:cs="Times New Roman"/>
                <w:color w:val="000000"/>
                <w:sz w:val="22"/>
                <w:szCs w:val="22"/>
              </w:rPr>
            </w:pPr>
            <w:r>
              <w:rPr>
                <w:rFonts w:hint="eastAsia" w:ascii="宋体" w:hAnsi="宋体" w:eastAsia="宋体" w:cs="宋体"/>
                <w:i w:val="0"/>
                <w:color w:val="000000"/>
                <w:kern w:val="0"/>
                <w:sz w:val="22"/>
                <w:szCs w:val="22"/>
                <w:u w:val="none"/>
                <w:lang w:val="en-US" w:eastAsia="zh-CN" w:bidi="ar"/>
              </w:rPr>
              <w:t>公租房正常维修及水电气正常运行</w:t>
            </w:r>
          </w:p>
        </w:tc>
        <w:tc>
          <w:tcPr>
            <w:tcW w:w="66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hint="default" w:ascii="Times New Roman" w:hAnsi="Times New Roman" w:eastAsia="方正仿宋_GBK" w:cs="Times New Roman"/>
                <w:color w:val="000000"/>
                <w:sz w:val="22"/>
                <w:szCs w:val="22"/>
              </w:rPr>
            </w:pPr>
            <w:r>
              <w:rPr>
                <w:rFonts w:hint="eastAsia" w:ascii="宋体" w:hAnsi="宋体" w:eastAsia="宋体" w:cs="宋体"/>
                <w:i w:val="0"/>
                <w:color w:val="000000"/>
                <w:kern w:val="0"/>
                <w:sz w:val="22"/>
                <w:szCs w:val="22"/>
                <w:u w:val="none"/>
                <w:lang w:val="en-US" w:eastAsia="zh-CN" w:bidi="ar"/>
              </w:rPr>
              <w:t>%</w:t>
            </w:r>
          </w:p>
        </w:tc>
        <w:tc>
          <w:tcPr>
            <w:tcW w:w="70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hint="default" w:ascii="Times New Roman" w:hAnsi="Times New Roman" w:eastAsia="方正仿宋_GBK" w:cs="Times New Roman"/>
                <w:color w:val="000000"/>
                <w:sz w:val="22"/>
                <w:szCs w:val="22"/>
              </w:rPr>
            </w:pPr>
            <w:r>
              <w:rPr>
                <w:rFonts w:hint="eastAsia" w:ascii="宋体" w:hAnsi="宋体" w:eastAsia="宋体" w:cs="宋体"/>
                <w:i w:val="0"/>
                <w:color w:val="000000"/>
                <w:kern w:val="0"/>
                <w:sz w:val="22"/>
                <w:szCs w:val="22"/>
                <w:u w:val="none"/>
                <w:lang w:val="en-US" w:eastAsia="zh-CN" w:bidi="ar"/>
              </w:rPr>
              <w:t>≥</w:t>
            </w:r>
          </w:p>
        </w:tc>
        <w:tc>
          <w:tcPr>
            <w:tcW w:w="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95</w:t>
            </w:r>
          </w:p>
        </w:tc>
        <w:tc>
          <w:tcPr>
            <w:tcW w:w="700"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eastAsia" w:ascii="Times New Roman" w:hAnsi="Times New Roman" w:eastAsia="宋体" w:cs="Times New Roman"/>
                <w:color w:val="000000"/>
                <w:sz w:val="22"/>
                <w:szCs w:val="22"/>
                <w:lang w:val="en-US" w:eastAsia="zh-CN"/>
              </w:rPr>
            </w:pPr>
            <w:r>
              <w:rPr>
                <w:rFonts w:hint="eastAsia" w:ascii="Times New Roman" w:hAnsi="Times New Roman" w:cs="Times New Roman"/>
                <w:color w:val="000000"/>
                <w:sz w:val="22"/>
                <w:szCs w:val="22"/>
                <w:lang w:val="en-US" w:eastAsia="zh-CN"/>
              </w:rPr>
              <w:t>95</w:t>
            </w:r>
          </w:p>
        </w:tc>
        <w:tc>
          <w:tcPr>
            <w:tcW w:w="77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945"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54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hint="default" w:ascii="Times New Roman" w:hAnsi="Times New Roman"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10</w:t>
            </w:r>
          </w:p>
        </w:tc>
        <w:tc>
          <w:tcPr>
            <w:tcW w:w="834"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eastAsia" w:ascii="Times New Roman" w:hAnsi="Times New Roman" w:eastAsia="宋体" w:cs="Times New Roman"/>
                <w:color w:val="000000"/>
                <w:sz w:val="22"/>
                <w:szCs w:val="22"/>
                <w:lang w:val="en-US" w:eastAsia="zh-CN"/>
              </w:rPr>
            </w:pPr>
            <w:r>
              <w:rPr>
                <w:rFonts w:hint="eastAsia" w:ascii="Times New Roman" w:hAnsi="Times New Roman" w:cs="Times New Roman"/>
                <w:color w:val="000000"/>
                <w:sz w:val="22"/>
                <w:szCs w:val="22"/>
                <w:lang w:val="en-US" w:eastAsia="zh-CN"/>
              </w:rPr>
              <w:t>10</w:t>
            </w:r>
          </w:p>
        </w:tc>
        <w:tc>
          <w:tcPr>
            <w:tcW w:w="1740"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　</w:t>
            </w:r>
          </w:p>
        </w:tc>
      </w:tr>
      <w:tr>
        <w:tblPrEx>
          <w:tblLayout w:type="fixed"/>
          <w:tblCellMar>
            <w:top w:w="0" w:type="dxa"/>
            <w:left w:w="108" w:type="dxa"/>
            <w:bottom w:w="0" w:type="dxa"/>
            <w:right w:w="108" w:type="dxa"/>
          </w:tblCellMar>
        </w:tblPrEx>
        <w:trPr>
          <w:trHeight w:val="619" w:hRule="atLeast"/>
        </w:trPr>
        <w:tc>
          <w:tcPr>
            <w:tcW w:w="656"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总体说明</w:t>
            </w:r>
          </w:p>
        </w:tc>
        <w:tc>
          <w:tcPr>
            <w:tcW w:w="8454" w:type="dxa"/>
            <w:gridSpan w:val="2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N/>
              <w:bidi w:val="0"/>
              <w:adjustRightInd/>
              <w:spacing w:afterAutospacing="0" w:line="560" w:lineRule="exact"/>
              <w:jc w:val="both"/>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　</w:t>
            </w:r>
          </w:p>
        </w:tc>
      </w:tr>
      <w:tr>
        <w:tblPrEx>
          <w:tblLayout w:type="fixed"/>
          <w:tblCellMar>
            <w:top w:w="0" w:type="dxa"/>
            <w:left w:w="108" w:type="dxa"/>
            <w:bottom w:w="0" w:type="dxa"/>
            <w:right w:w="108" w:type="dxa"/>
          </w:tblCellMar>
        </w:tblPrEx>
        <w:trPr>
          <w:gridAfter w:val="1"/>
          <w:wAfter w:w="267" w:type="dxa"/>
          <w:trHeight w:val="109" w:hRule="atLeast"/>
        </w:trPr>
        <w:tc>
          <w:tcPr>
            <w:tcW w:w="8843" w:type="dxa"/>
            <w:gridSpan w:val="23"/>
            <w:tcBorders>
              <w:top w:val="nil"/>
              <w:left w:val="nil"/>
              <w:bottom w:val="single" w:color="000000" w:sz="4" w:space="0"/>
              <w:right w:val="nil"/>
            </w:tcBorders>
            <w:vAlign w:val="center"/>
          </w:tcPr>
          <w:p>
            <w:pPr>
              <w:keepNext w:val="0"/>
              <w:keepLines w:val="0"/>
              <w:pageBreakBefore w:val="0"/>
              <w:widowControl/>
              <w:kinsoku/>
              <w:wordWrap/>
              <w:overflowPunct/>
              <w:topLinePunct w:val="0"/>
              <w:autoSpaceDN/>
              <w:bidi w:val="0"/>
              <w:adjustRightInd/>
              <w:spacing w:afterAutospacing="0" w:line="560" w:lineRule="exact"/>
              <w:jc w:val="both"/>
              <w:textAlignment w:val="center"/>
              <w:rPr>
                <w:rFonts w:ascii="方正小标宋_GBK" w:hAnsi="方正小标宋_GBK" w:eastAsia="方正小标宋_GBK" w:cs="方正小标宋_GBK"/>
                <w:color w:val="000000"/>
                <w:sz w:val="36"/>
                <w:szCs w:val="36"/>
                <w:lang w:bidi="ar"/>
              </w:rPr>
            </w:pPr>
          </w:p>
          <w:p>
            <w:pPr>
              <w:keepNext w:val="0"/>
              <w:keepLines w:val="0"/>
              <w:pageBreakBefore w:val="0"/>
              <w:widowControl/>
              <w:kinsoku/>
              <w:wordWrap/>
              <w:overflowPunct/>
              <w:topLinePunct w:val="0"/>
              <w:autoSpaceDN/>
              <w:bidi w:val="0"/>
              <w:adjustRightInd/>
              <w:spacing w:afterAutospacing="0" w:line="560" w:lineRule="exact"/>
              <w:jc w:val="both"/>
              <w:textAlignment w:val="center"/>
              <w:rPr>
                <w:rFonts w:ascii="方正小标宋_GBK" w:hAnsi="方正小标宋_GBK" w:eastAsia="方正小标宋_GBK" w:cs="方正小标宋_GBK"/>
                <w:color w:val="000000"/>
                <w:sz w:val="36"/>
                <w:szCs w:val="36"/>
                <w:lang w:bidi="ar"/>
              </w:rPr>
            </w:pPr>
            <w:r>
              <w:rPr>
                <w:rFonts w:hint="eastAsia" w:ascii="方正小标宋_GBK" w:hAnsi="方正小标宋_GBK" w:eastAsia="方正小标宋_GBK" w:cs="方正小标宋_GBK"/>
                <w:color w:val="000000"/>
                <w:sz w:val="36"/>
                <w:szCs w:val="36"/>
                <w:lang w:val="en-US" w:eastAsia="zh-CN" w:bidi="ar"/>
              </w:rPr>
              <w:t xml:space="preserve"> </w:t>
            </w:r>
          </w:p>
          <w:p>
            <w:pPr>
              <w:keepNext w:val="0"/>
              <w:keepLines w:val="0"/>
              <w:pageBreakBefore w:val="0"/>
              <w:widowControl/>
              <w:kinsoku/>
              <w:wordWrap/>
              <w:overflowPunct/>
              <w:topLinePunct w:val="0"/>
              <w:autoSpaceDN/>
              <w:bidi w:val="0"/>
              <w:adjustRightInd/>
              <w:spacing w:afterAutospacing="0" w:line="560" w:lineRule="exact"/>
              <w:jc w:val="both"/>
              <w:textAlignment w:val="center"/>
              <w:rPr>
                <w:rFonts w:ascii="方正小标宋_GBK" w:hAnsi="方正小标宋_GBK" w:eastAsia="方正小标宋_GBK" w:cs="方正小标宋_GBK"/>
                <w:color w:val="000000"/>
                <w:sz w:val="32"/>
                <w:szCs w:val="32"/>
              </w:rPr>
            </w:pPr>
            <w:r>
              <w:rPr>
                <w:rFonts w:ascii="方正小标宋_GBK" w:hAnsi="方正小标宋_GBK" w:eastAsia="方正小标宋_GBK" w:cs="方正小标宋_GBK"/>
                <w:color w:val="000000"/>
                <w:sz w:val="32"/>
                <w:szCs w:val="32"/>
                <w:lang w:bidi="ar"/>
              </w:rPr>
              <w:t>秀山土家族苗族自治县住房和城乡建设委员会           202</w:t>
            </w:r>
            <w:r>
              <w:rPr>
                <w:rFonts w:hint="eastAsia" w:ascii="方正小标宋_GBK" w:hAnsi="方正小标宋_GBK" w:eastAsia="方正小标宋_GBK" w:cs="方正小标宋_GBK"/>
                <w:color w:val="000000"/>
                <w:sz w:val="32"/>
                <w:szCs w:val="32"/>
                <w:lang w:val="en-US" w:eastAsia="zh-CN" w:bidi="ar"/>
              </w:rPr>
              <w:t>4</w:t>
            </w:r>
            <w:r>
              <w:rPr>
                <w:rFonts w:ascii="方正小标宋_GBK" w:hAnsi="方正小标宋_GBK" w:eastAsia="方正小标宋_GBK" w:cs="方正小标宋_GBK"/>
                <w:color w:val="000000"/>
                <w:sz w:val="32"/>
                <w:szCs w:val="32"/>
                <w:lang w:bidi="ar"/>
              </w:rPr>
              <w:t>年度项目支出绩效自评表（一级项目）</w:t>
            </w:r>
          </w:p>
        </w:tc>
      </w:tr>
      <w:tr>
        <w:tblPrEx>
          <w:tblLayout w:type="fixed"/>
          <w:tblCellMar>
            <w:top w:w="0" w:type="dxa"/>
            <w:left w:w="108" w:type="dxa"/>
            <w:bottom w:w="0" w:type="dxa"/>
            <w:right w:w="108" w:type="dxa"/>
          </w:tblCellMar>
        </w:tblPrEx>
        <w:trPr>
          <w:gridAfter w:val="1"/>
          <w:wAfter w:w="267" w:type="dxa"/>
          <w:trHeight w:val="600" w:hRule="atLeast"/>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textAlignment w:val="center"/>
              <w:rPr>
                <w:rFonts w:ascii="方正黑体_GBK" w:hAnsi="方正黑体_GBK" w:eastAsia="方正黑体_GBK" w:cs="方正黑体_GBK"/>
                <w:color w:val="000000"/>
                <w:sz w:val="22"/>
              </w:rPr>
            </w:pPr>
            <w:r>
              <w:rPr>
                <w:rFonts w:ascii="方正黑体_GBK" w:hAnsi="方正黑体_GBK" w:eastAsia="方正黑体_GBK" w:cs="方正黑体_GBK"/>
                <w:color w:val="000000"/>
                <w:sz w:val="22"/>
                <w:lang w:bidi="ar"/>
              </w:rPr>
              <w:t>序号</w:t>
            </w:r>
          </w:p>
        </w:tc>
        <w:tc>
          <w:tcPr>
            <w:tcW w:w="75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textAlignment w:val="center"/>
              <w:rPr>
                <w:rFonts w:ascii="方正黑体_GBK" w:hAnsi="方正黑体_GBK" w:eastAsia="方正黑体_GBK" w:cs="方正黑体_GBK"/>
                <w:color w:val="000000"/>
                <w:sz w:val="22"/>
              </w:rPr>
            </w:pPr>
            <w:r>
              <w:rPr>
                <w:rFonts w:ascii="方正黑体_GBK" w:hAnsi="方正黑体_GBK" w:eastAsia="方正黑体_GBK" w:cs="方正黑体_GBK"/>
                <w:color w:val="000000"/>
                <w:sz w:val="22"/>
                <w:lang w:bidi="ar"/>
              </w:rPr>
              <w:t>项目名称</w:t>
            </w: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textAlignment w:val="center"/>
              <w:rPr>
                <w:rFonts w:ascii="方正黑体_GBK" w:hAnsi="方正黑体_GBK" w:eastAsia="方正黑体_GBK" w:cs="方正黑体_GBK"/>
                <w:color w:val="000000"/>
                <w:sz w:val="22"/>
              </w:rPr>
            </w:pPr>
            <w:r>
              <w:rPr>
                <w:rFonts w:ascii="方正黑体_GBK" w:hAnsi="方正黑体_GBK" w:eastAsia="方正黑体_GBK" w:cs="方正黑体_GBK"/>
                <w:color w:val="000000"/>
                <w:sz w:val="22"/>
                <w:lang w:bidi="ar"/>
              </w:rPr>
              <w:t>指标名称</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textAlignment w:val="center"/>
              <w:rPr>
                <w:rFonts w:ascii="方正黑体_GBK" w:hAnsi="方正黑体_GBK" w:eastAsia="方正黑体_GBK" w:cs="方正黑体_GBK"/>
                <w:color w:val="000000"/>
                <w:sz w:val="22"/>
              </w:rPr>
            </w:pPr>
            <w:r>
              <w:rPr>
                <w:rFonts w:ascii="方正黑体_GBK" w:hAnsi="方正黑体_GBK" w:eastAsia="方正黑体_GBK" w:cs="方正黑体_GBK"/>
                <w:color w:val="000000"/>
                <w:sz w:val="22"/>
                <w:lang w:bidi="ar"/>
              </w:rPr>
              <w:t>指标性质</w:t>
            </w:r>
          </w:p>
        </w:tc>
        <w:tc>
          <w:tcPr>
            <w:tcW w:w="91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textAlignment w:val="center"/>
              <w:rPr>
                <w:rFonts w:ascii="方正黑体_GBK" w:hAnsi="方正黑体_GBK" w:eastAsia="方正黑体_GBK" w:cs="方正黑体_GBK"/>
                <w:color w:val="000000"/>
                <w:sz w:val="22"/>
              </w:rPr>
            </w:pPr>
            <w:r>
              <w:rPr>
                <w:rFonts w:ascii="方正黑体_GBK" w:hAnsi="方正黑体_GBK" w:eastAsia="方正黑体_GBK" w:cs="方正黑体_GBK"/>
                <w:color w:val="000000"/>
                <w:sz w:val="22"/>
                <w:lang w:bidi="ar"/>
              </w:rPr>
              <w:t>指标值</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textAlignment w:val="center"/>
              <w:rPr>
                <w:rFonts w:ascii="方正黑体_GBK" w:hAnsi="方正黑体_GBK" w:eastAsia="方正黑体_GBK" w:cs="方正黑体_GBK"/>
                <w:color w:val="000000"/>
                <w:sz w:val="22"/>
              </w:rPr>
            </w:pPr>
            <w:r>
              <w:rPr>
                <w:rFonts w:ascii="方正黑体_GBK" w:hAnsi="方正黑体_GBK" w:eastAsia="方正黑体_GBK" w:cs="方正黑体_GBK"/>
                <w:color w:val="000000"/>
                <w:sz w:val="22"/>
                <w:lang w:bidi="ar"/>
              </w:rPr>
              <w:t>计量单位</w:t>
            </w:r>
          </w:p>
        </w:tc>
        <w:tc>
          <w:tcPr>
            <w:tcW w:w="7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textAlignment w:val="center"/>
              <w:rPr>
                <w:rFonts w:ascii="方正黑体_GBK" w:hAnsi="方正黑体_GBK" w:eastAsia="方正黑体_GBK" w:cs="方正黑体_GBK"/>
                <w:color w:val="000000"/>
                <w:sz w:val="22"/>
              </w:rPr>
            </w:pPr>
            <w:r>
              <w:rPr>
                <w:rFonts w:ascii="方正黑体_GBK" w:hAnsi="方正黑体_GBK" w:eastAsia="方正黑体_GBK" w:cs="方正黑体_GBK"/>
                <w:color w:val="000000"/>
                <w:sz w:val="22"/>
                <w:lang w:bidi="ar"/>
              </w:rPr>
              <w:t>指标权重</w:t>
            </w:r>
          </w:p>
        </w:tc>
        <w:tc>
          <w:tcPr>
            <w:tcW w:w="9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textAlignment w:val="center"/>
              <w:rPr>
                <w:rFonts w:ascii="方正黑体_GBK" w:hAnsi="方正黑体_GBK" w:eastAsia="方正黑体_GBK" w:cs="方正黑体_GBK"/>
                <w:color w:val="000000"/>
                <w:sz w:val="22"/>
              </w:rPr>
            </w:pPr>
            <w:r>
              <w:rPr>
                <w:rFonts w:ascii="方正黑体_GBK" w:hAnsi="方正黑体_GBK" w:eastAsia="方正黑体_GBK" w:cs="方正黑体_GBK"/>
                <w:color w:val="000000"/>
                <w:sz w:val="22"/>
                <w:lang w:bidi="ar"/>
              </w:rPr>
              <w:t>全年完成值</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textAlignment w:val="center"/>
              <w:rPr>
                <w:rFonts w:ascii="方正黑体_GBK" w:hAnsi="方正黑体_GBK" w:eastAsia="方正黑体_GBK" w:cs="方正黑体_GBK"/>
                <w:color w:val="000000"/>
                <w:sz w:val="22"/>
              </w:rPr>
            </w:pPr>
            <w:r>
              <w:rPr>
                <w:rFonts w:ascii="方正黑体_GBK" w:hAnsi="方正黑体_GBK" w:eastAsia="方正黑体_GBK" w:cs="方正黑体_GBK"/>
                <w:color w:val="000000"/>
                <w:sz w:val="22"/>
                <w:lang w:bidi="ar"/>
              </w:rPr>
              <w:t>指标得分</w:t>
            </w:r>
          </w:p>
        </w:tc>
        <w:tc>
          <w:tcPr>
            <w:tcW w:w="7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textAlignment w:val="center"/>
              <w:rPr>
                <w:rFonts w:ascii="方正黑体_GBK" w:hAnsi="方正黑体_GBK" w:eastAsia="方正黑体_GBK" w:cs="方正黑体_GBK"/>
                <w:color w:val="000000"/>
                <w:sz w:val="22"/>
              </w:rPr>
            </w:pPr>
            <w:r>
              <w:rPr>
                <w:rFonts w:ascii="方正黑体_GBK" w:hAnsi="方正黑体_GBK" w:eastAsia="方正黑体_GBK" w:cs="方正黑体_GBK"/>
                <w:color w:val="000000"/>
                <w:sz w:val="22"/>
                <w:lang w:bidi="ar"/>
              </w:rPr>
              <w:t>说明</w:t>
            </w:r>
          </w:p>
        </w:tc>
        <w:tc>
          <w:tcPr>
            <w:tcW w:w="126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textAlignment w:val="center"/>
              <w:rPr>
                <w:rFonts w:ascii="方正黑体_GBK" w:hAnsi="方正黑体_GBK" w:eastAsia="方正黑体_GBK" w:cs="方正黑体_GBK"/>
                <w:color w:val="000000"/>
                <w:sz w:val="22"/>
              </w:rPr>
            </w:pPr>
            <w:r>
              <w:rPr>
                <w:rFonts w:ascii="方正黑体_GBK" w:hAnsi="方正黑体_GBK" w:eastAsia="方正黑体_GBK" w:cs="方正黑体_GBK"/>
                <w:color w:val="000000"/>
                <w:sz w:val="22"/>
                <w:lang w:bidi="ar"/>
              </w:rPr>
              <w:t>自评得分</w:t>
            </w:r>
          </w:p>
        </w:tc>
      </w:tr>
      <w:tr>
        <w:tblPrEx>
          <w:tblLayout w:type="fixed"/>
          <w:tblCellMar>
            <w:top w:w="0" w:type="dxa"/>
            <w:left w:w="108" w:type="dxa"/>
            <w:bottom w:w="0" w:type="dxa"/>
            <w:right w:w="108" w:type="dxa"/>
          </w:tblCellMar>
        </w:tblPrEx>
        <w:trPr>
          <w:gridAfter w:val="1"/>
          <w:wAfter w:w="267" w:type="dxa"/>
          <w:trHeight w:val="432" w:hRule="atLeast"/>
        </w:trPr>
        <w:tc>
          <w:tcPr>
            <w:tcW w:w="600"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textAlignment w:val="center"/>
              <w:rPr>
                <w:color w:val="000000"/>
                <w:sz w:val="22"/>
              </w:rPr>
            </w:pPr>
            <w:r>
              <w:rPr>
                <w:color w:val="000000"/>
                <w:sz w:val="22"/>
                <w:lang w:bidi="ar"/>
              </w:rPr>
              <w:t>1</w:t>
            </w:r>
          </w:p>
        </w:tc>
        <w:tc>
          <w:tcPr>
            <w:tcW w:w="750"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cs="宋体"/>
                <w:color w:val="000000"/>
                <w:sz w:val="18"/>
                <w:szCs w:val="18"/>
              </w:rPr>
            </w:pPr>
            <w:r>
              <w:rPr>
                <w:rFonts w:hint="eastAsia" w:ascii="方正仿宋_GBK" w:hAnsi="方正仿宋_GBK" w:eastAsia="方正仿宋_GBK" w:cs="方正仿宋_GBK"/>
                <w:color w:val="000000"/>
                <w:sz w:val="18"/>
                <w:szCs w:val="18"/>
                <w:lang w:bidi="ar"/>
              </w:rPr>
              <w:t>高层建筑消防安全”除险清患”整治经费</w:t>
            </w: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整改高层建筑消防用水楼盘</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ascii="Times New Roman" w:hAnsi="Times New Roman" w:eastAsia="方正仿宋_GBK" w:cs="宋体"/>
                <w:color w:val="000000"/>
                <w:sz w:val="18"/>
                <w:szCs w:val="18"/>
              </w:rPr>
            </w:pPr>
            <w:r>
              <w:rPr>
                <w:rFonts w:ascii="方正仿宋_GBK" w:hAnsi="Times New Roman" w:eastAsia="方正仿宋_GBK" w:cs="宋体"/>
                <w:color w:val="000000"/>
                <w:sz w:val="18"/>
                <w:szCs w:val="18"/>
              </w:rPr>
              <w:t>≥</w:t>
            </w:r>
          </w:p>
        </w:tc>
        <w:tc>
          <w:tcPr>
            <w:tcW w:w="91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3</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jc w:val="both"/>
              <w:textAlignment w:val="center"/>
              <w:rPr>
                <w:rFonts w:cs="宋体"/>
                <w:color w:val="000000"/>
                <w:sz w:val="18"/>
                <w:szCs w:val="18"/>
              </w:rPr>
            </w:pPr>
            <w:r>
              <w:rPr>
                <w:rFonts w:hint="eastAsia" w:cs="宋体"/>
                <w:i w:val="0"/>
                <w:color w:val="000000"/>
                <w:kern w:val="0"/>
                <w:sz w:val="22"/>
                <w:szCs w:val="22"/>
                <w:u w:val="none"/>
                <w:lang w:val="en-US" w:eastAsia="zh-CN" w:bidi="ar"/>
              </w:rPr>
              <w:t>座</w:t>
            </w:r>
            <w:r>
              <w:rPr>
                <w:rFonts w:hint="eastAsia" w:ascii="宋体" w:hAnsi="宋体" w:eastAsia="宋体" w:cs="宋体"/>
                <w:i w:val="0"/>
                <w:color w:val="000000"/>
                <w:kern w:val="0"/>
                <w:sz w:val="22"/>
                <w:szCs w:val="22"/>
                <w:u w:val="none"/>
                <w:lang w:val="en-US" w:eastAsia="zh-CN" w:bidi="ar"/>
              </w:rPr>
              <w:t>（处）</w:t>
            </w:r>
          </w:p>
        </w:tc>
        <w:tc>
          <w:tcPr>
            <w:tcW w:w="7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ascii="Times New Roman" w:hAnsi="Times New Roman" w:eastAsia="方正仿宋_GBK" w:cs="宋体"/>
                <w:color w:val="000000"/>
                <w:sz w:val="18"/>
                <w:szCs w:val="18"/>
              </w:rPr>
            </w:pPr>
            <w:r>
              <w:rPr>
                <w:rFonts w:hint="eastAsia" w:ascii="宋体" w:hAnsi="宋体" w:eastAsia="宋体" w:cs="宋体"/>
                <w:i w:val="0"/>
                <w:color w:val="000000"/>
                <w:kern w:val="0"/>
                <w:sz w:val="22"/>
                <w:szCs w:val="22"/>
                <w:u w:val="none"/>
                <w:lang w:val="en-US" w:eastAsia="zh-CN" w:bidi="ar"/>
              </w:rPr>
              <w:t>30</w:t>
            </w:r>
          </w:p>
        </w:tc>
        <w:tc>
          <w:tcPr>
            <w:tcW w:w="9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ascii="Times New Roman" w:hAnsi="Times New Roman" w:eastAsia="方正仿宋_GBK" w:cs="宋体"/>
                <w:color w:val="000000"/>
                <w:sz w:val="18"/>
                <w:szCs w:val="18"/>
              </w:rPr>
            </w:pPr>
            <w:r>
              <w:rPr>
                <w:rFonts w:hint="eastAsia" w:ascii="宋体" w:hAnsi="宋体" w:eastAsia="宋体" w:cs="宋体"/>
                <w:i w:val="0"/>
                <w:color w:val="000000"/>
                <w:kern w:val="0"/>
                <w:sz w:val="22"/>
                <w:szCs w:val="22"/>
                <w:u w:val="none"/>
                <w:lang w:val="en-US" w:eastAsia="zh-CN" w:bidi="ar"/>
              </w:rPr>
              <w:t>2</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ascii="Times New Roman" w:hAnsi="Times New Roman" w:eastAsia="方正仿宋_GBK" w:cs="宋体"/>
                <w:color w:val="000000"/>
                <w:sz w:val="18"/>
                <w:szCs w:val="18"/>
              </w:rPr>
            </w:pPr>
            <w:r>
              <w:rPr>
                <w:rFonts w:hint="eastAsia" w:ascii="宋体" w:hAnsi="宋体" w:eastAsia="宋体" w:cs="宋体"/>
                <w:i w:val="0"/>
                <w:color w:val="000000"/>
                <w:kern w:val="0"/>
                <w:sz w:val="22"/>
                <w:szCs w:val="22"/>
                <w:u w:val="none"/>
                <w:lang w:val="en-US" w:eastAsia="zh-CN" w:bidi="ar"/>
              </w:rPr>
              <w:t>0</w:t>
            </w:r>
          </w:p>
        </w:tc>
        <w:tc>
          <w:tcPr>
            <w:tcW w:w="7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cs="宋体"/>
                <w:color w:val="000000"/>
                <w:sz w:val="18"/>
                <w:szCs w:val="18"/>
              </w:rPr>
            </w:pPr>
          </w:p>
        </w:tc>
        <w:tc>
          <w:tcPr>
            <w:tcW w:w="1268"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cs="宋体"/>
                <w:color w:val="000000"/>
                <w:sz w:val="18"/>
                <w:szCs w:val="18"/>
              </w:rPr>
            </w:pPr>
            <w:r>
              <w:rPr>
                <w:rFonts w:cs="宋体"/>
                <w:color w:val="000000"/>
                <w:sz w:val="18"/>
                <w:szCs w:val="18"/>
              </w:rPr>
              <w:t>90</w:t>
            </w:r>
          </w:p>
        </w:tc>
      </w:tr>
      <w:tr>
        <w:tblPrEx>
          <w:tblLayout w:type="fixed"/>
          <w:tblCellMar>
            <w:top w:w="0" w:type="dxa"/>
            <w:left w:w="108" w:type="dxa"/>
            <w:bottom w:w="0" w:type="dxa"/>
            <w:right w:w="108" w:type="dxa"/>
          </w:tblCellMar>
        </w:tblPrEx>
        <w:trPr>
          <w:gridAfter w:val="1"/>
          <w:wAfter w:w="267" w:type="dxa"/>
          <w:trHeight w:val="432" w:hRule="atLeast"/>
        </w:trPr>
        <w:tc>
          <w:tcPr>
            <w:tcW w:w="600"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textAlignment w:val="center"/>
              <w:rPr>
                <w:color w:val="000000"/>
                <w:sz w:val="22"/>
              </w:rPr>
            </w:pPr>
          </w:p>
        </w:tc>
        <w:tc>
          <w:tcPr>
            <w:tcW w:w="750"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cs="宋体"/>
                <w:color w:val="000000"/>
                <w:sz w:val="18"/>
                <w:szCs w:val="18"/>
              </w:rPr>
            </w:pP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消防验收合格率</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ascii="方正仿宋_GBK" w:hAnsi="Times New Roman" w:eastAsia="方正仿宋_GBK" w:cs="宋体"/>
                <w:color w:val="000000"/>
                <w:sz w:val="18"/>
                <w:szCs w:val="18"/>
              </w:rPr>
            </w:pPr>
            <w:r>
              <w:rPr>
                <w:rFonts w:ascii="方正仿宋_GBK" w:hAnsi="Times New Roman" w:eastAsia="方正仿宋_GBK" w:cs="宋体"/>
                <w:color w:val="000000"/>
                <w:sz w:val="18"/>
                <w:szCs w:val="18"/>
              </w:rPr>
              <w:t>≥</w:t>
            </w:r>
          </w:p>
        </w:tc>
        <w:tc>
          <w:tcPr>
            <w:tcW w:w="91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100</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w:t>
            </w:r>
          </w:p>
        </w:tc>
        <w:tc>
          <w:tcPr>
            <w:tcW w:w="7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ascii="Times New Roman" w:hAnsi="Times New Roman" w:eastAsia="方正仿宋_GBK" w:cs="宋体"/>
                <w:color w:val="000000"/>
                <w:sz w:val="18"/>
                <w:szCs w:val="18"/>
              </w:rPr>
            </w:pPr>
            <w:r>
              <w:rPr>
                <w:rFonts w:hint="eastAsia" w:ascii="宋体" w:hAnsi="宋体" w:eastAsia="宋体" w:cs="宋体"/>
                <w:i w:val="0"/>
                <w:color w:val="000000"/>
                <w:kern w:val="0"/>
                <w:sz w:val="22"/>
                <w:szCs w:val="22"/>
                <w:u w:val="none"/>
                <w:lang w:val="en-US" w:eastAsia="zh-CN" w:bidi="ar"/>
              </w:rPr>
              <w:t>20</w:t>
            </w:r>
          </w:p>
        </w:tc>
        <w:tc>
          <w:tcPr>
            <w:tcW w:w="9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ascii="Times New Roman" w:hAnsi="Times New Roman" w:eastAsia="方正仿宋_GBK" w:cs="宋体"/>
                <w:color w:val="000000"/>
                <w:sz w:val="18"/>
                <w:szCs w:val="18"/>
              </w:rPr>
            </w:pPr>
            <w:r>
              <w:rPr>
                <w:rFonts w:hint="eastAsia" w:ascii="宋体" w:hAnsi="宋体" w:eastAsia="宋体" w:cs="宋体"/>
                <w:i w:val="0"/>
                <w:color w:val="000000"/>
                <w:kern w:val="0"/>
                <w:sz w:val="22"/>
                <w:szCs w:val="22"/>
                <w:u w:val="none"/>
                <w:lang w:val="en-US" w:eastAsia="zh-CN" w:bidi="ar"/>
              </w:rPr>
              <w:t>100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ascii="Times New Roman" w:hAnsi="Times New Roman" w:eastAsia="方正仿宋_GBK" w:cs="宋体"/>
                <w:color w:val="000000"/>
                <w:sz w:val="18"/>
                <w:szCs w:val="18"/>
              </w:rPr>
            </w:pPr>
            <w:r>
              <w:rPr>
                <w:rFonts w:hint="eastAsia" w:ascii="宋体" w:hAnsi="宋体" w:eastAsia="宋体" w:cs="宋体"/>
                <w:i w:val="0"/>
                <w:color w:val="000000"/>
                <w:kern w:val="0"/>
                <w:sz w:val="22"/>
                <w:szCs w:val="22"/>
                <w:u w:val="none"/>
                <w:lang w:val="en-US" w:eastAsia="zh-CN" w:bidi="ar"/>
              </w:rPr>
              <w:t>20</w:t>
            </w:r>
          </w:p>
        </w:tc>
        <w:tc>
          <w:tcPr>
            <w:tcW w:w="7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cs="宋体"/>
                <w:color w:val="000000"/>
                <w:sz w:val="18"/>
                <w:szCs w:val="18"/>
              </w:rPr>
            </w:pPr>
          </w:p>
        </w:tc>
        <w:tc>
          <w:tcPr>
            <w:tcW w:w="1268"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cs="宋体"/>
                <w:color w:val="000000"/>
                <w:sz w:val="18"/>
                <w:szCs w:val="18"/>
              </w:rPr>
            </w:pPr>
          </w:p>
        </w:tc>
      </w:tr>
      <w:tr>
        <w:tblPrEx>
          <w:tblLayout w:type="fixed"/>
          <w:tblCellMar>
            <w:top w:w="0" w:type="dxa"/>
            <w:left w:w="108" w:type="dxa"/>
            <w:bottom w:w="0" w:type="dxa"/>
            <w:right w:w="108" w:type="dxa"/>
          </w:tblCellMar>
        </w:tblPrEx>
        <w:trPr>
          <w:gridAfter w:val="1"/>
          <w:wAfter w:w="267" w:type="dxa"/>
          <w:trHeight w:val="432" w:hRule="atLeast"/>
        </w:trPr>
        <w:tc>
          <w:tcPr>
            <w:tcW w:w="600"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textAlignment w:val="center"/>
              <w:rPr>
                <w:color w:val="000000"/>
                <w:sz w:val="22"/>
              </w:rPr>
            </w:pPr>
          </w:p>
        </w:tc>
        <w:tc>
          <w:tcPr>
            <w:tcW w:w="750"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cs="宋体"/>
                <w:color w:val="000000"/>
                <w:sz w:val="18"/>
                <w:szCs w:val="18"/>
              </w:rPr>
            </w:pP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按比选合同价款</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ascii="方正仿宋_GBK" w:hAnsi="Times New Roman" w:eastAsia="方正仿宋_GBK" w:cs="宋体"/>
                <w:color w:val="000000"/>
                <w:sz w:val="18"/>
                <w:szCs w:val="18"/>
              </w:rPr>
            </w:pPr>
            <w:r>
              <w:rPr>
                <w:rFonts w:ascii="方正仿宋_GBK" w:hAnsi="Times New Roman" w:eastAsia="方正仿宋_GBK" w:cs="宋体"/>
                <w:color w:val="000000"/>
                <w:sz w:val="18"/>
                <w:szCs w:val="18"/>
              </w:rPr>
              <w:t>≥</w:t>
            </w:r>
          </w:p>
        </w:tc>
        <w:tc>
          <w:tcPr>
            <w:tcW w:w="91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50</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万元</w:t>
            </w:r>
          </w:p>
        </w:tc>
        <w:tc>
          <w:tcPr>
            <w:tcW w:w="7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ascii="Times New Roman" w:hAnsi="Times New Roman" w:eastAsia="方正仿宋_GBK" w:cs="宋体"/>
                <w:color w:val="000000"/>
                <w:sz w:val="18"/>
                <w:szCs w:val="18"/>
              </w:rPr>
            </w:pPr>
            <w:r>
              <w:rPr>
                <w:rFonts w:hint="eastAsia" w:ascii="宋体" w:hAnsi="宋体" w:eastAsia="宋体" w:cs="宋体"/>
                <w:i w:val="0"/>
                <w:color w:val="000000"/>
                <w:kern w:val="0"/>
                <w:sz w:val="22"/>
                <w:szCs w:val="22"/>
                <w:u w:val="none"/>
                <w:lang w:val="en-US" w:eastAsia="zh-CN" w:bidi="ar"/>
              </w:rPr>
              <w:t>10</w:t>
            </w:r>
          </w:p>
        </w:tc>
        <w:tc>
          <w:tcPr>
            <w:tcW w:w="9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ascii="Times New Roman" w:hAnsi="Times New Roman" w:eastAsia="方正仿宋_GBK" w:cs="宋体"/>
                <w:color w:val="000000"/>
                <w:sz w:val="18"/>
                <w:szCs w:val="18"/>
              </w:rPr>
            </w:pPr>
            <w:r>
              <w:rPr>
                <w:rFonts w:hint="eastAsia" w:ascii="宋体" w:hAnsi="宋体" w:eastAsia="宋体" w:cs="宋体"/>
                <w:i w:val="0"/>
                <w:color w:val="000000"/>
                <w:kern w:val="0"/>
                <w:sz w:val="22"/>
                <w:szCs w:val="22"/>
                <w:u w:val="none"/>
                <w:lang w:val="en-US" w:eastAsia="zh-CN" w:bidi="ar"/>
              </w:rPr>
              <w:t>50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ascii="Times New Roman" w:hAnsi="Times New Roman" w:eastAsia="方正仿宋_GBK" w:cs="宋体"/>
                <w:color w:val="000000"/>
                <w:sz w:val="18"/>
                <w:szCs w:val="18"/>
              </w:rPr>
            </w:pPr>
            <w:r>
              <w:rPr>
                <w:rFonts w:hint="eastAsia" w:ascii="宋体" w:hAnsi="宋体" w:eastAsia="宋体" w:cs="宋体"/>
                <w:i w:val="0"/>
                <w:color w:val="000000"/>
                <w:kern w:val="0"/>
                <w:sz w:val="22"/>
                <w:szCs w:val="22"/>
                <w:u w:val="none"/>
                <w:lang w:val="en-US" w:eastAsia="zh-CN" w:bidi="ar"/>
              </w:rPr>
              <w:t>10</w:t>
            </w:r>
          </w:p>
        </w:tc>
        <w:tc>
          <w:tcPr>
            <w:tcW w:w="7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cs="宋体"/>
                <w:color w:val="000000"/>
                <w:sz w:val="18"/>
                <w:szCs w:val="18"/>
              </w:rPr>
            </w:pPr>
          </w:p>
        </w:tc>
        <w:tc>
          <w:tcPr>
            <w:tcW w:w="1268"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cs="宋体"/>
                <w:color w:val="000000"/>
                <w:sz w:val="18"/>
                <w:szCs w:val="18"/>
              </w:rPr>
            </w:pPr>
          </w:p>
        </w:tc>
      </w:tr>
      <w:tr>
        <w:tblPrEx>
          <w:tblLayout w:type="fixed"/>
          <w:tblCellMar>
            <w:top w:w="0" w:type="dxa"/>
            <w:left w:w="108" w:type="dxa"/>
            <w:bottom w:w="0" w:type="dxa"/>
            <w:right w:w="108" w:type="dxa"/>
          </w:tblCellMar>
        </w:tblPrEx>
        <w:trPr>
          <w:gridAfter w:val="1"/>
          <w:wAfter w:w="267" w:type="dxa"/>
          <w:trHeight w:val="432" w:hRule="atLeast"/>
        </w:trPr>
        <w:tc>
          <w:tcPr>
            <w:tcW w:w="600"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textAlignment w:val="center"/>
              <w:rPr>
                <w:color w:val="000000"/>
                <w:sz w:val="22"/>
              </w:rPr>
            </w:pPr>
          </w:p>
        </w:tc>
        <w:tc>
          <w:tcPr>
            <w:tcW w:w="750"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cs="宋体"/>
                <w:color w:val="000000"/>
                <w:sz w:val="18"/>
                <w:szCs w:val="18"/>
              </w:rPr>
            </w:pP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sz w:val="18"/>
                <w:szCs w:val="18"/>
              </w:rPr>
            </w:pPr>
            <w:r>
              <w:rPr>
                <w:rFonts w:hint="eastAsia" w:ascii="宋体" w:hAnsi="宋体" w:eastAsia="宋体" w:cs="宋体"/>
                <w:i w:val="0"/>
                <w:color w:val="000000"/>
                <w:kern w:val="0"/>
                <w:sz w:val="22"/>
                <w:szCs w:val="22"/>
                <w:u w:val="none"/>
                <w:lang w:val="en-US" w:eastAsia="zh-CN" w:bidi="ar"/>
              </w:rPr>
              <w:t>源头上遏制消防安全管控</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ascii="方正仿宋_GBK" w:hAnsi="Times New Roman" w:eastAsia="方正仿宋_GBK" w:cs="宋体"/>
                <w:color w:val="000000"/>
                <w:sz w:val="18"/>
                <w:szCs w:val="18"/>
              </w:rPr>
            </w:pPr>
            <w:r>
              <w:rPr>
                <w:rFonts w:ascii="方正仿宋_GBK" w:hAnsi="Times New Roman" w:eastAsia="方正仿宋_GBK" w:cs="宋体"/>
                <w:color w:val="000000"/>
                <w:sz w:val="18"/>
                <w:szCs w:val="18"/>
              </w:rPr>
              <w:t>≥</w:t>
            </w:r>
          </w:p>
        </w:tc>
        <w:tc>
          <w:tcPr>
            <w:tcW w:w="91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ascii="Times New Roman" w:hAnsi="Times New Roman" w:eastAsia="方正仿宋_GBK" w:cs="宋体"/>
                <w:color w:val="000000"/>
                <w:sz w:val="18"/>
                <w:szCs w:val="18"/>
              </w:rPr>
            </w:pPr>
            <w:r>
              <w:rPr>
                <w:rFonts w:hint="eastAsia" w:ascii="宋体" w:hAnsi="宋体" w:eastAsia="宋体" w:cs="宋体"/>
                <w:i w:val="0"/>
                <w:color w:val="000000"/>
                <w:kern w:val="0"/>
                <w:sz w:val="22"/>
                <w:szCs w:val="22"/>
                <w:u w:val="none"/>
                <w:lang w:val="en-US" w:eastAsia="zh-CN" w:bidi="ar"/>
              </w:rPr>
              <w:t>100</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w:t>
            </w:r>
          </w:p>
        </w:tc>
        <w:tc>
          <w:tcPr>
            <w:tcW w:w="7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ascii="Times New Roman" w:hAnsi="Times New Roman" w:eastAsia="方正仿宋_GBK" w:cs="宋体"/>
                <w:color w:val="000000"/>
                <w:sz w:val="18"/>
                <w:szCs w:val="18"/>
              </w:rPr>
            </w:pPr>
            <w:r>
              <w:rPr>
                <w:rFonts w:hint="eastAsia" w:ascii="宋体" w:hAnsi="宋体" w:eastAsia="宋体" w:cs="宋体"/>
                <w:i w:val="0"/>
                <w:color w:val="000000"/>
                <w:kern w:val="0"/>
                <w:sz w:val="22"/>
                <w:szCs w:val="22"/>
                <w:u w:val="none"/>
                <w:lang w:val="en-US" w:eastAsia="zh-CN" w:bidi="ar"/>
              </w:rPr>
              <w:t>20</w:t>
            </w:r>
          </w:p>
        </w:tc>
        <w:tc>
          <w:tcPr>
            <w:tcW w:w="9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ascii="Times New Roman" w:hAnsi="Times New Roman" w:eastAsia="方正仿宋_GBK" w:cs="宋体"/>
                <w:color w:val="000000"/>
                <w:sz w:val="18"/>
                <w:szCs w:val="18"/>
              </w:rPr>
            </w:pPr>
            <w:r>
              <w:rPr>
                <w:rFonts w:hint="eastAsia" w:ascii="宋体" w:hAnsi="宋体" w:eastAsia="宋体" w:cs="宋体"/>
                <w:i w:val="0"/>
                <w:color w:val="000000"/>
                <w:kern w:val="0"/>
                <w:sz w:val="22"/>
                <w:szCs w:val="22"/>
                <w:u w:val="none"/>
                <w:lang w:val="en-US" w:eastAsia="zh-CN" w:bidi="ar"/>
              </w:rPr>
              <w:t>100</w:t>
            </w:r>
          </w:p>
        </w:tc>
        <w:tc>
          <w:tcPr>
            <w:tcW w:w="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ascii="Times New Roman" w:hAnsi="Times New Roman" w:eastAsia="方正仿宋_GBK" w:cs="宋体"/>
                <w:color w:val="000000"/>
                <w:sz w:val="18"/>
                <w:szCs w:val="18"/>
              </w:rPr>
            </w:pPr>
            <w:r>
              <w:rPr>
                <w:rFonts w:hint="eastAsia" w:ascii="宋体" w:hAnsi="宋体" w:eastAsia="宋体" w:cs="宋体"/>
                <w:i w:val="0"/>
                <w:color w:val="000000"/>
                <w:kern w:val="0"/>
                <w:sz w:val="22"/>
                <w:szCs w:val="22"/>
                <w:u w:val="none"/>
                <w:lang w:val="en-US" w:eastAsia="zh-CN" w:bidi="ar"/>
              </w:rPr>
              <w:t>20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pPr>
            <w:r>
              <w:rPr>
                <w:rFonts w:hint="eastAsia" w:ascii="宋体" w:hAnsi="宋体" w:eastAsia="宋体" w:cs="宋体"/>
                <w:i w:val="0"/>
                <w:color w:val="000000"/>
                <w:kern w:val="0"/>
                <w:sz w:val="22"/>
                <w:szCs w:val="22"/>
                <w:u w:val="none"/>
                <w:lang w:val="en-US" w:eastAsia="zh-CN" w:bidi="ar"/>
              </w:rPr>
              <w:t>20</w:t>
            </w:r>
          </w:p>
        </w:tc>
        <w:tc>
          <w:tcPr>
            <w:tcW w:w="7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cs="宋体"/>
                <w:color w:val="000000"/>
                <w:sz w:val="18"/>
                <w:szCs w:val="18"/>
              </w:rPr>
            </w:pPr>
          </w:p>
        </w:tc>
        <w:tc>
          <w:tcPr>
            <w:tcW w:w="126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cs="宋体"/>
                <w:color w:val="000000"/>
                <w:sz w:val="18"/>
                <w:szCs w:val="18"/>
              </w:rPr>
            </w:pPr>
          </w:p>
        </w:tc>
      </w:tr>
      <w:tr>
        <w:tblPrEx>
          <w:tblLayout w:type="fixed"/>
          <w:tblCellMar>
            <w:top w:w="0" w:type="dxa"/>
            <w:left w:w="108" w:type="dxa"/>
            <w:bottom w:w="0" w:type="dxa"/>
            <w:right w:w="108" w:type="dxa"/>
          </w:tblCellMar>
        </w:tblPrEx>
        <w:trPr>
          <w:gridAfter w:val="1"/>
          <w:wAfter w:w="267" w:type="dxa"/>
          <w:trHeight w:val="432" w:hRule="atLeast"/>
        </w:trPr>
        <w:tc>
          <w:tcPr>
            <w:tcW w:w="600"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textAlignment w:val="center"/>
              <w:rPr>
                <w:color w:val="000000"/>
                <w:sz w:val="22"/>
              </w:rPr>
            </w:pPr>
          </w:p>
        </w:tc>
        <w:tc>
          <w:tcPr>
            <w:tcW w:w="750"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cs="宋体"/>
                <w:color w:val="000000"/>
                <w:sz w:val="18"/>
                <w:szCs w:val="18"/>
              </w:rPr>
            </w:pP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sz w:val="18"/>
                <w:szCs w:val="18"/>
              </w:rPr>
            </w:pPr>
            <w:r>
              <w:rPr>
                <w:rFonts w:hint="eastAsia" w:ascii="宋体" w:hAnsi="宋体" w:eastAsia="宋体" w:cs="宋体"/>
                <w:i w:val="0"/>
                <w:color w:val="000000"/>
                <w:kern w:val="0"/>
                <w:sz w:val="22"/>
                <w:szCs w:val="22"/>
                <w:u w:val="none"/>
                <w:lang w:val="en-US" w:eastAsia="zh-CN" w:bidi="ar"/>
              </w:rPr>
              <w:t>抽查项目楼盘满意度</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ascii="方正仿宋_GBK" w:hAnsi="Times New Roman" w:eastAsia="方正仿宋_GBK" w:cs="宋体"/>
                <w:color w:val="000000"/>
                <w:sz w:val="18"/>
                <w:szCs w:val="18"/>
              </w:rPr>
            </w:pPr>
            <w:r>
              <w:rPr>
                <w:rFonts w:ascii="方正仿宋_GBK" w:hAnsi="Times New Roman" w:eastAsia="方正仿宋_GBK" w:cs="宋体"/>
                <w:color w:val="000000"/>
                <w:sz w:val="18"/>
                <w:szCs w:val="18"/>
              </w:rPr>
              <w:t>≥</w:t>
            </w:r>
          </w:p>
        </w:tc>
        <w:tc>
          <w:tcPr>
            <w:tcW w:w="91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ascii="Times New Roman" w:hAnsi="Times New Roman" w:eastAsia="方正仿宋_GBK" w:cs="宋体"/>
                <w:color w:val="000000"/>
                <w:sz w:val="18"/>
                <w:szCs w:val="18"/>
              </w:rPr>
            </w:pPr>
            <w:r>
              <w:rPr>
                <w:rFonts w:hint="eastAsia" w:ascii="宋体" w:hAnsi="宋体" w:eastAsia="宋体" w:cs="宋体"/>
                <w:i w:val="0"/>
                <w:color w:val="000000"/>
                <w:kern w:val="0"/>
                <w:sz w:val="22"/>
                <w:szCs w:val="22"/>
                <w:u w:val="none"/>
                <w:lang w:val="en-US" w:eastAsia="zh-CN" w:bidi="ar"/>
              </w:rPr>
              <w:t>100</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w:t>
            </w:r>
          </w:p>
        </w:tc>
        <w:tc>
          <w:tcPr>
            <w:tcW w:w="7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ascii="Times New Roman" w:hAnsi="Times New Roman" w:eastAsia="方正仿宋_GBK" w:cs="宋体"/>
                <w:color w:val="000000"/>
                <w:sz w:val="18"/>
                <w:szCs w:val="18"/>
              </w:rPr>
            </w:pPr>
            <w:r>
              <w:rPr>
                <w:rFonts w:hint="eastAsia" w:ascii="宋体" w:hAnsi="宋体" w:eastAsia="宋体" w:cs="宋体"/>
                <w:i w:val="0"/>
                <w:color w:val="000000"/>
                <w:kern w:val="0"/>
                <w:sz w:val="22"/>
                <w:szCs w:val="22"/>
                <w:u w:val="none"/>
                <w:lang w:val="en-US" w:eastAsia="zh-CN" w:bidi="ar"/>
              </w:rPr>
              <w:t>10</w:t>
            </w:r>
          </w:p>
        </w:tc>
        <w:tc>
          <w:tcPr>
            <w:tcW w:w="9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ascii="Times New Roman" w:hAnsi="Times New Roman" w:eastAsia="方正仿宋_GBK" w:cs="宋体"/>
                <w:color w:val="000000"/>
                <w:sz w:val="18"/>
                <w:szCs w:val="18"/>
              </w:rPr>
            </w:pPr>
            <w:r>
              <w:rPr>
                <w:rFonts w:hint="eastAsia" w:ascii="宋体" w:hAnsi="宋体" w:eastAsia="宋体" w:cs="宋体"/>
                <w:i w:val="0"/>
                <w:color w:val="000000"/>
                <w:kern w:val="0"/>
                <w:sz w:val="22"/>
                <w:szCs w:val="22"/>
                <w:u w:val="none"/>
                <w:lang w:val="en-US" w:eastAsia="zh-CN" w:bidi="ar"/>
              </w:rPr>
              <w:t>100</w:t>
            </w:r>
          </w:p>
        </w:tc>
        <w:tc>
          <w:tcPr>
            <w:tcW w:w="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ascii="Times New Roman" w:hAnsi="Times New Roman" w:eastAsia="方正仿宋_GBK" w:cs="宋体"/>
                <w:color w:val="000000"/>
                <w:sz w:val="18"/>
                <w:szCs w:val="18"/>
              </w:rPr>
            </w:pPr>
            <w:r>
              <w:rPr>
                <w:rFonts w:hint="eastAsia" w:ascii="宋体" w:hAnsi="宋体" w:eastAsia="宋体" w:cs="宋体"/>
                <w:i w:val="0"/>
                <w:color w:val="000000"/>
                <w:kern w:val="0"/>
                <w:sz w:val="22"/>
                <w:szCs w:val="22"/>
                <w:u w:val="none"/>
                <w:lang w:val="en-US" w:eastAsia="zh-CN" w:bidi="ar"/>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pPr>
            <w:r>
              <w:rPr>
                <w:rFonts w:hint="eastAsia" w:ascii="宋体" w:hAnsi="宋体" w:eastAsia="宋体" w:cs="宋体"/>
                <w:i w:val="0"/>
                <w:color w:val="000000"/>
                <w:kern w:val="0"/>
                <w:sz w:val="22"/>
                <w:szCs w:val="22"/>
                <w:u w:val="none"/>
                <w:lang w:val="en-US" w:eastAsia="zh-CN" w:bidi="ar"/>
              </w:rPr>
              <w:t>10</w:t>
            </w:r>
          </w:p>
        </w:tc>
        <w:tc>
          <w:tcPr>
            <w:tcW w:w="7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cs="宋体"/>
                <w:color w:val="000000"/>
                <w:sz w:val="18"/>
                <w:szCs w:val="18"/>
              </w:rPr>
            </w:pPr>
          </w:p>
        </w:tc>
        <w:tc>
          <w:tcPr>
            <w:tcW w:w="126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cs="宋体"/>
                <w:color w:val="000000"/>
                <w:sz w:val="18"/>
                <w:szCs w:val="18"/>
              </w:rPr>
            </w:pPr>
          </w:p>
        </w:tc>
      </w:tr>
      <w:tr>
        <w:tblPrEx>
          <w:tblLayout w:type="fixed"/>
          <w:tblCellMar>
            <w:top w:w="0" w:type="dxa"/>
            <w:left w:w="108" w:type="dxa"/>
            <w:bottom w:w="0" w:type="dxa"/>
            <w:right w:w="108" w:type="dxa"/>
          </w:tblCellMar>
        </w:tblPrEx>
        <w:trPr>
          <w:gridAfter w:val="1"/>
          <w:wAfter w:w="267" w:type="dxa"/>
          <w:trHeight w:val="432" w:hRule="atLeast"/>
        </w:trPr>
        <w:tc>
          <w:tcPr>
            <w:tcW w:w="600"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textAlignment w:val="center"/>
              <w:rPr>
                <w:color w:val="000000"/>
                <w:sz w:val="22"/>
              </w:rPr>
            </w:pPr>
            <w:r>
              <w:rPr>
                <w:color w:val="000000"/>
                <w:sz w:val="22"/>
                <w:lang w:bidi="ar"/>
              </w:rPr>
              <w:t>2</w:t>
            </w:r>
          </w:p>
        </w:tc>
        <w:tc>
          <w:tcPr>
            <w:tcW w:w="750"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cs="宋体"/>
                <w:color w:val="000000"/>
                <w:sz w:val="18"/>
                <w:szCs w:val="18"/>
              </w:rPr>
            </w:pPr>
            <w:r>
              <w:rPr>
                <w:rFonts w:hint="eastAsia" w:cs="宋体"/>
                <w:color w:val="000000"/>
                <w:sz w:val="18"/>
                <w:szCs w:val="18"/>
              </w:rPr>
              <w:t>超长期国债（秀山县建筑装修垃圾资源化处置服务中心项目）</w:t>
            </w: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建筑垃圾处理量</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w:t>
            </w:r>
          </w:p>
        </w:tc>
        <w:tc>
          <w:tcPr>
            <w:tcW w:w="91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15</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万吨</w:t>
            </w:r>
          </w:p>
        </w:tc>
        <w:tc>
          <w:tcPr>
            <w:tcW w:w="7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40</w:t>
            </w:r>
          </w:p>
        </w:tc>
        <w:tc>
          <w:tcPr>
            <w:tcW w:w="9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15</w:t>
            </w:r>
          </w:p>
        </w:tc>
        <w:tc>
          <w:tcPr>
            <w:tcW w:w="78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40</w:t>
            </w:r>
          </w:p>
        </w:tc>
        <w:tc>
          <w:tcPr>
            <w:tcW w:w="7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cs="宋体"/>
                <w:color w:val="000000"/>
                <w:sz w:val="18"/>
                <w:szCs w:val="18"/>
              </w:rPr>
            </w:pPr>
          </w:p>
        </w:tc>
        <w:tc>
          <w:tcPr>
            <w:tcW w:w="1268"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cs="宋体"/>
                <w:color w:val="000000"/>
                <w:sz w:val="18"/>
                <w:szCs w:val="18"/>
              </w:rPr>
            </w:pPr>
            <w:r>
              <w:rPr>
                <w:rFonts w:cs="宋体"/>
                <w:color w:val="000000"/>
                <w:sz w:val="18"/>
                <w:szCs w:val="18"/>
              </w:rPr>
              <w:t>90</w:t>
            </w:r>
          </w:p>
        </w:tc>
      </w:tr>
      <w:tr>
        <w:tblPrEx>
          <w:tblLayout w:type="fixed"/>
          <w:tblCellMar>
            <w:top w:w="0" w:type="dxa"/>
            <w:left w:w="108" w:type="dxa"/>
            <w:bottom w:w="0" w:type="dxa"/>
            <w:right w:w="108" w:type="dxa"/>
          </w:tblCellMar>
        </w:tblPrEx>
        <w:trPr>
          <w:gridAfter w:val="1"/>
          <w:wAfter w:w="267" w:type="dxa"/>
          <w:trHeight w:val="432" w:hRule="atLeast"/>
        </w:trPr>
        <w:tc>
          <w:tcPr>
            <w:tcW w:w="600"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textAlignment w:val="center"/>
              <w:rPr>
                <w:color w:val="000000"/>
                <w:sz w:val="22"/>
              </w:rPr>
            </w:pPr>
          </w:p>
        </w:tc>
        <w:tc>
          <w:tcPr>
            <w:tcW w:w="750"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cs="宋体"/>
                <w:color w:val="000000"/>
                <w:sz w:val="18"/>
                <w:szCs w:val="18"/>
              </w:rPr>
            </w:pP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建筑垃圾处理能力和资源利用率</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w:t>
            </w:r>
          </w:p>
        </w:tc>
        <w:tc>
          <w:tcPr>
            <w:tcW w:w="91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85</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w:t>
            </w:r>
          </w:p>
        </w:tc>
        <w:tc>
          <w:tcPr>
            <w:tcW w:w="7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20</w:t>
            </w:r>
          </w:p>
        </w:tc>
        <w:tc>
          <w:tcPr>
            <w:tcW w:w="9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85</w:t>
            </w:r>
          </w:p>
        </w:tc>
        <w:tc>
          <w:tcPr>
            <w:tcW w:w="78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20</w:t>
            </w:r>
          </w:p>
        </w:tc>
        <w:tc>
          <w:tcPr>
            <w:tcW w:w="7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cs="宋体"/>
                <w:color w:val="000000"/>
                <w:sz w:val="18"/>
                <w:szCs w:val="18"/>
              </w:rPr>
            </w:pPr>
          </w:p>
        </w:tc>
        <w:tc>
          <w:tcPr>
            <w:tcW w:w="1268"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cs="宋体"/>
                <w:color w:val="000000"/>
                <w:sz w:val="18"/>
                <w:szCs w:val="18"/>
              </w:rPr>
            </w:pPr>
          </w:p>
        </w:tc>
      </w:tr>
      <w:tr>
        <w:tblPrEx>
          <w:tblLayout w:type="fixed"/>
          <w:tblCellMar>
            <w:top w:w="0" w:type="dxa"/>
            <w:left w:w="108" w:type="dxa"/>
            <w:bottom w:w="0" w:type="dxa"/>
            <w:right w:w="108" w:type="dxa"/>
          </w:tblCellMar>
        </w:tblPrEx>
        <w:trPr>
          <w:gridAfter w:val="1"/>
          <w:wAfter w:w="267" w:type="dxa"/>
          <w:trHeight w:val="432" w:hRule="atLeast"/>
        </w:trPr>
        <w:tc>
          <w:tcPr>
            <w:tcW w:w="600"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textAlignment w:val="center"/>
              <w:rPr>
                <w:color w:val="000000"/>
                <w:sz w:val="22"/>
              </w:rPr>
            </w:pPr>
          </w:p>
        </w:tc>
        <w:tc>
          <w:tcPr>
            <w:tcW w:w="750"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cs="宋体"/>
                <w:color w:val="000000"/>
                <w:sz w:val="18"/>
                <w:szCs w:val="18"/>
              </w:rPr>
            </w:pP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改善周边环境惠及群众</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w:t>
            </w:r>
          </w:p>
        </w:tc>
        <w:tc>
          <w:tcPr>
            <w:tcW w:w="91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1000</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人</w:t>
            </w:r>
          </w:p>
        </w:tc>
        <w:tc>
          <w:tcPr>
            <w:tcW w:w="7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30</w:t>
            </w:r>
          </w:p>
        </w:tc>
        <w:tc>
          <w:tcPr>
            <w:tcW w:w="9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1000</w:t>
            </w:r>
          </w:p>
        </w:tc>
        <w:tc>
          <w:tcPr>
            <w:tcW w:w="78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30</w:t>
            </w:r>
          </w:p>
        </w:tc>
        <w:tc>
          <w:tcPr>
            <w:tcW w:w="7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cs="宋体"/>
                <w:color w:val="000000"/>
                <w:sz w:val="18"/>
                <w:szCs w:val="18"/>
              </w:rPr>
            </w:pPr>
          </w:p>
        </w:tc>
        <w:tc>
          <w:tcPr>
            <w:tcW w:w="1268"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cs="宋体"/>
                <w:color w:val="000000"/>
                <w:sz w:val="18"/>
                <w:szCs w:val="18"/>
              </w:rPr>
            </w:pPr>
          </w:p>
        </w:tc>
      </w:tr>
      <w:tr>
        <w:tblPrEx>
          <w:tblLayout w:type="fixed"/>
          <w:tblCellMar>
            <w:top w:w="0" w:type="dxa"/>
            <w:left w:w="108" w:type="dxa"/>
            <w:bottom w:w="0" w:type="dxa"/>
            <w:right w:w="108" w:type="dxa"/>
          </w:tblCellMar>
        </w:tblPrEx>
        <w:trPr>
          <w:gridAfter w:val="1"/>
          <w:wAfter w:w="267" w:type="dxa"/>
          <w:trHeight w:val="432" w:hRule="atLeast"/>
        </w:trPr>
        <w:tc>
          <w:tcPr>
            <w:tcW w:w="600"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textAlignment w:val="center"/>
              <w:rPr>
                <w:color w:val="000000"/>
                <w:sz w:val="22"/>
              </w:rPr>
            </w:pPr>
            <w:r>
              <w:rPr>
                <w:color w:val="000000"/>
                <w:sz w:val="22"/>
                <w:lang w:bidi="ar"/>
              </w:rPr>
              <w:t>3</w:t>
            </w:r>
          </w:p>
        </w:tc>
        <w:tc>
          <w:tcPr>
            <w:tcW w:w="750"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cs="宋体"/>
                <w:color w:val="000000"/>
                <w:sz w:val="18"/>
                <w:szCs w:val="18"/>
              </w:rPr>
            </w:pPr>
            <w:r>
              <w:rPr>
                <w:rFonts w:hint="eastAsia" w:cs="宋体"/>
                <w:color w:val="000000"/>
                <w:sz w:val="18"/>
                <w:szCs w:val="18"/>
              </w:rPr>
              <w:t>秀山县建制镇配套基础设施提挡升级建设项目</w:t>
            </w: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道路长度</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w:t>
            </w:r>
          </w:p>
        </w:tc>
        <w:tc>
          <w:tcPr>
            <w:tcW w:w="91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4439</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米</w:t>
            </w:r>
          </w:p>
        </w:tc>
        <w:tc>
          <w:tcPr>
            <w:tcW w:w="7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20</w:t>
            </w:r>
          </w:p>
        </w:tc>
        <w:tc>
          <w:tcPr>
            <w:tcW w:w="9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4439</w:t>
            </w:r>
          </w:p>
        </w:tc>
        <w:tc>
          <w:tcPr>
            <w:tcW w:w="78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20</w:t>
            </w:r>
          </w:p>
        </w:tc>
        <w:tc>
          <w:tcPr>
            <w:tcW w:w="7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cs="宋体"/>
                <w:color w:val="000000"/>
                <w:sz w:val="18"/>
                <w:szCs w:val="18"/>
              </w:rPr>
            </w:pPr>
          </w:p>
        </w:tc>
        <w:tc>
          <w:tcPr>
            <w:tcW w:w="1268"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cs="宋体"/>
                <w:color w:val="000000"/>
                <w:sz w:val="18"/>
                <w:szCs w:val="18"/>
              </w:rPr>
            </w:pPr>
            <w:r>
              <w:rPr>
                <w:rFonts w:cs="宋体"/>
                <w:color w:val="000000"/>
                <w:sz w:val="18"/>
                <w:szCs w:val="18"/>
              </w:rPr>
              <w:t>90</w:t>
            </w:r>
          </w:p>
        </w:tc>
      </w:tr>
      <w:tr>
        <w:tblPrEx>
          <w:tblLayout w:type="fixed"/>
          <w:tblCellMar>
            <w:top w:w="0" w:type="dxa"/>
            <w:left w:w="108" w:type="dxa"/>
            <w:bottom w:w="0" w:type="dxa"/>
            <w:right w:w="108" w:type="dxa"/>
          </w:tblCellMar>
        </w:tblPrEx>
        <w:trPr>
          <w:gridAfter w:val="1"/>
          <w:wAfter w:w="267" w:type="dxa"/>
          <w:trHeight w:val="432" w:hRule="atLeast"/>
        </w:trPr>
        <w:tc>
          <w:tcPr>
            <w:tcW w:w="600"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textAlignment w:val="center"/>
              <w:rPr>
                <w:color w:val="000000"/>
                <w:sz w:val="22"/>
              </w:rPr>
            </w:pPr>
          </w:p>
        </w:tc>
        <w:tc>
          <w:tcPr>
            <w:tcW w:w="750"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cs="宋体"/>
                <w:color w:val="000000"/>
                <w:sz w:val="22"/>
              </w:rPr>
            </w:pP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铺设综合管网长度</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w:t>
            </w:r>
          </w:p>
        </w:tc>
        <w:tc>
          <w:tcPr>
            <w:tcW w:w="91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10000</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米</w:t>
            </w:r>
          </w:p>
        </w:tc>
        <w:tc>
          <w:tcPr>
            <w:tcW w:w="7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20</w:t>
            </w:r>
          </w:p>
        </w:tc>
        <w:tc>
          <w:tcPr>
            <w:tcW w:w="9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10000</w:t>
            </w:r>
          </w:p>
        </w:tc>
        <w:tc>
          <w:tcPr>
            <w:tcW w:w="78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20</w:t>
            </w:r>
          </w:p>
        </w:tc>
        <w:tc>
          <w:tcPr>
            <w:tcW w:w="7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cs="宋体"/>
                <w:color w:val="000000"/>
                <w:sz w:val="18"/>
                <w:szCs w:val="18"/>
              </w:rPr>
            </w:pPr>
          </w:p>
        </w:tc>
        <w:tc>
          <w:tcPr>
            <w:tcW w:w="1268"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cs="宋体"/>
                <w:color w:val="000000"/>
                <w:sz w:val="22"/>
              </w:rPr>
            </w:pPr>
          </w:p>
        </w:tc>
      </w:tr>
      <w:tr>
        <w:tblPrEx>
          <w:tblLayout w:type="fixed"/>
          <w:tblCellMar>
            <w:top w:w="0" w:type="dxa"/>
            <w:left w:w="108" w:type="dxa"/>
            <w:bottom w:w="0" w:type="dxa"/>
            <w:right w:w="108" w:type="dxa"/>
          </w:tblCellMar>
        </w:tblPrEx>
        <w:trPr>
          <w:gridAfter w:val="1"/>
          <w:wAfter w:w="267" w:type="dxa"/>
          <w:trHeight w:val="432" w:hRule="atLeast"/>
        </w:trPr>
        <w:tc>
          <w:tcPr>
            <w:tcW w:w="600"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textAlignment w:val="center"/>
              <w:rPr>
                <w:color w:val="000000"/>
                <w:sz w:val="22"/>
              </w:rPr>
            </w:pPr>
          </w:p>
        </w:tc>
        <w:tc>
          <w:tcPr>
            <w:tcW w:w="750"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cs="宋体"/>
                <w:color w:val="000000"/>
                <w:sz w:val="22"/>
              </w:rPr>
            </w:pP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新建停车场面积</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w:t>
            </w:r>
          </w:p>
        </w:tc>
        <w:tc>
          <w:tcPr>
            <w:tcW w:w="91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13200</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平方米</w:t>
            </w:r>
          </w:p>
        </w:tc>
        <w:tc>
          <w:tcPr>
            <w:tcW w:w="7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10</w:t>
            </w:r>
          </w:p>
        </w:tc>
        <w:tc>
          <w:tcPr>
            <w:tcW w:w="9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13200</w:t>
            </w:r>
          </w:p>
        </w:tc>
        <w:tc>
          <w:tcPr>
            <w:tcW w:w="78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10</w:t>
            </w:r>
          </w:p>
        </w:tc>
        <w:tc>
          <w:tcPr>
            <w:tcW w:w="7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cs="宋体"/>
                <w:color w:val="000000"/>
                <w:sz w:val="18"/>
                <w:szCs w:val="18"/>
              </w:rPr>
            </w:pPr>
          </w:p>
        </w:tc>
        <w:tc>
          <w:tcPr>
            <w:tcW w:w="1268"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cs="宋体"/>
                <w:color w:val="000000"/>
                <w:sz w:val="22"/>
              </w:rPr>
            </w:pPr>
          </w:p>
        </w:tc>
      </w:tr>
      <w:tr>
        <w:tblPrEx>
          <w:tblLayout w:type="fixed"/>
          <w:tblCellMar>
            <w:top w:w="0" w:type="dxa"/>
            <w:left w:w="108" w:type="dxa"/>
            <w:bottom w:w="0" w:type="dxa"/>
            <w:right w:w="108" w:type="dxa"/>
          </w:tblCellMar>
        </w:tblPrEx>
        <w:trPr>
          <w:gridAfter w:val="1"/>
          <w:wAfter w:w="267" w:type="dxa"/>
          <w:trHeight w:val="432" w:hRule="atLeast"/>
        </w:trPr>
        <w:tc>
          <w:tcPr>
            <w:tcW w:w="600"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textAlignment w:val="center"/>
              <w:rPr>
                <w:color w:val="000000"/>
                <w:sz w:val="22"/>
              </w:rPr>
            </w:pPr>
          </w:p>
        </w:tc>
        <w:tc>
          <w:tcPr>
            <w:tcW w:w="750"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cs="宋体"/>
                <w:color w:val="000000"/>
                <w:sz w:val="22"/>
              </w:rPr>
            </w:pP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工程验收合格率</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w:t>
            </w:r>
          </w:p>
        </w:tc>
        <w:tc>
          <w:tcPr>
            <w:tcW w:w="91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100</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w:t>
            </w:r>
          </w:p>
        </w:tc>
        <w:tc>
          <w:tcPr>
            <w:tcW w:w="7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10</w:t>
            </w:r>
          </w:p>
        </w:tc>
        <w:tc>
          <w:tcPr>
            <w:tcW w:w="9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100</w:t>
            </w:r>
          </w:p>
        </w:tc>
        <w:tc>
          <w:tcPr>
            <w:tcW w:w="78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color w:val="000000"/>
                <w:sz w:val="18"/>
                <w:szCs w:val="18"/>
              </w:rPr>
            </w:pPr>
            <w:r>
              <w:rPr>
                <w:rFonts w:hint="eastAsia" w:ascii="宋体" w:hAnsi="宋体" w:eastAsia="宋体" w:cs="宋体"/>
                <w:i w:val="0"/>
                <w:color w:val="000000"/>
                <w:kern w:val="0"/>
                <w:sz w:val="22"/>
                <w:szCs w:val="22"/>
                <w:u w:val="none"/>
                <w:lang w:val="en-US" w:eastAsia="zh-CN" w:bidi="ar"/>
              </w:rPr>
              <w:t>10</w:t>
            </w:r>
          </w:p>
        </w:tc>
        <w:tc>
          <w:tcPr>
            <w:tcW w:w="7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cs="宋体"/>
                <w:color w:val="000000"/>
                <w:sz w:val="18"/>
                <w:szCs w:val="18"/>
              </w:rPr>
            </w:pPr>
          </w:p>
        </w:tc>
        <w:tc>
          <w:tcPr>
            <w:tcW w:w="1268"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cs="宋体"/>
                <w:color w:val="000000"/>
                <w:sz w:val="22"/>
              </w:rPr>
            </w:pPr>
          </w:p>
        </w:tc>
      </w:tr>
      <w:tr>
        <w:tblPrEx>
          <w:tblLayout w:type="fixed"/>
          <w:tblCellMar>
            <w:top w:w="0" w:type="dxa"/>
            <w:left w:w="108" w:type="dxa"/>
            <w:bottom w:w="0" w:type="dxa"/>
            <w:right w:w="108" w:type="dxa"/>
          </w:tblCellMar>
        </w:tblPrEx>
        <w:trPr>
          <w:gridAfter w:val="1"/>
          <w:wAfter w:w="267" w:type="dxa"/>
          <w:trHeight w:val="432" w:hRule="atLeast"/>
        </w:trPr>
        <w:tc>
          <w:tcPr>
            <w:tcW w:w="600"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textAlignment w:val="center"/>
              <w:rPr>
                <w:color w:val="000000"/>
                <w:sz w:val="22"/>
              </w:rPr>
            </w:pPr>
          </w:p>
        </w:tc>
        <w:tc>
          <w:tcPr>
            <w:tcW w:w="750"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cs="宋体"/>
                <w:color w:val="000000"/>
                <w:sz w:val="22"/>
              </w:rPr>
            </w:pP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jc w:val="both"/>
              <w:textAlignment w:val="center"/>
              <w:rPr>
                <w:rFonts w:cs="宋体"/>
                <w:color w:val="000000"/>
                <w:sz w:val="22"/>
              </w:rPr>
            </w:pPr>
            <w:r>
              <w:rPr>
                <w:rFonts w:hint="eastAsia" w:ascii="宋体" w:hAnsi="宋体" w:eastAsia="宋体" w:cs="宋体"/>
                <w:i w:val="0"/>
                <w:color w:val="000000"/>
                <w:kern w:val="0"/>
                <w:sz w:val="22"/>
                <w:szCs w:val="22"/>
                <w:u w:val="none"/>
                <w:lang w:val="en-US" w:eastAsia="zh-CN" w:bidi="ar"/>
              </w:rPr>
              <w:t>带动就业人收入</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color w:val="000000"/>
                <w:sz w:val="22"/>
              </w:rPr>
            </w:pPr>
            <w:r>
              <w:rPr>
                <w:rFonts w:hint="eastAsia" w:ascii="宋体" w:hAnsi="宋体" w:eastAsia="宋体" w:cs="宋体"/>
                <w:i w:val="0"/>
                <w:color w:val="000000"/>
                <w:kern w:val="0"/>
                <w:sz w:val="22"/>
                <w:szCs w:val="22"/>
                <w:u w:val="none"/>
                <w:lang w:val="en-US" w:eastAsia="zh-CN" w:bidi="ar"/>
              </w:rPr>
              <w:t>≥</w:t>
            </w:r>
          </w:p>
        </w:tc>
        <w:tc>
          <w:tcPr>
            <w:tcW w:w="91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jc w:val="both"/>
              <w:textAlignment w:val="center"/>
              <w:rPr>
                <w:rFonts w:cs="宋体"/>
                <w:color w:val="000000"/>
                <w:sz w:val="22"/>
              </w:rPr>
            </w:pPr>
            <w:r>
              <w:rPr>
                <w:rFonts w:hint="eastAsia" w:ascii="宋体" w:hAnsi="宋体" w:eastAsia="宋体" w:cs="宋体"/>
                <w:i w:val="0"/>
                <w:color w:val="000000"/>
                <w:kern w:val="0"/>
                <w:sz w:val="22"/>
                <w:szCs w:val="22"/>
                <w:u w:val="none"/>
                <w:lang w:val="en-US" w:eastAsia="zh-CN" w:bidi="ar"/>
              </w:rPr>
              <w:t>120</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jc w:val="both"/>
              <w:textAlignment w:val="center"/>
              <w:rPr>
                <w:rFonts w:cs="宋体"/>
                <w:color w:val="000000"/>
                <w:sz w:val="22"/>
              </w:rPr>
            </w:pPr>
            <w:r>
              <w:rPr>
                <w:rFonts w:hint="eastAsia" w:ascii="宋体" w:hAnsi="宋体" w:eastAsia="宋体" w:cs="宋体"/>
                <w:i w:val="0"/>
                <w:color w:val="000000"/>
                <w:kern w:val="0"/>
                <w:sz w:val="22"/>
                <w:szCs w:val="22"/>
                <w:u w:val="none"/>
                <w:lang w:val="en-US" w:eastAsia="zh-CN" w:bidi="ar"/>
              </w:rPr>
              <w:t>万元</w:t>
            </w:r>
          </w:p>
        </w:tc>
        <w:tc>
          <w:tcPr>
            <w:tcW w:w="7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color w:val="000000"/>
                <w:sz w:val="22"/>
              </w:rPr>
            </w:pPr>
            <w:r>
              <w:rPr>
                <w:rFonts w:hint="eastAsia" w:ascii="宋体" w:hAnsi="宋体" w:eastAsia="宋体" w:cs="宋体"/>
                <w:i w:val="0"/>
                <w:color w:val="000000"/>
                <w:kern w:val="0"/>
                <w:sz w:val="22"/>
                <w:szCs w:val="22"/>
                <w:u w:val="none"/>
                <w:lang w:val="en-US" w:eastAsia="zh-CN" w:bidi="ar"/>
              </w:rPr>
              <w:t>20</w:t>
            </w:r>
          </w:p>
        </w:tc>
        <w:tc>
          <w:tcPr>
            <w:tcW w:w="9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jc w:val="both"/>
              <w:textAlignment w:val="center"/>
              <w:rPr>
                <w:rFonts w:cs="宋体"/>
                <w:color w:val="000000"/>
                <w:sz w:val="22"/>
              </w:rPr>
            </w:pPr>
            <w:r>
              <w:rPr>
                <w:rFonts w:hint="eastAsia" w:ascii="宋体" w:hAnsi="宋体" w:eastAsia="宋体" w:cs="宋体"/>
                <w:i w:val="0"/>
                <w:color w:val="000000"/>
                <w:kern w:val="0"/>
                <w:sz w:val="22"/>
                <w:szCs w:val="22"/>
                <w:u w:val="none"/>
                <w:lang w:val="en-US" w:eastAsia="zh-CN" w:bidi="ar"/>
              </w:rPr>
              <w:t>120</w:t>
            </w:r>
          </w:p>
        </w:tc>
        <w:tc>
          <w:tcPr>
            <w:tcW w:w="78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color w:val="000000"/>
                <w:sz w:val="22"/>
              </w:rPr>
            </w:pPr>
            <w:r>
              <w:rPr>
                <w:rFonts w:hint="eastAsia" w:ascii="宋体" w:hAnsi="宋体" w:eastAsia="宋体" w:cs="宋体"/>
                <w:i w:val="0"/>
                <w:color w:val="000000"/>
                <w:kern w:val="0"/>
                <w:sz w:val="22"/>
                <w:szCs w:val="22"/>
                <w:u w:val="none"/>
                <w:lang w:val="en-US" w:eastAsia="zh-CN" w:bidi="ar"/>
              </w:rPr>
              <w:t>20</w:t>
            </w:r>
          </w:p>
        </w:tc>
        <w:tc>
          <w:tcPr>
            <w:tcW w:w="7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cs="宋体"/>
                <w:color w:val="000000"/>
                <w:sz w:val="22"/>
              </w:rPr>
            </w:pPr>
          </w:p>
        </w:tc>
        <w:tc>
          <w:tcPr>
            <w:tcW w:w="1268"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cs="宋体"/>
                <w:color w:val="000000"/>
                <w:sz w:val="22"/>
              </w:rPr>
            </w:pPr>
          </w:p>
        </w:tc>
      </w:tr>
      <w:tr>
        <w:tblPrEx>
          <w:tblLayout w:type="fixed"/>
          <w:tblCellMar>
            <w:top w:w="0" w:type="dxa"/>
            <w:left w:w="108" w:type="dxa"/>
            <w:bottom w:w="0" w:type="dxa"/>
            <w:right w:w="108" w:type="dxa"/>
          </w:tblCellMar>
        </w:tblPrEx>
        <w:trPr>
          <w:gridAfter w:val="1"/>
          <w:wAfter w:w="267" w:type="dxa"/>
          <w:trHeight w:val="432" w:hRule="atLeast"/>
        </w:trPr>
        <w:tc>
          <w:tcPr>
            <w:tcW w:w="600"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textAlignment w:val="center"/>
              <w:rPr>
                <w:color w:val="000000"/>
                <w:sz w:val="22"/>
              </w:rPr>
            </w:pPr>
          </w:p>
        </w:tc>
        <w:tc>
          <w:tcPr>
            <w:tcW w:w="750"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cs="宋体"/>
                <w:color w:val="000000"/>
                <w:sz w:val="22"/>
              </w:rPr>
            </w:pP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jc w:val="both"/>
              <w:textAlignment w:val="center"/>
              <w:rPr>
                <w:rFonts w:cs="宋体"/>
                <w:color w:val="000000"/>
                <w:sz w:val="22"/>
              </w:rPr>
            </w:pPr>
            <w:r>
              <w:rPr>
                <w:rFonts w:hint="eastAsia" w:ascii="宋体" w:hAnsi="宋体" w:eastAsia="宋体" w:cs="宋体"/>
                <w:i w:val="0"/>
                <w:color w:val="000000"/>
                <w:kern w:val="0"/>
                <w:sz w:val="22"/>
                <w:szCs w:val="22"/>
                <w:u w:val="none"/>
                <w:lang w:val="en-US" w:eastAsia="zh-CN" w:bidi="ar"/>
              </w:rPr>
              <w:t>受益人口满意度</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color w:val="000000"/>
                <w:sz w:val="22"/>
              </w:rPr>
            </w:pPr>
            <w:r>
              <w:rPr>
                <w:rFonts w:hint="eastAsia" w:ascii="宋体" w:hAnsi="宋体" w:eastAsia="宋体" w:cs="宋体"/>
                <w:i w:val="0"/>
                <w:color w:val="000000"/>
                <w:kern w:val="0"/>
                <w:sz w:val="22"/>
                <w:szCs w:val="22"/>
                <w:u w:val="none"/>
                <w:lang w:val="en-US" w:eastAsia="zh-CN" w:bidi="ar"/>
              </w:rPr>
              <w:t>≥</w:t>
            </w:r>
          </w:p>
        </w:tc>
        <w:tc>
          <w:tcPr>
            <w:tcW w:w="91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color w:val="000000"/>
                <w:sz w:val="22"/>
              </w:rPr>
            </w:pPr>
            <w:r>
              <w:rPr>
                <w:rFonts w:hint="eastAsia" w:ascii="宋体" w:hAnsi="宋体" w:eastAsia="宋体" w:cs="宋体"/>
                <w:i w:val="0"/>
                <w:color w:val="000000"/>
                <w:kern w:val="0"/>
                <w:sz w:val="22"/>
                <w:szCs w:val="22"/>
                <w:u w:val="none"/>
                <w:lang w:val="en-US" w:eastAsia="zh-CN" w:bidi="ar"/>
              </w:rPr>
              <w:t>95</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color w:val="000000"/>
                <w:sz w:val="22"/>
              </w:rPr>
            </w:pPr>
            <w:r>
              <w:rPr>
                <w:rFonts w:hint="eastAsia" w:ascii="宋体" w:hAnsi="宋体" w:eastAsia="宋体" w:cs="宋体"/>
                <w:i w:val="0"/>
                <w:color w:val="000000"/>
                <w:kern w:val="0"/>
                <w:sz w:val="22"/>
                <w:szCs w:val="22"/>
                <w:u w:val="none"/>
                <w:lang w:val="en-US" w:eastAsia="zh-CN" w:bidi="ar"/>
              </w:rPr>
              <w:t>%</w:t>
            </w:r>
          </w:p>
        </w:tc>
        <w:tc>
          <w:tcPr>
            <w:tcW w:w="7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color w:val="000000"/>
                <w:sz w:val="22"/>
              </w:rPr>
            </w:pPr>
            <w:r>
              <w:rPr>
                <w:rFonts w:hint="eastAsia" w:ascii="宋体" w:hAnsi="宋体" w:eastAsia="宋体" w:cs="宋体"/>
                <w:i w:val="0"/>
                <w:color w:val="000000"/>
                <w:kern w:val="0"/>
                <w:sz w:val="22"/>
                <w:szCs w:val="22"/>
                <w:u w:val="none"/>
                <w:lang w:val="en-US" w:eastAsia="zh-CN" w:bidi="ar"/>
              </w:rPr>
              <w:t>10</w:t>
            </w:r>
          </w:p>
        </w:tc>
        <w:tc>
          <w:tcPr>
            <w:tcW w:w="9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color w:val="000000"/>
                <w:sz w:val="22"/>
              </w:rPr>
            </w:pPr>
            <w:r>
              <w:rPr>
                <w:rFonts w:hint="eastAsia" w:ascii="宋体" w:hAnsi="宋体" w:eastAsia="宋体" w:cs="宋体"/>
                <w:i w:val="0"/>
                <w:color w:val="000000"/>
                <w:kern w:val="0"/>
                <w:sz w:val="22"/>
                <w:szCs w:val="22"/>
                <w:u w:val="none"/>
                <w:lang w:val="en-US" w:eastAsia="zh-CN" w:bidi="ar"/>
              </w:rPr>
              <w:t>95</w:t>
            </w:r>
          </w:p>
        </w:tc>
        <w:tc>
          <w:tcPr>
            <w:tcW w:w="78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afterAutospacing="0" w:line="560" w:lineRule="exact"/>
              <w:ind w:firstLine="220" w:firstLineChars="100"/>
              <w:jc w:val="both"/>
              <w:textAlignment w:val="center"/>
              <w:rPr>
                <w:rFonts w:cs="宋体"/>
                <w:color w:val="000000"/>
                <w:sz w:val="22"/>
              </w:rPr>
            </w:pPr>
            <w:r>
              <w:rPr>
                <w:rFonts w:hint="eastAsia" w:ascii="宋体" w:hAnsi="宋体" w:eastAsia="宋体" w:cs="宋体"/>
                <w:i w:val="0"/>
                <w:color w:val="000000"/>
                <w:kern w:val="0"/>
                <w:sz w:val="22"/>
                <w:szCs w:val="22"/>
                <w:u w:val="none"/>
                <w:lang w:val="en-US" w:eastAsia="zh-CN" w:bidi="ar"/>
              </w:rPr>
              <w:t>10</w:t>
            </w:r>
          </w:p>
        </w:tc>
        <w:tc>
          <w:tcPr>
            <w:tcW w:w="7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cs="宋体"/>
                <w:color w:val="000000"/>
                <w:sz w:val="22"/>
              </w:rPr>
            </w:pPr>
          </w:p>
        </w:tc>
        <w:tc>
          <w:tcPr>
            <w:tcW w:w="1268"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afterAutospacing="0" w:line="560" w:lineRule="exact"/>
              <w:jc w:val="both"/>
              <w:rPr>
                <w:rFonts w:cs="宋体"/>
                <w:color w:val="000000"/>
                <w:sz w:val="22"/>
              </w:rPr>
            </w:pPr>
          </w:p>
        </w:tc>
      </w:tr>
    </w:tbl>
    <w:p>
      <w:pPr>
        <w:pStyle w:val="11"/>
        <w:keepNext w:val="0"/>
        <w:keepLines w:val="0"/>
        <w:pageBreakBefore w:val="0"/>
        <w:widowControl/>
        <w:kinsoku/>
        <w:wordWrap/>
        <w:overflowPunct/>
        <w:topLinePunct w:val="0"/>
        <w:autoSpaceDE w:val="0"/>
        <w:autoSpaceDN/>
        <w:bidi w:val="0"/>
        <w:adjustRightInd/>
        <w:spacing w:afterAutospacing="0" w:line="560" w:lineRule="exact"/>
        <w:ind w:firstLine="640"/>
        <w:jc w:val="both"/>
        <w:rPr>
          <w:rFonts w:hint="eastAsia" w:ascii="方正楷体_GBK" w:hAnsi="方正楷体_GBK" w:eastAsia="方正楷体_GBK" w:cs="方正楷体_GBK"/>
          <w:b w:val="0"/>
          <w:bCs w:val="0"/>
          <w:sz w:val="32"/>
          <w:szCs w:val="32"/>
          <w:shd w:val="clear" w:color="auto" w:fill="FFFFFF"/>
          <w:lang w:bidi="ar"/>
        </w:rPr>
      </w:pPr>
      <w:r>
        <w:rPr>
          <w:rFonts w:hint="eastAsia" w:ascii="方正楷体_GBK" w:hAnsi="方正楷体_GBK" w:eastAsia="方正楷体_GBK" w:cs="方正楷体_GBK"/>
          <w:b w:val="0"/>
          <w:bCs w:val="0"/>
          <w:sz w:val="32"/>
          <w:szCs w:val="32"/>
          <w:shd w:val="clear" w:color="auto" w:fill="FFFFFF"/>
          <w:lang w:bidi="ar"/>
        </w:rPr>
        <w:t>（二）</w:t>
      </w:r>
      <w:r>
        <w:rPr>
          <w:rFonts w:hint="eastAsia" w:ascii="方正楷体_GBK" w:hAnsi="方正楷体_GBK" w:eastAsia="方正楷体_GBK" w:cs="方正楷体_GBK"/>
          <w:b w:val="0"/>
          <w:bCs w:val="0"/>
          <w:sz w:val="32"/>
          <w:szCs w:val="32"/>
          <w:shd w:val="clear" w:color="auto" w:fill="FFFFFF"/>
          <w:lang w:val="en-US" w:eastAsia="zh-CN" w:bidi="ar"/>
        </w:rPr>
        <w:t>单位</w:t>
      </w:r>
      <w:r>
        <w:rPr>
          <w:rFonts w:hint="eastAsia" w:ascii="方正楷体_GBK" w:hAnsi="方正楷体_GBK" w:eastAsia="方正楷体_GBK" w:cs="方正楷体_GBK"/>
          <w:b w:val="0"/>
          <w:bCs w:val="0"/>
          <w:sz w:val="32"/>
          <w:szCs w:val="32"/>
          <w:shd w:val="clear" w:color="auto" w:fill="FFFFFF"/>
          <w:lang w:bidi="ar"/>
        </w:rPr>
        <w:t>绩效评价情况</w:t>
      </w:r>
    </w:p>
    <w:p>
      <w:pPr>
        <w:pStyle w:val="11"/>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jc w:val="both"/>
        <w:textAlignment w:val="auto"/>
        <w:rPr>
          <w:rStyle w:val="8"/>
          <w:rFonts w:hint="eastAsia" w:ascii="方正仿宋_GBK" w:hAnsi="方正仿宋_GBK" w:eastAsia="方正仿宋_GBK" w:cs="方正仿宋_GBK"/>
          <w:b w:val="0"/>
          <w:bCs w:val="0"/>
          <w:sz w:val="32"/>
          <w:szCs w:val="32"/>
          <w:highlight w:val="none"/>
          <w:shd w:val="clear" w:color="auto" w:fill="FFFFFF"/>
          <w:lang w:val="en-US" w:eastAsia="zh-CN" w:bidi="ar-SA"/>
        </w:rPr>
      </w:pPr>
      <w:r>
        <w:rPr>
          <w:rFonts w:hint="eastAsia" w:ascii="方正仿宋_GBK" w:hAnsi="方正仿宋_GBK" w:eastAsia="方正仿宋_GBK" w:cs="方正仿宋_GBK"/>
          <w:b w:val="0"/>
          <w:bCs w:val="0"/>
          <w:sz w:val="32"/>
          <w:szCs w:val="32"/>
          <w:highlight w:val="none"/>
          <w:shd w:val="clear" w:color="auto" w:fill="FFFFFF"/>
          <w:lang w:eastAsia="zh-CN" w:bidi="ar"/>
        </w:rPr>
        <w:t>我</w:t>
      </w:r>
      <w:r>
        <w:rPr>
          <w:rFonts w:hint="eastAsia" w:ascii="方正仿宋_GBK" w:hAnsi="方正仿宋_GBK" w:eastAsia="方正仿宋_GBK" w:cs="方正仿宋_GBK"/>
          <w:b w:val="0"/>
          <w:bCs w:val="0"/>
          <w:sz w:val="32"/>
          <w:szCs w:val="32"/>
          <w:highlight w:val="none"/>
          <w:shd w:val="clear" w:color="auto" w:fill="FFFFFF"/>
          <w:lang w:val="en-US" w:eastAsia="zh-CN" w:bidi="ar"/>
        </w:rPr>
        <w:t>单位</w:t>
      </w:r>
      <w:r>
        <w:rPr>
          <w:rFonts w:hint="eastAsia" w:ascii="方正仿宋_GBK" w:hAnsi="方正仿宋_GBK" w:eastAsia="方正仿宋_GBK" w:cs="方正仿宋_GBK"/>
          <w:b w:val="0"/>
          <w:bCs w:val="0"/>
          <w:sz w:val="32"/>
          <w:szCs w:val="32"/>
          <w:highlight w:val="none"/>
          <w:shd w:val="clear" w:color="auto" w:fill="FFFFFF"/>
          <w:lang w:eastAsia="zh-CN" w:bidi="ar"/>
        </w:rPr>
        <w:t>未组织开展绩效评价。</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lang w:eastAsia="zh-CN"/>
        </w:rPr>
        <w:t>六</w:t>
      </w:r>
      <w:r>
        <w:rPr>
          <w:rStyle w:val="8"/>
          <w:rFonts w:hint="eastAsia" w:ascii="方正黑体_GBK" w:hAnsi="方正黑体_GBK" w:eastAsia="方正黑体_GBK" w:cs="方正黑体_GBK"/>
          <w:b w:val="0"/>
          <w:bCs/>
          <w:sz w:val="32"/>
          <w:szCs w:val="32"/>
          <w:shd w:val="clear" w:color="auto" w:fill="FFFFFF"/>
        </w:rPr>
        <w:t>、专业名词解释</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
        </w:rPr>
        <w:t>（一）财政拨</w:t>
      </w:r>
      <w:bookmarkStart w:id="0" w:name="_GoBack"/>
      <w:bookmarkEnd w:id="0"/>
      <w:r>
        <w:rPr>
          <w:rFonts w:hint="eastAsia" w:ascii="方正楷体_GBK" w:hAnsi="方正楷体_GBK" w:eastAsia="方正楷体_GBK" w:cs="方正楷体_GBK"/>
          <w:b w:val="0"/>
          <w:bCs w:val="0"/>
          <w:sz w:val="32"/>
          <w:szCs w:val="32"/>
          <w:shd w:val="clear" w:color="auto" w:fill="FFFFFF"/>
          <w:lang w:val="en-US" w:eastAsia="zh-CN" w:bidi="ar"/>
        </w:rPr>
        <w:t>款收入：</w:t>
      </w:r>
      <w:r>
        <w:rPr>
          <w:rFonts w:ascii="方正仿宋_GBK" w:hAnsi="方正仿宋_GBK" w:eastAsia="方正仿宋_GBK" w:cs="方正仿宋_GBK"/>
          <w:sz w:val="32"/>
          <w:szCs w:val="32"/>
          <w:shd w:val="clear" w:color="auto" w:fill="FFFFFF"/>
        </w:rPr>
        <w:t>指本年度从本级财政部门取得的财政拨款。</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
        </w:rPr>
        <w:t>（二）年初结转和结余：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
        </w:rPr>
        <w:t>（三）基本支出：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
        </w:rPr>
        <w:t>（四）项目支出：</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
        </w:rPr>
        <w:t>（五）经营支出：</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
        </w:rPr>
        <w:t>（六）“三公”经费：</w:t>
      </w:r>
      <w:r>
        <w:rPr>
          <w:rFonts w:ascii="方正仿宋_GBK" w:hAnsi="方正仿宋_GBK" w:eastAsia="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
        </w:rPr>
        <w:t>（七）机关运行经费：</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
        </w:rPr>
        <w:t>（八）工资福利支出（支出经济分类科目类级）：</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
        </w:rPr>
        <w:t>（九）商品和服务支出（支出经济分类科目类级）：</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
        </w:rPr>
        <w:t>（十）对个人和家庭的补助（支出经济分类科目类级）：</w:t>
      </w:r>
      <w:r>
        <w:rPr>
          <w:rFonts w:ascii="方正仿宋_GBK" w:hAnsi="方正仿宋_GBK" w:eastAsia="方正仿宋_GBK" w:cs="方正仿宋_GBK"/>
          <w:sz w:val="32"/>
          <w:szCs w:val="32"/>
          <w:shd w:val="clear" w:color="auto" w:fill="FFFFFF"/>
        </w:rPr>
        <w:t>反映用于对个人和家庭的补助支出。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bidi="ar"/>
        </w:rPr>
        <w:t>（十一）其他资本性支出（支出经济分类科目类级）：</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rPr>
          <w:rStyle w:val="8"/>
          <w:rFonts w:hint="default" w:ascii="方正黑体_GBK" w:hAnsi="方正黑体_GBK" w:eastAsia="方正黑体_GBK" w:cs="方正黑体_GBK"/>
          <w:b w:val="0"/>
          <w:bCs/>
          <w:sz w:val="32"/>
          <w:szCs w:val="32"/>
          <w:shd w:val="clear" w:color="auto" w:fill="FFFFFF"/>
          <w:lang w:eastAsia="zh-CN"/>
        </w:rPr>
      </w:pPr>
      <w:r>
        <w:rPr>
          <w:rStyle w:val="8"/>
          <w:rFonts w:hint="eastAsia" w:ascii="方正黑体_GBK" w:hAnsi="方正黑体_GBK" w:eastAsia="方正黑体_GBK" w:cs="方正黑体_GBK"/>
          <w:b w:val="0"/>
          <w:bCs/>
          <w:sz w:val="32"/>
          <w:szCs w:val="32"/>
          <w:shd w:val="clear" w:color="auto" w:fill="FFFFFF"/>
          <w:lang w:eastAsia="zh-CN"/>
        </w:rPr>
        <w:t>七、决算公开联系方式及信息反馈渠道</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jc w:val="both"/>
        <w:textAlignment w:val="auto"/>
        <w:rPr>
          <w:rStyle w:val="8"/>
          <w:rFonts w:hint="default" w:ascii="Times New Roman" w:hAnsi="Times New Roman" w:eastAsia="方正仿宋_GBK" w:cs="Times New Roman"/>
          <w:sz w:val="32"/>
          <w:szCs w:val="32"/>
          <w:shd w:val="clear" w:color="auto" w:fill="FFFF00"/>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决算公开信息反馈和联系方式：</w:t>
      </w:r>
      <w:r>
        <w:rPr>
          <w:rFonts w:hint="default" w:ascii="Times New Roman" w:hAnsi="Times New Roman" w:eastAsia="方正仿宋_GBK" w:cs="Times New Roman"/>
          <w:sz w:val="32"/>
          <w:szCs w:val="32"/>
          <w:shd w:val="clear" w:color="auto" w:fill="FFFFFF"/>
          <w:lang w:val="en-US" w:eastAsia="zh-CN"/>
        </w:rPr>
        <w:t>023-76671508</w:t>
      </w: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秀山土家族苗族自治县住房和城乡建设委员会（本级）</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28,616.75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22,908.53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137.06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292.05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38,663.33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4,434.92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9,150.00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51,525.28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52,813.63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1,288.35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52,813.63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52,813.63</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秀山土家族苗族自治县住房和城乡建设委员会（本级）</w:t>
            </w: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51,525.28</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51,525.28</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53.61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53.61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53.61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53.61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其他科学技术管理事务支出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137.06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137.06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137.06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137.06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87.81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87.81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292.05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292.05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282.05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282.05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2110304</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固体废弃物与化学品</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282.05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282.05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38,375.93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38,375.93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2,169.28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2,169.28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522.67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522.67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132.59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132.59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住宅建设与房地产市场监管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1,312.82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1,312.82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201.20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201.20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城乡社区规划与管理</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城乡社区规划与管理</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22,449.79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22,449.79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22,337.45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22,337.45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其他城乡社区公共设施支出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112.34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112.34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21206</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建设市场管理与监督</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2120601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建设市场管理与监督</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12,459.97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12,459.97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2120803</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城市建设支出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12,310.00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12,310.00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149.97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149.97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21213</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城市基础设施配套费安排的支出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1,283.56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1,283.56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城市环境卫生</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918.27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918.27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其他城市基础设施配套费安排的支出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365.29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365.29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3,443.85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3,443.85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3,399.93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3,399.93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2210103</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棚户区改造</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853.79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853.79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1,334.82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1,334.82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2210108</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老旧小区改造</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1,211.32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1,211.32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22198</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超长期特别国债安排的支出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2219899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消防救援事务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2240299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其他消防救援事务支出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9,150.00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9,150.00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22904</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8,500.00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8,500.00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2290402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其他地方自行试点项目收益专项债券收入安排的支出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8,500.00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8,500.00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22998</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超长期特别国债安排的其他支出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650.00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2299899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650.00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9"/>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秀山土家族苗族自治县住房和城乡建设委员会（本级） </w:t>
            </w: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52,813.63</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711.42</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52,102.20</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53.61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53.61</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53.61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53.61</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其他科学技术管理事务支出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53.61</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137.06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137.06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137.06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137.06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87.81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87.81</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32.82</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16.44</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292.05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292.05</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282.05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282.05</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2110304</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固体废弃物与化学品</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282.05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282.05</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38,663.33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522.67</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38,140.66</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2,456.67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522.67</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1,934.01</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522.67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522.67</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132.59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132.59</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住宅建设与房地产市场监管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1,312.82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1,312.82</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488.60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488.60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城乡社区规划与管理</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城乡社区规划与管理</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8.34</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22,449.79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22,449.79</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22,337.45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22,337.45</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其他城乡社区公共设施支出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112.34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112.34</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21206</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建设市场管理与监督</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2120601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建设市场管理与监督</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12,459.97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12,459.97</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2120803</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城市建设支出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12,310.00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12,310.00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149.97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149.97</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21213</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城市基础设施配套费安排的支出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1,283.56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1,283.56</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城市环境卫生</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918.27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918.27</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其他城市基础设施配套费安排的支出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365.29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365.29</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9.88</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9.88</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水资源节约管理与保护</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9.88</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4,434.92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28.92</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4,406.00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4,391.00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4,391.00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2210103</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棚户区改造</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853.79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853.79</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1,334.82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1,334.82</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2210108</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老旧小区改造</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2,202.40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2,202.40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28.92</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28.92</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22198</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超长期特别国债安排的支出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2219899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消防救援事务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2240299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其他消防救援事务支出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9,150.00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9,150.00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22904</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8,500.00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8,500.00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2290402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其他地方自行试点项目收益专项债券收入安排的支出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8,500.00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8,500.00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22998</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超长期特别国债安排的其他支出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2299899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秀山土家族苗族自治县住房和城乡建设委员会（本级）</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28,616.75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22,908.53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53.61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53.61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137.06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137.06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292.05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292.05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38,663.33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24,919.80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13,743.53</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4,434.92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4,419.92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9,150.00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9,150.00</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51,525.28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52,813.63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29,905.10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22,908.53</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1,288.35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1,288.35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52,813.63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52,813.63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29,905.10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22,908.53</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秀山土家族苗族自治县住房和城乡建设委员会（本级）</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29,905.10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711.42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29,193.68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53.61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53.61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53.61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53.61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其他科学技术管理事务支出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53.61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53.61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137.06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137.06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137.06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137.06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87.81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87.81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32.82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32.82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292.05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292.05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282.05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282.05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固体废弃物与化学品</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282.05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282.05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24,919.80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522.67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24,397.14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2,456.67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522.67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1,934.01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522.67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522.67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132.59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132.59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住宅建设与房地产市场监管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1,312.82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1,312.82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488.60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488.60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城乡社区规划与管理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城乡社区规划与管理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22,449.79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22,449.79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22,337.45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22,337.45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其他城乡社区公共设施支出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112.34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112.34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建设市场管理与监督</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2120601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建设市场管理与监督</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水资源节约管理与保护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4,419.92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28.92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4,391.00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4,391.00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4,391.00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棚户区改造</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853.79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853.79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1,334.82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1,334.82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老旧小区改造</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2,202.40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2,202.40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28.92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28.92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28.92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28.92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消防救援事务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2240299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其他消防救援事务支出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秀山土家族苗族自治县住房和城乡建设委员会（本级）</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343.31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264.52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6.02</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72.66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61.31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6.02</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87.96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97.57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86.57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93.13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63.20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440.89</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270.54</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秀山土家族苗族自治县住房和城乡建设委员会（本级）</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22,908.53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22,908.53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22,908.53</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13,743.53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13,743.53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13,743.53</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12,459.97</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12,459.97</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12,459.97</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2120803</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城市建设支出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12,310.00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12,310.00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12,310.00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2120804</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农村基础设施建设支出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149.97</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149.97</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149.97</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21213</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城市基础设施配套费安排的支出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1,283.56</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1,283.56</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1,283.56</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2121302</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城市环境卫生</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918.27</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918.27</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918.27</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2121399</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其他城市基础设施配套费安排的支出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365.29</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365.29</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365.29</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221</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住房保障支出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22198</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超长期特别国债安排的支出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2219899</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其他住房保障支出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9,150.00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9,150.00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9,150.00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22904</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8,500.00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8,500.00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8,500.00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2290402</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其他地方自行试点项目收益专项债券收入安排的支出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8,500.00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8,500.00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8,500.00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22998</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超长期特别国债安排的其他支出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2299899</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秀山土家族苗族自治县住房和城乡建设委员会（本级）</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秀山土家族苗族自治县住房和城乡建设委员会（本级）</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270.54</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10.51</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10.51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270.54</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10.06</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10.06</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0.45</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5.66</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5.66</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5.66</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5.66</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20.88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8.65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438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336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E2DA9"/>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8FA666D"/>
    <w:rsid w:val="0969353F"/>
    <w:rsid w:val="098305D0"/>
    <w:rsid w:val="09B1218B"/>
    <w:rsid w:val="0A3317EA"/>
    <w:rsid w:val="0A5C4B69"/>
    <w:rsid w:val="0A86124A"/>
    <w:rsid w:val="0AB54CC0"/>
    <w:rsid w:val="0B9335CE"/>
    <w:rsid w:val="0BF2311A"/>
    <w:rsid w:val="0C751C4E"/>
    <w:rsid w:val="0C7927C4"/>
    <w:rsid w:val="0C9B098C"/>
    <w:rsid w:val="0CCE7B9A"/>
    <w:rsid w:val="0D673E11"/>
    <w:rsid w:val="0DDA54E4"/>
    <w:rsid w:val="0E3A5F83"/>
    <w:rsid w:val="0F836721"/>
    <w:rsid w:val="0FA25D96"/>
    <w:rsid w:val="0FBD3C60"/>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5D6F41"/>
    <w:rsid w:val="151F5ECC"/>
    <w:rsid w:val="163A6CEE"/>
    <w:rsid w:val="173708E3"/>
    <w:rsid w:val="179D34F0"/>
    <w:rsid w:val="17C374FC"/>
    <w:rsid w:val="182E4AB6"/>
    <w:rsid w:val="189079DC"/>
    <w:rsid w:val="189B0D0B"/>
    <w:rsid w:val="18B43F7C"/>
    <w:rsid w:val="191C433B"/>
    <w:rsid w:val="194A1770"/>
    <w:rsid w:val="19B906A4"/>
    <w:rsid w:val="1B6F15B6"/>
    <w:rsid w:val="1BAA2EDC"/>
    <w:rsid w:val="1CA55E64"/>
    <w:rsid w:val="1D014A01"/>
    <w:rsid w:val="1D022362"/>
    <w:rsid w:val="1D1B04B0"/>
    <w:rsid w:val="1D4B42AE"/>
    <w:rsid w:val="1DA52501"/>
    <w:rsid w:val="1DBD6767"/>
    <w:rsid w:val="1DC52125"/>
    <w:rsid w:val="1DD26311"/>
    <w:rsid w:val="1E374ACB"/>
    <w:rsid w:val="1ECF0A66"/>
    <w:rsid w:val="1EF67CA4"/>
    <w:rsid w:val="1F020D3A"/>
    <w:rsid w:val="1F2C5189"/>
    <w:rsid w:val="1F4B0B02"/>
    <w:rsid w:val="1FBB35CD"/>
    <w:rsid w:val="1FCD26AF"/>
    <w:rsid w:val="20642787"/>
    <w:rsid w:val="21556F04"/>
    <w:rsid w:val="21C41E50"/>
    <w:rsid w:val="22403BD3"/>
    <w:rsid w:val="235417B6"/>
    <w:rsid w:val="24B92327"/>
    <w:rsid w:val="24C14514"/>
    <w:rsid w:val="2533755C"/>
    <w:rsid w:val="25791755"/>
    <w:rsid w:val="26396DF4"/>
    <w:rsid w:val="27167136"/>
    <w:rsid w:val="271B442C"/>
    <w:rsid w:val="276D4D80"/>
    <w:rsid w:val="27B23302"/>
    <w:rsid w:val="29310A5F"/>
    <w:rsid w:val="29C37A35"/>
    <w:rsid w:val="2A076083"/>
    <w:rsid w:val="2A73162E"/>
    <w:rsid w:val="2B167953"/>
    <w:rsid w:val="2B200583"/>
    <w:rsid w:val="2B8209DE"/>
    <w:rsid w:val="2B821C91"/>
    <w:rsid w:val="2BF81A22"/>
    <w:rsid w:val="2C636760"/>
    <w:rsid w:val="2C6762A3"/>
    <w:rsid w:val="2DF41D09"/>
    <w:rsid w:val="2FCA4B37"/>
    <w:rsid w:val="2FE029D7"/>
    <w:rsid w:val="2FF06E00"/>
    <w:rsid w:val="30586FEC"/>
    <w:rsid w:val="315F0B22"/>
    <w:rsid w:val="31D84415"/>
    <w:rsid w:val="32285F6F"/>
    <w:rsid w:val="32770556"/>
    <w:rsid w:val="329C0913"/>
    <w:rsid w:val="32AA0460"/>
    <w:rsid w:val="3337290D"/>
    <w:rsid w:val="337B5571"/>
    <w:rsid w:val="33E31118"/>
    <w:rsid w:val="33EF7674"/>
    <w:rsid w:val="342D7BC6"/>
    <w:rsid w:val="35263A76"/>
    <w:rsid w:val="352930DB"/>
    <w:rsid w:val="35573069"/>
    <w:rsid w:val="355F6038"/>
    <w:rsid w:val="358C217E"/>
    <w:rsid w:val="36C9128A"/>
    <w:rsid w:val="37841E99"/>
    <w:rsid w:val="37BF1123"/>
    <w:rsid w:val="383C3F15"/>
    <w:rsid w:val="388C66C9"/>
    <w:rsid w:val="38BE4696"/>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F6EE0"/>
    <w:rsid w:val="3C566AD6"/>
    <w:rsid w:val="3C594871"/>
    <w:rsid w:val="3C6A5B02"/>
    <w:rsid w:val="3D2757A1"/>
    <w:rsid w:val="3D3D4FC4"/>
    <w:rsid w:val="3DDF3AB1"/>
    <w:rsid w:val="3E1D0952"/>
    <w:rsid w:val="3E42660A"/>
    <w:rsid w:val="3E515927"/>
    <w:rsid w:val="3E7555B1"/>
    <w:rsid w:val="3E787ED9"/>
    <w:rsid w:val="3EEF6D26"/>
    <w:rsid w:val="3F032E93"/>
    <w:rsid w:val="3F0527E5"/>
    <w:rsid w:val="3F4C52C6"/>
    <w:rsid w:val="3F694D83"/>
    <w:rsid w:val="3F885DCC"/>
    <w:rsid w:val="3FCD675E"/>
    <w:rsid w:val="4004000C"/>
    <w:rsid w:val="40BD5482"/>
    <w:rsid w:val="411B6CE5"/>
    <w:rsid w:val="412070D7"/>
    <w:rsid w:val="41314E40"/>
    <w:rsid w:val="41E0734B"/>
    <w:rsid w:val="426C1EA8"/>
    <w:rsid w:val="42736402"/>
    <w:rsid w:val="42E86A87"/>
    <w:rsid w:val="43307B09"/>
    <w:rsid w:val="436D44AF"/>
    <w:rsid w:val="439A3EB9"/>
    <w:rsid w:val="43A2191B"/>
    <w:rsid w:val="43A40343"/>
    <w:rsid w:val="43BB152F"/>
    <w:rsid w:val="44C37687"/>
    <w:rsid w:val="44FB08B3"/>
    <w:rsid w:val="452C547B"/>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9316A8"/>
    <w:rsid w:val="4D1F53CA"/>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9E5A73"/>
    <w:rsid w:val="56FF7E9E"/>
    <w:rsid w:val="578867FC"/>
    <w:rsid w:val="5842572D"/>
    <w:rsid w:val="5A3B59D6"/>
    <w:rsid w:val="5AD134D8"/>
    <w:rsid w:val="5BF41F67"/>
    <w:rsid w:val="5C263CE4"/>
    <w:rsid w:val="5C5D2777"/>
    <w:rsid w:val="5CF66BF3"/>
    <w:rsid w:val="5D290C69"/>
    <w:rsid w:val="5DA80C2C"/>
    <w:rsid w:val="5F2D4A41"/>
    <w:rsid w:val="605C6C55"/>
    <w:rsid w:val="60C74F6C"/>
    <w:rsid w:val="61015958"/>
    <w:rsid w:val="61025A59"/>
    <w:rsid w:val="613D5BBC"/>
    <w:rsid w:val="61536C39"/>
    <w:rsid w:val="61894431"/>
    <w:rsid w:val="62944DD7"/>
    <w:rsid w:val="6319381F"/>
    <w:rsid w:val="63C25DC5"/>
    <w:rsid w:val="63C62057"/>
    <w:rsid w:val="641076C3"/>
    <w:rsid w:val="64571EF5"/>
    <w:rsid w:val="64FB113D"/>
    <w:rsid w:val="656152C6"/>
    <w:rsid w:val="6587477F"/>
    <w:rsid w:val="658C3A08"/>
    <w:rsid w:val="65C031CA"/>
    <w:rsid w:val="65CE6852"/>
    <w:rsid w:val="66267C04"/>
    <w:rsid w:val="663F505A"/>
    <w:rsid w:val="66AF5D7C"/>
    <w:rsid w:val="66EE5541"/>
    <w:rsid w:val="67924660"/>
    <w:rsid w:val="679C286F"/>
    <w:rsid w:val="68407834"/>
    <w:rsid w:val="6883293E"/>
    <w:rsid w:val="688412AD"/>
    <w:rsid w:val="68EB1B71"/>
    <w:rsid w:val="696C0310"/>
    <w:rsid w:val="6A6C7940"/>
    <w:rsid w:val="6A9F1565"/>
    <w:rsid w:val="6AAD2300"/>
    <w:rsid w:val="6B282560"/>
    <w:rsid w:val="6B474EF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5670411"/>
    <w:rsid w:val="764F62AB"/>
    <w:rsid w:val="765C45EC"/>
    <w:rsid w:val="768A7619"/>
    <w:rsid w:val="772E1EBA"/>
    <w:rsid w:val="77437544"/>
    <w:rsid w:val="781926BC"/>
    <w:rsid w:val="78882EFA"/>
    <w:rsid w:val="796D60A4"/>
    <w:rsid w:val="797A664A"/>
    <w:rsid w:val="79A031D5"/>
    <w:rsid w:val="79B47FDF"/>
    <w:rsid w:val="79E569A9"/>
    <w:rsid w:val="7A1525F7"/>
    <w:rsid w:val="7B420052"/>
    <w:rsid w:val="7BD06A28"/>
    <w:rsid w:val="7C3A7C0B"/>
    <w:rsid w:val="7C5248E4"/>
    <w:rsid w:val="7C566698"/>
    <w:rsid w:val="7C5866A3"/>
    <w:rsid w:val="7D2414EA"/>
    <w:rsid w:val="7D290179"/>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8">
    <w:name w:val="Strong"/>
    <w:qFormat/>
    <w:uiPriority w:val="0"/>
    <w:rPr>
      <w:b/>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7"/>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12</TotalTime>
  <ScaleCrop>false</ScaleCrop>
  <LinksUpToDate>false</LinksUpToDate>
  <CharactersWithSpaces>26313</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111</cp:lastModifiedBy>
  <dcterms:modified xsi:type="dcterms:W3CDTF">2025-09-29T09:53:55Z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