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秀山土家族苗族自治县住房和城乡建设管理综合执法大队</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1.负责宣传贯彻执行住房和城乡建设法律、法规、规章和方针政策。</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2.受主管部门委托，负责对辖区内房屋建筑和市政基础设施工程施工现场的安全监督管理。</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3.承担建设工程安全业务指导、开展安全生产大检查和教育培训工作。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rPr>
          <w:rFonts w:hint="default" w:ascii="楷体" w:hAnsi="楷体" w:eastAsia="楷体" w:cs="楷体"/>
          <w:b w:val="0"/>
          <w:bCs/>
          <w:sz w:val="32"/>
          <w:szCs w:val="32"/>
        </w:rPr>
      </w:pPr>
      <w:r>
        <w:rPr>
          <w:rFonts w:ascii="Times New Roman" w:hAnsi="Times New Roman" w:eastAsia="方正仿宋_GBK"/>
          <w:b w:val="0"/>
          <w:bCs/>
          <w:color w:val="333333"/>
          <w:sz w:val="32"/>
          <w:szCs w:val="32"/>
          <w:shd w:val="clear" w:color="auto" w:fill="FFFFFF"/>
        </w:rPr>
        <w:t>4.依法开展县住房和城乡建设领域综合行政执法工作。</w:t>
      </w:r>
      <w:r>
        <w:rPr>
          <w:rStyle w:val="8"/>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秀山土家族苗族自治县住房和城乡建设管理综合执法大队为县住房城乡建委管理的公益一类副科级事业单位。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收、支与2023年度相比，增加72.33万元，增长12.6%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w:t>
      </w:r>
      <w:r>
        <w:rPr>
          <w:rFonts w:hint="default" w:ascii="Times New Roman" w:hAnsi="Times New Roman" w:eastAsia="方正仿宋_GBK" w:cs="Times New Roman"/>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lang w:val="en-US" w:eastAsia="zh-CN"/>
        </w:rPr>
        <w:t>名事业人员以及日常公用经费与其他下属单位共同使用。</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与2023年度相比，增加72.33万元，增长12.6%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w:t>
      </w:r>
      <w:r>
        <w:rPr>
          <w:rFonts w:hint="default" w:ascii="Times New Roman" w:hAnsi="Times New Roman" w:eastAsia="方正仿宋_GBK" w:cs="Times New Roman"/>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lang w:val="en-US" w:eastAsia="zh-CN"/>
        </w:rPr>
        <w:t>名事业人员以及日常公用经费与其他下属单位共同使用。</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与2023年度相比，增加72.33万元，增长12.6%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w:t>
      </w:r>
      <w:r>
        <w:rPr>
          <w:rFonts w:hint="default" w:ascii="Times New Roman" w:hAnsi="Times New Roman" w:eastAsia="方正仿宋_GBK" w:cs="Times New Roman"/>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lang w:val="en-US" w:eastAsia="zh-CN"/>
        </w:rPr>
        <w:t>名事业人员以及日常公用经费与其他下属单位共同使用。</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2024年度财政拨款收、支总计均为646.30万元。与2023年</w:t>
      </w:r>
      <w:r>
        <w:rPr>
          <w:rFonts w:hint="default" w:ascii="Times New Roman" w:hAnsi="Times New Roman" w:eastAsia="方正仿宋_GBK" w:cs="Times New Roman"/>
          <w:b w:val="0"/>
          <w:bCs/>
          <w:sz w:val="32"/>
          <w:szCs w:val="32"/>
          <w:shd w:val="clear" w:color="auto" w:fill="FFFFFF"/>
          <w:lang w:eastAsia="zh-CN"/>
        </w:rPr>
        <w:t>度</w:t>
      </w:r>
      <w:r>
        <w:rPr>
          <w:rFonts w:hint="default" w:ascii="Times New Roman" w:hAnsi="Times New Roman" w:eastAsia="方正仿宋_GBK" w:cs="Times New Roman"/>
          <w:b w:val="0"/>
          <w:bCs/>
          <w:sz w:val="32"/>
          <w:szCs w:val="32"/>
          <w:shd w:val="clear" w:color="auto" w:fill="FFFFFF"/>
        </w:rPr>
        <w:t>相比，财政拨款收、支总计各增加72.33万元，增长12.6%。主要原因是</w:t>
      </w:r>
      <w:r>
        <w:rPr>
          <w:rFonts w:hint="default" w:ascii="Times New Roman" w:hAnsi="Times New Roman" w:eastAsia="方正仿宋_GBK" w:cs="Times New Roman"/>
          <w:b w:val="0"/>
          <w:bCs/>
          <w:sz w:val="32"/>
          <w:szCs w:val="32"/>
          <w:shd w:val="clear" w:color="auto" w:fill="FFFFFF"/>
          <w:lang w:val="en-US" w:eastAsia="zh-CN"/>
        </w:rPr>
        <w:t>新增1名事业人员以及日常公用经费与其他下属单位共同使用。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2024年度一般公共预算财政拨款收入646.30万元，与2023年度相比，增加72.33万元，增长12.6%。主要原因是</w:t>
      </w:r>
      <w:r>
        <w:rPr>
          <w:rFonts w:hint="default" w:ascii="Times New Roman" w:hAnsi="Times New Roman" w:eastAsia="方正仿宋_GBK" w:cs="Times New Roman"/>
          <w:b w:val="0"/>
          <w:bCs/>
          <w:sz w:val="32"/>
          <w:szCs w:val="32"/>
          <w:shd w:val="clear" w:color="auto" w:fill="FFFFFF"/>
          <w:lang w:val="en-US" w:eastAsia="zh-CN"/>
        </w:rPr>
        <w:t>新增1名事业人员以及日常公用经费与其他下属单位共同使用。</w:t>
      </w:r>
      <w:r>
        <w:rPr>
          <w:rFonts w:hint="default" w:ascii="Times New Roman" w:hAnsi="Times New Roman" w:eastAsia="方正仿宋_GBK" w:cs="Times New Roman"/>
          <w:b w:val="0"/>
          <w:bCs/>
          <w:sz w:val="32"/>
          <w:szCs w:val="32"/>
          <w:shd w:val="clear" w:color="auto" w:fill="FFFFFF"/>
        </w:rPr>
        <w:t>较年初预算数增加149.09万元，增长30.0%。主要原因是</w:t>
      </w:r>
      <w:r>
        <w:rPr>
          <w:rFonts w:hint="default" w:ascii="Times New Roman" w:hAnsi="Times New Roman" w:eastAsia="方正仿宋_GBK" w:cs="Times New Roman"/>
          <w:b w:val="0"/>
          <w:bCs/>
          <w:sz w:val="32"/>
          <w:szCs w:val="32"/>
          <w:shd w:val="clear" w:color="auto" w:fill="FFFFFF"/>
          <w:lang w:val="en-US" w:eastAsia="zh-CN"/>
        </w:rPr>
        <w:t>新增1名事业人员以及日常公用经费与其他下属单位共同使用。</w:t>
      </w:r>
      <w:r>
        <w:rPr>
          <w:rFonts w:hint="default" w:ascii="Times New Roman" w:hAnsi="Times New Roman" w:eastAsia="方正仿宋_GBK" w:cs="Times New Roman"/>
          <w:b w:val="0"/>
          <w:bCs/>
          <w:sz w:val="32"/>
          <w:szCs w:val="32"/>
          <w:shd w:val="clear" w:color="auto" w:fill="FFFFFF"/>
        </w:rPr>
        <w:t>此外，年初财政拨款结转和结余0.00万元。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lang w:val="en-US"/>
        </w:rPr>
      </w:pPr>
      <w:r>
        <w:rPr>
          <w:rStyle w:val="8"/>
          <w:rFonts w:hint="default" w:ascii="Times New Roman" w:hAnsi="Times New Roman" w:eastAsia="方正仿宋_GBK"/>
          <w:b w:val="0"/>
          <w:bCs/>
          <w:sz w:val="32"/>
          <w:szCs w:val="32"/>
          <w:shd w:val="clear" w:color="auto" w:fill="FFFFFF"/>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646.30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w:t>
      </w:r>
      <w:r>
        <w:rPr>
          <w:rFonts w:hint="default" w:ascii="Times New Roman" w:hAnsi="Times New Roman" w:eastAsia="方正仿宋_GBK" w:cs="Times New Roman"/>
          <w:b w:val="0"/>
          <w:bCs/>
          <w:sz w:val="32"/>
          <w:szCs w:val="32"/>
          <w:shd w:val="clear" w:color="auto" w:fill="FFFFFF"/>
        </w:rPr>
        <w:t>2023年度相比，增加72.33万元，增长12.6%。主要原因是</w:t>
      </w:r>
      <w:r>
        <w:rPr>
          <w:rFonts w:hint="default" w:ascii="Times New Roman" w:hAnsi="Times New Roman" w:eastAsia="方正仿宋_GBK" w:cs="Times New Roman"/>
          <w:b w:val="0"/>
          <w:bCs/>
          <w:sz w:val="32"/>
          <w:szCs w:val="32"/>
          <w:shd w:val="clear" w:color="auto" w:fill="FFFFFF"/>
          <w:lang w:val="en-US" w:eastAsia="zh-CN"/>
        </w:rPr>
        <w:t>新增1名事业人员以及日常公用经费与其他下属单位共同使用。</w:t>
      </w:r>
      <w:r>
        <w:rPr>
          <w:rFonts w:hint="default" w:ascii="Times New Roman" w:hAnsi="Times New Roman" w:eastAsia="方正仿宋_GBK" w:cs="Times New Roman"/>
          <w:b w:val="0"/>
          <w:bCs/>
          <w:sz w:val="32"/>
          <w:szCs w:val="32"/>
          <w:shd w:val="clear" w:color="auto" w:fill="FFFFFF"/>
        </w:rPr>
        <w:t>较年初预算数增加149.09万元，增长30.0%。主要原因是</w:t>
      </w:r>
      <w:r>
        <w:rPr>
          <w:rFonts w:hint="default" w:ascii="Times New Roman" w:hAnsi="Times New Roman" w:eastAsia="方正仿宋_GBK" w:cs="Times New Roman"/>
          <w:b w:val="0"/>
          <w:bCs/>
          <w:sz w:val="32"/>
          <w:szCs w:val="32"/>
          <w:shd w:val="clear" w:color="auto" w:fill="FFFFFF"/>
          <w:lang w:val="en-US" w:eastAsia="zh-CN"/>
        </w:rPr>
        <w:t>新增1名事业人员以及日常公用经费纳入部门统筹使用。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111.90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17.3%</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较年初预算数增加58.78万元，增长110.7%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新增</w:t>
      </w:r>
      <w:r>
        <w:rPr>
          <w:rFonts w:hint="default" w:ascii="Times New Roman" w:hAnsi="Times New Roman" w:eastAsia="方正仿宋_GBK" w:cs="Times New Roman"/>
          <w:b w:val="0"/>
          <w:bCs/>
          <w:sz w:val="32"/>
          <w:szCs w:val="32"/>
          <w:shd w:val="clear" w:color="auto" w:fill="FFFFFF"/>
          <w:lang w:val="en-US" w:eastAsia="zh-CN"/>
        </w:rPr>
        <w:t>1名</w:t>
      </w:r>
      <w:r>
        <w:rPr>
          <w:rFonts w:hint="eastAsia" w:ascii="方正仿宋_GBK" w:hAnsi="方正仿宋_GBK" w:eastAsia="方正仿宋_GBK" w:cs="方正仿宋_GBK"/>
          <w:b w:val="0"/>
          <w:bCs/>
          <w:sz w:val="32"/>
          <w:szCs w:val="32"/>
          <w:shd w:val="clear" w:color="auto" w:fill="FFFFFF"/>
          <w:lang w:val="en-US" w:eastAsia="zh-CN"/>
        </w:rPr>
        <w:t>事业人员以及补缴社保。</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28.37</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4.4%</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479.34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74.2%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较年初预算数增加90.30万元，增长23.2%</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lang w:val="en-US" w:eastAsia="zh-CN"/>
        </w:rPr>
        <w:t>新增1名</w:t>
      </w:r>
      <w:r>
        <w:rPr>
          <w:rFonts w:hint="eastAsia" w:ascii="方正仿宋_GBK" w:hAnsi="方正仿宋_GBK" w:eastAsia="方正仿宋_GBK" w:cs="方正仿宋_GBK"/>
          <w:b w:val="0"/>
          <w:bCs/>
          <w:sz w:val="32"/>
          <w:szCs w:val="32"/>
          <w:shd w:val="clear" w:color="auto" w:fill="FFFFFF"/>
          <w:lang w:val="en-US" w:eastAsia="zh-CN"/>
        </w:rPr>
        <w:t>事业人员；正常调资补发以及发放上年度超额绩效工资。</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26.69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4.1%</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2024年度一般公共财政拨款基本支出646.30万元。其中：人员经费612.37万元，与2023年度相比，增加74.07万元，增长13.8%，主要原因是</w:t>
      </w:r>
      <w:r>
        <w:rPr>
          <w:rFonts w:hint="default" w:ascii="Times New Roman" w:hAnsi="Times New Roman" w:eastAsia="方正仿宋_GBK" w:cs="Times New Roman"/>
          <w:b w:val="0"/>
          <w:bCs/>
          <w:sz w:val="32"/>
          <w:szCs w:val="32"/>
          <w:shd w:val="clear" w:color="auto" w:fill="FFFFFF"/>
          <w:lang w:val="en-US" w:eastAsia="zh-CN"/>
        </w:rPr>
        <w:t>新增1名事业人员以及补缴社保。</w:t>
      </w:r>
      <w:r>
        <w:rPr>
          <w:rFonts w:hint="default" w:ascii="Times New Roman" w:hAnsi="Times New Roman" w:eastAsia="方正仿宋_GBK" w:cs="Times New Roman"/>
          <w:b w:val="0"/>
          <w:bCs/>
          <w:sz w:val="32"/>
          <w:szCs w:val="32"/>
          <w:shd w:val="clear" w:color="auto" w:fill="FFFFFF"/>
        </w:rPr>
        <w:t>人员经费用途主要包括基本工资、津贴补贴、奖金、社会保障缴费。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shd w:val="clear" w:color="auto" w:fill="FFFFFF"/>
        </w:rPr>
        <w:t>公用经费33.93万元，与2023年度相比，减少1.74万元，下降4.9%，主要原因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lang w:val="en-US" w:eastAsia="zh-CN"/>
        </w:rPr>
        <w:t>我单位是住建委下属单位，日常公用经费纳入部门统筹使用。</w:t>
      </w:r>
      <w:r>
        <w:rPr>
          <w:rFonts w:hint="default" w:ascii="Times New Roman" w:hAnsi="Times New Roman" w:eastAsia="方正仿宋_GBK" w:cs="Times New Roman"/>
          <w:b w:val="0"/>
          <w:bCs/>
          <w:sz w:val="32"/>
          <w:szCs w:val="32"/>
          <w:shd w:val="clear" w:color="auto" w:fill="FFFFFF"/>
        </w:rPr>
        <w:t>公用经费用途主要包括办公费、培训费、会议费、差旅费</w:t>
      </w:r>
      <w:r>
        <w:rPr>
          <w:rFonts w:hint="default" w:ascii="Times New Roman" w:hAnsi="Times New Roman" w:eastAsia="方正仿宋_GBK" w:cs="Times New Roman"/>
          <w:b w:val="0"/>
          <w:bCs/>
          <w:sz w:val="32"/>
          <w:szCs w:val="32"/>
          <w:shd w:val="clear" w:color="auto" w:fill="FFFFFF"/>
          <w:lang w:val="en-US" w:eastAsia="zh-CN"/>
        </w:rPr>
        <w:t>等。</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Style w:val="8"/>
          <w:rFonts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Times New Roman"/>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outlineLvl w:val="9"/>
        <w:rPr>
          <w:rStyle w:val="8"/>
          <w:rFonts w:hint="eastAsia" w:ascii="方正黑体_GBK" w:hAnsi="方正黑体_GBK" w:eastAsia="方正黑体_GBK" w:cs="方正黑体_GBK"/>
          <w:b w:val="0"/>
          <w:bCs/>
          <w:sz w:val="32"/>
          <w:szCs w:val="32"/>
          <w:shd w:val="clear" w:color="auto" w:fill="FFFFFF"/>
        </w:rPr>
      </w:pPr>
      <w:r>
        <w:rPr>
          <w:rStyle w:val="8"/>
          <w:rFonts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Times New Roman"/>
          <w:b w:val="0"/>
          <w:bCs/>
          <w:sz w:val="32"/>
          <w:szCs w:val="32"/>
        </w:rPr>
        <w:t>年度无国有资本经营预算财政拨款支出。</w:t>
      </w: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1.00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较上年支出数减少1.07万元，下降51.7%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严格控制“三公”经费开支，贯彻落实“过紧日子”要求。</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shd w:val="clear" w:color="auto" w:fill="FFFFFF"/>
        </w:rPr>
        <w:t>2024年度本</w:t>
      </w:r>
      <w:r>
        <w:rPr>
          <w:rFonts w:hint="default"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因公出国（境）费用0.00万元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费用支出较年初预算数无增减，主要原因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lang w:val="en-US" w:eastAsia="zh-CN"/>
        </w:rPr>
        <w:t>2024年未安排人员出国出访。</w:t>
      </w:r>
      <w:r>
        <w:rPr>
          <w:rFonts w:hint="default" w:ascii="Times New Roman" w:hAnsi="Times New Roman" w:eastAsia="方正仿宋_GBK" w:cs="Times New Roman"/>
          <w:b w:val="0"/>
          <w:bCs/>
          <w:sz w:val="32"/>
          <w:szCs w:val="32"/>
          <w:shd w:val="clear" w:color="auto" w:fill="FFFFFF"/>
        </w:rPr>
        <w:t>较上年支出数无增减，主要原因</w:t>
      </w:r>
      <w:r>
        <w:rPr>
          <w:rFonts w:hint="default" w:ascii="Times New Roman" w:hAnsi="Times New Roman" w:eastAsia="方正仿宋_GBK" w:cs="Times New Roman"/>
          <w:b w:val="0"/>
          <w:bCs/>
          <w:sz w:val="32"/>
          <w:szCs w:val="32"/>
          <w:shd w:val="clear" w:color="auto" w:fill="FFFFFF"/>
          <w:lang w:val="en-US" w:eastAsia="zh-CN"/>
        </w:rPr>
        <w:t>是2023-2024年均未安排人员出国出访。</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shd w:val="clear" w:color="auto" w:fill="FFFFFF"/>
        </w:rPr>
        <w:t>公务</w:t>
      </w:r>
      <w:r>
        <w:rPr>
          <w:rFonts w:hint="default" w:ascii="Times New Roman" w:hAnsi="Times New Roman" w:eastAsia="方正仿宋_GBK" w:cs="Times New Roman"/>
          <w:b w:val="0"/>
          <w:bCs/>
          <w:sz w:val="32"/>
          <w:szCs w:val="32"/>
          <w:shd w:val="clear" w:color="auto" w:fill="FFFFFF"/>
          <w:lang w:eastAsia="zh-CN"/>
        </w:rPr>
        <w:t>用</w:t>
      </w:r>
      <w:r>
        <w:rPr>
          <w:rFonts w:hint="default" w:ascii="Times New Roman" w:hAnsi="Times New Roman" w:eastAsia="方正仿宋_GBK" w:cs="Times New Roman"/>
          <w:b w:val="0"/>
          <w:bCs/>
          <w:sz w:val="32"/>
          <w:szCs w:val="32"/>
          <w:shd w:val="clear" w:color="auto" w:fill="FFFFFF"/>
        </w:rPr>
        <w:t>车购置费0.00万元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费用支出较年初预算数无增减</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较上年支出数无增减</w:t>
      </w:r>
      <w:r>
        <w:rPr>
          <w:rFonts w:hint="default" w:ascii="Times New Roman" w:hAnsi="Times New Roman" w:eastAsia="方正仿宋_GBK" w:cs="Times New Roman"/>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公务车运行维护费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万元。费用支出较年初预算数无增减。较上年支出数无增减。</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default" w:ascii="Times New Roman" w:hAnsi="Times New Roman" w:eastAsia="方正仿宋_GBK" w:cs="Times New Roman"/>
          <w:b w:val="0"/>
          <w:bCs/>
          <w:sz w:val="32"/>
          <w:szCs w:val="32"/>
          <w:shd w:val="clear" w:color="auto" w:fill="FFFFFF"/>
        </w:rPr>
        <w:t>公务接待费1.00万元，主要用于接待市级相关部门检查指导工作的支出。费用支出较年初预算数无增减</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较上年支出数减少1.07万元，下降51.7%，主要原因是</w:t>
      </w:r>
      <w:r>
        <w:rPr>
          <w:rFonts w:hint="default" w:ascii="Times New Roman" w:hAnsi="Times New Roman" w:eastAsia="方正仿宋_GBK" w:cs="Times New Roman"/>
          <w:b w:val="0"/>
          <w:bCs/>
          <w:sz w:val="32"/>
          <w:szCs w:val="32"/>
          <w:shd w:val="clear" w:color="auto" w:fill="FFFFFF"/>
          <w:lang w:val="en-US" w:eastAsia="zh-CN"/>
        </w:rPr>
        <w:t>严</w:t>
      </w:r>
      <w:r>
        <w:rPr>
          <w:rFonts w:hint="eastAsia" w:ascii="方正仿宋_GBK" w:hAnsi="方正仿宋_GBK" w:eastAsia="方正仿宋_GBK" w:cs="方正仿宋_GBK"/>
          <w:b w:val="0"/>
          <w:bCs/>
          <w:sz w:val="32"/>
          <w:szCs w:val="32"/>
          <w:shd w:val="clear" w:color="auto" w:fill="FFFFFF"/>
          <w:lang w:val="en-US" w:eastAsia="zh-CN"/>
        </w:rPr>
        <w:t>格控制“三公”经费的开支。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14</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96</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104.17</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lang w:val="en-US" w:eastAsia="zh-CN"/>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0.09</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与2023年度相比，减少0.29万元，下降76.3%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市级部门开展相关会议次数减少。</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与2023年度相比，减少5.46万元，下降100.0%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市级部门未专门开展相关业务培训。</w:t>
      </w:r>
      <w:r>
        <w:rPr>
          <w:rFonts w:ascii="方正仿宋_GBK" w:hAnsi="方正仿宋_GBK"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4.39</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与2023年度相比，增加1.41万元，增长47.3%</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是根据工作需要，我单位到市级部门汇报、沟通工作次数增加。</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hint="default" w:ascii="方正仿宋_GBK" w:hAnsi="方正仿宋_GBK" w:eastAsia="方正仿宋_GBK" w:cs="方正仿宋_GBK"/>
          <w:b w:val="0"/>
          <w:bCs/>
          <w:sz w:val="32"/>
          <w:szCs w:val="32"/>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政府采购支出总额</w:t>
      </w:r>
      <w:r>
        <w:rPr>
          <w:rFonts w:hint="default" w:ascii="Times New Roman" w:hAnsi="Times New Roman" w:eastAsia="方正仿宋_GBK"/>
          <w:b w:val="0"/>
          <w:bCs/>
          <w:sz w:val="32"/>
          <w:szCs w:val="32"/>
          <w:shd w:val="clear" w:color="auto" w:fill="FFFFFF"/>
        </w:rPr>
        <w:t>0.86</w:t>
      </w:r>
      <w:r>
        <w:rPr>
          <w:rFonts w:ascii="方正仿宋_GBK" w:hAnsi="方正仿宋_GBK"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0.86</w:t>
      </w:r>
      <w:r>
        <w:rPr>
          <w:rFonts w:ascii="方正仿宋_GBK" w:hAnsi="方正仿宋_GBK"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0.86</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0.86</w:t>
      </w:r>
      <w:r>
        <w:rPr>
          <w:rFonts w:ascii="方正仿宋_GBK" w:hAnsi="方正仿宋_GBK"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100.0 %</w:t>
      </w:r>
      <w:r>
        <w:rPr>
          <w:rFonts w:ascii="方正仿宋_GBK" w:hAnsi="方正仿宋_GBK" w:eastAsia="方正仿宋_GBK" w:cs="方正仿宋_GBK"/>
          <w:b w:val="0"/>
          <w:bCs/>
          <w:sz w:val="32"/>
          <w:szCs w:val="32"/>
          <w:shd w:val="clear" w:color="auto" w:fill="FFFFFF"/>
        </w:rPr>
        <w:t>。主要用于</w:t>
      </w:r>
      <w:r>
        <w:rPr>
          <w:rFonts w:hint="eastAsia" w:ascii="方正仿宋_GBK" w:hAnsi="方正仿宋_GBK" w:eastAsia="方正仿宋_GBK" w:cs="方正仿宋_GBK"/>
          <w:b w:val="0"/>
          <w:bCs/>
          <w:sz w:val="32"/>
          <w:szCs w:val="32"/>
          <w:shd w:val="clear" w:color="auto" w:fill="FFFFFF"/>
          <w:lang w:val="en-US" w:eastAsia="zh-CN"/>
        </w:rPr>
        <w:t>采购办公电脑。</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outlineLvl w:val="9"/>
        <w:rPr>
          <w:rFonts w:ascii="方正仿宋_GBK" w:hAnsi="方正仿宋_GBK" w:eastAsia="方正仿宋_GBK" w:cs="方正仿宋_GBK"/>
          <w:b w:val="0"/>
          <w:bCs/>
          <w:sz w:val="32"/>
          <w:szCs w:val="32"/>
          <w:highlight w:val="yellow"/>
          <w:shd w:val="clear" w:color="auto" w:fill="FFFFFF"/>
        </w:rPr>
      </w:pPr>
      <w:r>
        <w:rPr>
          <w:rFonts w:hint="eastAsia" w:ascii="方正仿宋_GBK" w:hAnsi="方正仿宋_GBK" w:eastAsia="方正仿宋_GBK" w:cs="方正仿宋_GBK"/>
          <w:b w:val="0"/>
          <w:bCs/>
          <w:sz w:val="32"/>
          <w:szCs w:val="32"/>
          <w:shd w:val="clear" w:color="auto" w:fill="FFFFFF"/>
        </w:rPr>
        <w:t>根据预算绩效管理要求，我单位无项目绩效自评，项目绩效纳入县住房和城乡建委（</w:t>
      </w:r>
      <w:r>
        <w:rPr>
          <w:rFonts w:hint="eastAsia" w:ascii="方正仿宋_GBK" w:hAnsi="方正仿宋_GBK" w:eastAsia="方正仿宋_GBK" w:cs="方正仿宋_GBK"/>
          <w:b w:val="0"/>
          <w:bCs/>
          <w:sz w:val="32"/>
          <w:szCs w:val="32"/>
          <w:shd w:val="clear" w:color="auto" w:fill="FFFFFF"/>
          <w:lang w:val="en-US" w:eastAsia="zh-CN"/>
        </w:rPr>
        <w:t>本级</w:t>
      </w:r>
      <w:r>
        <w:rPr>
          <w:rFonts w:hint="eastAsia" w:ascii="方正仿宋_GBK" w:hAnsi="方正仿宋_GBK" w:eastAsia="方正仿宋_GBK" w:cs="方正仿宋_GBK"/>
          <w:b w:val="0"/>
          <w:bCs/>
          <w:sz w:val="32"/>
          <w:szCs w:val="32"/>
          <w:shd w:val="clear" w:color="auto" w:fill="FFFFFF"/>
        </w:rPr>
        <w:t>）进行自评。</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（二）单位绩效评价情况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二</w:t>
      </w:r>
      <w:r>
        <w:rPr>
          <w:rFonts w:hint="eastAsia" w:ascii="方正楷体_GBK" w:hAnsi="方正楷体_GBK" w:eastAsia="方正楷体_GBK" w:cs="方正楷体_GBK"/>
          <w:b w:val="0"/>
          <w:bCs/>
          <w:sz w:val="32"/>
          <w:szCs w:val="32"/>
          <w:shd w:val="clear" w:color="auto" w:fill="FFFFFF"/>
        </w:rPr>
        <w:t>）基本支出：</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三</w:t>
      </w:r>
      <w:r>
        <w:rPr>
          <w:rFonts w:hint="eastAsia" w:ascii="方正楷体_GBK" w:hAnsi="方正楷体_GBK" w:eastAsia="方正楷体_GBK" w:cs="方正楷体_GBK"/>
          <w:b w:val="0"/>
          <w:bCs/>
          <w:sz w:val="32"/>
          <w:szCs w:val="32"/>
          <w:shd w:val="clear" w:color="auto" w:fill="FFFFFF"/>
        </w:rPr>
        <w:t>）“三公”经费：</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四</w:t>
      </w:r>
      <w:r>
        <w:rPr>
          <w:rFonts w:hint="eastAsia" w:ascii="方正楷体_GBK" w:hAnsi="方正楷体_GBK" w:eastAsia="方正楷体_GBK" w:cs="方正楷体_GBK"/>
          <w:b w:val="0"/>
          <w:bCs/>
          <w:sz w:val="32"/>
          <w:szCs w:val="32"/>
          <w:shd w:val="clear" w:color="auto" w:fill="FFFFFF"/>
        </w:rPr>
        <w:t>）工资福利支出（支出经济分类科目类级）：</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五</w:t>
      </w:r>
      <w:r>
        <w:rPr>
          <w:rFonts w:hint="eastAsia" w:ascii="方正楷体_GBK" w:hAnsi="方正楷体_GBK" w:eastAsia="方正楷体_GBK" w:cs="方正楷体_GBK"/>
          <w:b w:val="0"/>
          <w:bCs/>
          <w:sz w:val="32"/>
          <w:szCs w:val="32"/>
          <w:shd w:val="clear" w:color="auto" w:fill="FFFFFF"/>
        </w:rPr>
        <w:t>）商品和服务支出（支出经济分类科目类级）：</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lang w:val="en-US" w:eastAsia="zh-CN"/>
        </w:rPr>
        <w:t>（六</w:t>
      </w:r>
      <w:r>
        <w:rPr>
          <w:rFonts w:hint="eastAsia" w:ascii="方正楷体_GBK" w:hAnsi="方正楷体_GBK" w:eastAsia="方正楷体_GBK" w:cs="方正楷体_GBK"/>
          <w:b w:val="0"/>
          <w:bCs/>
          <w:sz w:val="32"/>
          <w:szCs w:val="32"/>
          <w:shd w:val="clear" w:color="auto" w:fill="FFFFFF"/>
        </w:rPr>
        <w:t>）对个人和家庭的补助（支出经济分类科目类级）：</w:t>
      </w:r>
      <w:r>
        <w:rPr>
          <w:rFonts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hint="eastAsia" w:ascii="方正仿宋_GBK" w:hAnsi="方正仿宋_GBK" w:eastAsia="方正仿宋_GBK" w:cs="方正仿宋_GBK"/>
          <w:b w:val="0"/>
          <w:bCs/>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决算公开信息反馈和联系方式：</w:t>
      </w:r>
      <w:r>
        <w:rPr>
          <w:rFonts w:hint="eastAsia" w:ascii="Times New Roman" w:hAnsi="Times New Roman" w:eastAsia="方正仿宋_GBK" w:cs="方正仿宋_GBK"/>
          <w:b w:val="0"/>
          <w:bCs/>
          <w:sz w:val="32"/>
          <w:szCs w:val="32"/>
          <w:shd w:val="clear" w:color="auto" w:fill="FFFFFF"/>
          <w:lang w:val="en-US" w:eastAsia="zh-CN"/>
        </w:rPr>
        <w:t>023-76671508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秀山土家族苗族自治县住房和城乡建设管理综合执法大队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646.30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秀山土家族苗族自治县住房和城乡建设管理综合执法大队</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秀山土家族苗族自治县住房和城乡建设管理综合执法大队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秀山土家族苗族自治县住房和城乡建设管理综合执法大队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秀山土家族苗族自治县住房和城乡建设管理综合执法大队</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秀山土家族苗族自治县住房和城乡建设管理综合执法大队</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612.37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秀山土家族苗族自治县住房和城乡建设管理综合执法大队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秀山土家族苗族自治县住房和城乡建设管理综合执法大队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秀山土家族苗族自治县住房和城乡建设管理综合执法大队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AA28D9"/>
    <w:rsid w:val="03B87EA0"/>
    <w:rsid w:val="03E3214F"/>
    <w:rsid w:val="044C50BA"/>
    <w:rsid w:val="05840309"/>
    <w:rsid w:val="05BC6D49"/>
    <w:rsid w:val="06194FF1"/>
    <w:rsid w:val="06A2550B"/>
    <w:rsid w:val="06F80EE2"/>
    <w:rsid w:val="07001CCA"/>
    <w:rsid w:val="075678DB"/>
    <w:rsid w:val="079D7CC7"/>
    <w:rsid w:val="07B84D4C"/>
    <w:rsid w:val="08051BCA"/>
    <w:rsid w:val="08277730"/>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76575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5A34CA"/>
    <w:rsid w:val="1ECF0A66"/>
    <w:rsid w:val="1EF67CA4"/>
    <w:rsid w:val="1F020D3A"/>
    <w:rsid w:val="1F2C5189"/>
    <w:rsid w:val="1F4B0B02"/>
    <w:rsid w:val="1FBB35CD"/>
    <w:rsid w:val="1FCD26AF"/>
    <w:rsid w:val="20642787"/>
    <w:rsid w:val="21556F04"/>
    <w:rsid w:val="215F296B"/>
    <w:rsid w:val="22403BD3"/>
    <w:rsid w:val="235417B6"/>
    <w:rsid w:val="24B92327"/>
    <w:rsid w:val="24C14514"/>
    <w:rsid w:val="2533755C"/>
    <w:rsid w:val="25791755"/>
    <w:rsid w:val="26396DF4"/>
    <w:rsid w:val="26E95C0F"/>
    <w:rsid w:val="27167136"/>
    <w:rsid w:val="271B442C"/>
    <w:rsid w:val="27B23302"/>
    <w:rsid w:val="29310A5F"/>
    <w:rsid w:val="29C37A35"/>
    <w:rsid w:val="2A076083"/>
    <w:rsid w:val="2A73162E"/>
    <w:rsid w:val="2B167953"/>
    <w:rsid w:val="2B200583"/>
    <w:rsid w:val="2B8209DE"/>
    <w:rsid w:val="2B821C91"/>
    <w:rsid w:val="2BF81A22"/>
    <w:rsid w:val="2C636760"/>
    <w:rsid w:val="2C6762A3"/>
    <w:rsid w:val="2D6C2851"/>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906F95"/>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0A1B6A"/>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382B1D"/>
    <w:rsid w:val="41E0734B"/>
    <w:rsid w:val="426C1EA8"/>
    <w:rsid w:val="42736402"/>
    <w:rsid w:val="42E86A87"/>
    <w:rsid w:val="43307B09"/>
    <w:rsid w:val="436D44AF"/>
    <w:rsid w:val="439A3EB9"/>
    <w:rsid w:val="43A2191B"/>
    <w:rsid w:val="43BB152F"/>
    <w:rsid w:val="44293E61"/>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5FEC7132"/>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7C2526"/>
    <w:rsid w:val="6883293E"/>
    <w:rsid w:val="688412AD"/>
    <w:rsid w:val="68AB0C2B"/>
    <w:rsid w:val="68EB1B71"/>
    <w:rsid w:val="6917171D"/>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41526A"/>
    <w:rsid w:val="708F6F7F"/>
    <w:rsid w:val="70D94BD3"/>
    <w:rsid w:val="71574775"/>
    <w:rsid w:val="71C34D91"/>
    <w:rsid w:val="7214602D"/>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A8010A"/>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19</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2025-09-29T09:55:33Z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