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秀山土家族苗族自治县管线综合管理事务中心</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 开展管线综合管理的相关协调服务。主要包括协调指导城市综合管廊、相关管线工程的建设和管理，组织实施城镇排水（雨水、污水）管网建设和维护管理、城市市政消火栓建设等的具体事务性工作。受主管部门委托，承担城市污水处理厂建设运行管理、城镇污水处理费征收的管理工作、城镇排水监测的监督管理、城市排水防涝等工作。</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2.为城市管线建设提供技术服务。主要包括参与管线工程方案设计、初步设计、施工图设计的技术审查，为开展相关的地下市政交通设施、综合管廊、停车场等功能设施综合开发建设提供技术性服务。</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3.开展管线工程档案信息化服务。主要包括组织实施城市管线工程档案信息化利用工作，开展相关的地下市政和交通设施、综合管廊、停车场等功能设施工程档案信息化研究。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MicrosoftYaHei" w:cs="MicrosoftYaHei"/>
          <w:b w:val="0"/>
          <w:bCs/>
          <w:sz w:val="32"/>
          <w:szCs w:val="32"/>
        </w:rPr>
      </w:pPr>
      <w:r>
        <w:rPr>
          <w:rFonts w:ascii="Times New Roman" w:hAnsi="Times New Roman" w:eastAsia="方正仿宋_GBK"/>
          <w:b w:val="0"/>
          <w:bCs/>
          <w:color w:val="333333"/>
          <w:sz w:val="32"/>
          <w:szCs w:val="32"/>
          <w:shd w:val="clear" w:color="auto" w:fill="FFFFFF"/>
        </w:rPr>
        <w:t>秀山土家族苗族自治县管线综合管理事务中心，为县住房城乡建委管理的公益一类副科级事业单位。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color w:val="FF0000"/>
          <w:sz w:val="32"/>
          <w:szCs w:val="32"/>
          <w:shd w:val="clear" w:color="auto" w:fill="FFFFFF"/>
          <w:lang w:val="en-US" w:eastAsia="zh-CN"/>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年度收</w:t>
      </w:r>
      <w:r>
        <w:rPr>
          <w:rFonts w:hint="eastAsia" w:ascii="Times New Roman" w:hAnsi="Times New Roman" w:eastAsia="方正仿宋_GBK" w:cs="方正仿宋_GBK"/>
          <w:b w:val="0"/>
          <w:bCs/>
          <w:sz w:val="32"/>
          <w:szCs w:val="32"/>
          <w:shd w:val="clear" w:color="auto" w:fill="FFFFFF"/>
          <w:lang w:eastAsia="zh-CN"/>
        </w:rPr>
        <w:t>、支</w:t>
      </w:r>
      <w:r>
        <w:rPr>
          <w:rFonts w:ascii="Times New Roman" w:hAnsi="Times New Roman" w:eastAsia="方正仿宋_GBK" w:cs="方正仿宋_GBK"/>
          <w:b w:val="0"/>
          <w:bCs/>
          <w:sz w:val="32"/>
          <w:szCs w:val="32"/>
          <w:shd w:val="clear" w:color="auto" w:fill="FFFFFF"/>
        </w:rPr>
        <w:t>总计</w:t>
      </w:r>
      <w:r>
        <w:rPr>
          <w:rFonts w:hint="eastAsia" w:ascii="Times New Roman" w:hAnsi="Times New Roman"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684.22</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收、支与2023年度相比，增加507.75万元，增长287.7%</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上年城镇管网日常维护维修等项目在本级列支，今年纳入管线综合管理事务中心。</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1</w:t>
      </w:r>
      <w:r>
        <w:rPr>
          <w:rStyle w:val="8"/>
          <w:rFonts w:ascii="Times New Roman" w:hAnsi="Times New Roman"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684.22</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与2023年度相比，增加507.75万元，增长287.7%</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上年城镇管网日常维护维修等项目在本级列支，今年纳入管线综合管理事务中心。</w:t>
      </w:r>
      <w:r>
        <w:rPr>
          <w:rFonts w:ascii="Times New Roman" w:hAnsi="Times New Roman"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684.22</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Times New Roman" w:hAnsi="Times New Roman"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。此外，</w:t>
      </w:r>
      <w:r>
        <w:rPr>
          <w:rFonts w:hint="eastAsia" w:ascii="Times New Roman" w:hAnsi="Times New Roman"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2</w:t>
      </w:r>
      <w:r>
        <w:rPr>
          <w:rStyle w:val="8"/>
          <w:rFonts w:ascii="Times New Roman" w:hAnsi="Times New Roman"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684.22</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与2023年度相比，增加507.75万元，增长287.7%</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上年城镇管网日常维护维修等项目在本级列支，今年纳入管线综合管理事务中心。</w:t>
      </w:r>
      <w:r>
        <w:rPr>
          <w:rFonts w:ascii="Times New Roman" w:hAnsi="Times New Roman"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118.19</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17.3%</w:t>
      </w:r>
      <w:r>
        <w:rPr>
          <w:rFonts w:ascii="Times New Roman" w:hAnsi="Times New Roman"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566.03</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82.7%</w:t>
      </w:r>
      <w:r>
        <w:rPr>
          <w:rFonts w:ascii="Times New Roman" w:hAnsi="Times New Roman"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Style w:val="8"/>
          <w:rFonts w:hint="eastAsia" w:ascii="Times New Roman" w:hAnsi="Times New Roman" w:eastAsia="方正仿宋_GBK"/>
          <w:b w:val="0"/>
          <w:bCs/>
          <w:sz w:val="32"/>
          <w:szCs w:val="32"/>
          <w:shd w:val="clear" w:color="auto" w:fill="FFFFFF"/>
          <w:lang w:val="en-US" w:eastAsia="zh-CN"/>
        </w:rPr>
        <w:t>3</w:t>
      </w:r>
      <w:r>
        <w:rPr>
          <w:rStyle w:val="8"/>
          <w:rFonts w:ascii="Times New Roman" w:hAnsi="Times New Roman"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684.22</w:t>
      </w:r>
      <w:r>
        <w:rPr>
          <w:rFonts w:ascii="Times New Roman" w:hAnsi="Times New Roman"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Times New Roman" w:hAnsi="Times New Roman" w:eastAsia="方正仿宋_GBK" w:cs="方正仿宋_GBK"/>
          <w:b w:val="0"/>
          <w:bCs/>
          <w:sz w:val="32"/>
          <w:szCs w:val="32"/>
          <w:shd w:val="clear" w:color="auto" w:fill="FFFFFF"/>
        </w:rPr>
        <w:t>年</w:t>
      </w:r>
      <w:r>
        <w:rPr>
          <w:rFonts w:hint="eastAsia" w:ascii="Times New Roman" w:hAnsi="Times New Roman" w:eastAsia="方正仿宋_GBK" w:cs="方正仿宋_GBK"/>
          <w:b w:val="0"/>
          <w:bCs/>
          <w:sz w:val="32"/>
          <w:szCs w:val="32"/>
          <w:shd w:val="clear" w:color="auto" w:fill="FFFFFF"/>
          <w:lang w:eastAsia="zh-CN"/>
        </w:rPr>
        <w:t>度</w:t>
      </w:r>
      <w:r>
        <w:rPr>
          <w:rFonts w:ascii="Times New Roman" w:hAnsi="Times New Roman"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财政拨款收、支总计各增加507.75万元，增长287.7%</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上年城镇管网日常维护维修等项目在本级列支，今年纳入管线综合管理事务中心。</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Style w:val="8"/>
          <w:rFonts w:hint="default" w:ascii="Times New Roman" w:hAnsi="Times New Roman" w:eastAsia="方正仿宋_GBK"/>
          <w:b w:val="0"/>
          <w:bCs/>
          <w:sz w:val="32"/>
          <w:szCs w:val="32"/>
          <w:shd w:val="clear" w:color="auto" w:fill="FFFFFF"/>
        </w:rPr>
        <w:t>1</w:t>
      </w:r>
      <w:r>
        <w:rPr>
          <w:rStyle w:val="8"/>
          <w:rFonts w:ascii="Times New Roman" w:hAnsi="Times New Roman"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490.29</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与2023年度相比，增加364.56万元，增长290.0%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上年城镇管网日常维护维修等项目在本级列支，今年纳入管线综合管理事务中心。</w:t>
      </w:r>
      <w:r>
        <w:rPr>
          <w:rFonts w:hint="default" w:ascii="Times New Roman" w:hAnsi="Times New Roman" w:eastAsia="方正仿宋_GBK"/>
          <w:b w:val="0"/>
          <w:bCs/>
          <w:sz w:val="32"/>
          <w:szCs w:val="32"/>
          <w:shd w:val="clear" w:color="auto" w:fill="FFFFFF"/>
        </w:rPr>
        <w:t>较年初预算数增加368.61万元，增长302.9%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上年城镇管网日常维护维修等项目在本级列支，今年纳入管线综合管理事务中心。</w:t>
      </w:r>
      <w:r>
        <w:rPr>
          <w:rFonts w:ascii="Times New Roman" w:hAnsi="Times New Roman"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2</w:t>
      </w:r>
      <w:r>
        <w:rPr>
          <w:rStyle w:val="8"/>
          <w:rFonts w:ascii="Times New Roman" w:hAnsi="Times New Roman"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490.29</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与2023年度相比，增加364.56万元，增长290.0%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上年城镇管网日常维护维修等项目在本级列支，今年纳入管线综合管理事务中心。</w:t>
      </w:r>
      <w:r>
        <w:rPr>
          <w:rFonts w:hint="default" w:ascii="Times New Roman" w:hAnsi="Times New Roman" w:eastAsia="方正仿宋_GBK"/>
          <w:b w:val="0"/>
          <w:bCs/>
          <w:sz w:val="32"/>
          <w:szCs w:val="32"/>
          <w:shd w:val="clear" w:color="auto" w:fill="FFFFFF"/>
        </w:rPr>
        <w:t>较年初预算数增加368.61万元，增长302.9%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上年城镇管网日常维护维修等项目在本级列支，今年纳入管线综合管理事务中心。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b w:val="0"/>
          <w:bCs/>
          <w:sz w:val="32"/>
          <w:szCs w:val="32"/>
          <w:highlight w:val="none"/>
          <w:shd w:val="clear" w:color="auto" w:fill="FFFFFF"/>
        </w:rPr>
      </w:pPr>
      <w:r>
        <w:rPr>
          <w:rFonts w:ascii="Times New Roman" w:hAnsi="Times New Roman" w:eastAsia="方正仿宋_GBK" w:cs="方正仿宋_GBK"/>
          <w:b w:val="0"/>
          <w:bCs/>
          <w:sz w:val="32"/>
          <w:szCs w:val="32"/>
          <w:highlight w:val="none"/>
          <w:shd w:val="clear" w:color="auto" w:fill="FFFFFF"/>
        </w:rPr>
        <w:t>一般公共预算财政拨款支出主要</w:t>
      </w:r>
      <w:r>
        <w:rPr>
          <w:rFonts w:hint="eastAsia" w:ascii="Times New Roman" w:hAnsi="Times New Roman" w:eastAsia="方正仿宋_GBK" w:cs="方正仿宋_GBK"/>
          <w:b w:val="0"/>
          <w:bCs/>
          <w:sz w:val="32"/>
          <w:szCs w:val="32"/>
          <w:highlight w:val="none"/>
          <w:shd w:val="clear" w:color="auto" w:fill="FFFFFF"/>
          <w:lang w:eastAsia="zh-CN"/>
        </w:rPr>
        <w:t>用途如下</w:t>
      </w:r>
      <w:r>
        <w:rPr>
          <w:rFonts w:ascii="Times New Roman" w:hAnsi="Times New Roman" w:eastAsia="方正仿宋_GBK" w:cs="方正仿宋_GBK"/>
          <w:b w:val="0"/>
          <w:bCs/>
          <w:sz w:val="32"/>
          <w:szCs w:val="32"/>
          <w:highlight w:val="none"/>
          <w:shd w:val="clear" w:color="auto" w:fill="FFFFFF"/>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1</w:t>
      </w:r>
      <w:r>
        <w:rPr>
          <w:rFonts w:ascii="Times New Roman" w:hAnsi="Times New Roman" w:eastAsia="方正仿宋_GBK" w:cs="方正仿宋_GBK"/>
          <w:b w:val="0"/>
          <w:bCs/>
          <w:sz w:val="32"/>
          <w:szCs w:val="32"/>
          <w:shd w:val="clear" w:color="auto" w:fill="FFFFFF"/>
        </w:rPr>
        <w:t>）社会保障</w:t>
      </w:r>
      <w:r>
        <w:rPr>
          <w:rFonts w:hint="eastAsia" w:ascii="Times New Roman" w:hAnsi="Times New Roman" w:eastAsia="方正仿宋_GBK" w:cs="方正仿宋_GBK"/>
          <w:b w:val="0"/>
          <w:bCs/>
          <w:sz w:val="32"/>
          <w:szCs w:val="32"/>
          <w:shd w:val="clear" w:color="auto" w:fill="FFFFFF"/>
          <w:lang w:eastAsia="zh-CN"/>
        </w:rPr>
        <w:t>和</w:t>
      </w:r>
      <w:r>
        <w:rPr>
          <w:rFonts w:ascii="Times New Roman" w:hAnsi="Times New Roman"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12.95</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2.6%</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2</w:t>
      </w:r>
      <w:r>
        <w:rPr>
          <w:rFonts w:ascii="Times New Roman" w:hAnsi="Times New Roman"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7.08</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1.4%</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3</w:t>
      </w:r>
      <w:r>
        <w:rPr>
          <w:rFonts w:ascii="Times New Roman" w:hAnsi="Times New Roman" w:eastAsia="方正仿宋_GBK" w:cs="方正仿宋_GBK"/>
          <w:b w:val="0"/>
          <w:bCs/>
          <w:sz w:val="32"/>
          <w:szCs w:val="32"/>
          <w:shd w:val="clear" w:color="auto" w:fill="FFFFFF"/>
        </w:rPr>
        <w:t>）城乡社区支出</w:t>
      </w:r>
      <w:r>
        <w:rPr>
          <w:rFonts w:hint="default" w:ascii="Times New Roman" w:hAnsi="Times New Roman" w:eastAsia="方正仿宋_GBK"/>
          <w:b w:val="0"/>
          <w:bCs/>
          <w:sz w:val="32"/>
          <w:szCs w:val="32"/>
          <w:shd w:val="clear" w:color="auto" w:fill="FFFFFF"/>
        </w:rPr>
        <w:t>463.75</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94.6%</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较年初预算数增加368.60万元，增长387.4%</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上年城镇管网日常维护维修等项目在本级列支，今年纳入管线综合管理事务中心。</w:t>
      </w:r>
    </w:p>
    <w:p>
      <w:pPr>
        <w:keepNext w:val="0"/>
        <w:keepLines w:val="0"/>
        <w:pageBreakBefore w:val="0"/>
        <w:widowControl/>
        <w:kinsoku/>
        <w:wordWrap/>
        <w:overflowPunct/>
        <w:topLinePunct w:val="0"/>
        <w:bidi w:val="0"/>
        <w:spacing w:line="560" w:lineRule="exact"/>
        <w:ind w:firstLine="640" w:firstLineChars="200"/>
        <w:jc w:val="both"/>
        <w:textAlignment w:val="auto"/>
        <w:rPr>
          <w:rFonts w:hint="eastAsia" w:ascii="Times New Roman" w:hAnsi="Times New Roman" w:eastAsia="方正仿宋_GBK" w:cs="方正仿宋_GBK"/>
          <w:b w:val="0"/>
          <w:bCs/>
          <w:color w:val="FF0000"/>
          <w:sz w:val="32"/>
          <w:szCs w:val="32"/>
          <w:shd w:val="clear" w:color="auto" w:fill="FFFFFF"/>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Times New Roman" w:hAnsi="Times New Roman" w:eastAsia="方正仿宋_GBK" w:cs="方正仿宋_GBK"/>
          <w:b w:val="0"/>
          <w:bCs/>
          <w:sz w:val="32"/>
          <w:szCs w:val="32"/>
          <w:shd w:val="clear" w:color="auto" w:fill="FFFFFF"/>
        </w:rPr>
        <w:t>）</w:t>
      </w:r>
      <w:r>
        <w:rPr>
          <w:rFonts w:ascii="Times New Roman" w:hAnsi="Times New Roman"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6.51</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1.3%</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3</w:t>
      </w:r>
      <w:r>
        <w:rPr>
          <w:rStyle w:val="8"/>
          <w:rFonts w:ascii="Times New Roman" w:hAnsi="Times New Roman"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ascii="Times New Roman" w:hAnsi="Times New Roman" w:eastAsia="方正仿宋_GBK" w:cs="Times New Roman"/>
          <w:b w:val="0"/>
          <w:bCs/>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年度一般公共财政拨款基本支出</w:t>
      </w:r>
      <w:r>
        <w:rPr>
          <w:rFonts w:hint="default" w:ascii="Times New Roman" w:hAnsi="Times New Roman" w:eastAsia="方正仿宋_GBK"/>
          <w:b w:val="0"/>
          <w:bCs/>
          <w:sz w:val="32"/>
          <w:szCs w:val="32"/>
          <w:shd w:val="clear" w:color="auto" w:fill="FFFFFF"/>
        </w:rPr>
        <w:t>118.19</w:t>
      </w:r>
      <w:r>
        <w:rPr>
          <w:rFonts w:ascii="Times New Roman" w:hAnsi="Times New Roman" w:eastAsia="方正仿宋_GBK" w:cs="方正仿宋_GBK"/>
          <w:b w:val="0"/>
          <w:bCs/>
          <w:sz w:val="32"/>
          <w:szCs w:val="32"/>
          <w:shd w:val="clear" w:color="auto" w:fill="FFFFFF"/>
        </w:rPr>
        <w:t>万元。其中：人员经费</w:t>
      </w:r>
      <w:r>
        <w:rPr>
          <w:rFonts w:hint="default" w:ascii="Times New Roman" w:hAnsi="Times New Roman" w:eastAsia="方正仿宋_GBK"/>
          <w:b w:val="0"/>
          <w:bCs/>
          <w:sz w:val="32"/>
          <w:szCs w:val="32"/>
          <w:shd w:val="clear" w:color="auto" w:fill="FFFFFF"/>
        </w:rPr>
        <w:t>109.14</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与2023年度相比，减少4.73万元，下降4.2%</w:t>
      </w:r>
      <w:r>
        <w:rPr>
          <w:rFonts w:ascii="Times New Roman" w:hAnsi="Times New Roman" w:eastAsia="方正仿宋_GBK" w:cs="方正仿宋_GBK"/>
          <w:b w:val="0"/>
          <w:bCs/>
          <w:sz w:val="32"/>
          <w:szCs w:val="32"/>
          <w:shd w:val="clear" w:color="auto" w:fill="FFFFFF"/>
        </w:rPr>
        <w:t>，主要原因</w:t>
      </w:r>
      <w:r>
        <w:rPr>
          <w:rFonts w:hint="eastAsia" w:ascii="Times New Roman" w:hAnsi="Times New Roman" w:eastAsia="方正仿宋_GBK" w:cs="方正仿宋_GBK"/>
          <w:b w:val="0"/>
          <w:bCs/>
          <w:sz w:val="32"/>
          <w:szCs w:val="32"/>
          <w:shd w:val="clear" w:color="auto" w:fill="FFFFFF"/>
          <w:lang w:val="en-US" w:eastAsia="zh-CN"/>
        </w:rPr>
        <w:t>是</w:t>
      </w:r>
      <w:r>
        <w:rPr>
          <w:rFonts w:hint="eastAsia" w:ascii="Times New Roman" w:hAnsi="Times New Roman" w:eastAsia="方正仿宋_GBK"/>
          <w:b w:val="0"/>
          <w:bCs/>
          <w:sz w:val="32"/>
          <w:szCs w:val="32"/>
          <w:shd w:val="clear" w:color="auto" w:fill="FFFFFF"/>
          <w:lang w:val="en-US" w:eastAsia="zh-CN"/>
        </w:rPr>
        <w:t>2024年</w:t>
      </w:r>
      <w:r>
        <w:rPr>
          <w:rFonts w:hint="eastAsia" w:ascii="Times New Roman" w:hAnsi="Times New Roman" w:eastAsia="方正仿宋_GBK" w:cs="方正仿宋_GBK"/>
          <w:b w:val="0"/>
          <w:bCs/>
          <w:sz w:val="32"/>
          <w:szCs w:val="32"/>
          <w:shd w:val="clear" w:color="auto" w:fill="FFFFFF"/>
          <w:lang w:val="en-US" w:eastAsia="zh-CN"/>
        </w:rPr>
        <w:t>减少通讯费发放。</w:t>
      </w:r>
      <w:r>
        <w:rPr>
          <w:rFonts w:ascii="Times New Roman" w:hAnsi="Times New Roman" w:eastAsia="方正仿宋_GBK" w:cs="方正仿宋_GBK"/>
          <w:b w:val="0"/>
          <w:bCs/>
          <w:sz w:val="32"/>
          <w:szCs w:val="32"/>
          <w:shd w:val="clear" w:color="auto" w:fill="FFFFFF"/>
        </w:rPr>
        <w:t>人员经费用途主要包括</w:t>
      </w:r>
      <w:r>
        <w:rPr>
          <w:rFonts w:ascii="Times New Roman" w:hAnsi="Times New Roman" w:eastAsia="方正仿宋_GBK" w:cs="Times New Roman"/>
          <w:b w:val="0"/>
          <w:bCs/>
          <w:sz w:val="32"/>
          <w:szCs w:val="32"/>
          <w:shd w:val="clear" w:color="auto" w:fill="FFFFFF"/>
        </w:rPr>
        <w:t>基本工资、津贴补贴、奖金、社会保障缴费。</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公用经费</w:t>
      </w:r>
      <w:r>
        <w:rPr>
          <w:rFonts w:hint="default" w:ascii="Times New Roman" w:hAnsi="Times New Roman" w:eastAsia="方正仿宋_GBK"/>
          <w:b w:val="0"/>
          <w:bCs/>
          <w:sz w:val="32"/>
          <w:szCs w:val="32"/>
          <w:shd w:val="clear" w:color="auto" w:fill="FFFFFF"/>
        </w:rPr>
        <w:t>9.05</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与2023年度相比，减少2.81万元，下降23.7%</w:t>
      </w:r>
      <w:r>
        <w:rPr>
          <w:rFonts w:ascii="Times New Roman" w:hAnsi="Times New Roman" w:eastAsia="方正仿宋_GBK" w:cs="方正仿宋_GBK"/>
          <w:b w:val="0"/>
          <w:bCs/>
          <w:sz w:val="32"/>
          <w:szCs w:val="32"/>
          <w:shd w:val="clear" w:color="auto" w:fill="FFFFFF"/>
        </w:rPr>
        <w:t>，主要原因</w:t>
      </w:r>
      <w:r>
        <w:rPr>
          <w:rFonts w:hint="eastAsia" w:ascii="Times New Roman" w:hAnsi="Times New Roman" w:eastAsia="方正仿宋_GBK" w:cs="方正仿宋_GBK"/>
          <w:b w:val="0"/>
          <w:bCs/>
          <w:sz w:val="32"/>
          <w:szCs w:val="32"/>
          <w:shd w:val="clear" w:color="auto" w:fill="FFFFFF"/>
          <w:lang w:eastAsia="zh-CN"/>
        </w:rPr>
        <w:t>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公用经费用途主要包括</w:t>
      </w:r>
      <w:r>
        <w:rPr>
          <w:rFonts w:ascii="Times New Roman" w:hAnsi="Times New Roman" w:eastAsia="方正仿宋_GBK" w:cs="Times New Roman"/>
          <w:b w:val="0"/>
          <w:bCs/>
          <w:sz w:val="32"/>
          <w:szCs w:val="32"/>
          <w:shd w:val="clear" w:color="auto" w:fill="FFFFFF"/>
        </w:rPr>
        <w:t>办公费、培训费、会议费、差旅费</w:t>
      </w:r>
      <w:r>
        <w:rPr>
          <w:rFonts w:hint="eastAsia" w:ascii="Times New Roman" w:hAnsi="Times New Roman" w:eastAsia="方正仿宋_GBK" w:cs="Times New Roman"/>
          <w:b w:val="0"/>
          <w:bCs/>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8"/>
          <w:rFonts w:ascii="Times New Roman" w:hAnsi="Times New Roman" w:eastAsia="方正仿宋_GBK" w:cs="方正仿宋_GBK"/>
          <w:b w:val="0"/>
          <w:bCs/>
          <w:sz w:val="32"/>
          <w:szCs w:val="32"/>
        </w:rPr>
      </w:pPr>
      <w:r>
        <w:rPr>
          <w:rStyle w:val="8"/>
          <w:rFonts w:ascii="Times New Roman" w:hAnsi="Times New Roman" w:eastAsia="方正仿宋_GBK" w:cs="方正仿宋_GBK"/>
          <w:b w:val="0"/>
          <w:bCs/>
          <w:sz w:val="32"/>
          <w:szCs w:val="32"/>
        </w:rPr>
        <w:t>本单位</w:t>
      </w:r>
      <w:r>
        <w:rPr>
          <w:rStyle w:val="8"/>
          <w:rFonts w:hint="default" w:ascii="Times New Roman" w:hAnsi="Times New Roman" w:eastAsia="方正仿宋_GBK" w:cs="Times New Roman"/>
          <w:b w:val="0"/>
          <w:bCs/>
          <w:sz w:val="32"/>
          <w:szCs w:val="32"/>
        </w:rPr>
        <w:t>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方正仿宋_GBK"/>
          <w:b w:val="0"/>
          <w:bCs/>
          <w:sz w:val="32"/>
          <w:szCs w:val="32"/>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ascii="Times New Roman" w:hAnsi="Times New Roman" w:eastAsia="方正仿宋_GBK" w:cs="方正仿宋_GBK"/>
          <w:b w:val="0"/>
          <w:bCs/>
          <w:sz w:val="32"/>
          <w:szCs w:val="32"/>
        </w:rPr>
        <w:t>本单位</w:t>
      </w:r>
      <w:r>
        <w:rPr>
          <w:rStyle w:val="8"/>
          <w:rFonts w:hint="default" w:ascii="Times New Roman" w:hAnsi="Times New Roman" w:eastAsia="方正仿宋_GBK" w:cs="Times New Roman"/>
          <w:b w:val="0"/>
          <w:bCs/>
          <w:sz w:val="32"/>
          <w:szCs w:val="32"/>
        </w:rPr>
        <w:t>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方正仿宋_GBK"/>
          <w:b w:val="0"/>
          <w:bCs/>
          <w:sz w:val="32"/>
          <w:szCs w:val="32"/>
        </w:rPr>
        <w:t>年度无国有资本经营预算财政拨款支出。</w:t>
      </w: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0.50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较上年支出数减少0.08万元，下降13.8%</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因公出国（境）费用</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公务</w:t>
      </w:r>
      <w:r>
        <w:rPr>
          <w:rFonts w:hint="eastAsia" w:ascii="Times New Roman" w:hAnsi="Times New Roman" w:eastAsia="方正仿宋_GBK" w:cs="方正仿宋_GBK"/>
          <w:b w:val="0"/>
          <w:bCs/>
          <w:sz w:val="32"/>
          <w:szCs w:val="32"/>
          <w:shd w:val="clear" w:color="auto" w:fill="FFFFFF"/>
          <w:lang w:eastAsia="zh-CN"/>
        </w:rPr>
        <w:t>用</w:t>
      </w:r>
      <w:r>
        <w:rPr>
          <w:rFonts w:ascii="Times New Roman" w:hAnsi="Times New Roman" w:eastAsia="方正仿宋_GBK" w:cs="方正仿宋_GBK"/>
          <w:b w:val="0"/>
          <w:bCs/>
          <w:sz w:val="32"/>
          <w:szCs w:val="32"/>
          <w:shd w:val="clear" w:color="auto" w:fill="FFFFFF"/>
        </w:rPr>
        <w:t>车购置费</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公务</w:t>
      </w:r>
      <w:r>
        <w:rPr>
          <w:rFonts w:hint="eastAsia" w:ascii="Times New Roman" w:hAnsi="Times New Roman" w:eastAsia="方正仿宋_GBK" w:cs="方正仿宋_GBK"/>
          <w:b w:val="0"/>
          <w:bCs/>
          <w:sz w:val="32"/>
          <w:szCs w:val="32"/>
          <w:shd w:val="clear" w:color="auto" w:fill="FFFFFF"/>
          <w:lang w:eastAsia="zh-CN"/>
        </w:rPr>
        <w:t>用</w:t>
      </w:r>
      <w:r>
        <w:rPr>
          <w:rFonts w:ascii="Times New Roman" w:hAnsi="Times New Roman" w:eastAsia="方正仿宋_GBK" w:cs="方正仿宋_GBK"/>
          <w:b w:val="0"/>
          <w:bCs/>
          <w:sz w:val="32"/>
          <w:szCs w:val="32"/>
          <w:shd w:val="clear" w:color="auto" w:fill="FFFFFF"/>
        </w:rPr>
        <w:t>车运行维护费</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公务接待费</w:t>
      </w:r>
      <w:r>
        <w:rPr>
          <w:rFonts w:hint="default" w:ascii="Times New Roman" w:hAnsi="Times New Roman" w:eastAsia="方正仿宋_GBK"/>
          <w:b w:val="0"/>
          <w:bCs/>
          <w:sz w:val="32"/>
          <w:szCs w:val="32"/>
          <w:shd w:val="clear" w:color="auto" w:fill="FFFFFF"/>
        </w:rPr>
        <w:t>0.50</w:t>
      </w:r>
      <w:r>
        <w:rPr>
          <w:rFonts w:ascii="Times New Roman" w:hAnsi="Times New Roman" w:eastAsia="方正仿宋_GBK" w:cs="方正仿宋_GBK"/>
          <w:b w:val="0"/>
          <w:bCs/>
          <w:sz w:val="32"/>
          <w:szCs w:val="32"/>
          <w:shd w:val="clear" w:color="auto" w:fill="FFFFFF"/>
        </w:rPr>
        <w:t>万元，主要用于接待</w:t>
      </w:r>
      <w:r>
        <w:rPr>
          <w:rFonts w:hint="eastAsia" w:ascii="Times New Roman" w:hAnsi="Times New Roman" w:eastAsia="方正仿宋_GBK" w:cs="方正仿宋_GBK"/>
          <w:b w:val="0"/>
          <w:bCs/>
          <w:sz w:val="32"/>
          <w:szCs w:val="32"/>
          <w:shd w:val="clear" w:color="auto" w:fill="FFFFFF"/>
          <w:lang w:val="en-US" w:eastAsia="zh-CN"/>
        </w:rPr>
        <w:t>市级部门指导检查工作开支。</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较上年支出数减少0.08万元，下降13.8%</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因公出国（境）共计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12</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66</w:t>
      </w:r>
      <w:r>
        <w:rPr>
          <w:rFonts w:ascii="Times New Roman" w:hAnsi="Times New Roman"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人均接待费</w:t>
      </w:r>
      <w:r>
        <w:rPr>
          <w:rFonts w:hint="default" w:ascii="Times New Roman" w:hAnsi="Times New Roman" w:eastAsia="方正仿宋_GBK"/>
          <w:b w:val="0"/>
          <w:bCs/>
          <w:sz w:val="32"/>
          <w:szCs w:val="32"/>
          <w:shd w:val="clear" w:color="auto" w:fill="FFFFFF"/>
        </w:rPr>
        <w:t>75.76</w:t>
      </w:r>
      <w:r>
        <w:rPr>
          <w:rFonts w:ascii="Times New Roman" w:hAnsi="Times New Roman"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color w:val="FF0000"/>
          <w:sz w:val="32"/>
          <w:szCs w:val="32"/>
        </w:rPr>
      </w:pPr>
      <w:r>
        <w:rPr>
          <w:rFonts w:ascii="Times New Roman" w:hAnsi="Times New Roman" w:eastAsia="方正仿宋_GBK" w:cs="方正仿宋_GBK"/>
          <w:b w:val="0"/>
          <w:bCs/>
          <w:sz w:val="32"/>
          <w:szCs w:val="32"/>
          <w:shd w:val="clear" w:color="auto" w:fill="FFFFFF"/>
        </w:rPr>
        <w:t>本年度会议费支出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本年度培训费支出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与2023年度相比，减少0.27万元，下降100.0%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本年度差旅费支出</w:t>
      </w:r>
      <w:r>
        <w:rPr>
          <w:rFonts w:hint="default" w:ascii="Times New Roman" w:hAnsi="Times New Roman" w:eastAsia="方正仿宋_GBK"/>
          <w:b w:val="0"/>
          <w:bCs/>
          <w:sz w:val="32"/>
          <w:szCs w:val="32"/>
          <w:shd w:val="clear" w:color="auto" w:fill="FFFFFF"/>
        </w:rPr>
        <w:t>1.50</w:t>
      </w:r>
      <w:r>
        <w:rPr>
          <w:rFonts w:ascii="Times New Roman" w:hAnsi="Times New Roman" w:eastAsia="方正仿宋_GBK" w:cs="方正仿宋_GBK"/>
          <w:b w:val="0"/>
          <w:bCs/>
          <w:sz w:val="32"/>
          <w:szCs w:val="32"/>
        </w:rPr>
        <w:t>万元，</w:t>
      </w:r>
      <w:r>
        <w:rPr>
          <w:rFonts w:hint="default" w:ascii="Times New Roman" w:hAnsi="Times New Roman" w:eastAsia="方正仿宋_GBK"/>
          <w:b w:val="0"/>
          <w:bCs/>
          <w:sz w:val="32"/>
          <w:szCs w:val="32"/>
          <w:shd w:val="clear" w:color="auto" w:fill="FFFFFF"/>
        </w:rPr>
        <w:t>与2023年度相比，增加0.20万元，增长15.4%</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b w:val="0"/>
          <w:bCs/>
          <w:sz w:val="32"/>
          <w:szCs w:val="32"/>
        </w:rPr>
      </w:pPr>
      <w:r>
        <w:rPr>
          <w:rFonts w:hint="default" w:ascii="Times New Roman" w:hAnsi="Times New Roman" w:eastAsia="方正仿宋_GBK" w:cs="方正仿宋_GBK"/>
          <w:b w:val="0"/>
          <w:bCs/>
          <w:sz w:val="32"/>
          <w:szCs w:val="32"/>
        </w:rPr>
        <w:t>按照部门决算列报口径，我单位不在机关运行经费统计范围之内。</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Times New Roman" w:hAnsi="Times New Roman"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Times New Roman" w:hAnsi="Times New Roman" w:eastAsia="方正仿宋_GBK" w:cs="方正仿宋_GBK"/>
          <w:b w:val="0"/>
          <w:bCs/>
          <w:sz w:val="32"/>
          <w:szCs w:val="32"/>
          <w:shd w:val="clear" w:color="auto" w:fill="FFFFFF"/>
        </w:rPr>
        <w:t>日，本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共有车辆</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hint="eastAsia" w:ascii="Times New Roman" w:hAnsi="Times New Roman" w:eastAsia="方正仿宋_GBK"/>
          <w:b w:val="0"/>
          <w:bCs/>
          <w:sz w:val="32"/>
          <w:szCs w:val="32"/>
          <w:shd w:val="clear" w:color="auto" w:fill="FFFFFF"/>
          <w:lang w:val="en-US" w:eastAsia="zh-CN"/>
        </w:rPr>
        <w:t>.00</w:t>
      </w:r>
      <w:bookmarkStart w:id="0" w:name="_GoBack"/>
      <w:bookmarkEnd w:id="0"/>
      <w:r>
        <w:rPr>
          <w:rFonts w:ascii="Times New Roman" w:hAnsi="Times New Roman"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台（套）。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11"/>
        <w:keepNext w:val="0"/>
        <w:keepLines w:val="0"/>
        <w:pageBreakBefore w:val="0"/>
        <w:widowControl/>
        <w:kinsoku/>
        <w:wordWrap/>
        <w:overflowPunct/>
        <w:topLinePunct w:val="0"/>
        <w:autoSpaceDE w:val="0"/>
        <w:autoSpaceDN/>
        <w:bidi w:val="0"/>
        <w:adjustRightInd/>
        <w:snapToGrid/>
        <w:spacing w:line="560" w:lineRule="exact"/>
        <w:ind w:left="638" w:leftChars="266" w:firstLine="0" w:firstLineChars="0"/>
        <w:jc w:val="both"/>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ascii="Times New Roman" w:hAnsi="Times New Roman" w:eastAsia="方正仿宋_GBK" w:cs="方正仿宋_GBK"/>
          <w:b w:val="0"/>
          <w:bCs/>
          <w:sz w:val="32"/>
          <w:szCs w:val="32"/>
          <w:shd w:val="clear" w:color="auto" w:fill="FFFFFF"/>
        </w:rPr>
        <w:t>年度我单位未发生政府采购事项，无相关经费支出。</w:t>
      </w:r>
      <w:r>
        <w:rPr>
          <w:rStyle w:val="8"/>
          <w:rFonts w:hint="eastAsia" w:ascii="方正黑体_GBK" w:hAnsi="方正黑体_GBK" w:eastAsia="方正黑体_GBK" w:cs="方正黑体_GBK"/>
          <w:b w:val="0"/>
          <w:bCs/>
          <w:sz w:val="32"/>
          <w:szCs w:val="32"/>
          <w:shd w:val="clear" w:color="auto" w:fill="FFFFFF"/>
        </w:rPr>
        <w:t>五、</w:t>
      </w:r>
      <w:r>
        <w:rPr>
          <w:rStyle w:val="8"/>
          <w:rFonts w:hint="eastAsia" w:ascii="方正黑体_GBK" w:hAnsi="方正黑体_GBK" w:eastAsia="方正黑体_GBK" w:cs="方正黑体_GBK"/>
          <w:b w:val="0"/>
          <w:bCs/>
          <w:sz w:val="32"/>
          <w:szCs w:val="32"/>
          <w:shd w:val="clear" w:color="auto" w:fill="FFFFFF"/>
          <w:lang w:eastAsia="zh-CN"/>
        </w:rPr>
        <w:t>预算</w:t>
      </w:r>
      <w:r>
        <w:rPr>
          <w:rStyle w:val="8"/>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1"/>
        <w:keepNext w:val="0"/>
        <w:keepLines w:val="0"/>
        <w:pageBreakBefore w:val="0"/>
        <w:widowControl/>
        <w:numPr>
          <w:ilvl w:val="0"/>
          <w:numId w:val="1"/>
        </w:numPr>
        <w:kinsoku/>
        <w:wordWrap/>
        <w:overflowPunct/>
        <w:topLinePunct w:val="0"/>
        <w:autoSpaceDE w:val="0"/>
        <w:bidi w:val="0"/>
        <w:spacing w:line="560" w:lineRule="exact"/>
        <w:ind w:firstLine="640"/>
        <w:jc w:val="both"/>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楷体" w:cs="楷体"/>
          <w:b w:val="0"/>
          <w:bCs/>
          <w:sz w:val="32"/>
          <w:szCs w:val="32"/>
          <w:shd w:val="clear" w:color="auto" w:fill="FFFFFF"/>
          <w:lang w:val="en-US" w:eastAsia="zh-CN" w:bidi="ar"/>
        </w:rPr>
      </w:pPr>
      <w:r>
        <w:rPr>
          <w:rFonts w:hint="eastAsia" w:ascii="Times New Roman" w:hAnsi="Times New Roman" w:eastAsia="方正仿宋_GBK" w:cs="方正仿宋_GBK"/>
          <w:b w:val="0"/>
          <w:bCs/>
          <w:sz w:val="32"/>
          <w:szCs w:val="32"/>
          <w:shd w:val="clear" w:color="auto" w:fill="FFFFFF"/>
        </w:rPr>
        <w:t>根据预算绩效管理要求，我单位无项目绩效自评，项目绩效纳入县住房和城乡建委（机关）进行自评。</w:t>
      </w:r>
    </w:p>
    <w:p>
      <w:pPr>
        <w:pStyle w:val="11"/>
        <w:keepNext w:val="0"/>
        <w:keepLines w:val="0"/>
        <w:pageBreakBefore w:val="0"/>
        <w:widowControl/>
        <w:kinsoku/>
        <w:wordWrap/>
        <w:overflowPunct/>
        <w:topLinePunct w:val="0"/>
        <w:autoSpaceDE w:val="0"/>
        <w:bidi w:val="0"/>
        <w:spacing w:line="560" w:lineRule="exact"/>
        <w:ind w:firstLine="640"/>
        <w:jc w:val="both"/>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bidi="ar"/>
        </w:rPr>
        <w:t>（二）</w:t>
      </w: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Times New Roman" w:hAnsi="Times New Roman" w:eastAsia="方正仿宋_GBK" w:cs="方正仿宋_GBK"/>
          <w:b w:val="0"/>
          <w:bCs/>
          <w:sz w:val="32"/>
          <w:szCs w:val="32"/>
          <w:shd w:val="clear" w:color="auto" w:fill="FFFFFF"/>
        </w:rPr>
        <w:t>我单位未组织开展绩效评价。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六</w:t>
      </w:r>
      <w:r>
        <w:rPr>
          <w:rStyle w:val="8"/>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（一）财政拨款收入：</w:t>
      </w:r>
      <w:r>
        <w:rPr>
          <w:rFonts w:hint="eastAsia" w:ascii="Times New Roman" w:hAnsi="Times New Roman" w:eastAsia="方正仿宋_GBK" w:cs="方正仿宋_GBK"/>
          <w:b w:val="0"/>
          <w:bCs/>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（二）基本支出：</w:t>
      </w:r>
      <w:r>
        <w:rPr>
          <w:rFonts w:hint="eastAsia" w:ascii="Times New Roman" w:hAnsi="Times New Roman"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w:t>
      </w:r>
      <w:r>
        <w:rPr>
          <w:rFonts w:hint="eastAsia" w:ascii="Times New Roman" w:hAnsi="Times New Roman"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（四）工资福利支出（支出经济分类科目类级）：</w:t>
      </w:r>
      <w:r>
        <w:rPr>
          <w:rFonts w:hint="eastAsia" w:ascii="Times New Roman" w:hAnsi="Times New Roman"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（五）商品和服务支出（支出经济分类科目类级）：</w:t>
      </w:r>
      <w:r>
        <w:rPr>
          <w:rFonts w:hint="eastAsia" w:ascii="Times New Roman" w:hAnsi="Times New Roman" w:eastAsia="方正仿宋_GBK" w:cs="方正仿宋_GBK"/>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（六）对个人和家庭的补助（支出经济分类科目类级）：</w:t>
      </w:r>
      <w:r>
        <w:rPr>
          <w:rFonts w:hint="eastAsia" w:ascii="Times New Roman" w:hAnsi="Times New Roman" w:eastAsia="方正仿宋_GBK" w:cs="方正仿宋_GBK"/>
          <w:b w:val="0"/>
          <w:bCs/>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七</w:t>
      </w:r>
      <w:r>
        <w:rPr>
          <w:rStyle w:val="8"/>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8"/>
          <w:rFonts w:hint="eastAsia" w:ascii="Times New Roman" w:hAnsi="Times New Roman" w:eastAsia="方正仿宋_GBK" w:cs="方正仿宋_GBK"/>
          <w:b w:val="0"/>
          <w:bCs/>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cs="方正仿宋_GBK"/>
          <w:b w:val="0"/>
          <w:bCs/>
          <w:sz w:val="32"/>
          <w:szCs w:val="32"/>
          <w:shd w:val="clear" w:color="auto" w:fill="FFFFFF"/>
        </w:rPr>
        <w:t>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023-7667150</w:t>
      </w:r>
      <w:r>
        <w:rPr>
          <w:rFonts w:hint="eastAsia" w:ascii="Times New Roman" w:hAnsi="Times New Roman" w:eastAsia="方正仿宋_GBK" w:cs="Times New Roman"/>
          <w:b w:val="0"/>
          <w:bCs/>
          <w:color w:val="auto"/>
          <w:sz w:val="32"/>
          <w:szCs w:val="32"/>
          <w:shd w:val="clear" w:color="auto" w:fill="FFFFFF"/>
          <w:lang w:val="en-US" w:eastAsia="zh-CN"/>
        </w:rPr>
        <w:t>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秀山土家族苗族自治县管线综合管理事务中心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490.29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684.22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684.22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684.22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秀山土家族苗族自治县管线综合管理事务中心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684.22</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684.22</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城市防洪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秀山土家族苗族自治县管线综合管理事务中心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684.22</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118.19</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566.03</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566.03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城市防洪</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秀山土家族苗族自治县管线综合管理事务中心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490.29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684.22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684.22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秀山土家族苗族自治县管线综合管理事务中心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490.29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372.10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463.75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91.65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秀山土家族苗族自治县管线综合管理事务中心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109.14</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秀山土家族苗族自治县管线综合管理事务中心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193.93</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193.93</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166.79</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城市环境卫生</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85.65</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城市防洪</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污水处理费安排的支出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2121401</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污水处理设施建设和运营</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秀山土家族苗族自治县管线综合管理事务中心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秀山土家族苗族自治县管线综合管理事务中心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12C9DF"/>
    <w:multiLevelType w:val="singleLevel"/>
    <w:tmpl w:val="9712C9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98655B"/>
    <w:rsid w:val="01F3521E"/>
    <w:rsid w:val="036E2DA9"/>
    <w:rsid w:val="03B87EA0"/>
    <w:rsid w:val="03E3214F"/>
    <w:rsid w:val="044C50BA"/>
    <w:rsid w:val="05BC6D49"/>
    <w:rsid w:val="06194FF1"/>
    <w:rsid w:val="062B0F06"/>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AF3E76"/>
    <w:rsid w:val="10EC0126"/>
    <w:rsid w:val="10F70B9A"/>
    <w:rsid w:val="111445C7"/>
    <w:rsid w:val="114278C6"/>
    <w:rsid w:val="1158083A"/>
    <w:rsid w:val="11643A4B"/>
    <w:rsid w:val="11ED0F98"/>
    <w:rsid w:val="11F03528"/>
    <w:rsid w:val="120B3833"/>
    <w:rsid w:val="12C921C4"/>
    <w:rsid w:val="13871C70"/>
    <w:rsid w:val="13A71CB4"/>
    <w:rsid w:val="13AF1D43"/>
    <w:rsid w:val="13CE1647"/>
    <w:rsid w:val="13FD55AB"/>
    <w:rsid w:val="14200702"/>
    <w:rsid w:val="14370EA1"/>
    <w:rsid w:val="145D6F41"/>
    <w:rsid w:val="15A715E3"/>
    <w:rsid w:val="163A6CEE"/>
    <w:rsid w:val="173708E3"/>
    <w:rsid w:val="17C374FC"/>
    <w:rsid w:val="182E4AB6"/>
    <w:rsid w:val="189079DC"/>
    <w:rsid w:val="189B0D0B"/>
    <w:rsid w:val="18B43F7C"/>
    <w:rsid w:val="191C433B"/>
    <w:rsid w:val="194A1770"/>
    <w:rsid w:val="1965161B"/>
    <w:rsid w:val="19863F29"/>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64A4D39"/>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994DD3"/>
    <w:rsid w:val="5DA80C2C"/>
    <w:rsid w:val="5DE916B2"/>
    <w:rsid w:val="5EEE6B8B"/>
    <w:rsid w:val="5F2D4A41"/>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5D103A"/>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111</cp:lastModifiedBy>
  <dcterms:modified xsi:type="dcterms:W3CDTF">2025-09-29T09:59:21Z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