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秀山土家族苗族自治县房地产开发管理服务中心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1.负责宣传贯彻房地产开发建设政策。</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2.培育和规范房地产开发建设市场，监督管理房地产开发建设行为，推进行业信用体系建设。</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3.承担房地产开发建设方案备案、项目资金监管、新建商品住宅交付使用规定等制度的贯彻职责。</w:t>
      </w:r>
    </w:p>
    <w:p>
      <w:pPr>
        <w:keepNext w:val="0"/>
        <w:keepLines w:val="0"/>
        <w:pageBreakBefore w:val="0"/>
        <w:widowControl/>
        <w:kinsoku/>
        <w:wordWrap/>
        <w:overflowPunct/>
        <w:topLinePunct w:val="0"/>
        <w:autoSpaceDE w:val="0"/>
        <w:autoSpaceDN w:val="0"/>
        <w:bidi w:val="0"/>
        <w:adjustRightInd w:val="0"/>
        <w:spacing w:beforeAutospacing="0" w:afterAutospacing="0" w:line="560" w:lineRule="exact"/>
        <w:ind w:firstLine="640" w:firstLineChars="200"/>
        <w:jc w:val="both"/>
        <w:textAlignment w:val="auto"/>
        <w:outlineLvl w:val="9"/>
        <w:rPr>
          <w:rFonts w:hint="default"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4.指导房地产开发项目转让及联合建设备案管理。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仿宋_GBK"/>
          <w:b w:val="0"/>
          <w:bCs/>
          <w:color w:val="333333"/>
          <w:sz w:val="32"/>
          <w:szCs w:val="32"/>
          <w:shd w:val="clear" w:color="auto" w:fill="FFFFFF"/>
        </w:rPr>
      </w:pPr>
      <w:r>
        <w:rPr>
          <w:rFonts w:ascii="Times New Roman" w:hAnsi="Times New Roman" w:eastAsia="方正仿宋_GBK"/>
          <w:b w:val="0"/>
          <w:bCs/>
          <w:color w:val="333333"/>
          <w:sz w:val="32"/>
          <w:szCs w:val="32"/>
          <w:shd w:val="clear" w:color="auto" w:fill="FFFFFF"/>
        </w:rPr>
        <w:t>秀山土家族苗族自治县房地产开发管理服务中心为县住房城乡建委管理的公益一类副科级事业单位。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val="en-US"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收、支与2023年度相比，减少14.81万元，下降12.7%</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是我单位是住建委下属单位，日常公用经费纳入部门统筹使用。</w:t>
      </w:r>
    </w:p>
    <w:p>
      <w:pPr>
        <w:pStyle w:val="6"/>
        <w:keepNext w:val="0"/>
        <w:keepLines w:val="0"/>
        <w:pageBreakBefore w:val="0"/>
        <w:widowControl/>
        <w:shd w:val="clear" w:color="auto" w:fill="FFFFFF"/>
        <w:kinsoku/>
        <w:wordWrap/>
        <w:overflowPunct/>
        <w:topLinePunct w:val="0"/>
        <w:bidi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与2023年度相比，减少14.81万元，下降12.7%</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是我单位是住建委下属单位，日常公用经费纳入部门统筹使用。</w:t>
      </w:r>
      <w:r>
        <w:rPr>
          <w:rFonts w:ascii="方正仿宋_GBK" w:hAnsi="方正仿宋_GBK" w:eastAsia="方正仿宋_GBK" w:cs="方正仿宋_GBK"/>
          <w:b w:val="0"/>
          <w:bCs/>
          <w:sz w:val="32"/>
          <w:szCs w:val="32"/>
          <w:shd w:val="clear" w:color="auto" w:fill="FFFFFF"/>
        </w:rPr>
        <w:t>其中：财政拨款收入</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；其他收入</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8"/>
          <w:rFonts w:hint="eastAsia" w:ascii="Times New Roman" w:hAnsi="Times New Roman" w:eastAsia="方正仿宋_GBK"/>
          <w:b w:val="0"/>
          <w:bCs/>
          <w:sz w:val="32"/>
          <w:szCs w:val="32"/>
          <w:shd w:val="clear" w:color="auto" w:fill="FFFFFF"/>
          <w:lang w:val="en-US" w:eastAsia="zh-CN"/>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与2023年度相比，减少14.81万元，下降12.7%</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val="en-US" w:eastAsia="zh-CN"/>
        </w:rPr>
        <w:t>是我单位是住建委下属单位，日常公用经费纳入部门统筹使用。</w:t>
      </w:r>
      <w:r>
        <w:rPr>
          <w:rFonts w:ascii="方正仿宋_GBK" w:hAnsi="方正仿宋_GBK" w:eastAsia="方正仿宋_GBK" w:cs="方正仿宋_GBK"/>
          <w:b w:val="0"/>
          <w:bCs/>
          <w:sz w:val="32"/>
          <w:szCs w:val="32"/>
          <w:shd w:val="clear" w:color="auto" w:fill="FFFFFF"/>
        </w:rPr>
        <w:t>其中：基本支出</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0.00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0.0%</w:t>
      </w:r>
      <w:r>
        <w:rPr>
          <w:rFonts w:ascii="方正仿宋_GBK" w:hAnsi="方正仿宋_GBK" w:eastAsia="方正仿宋_GBK" w:cs="方正仿宋_GBK"/>
          <w:b w:val="0"/>
          <w:bCs/>
          <w:sz w:val="32"/>
          <w:szCs w:val="32"/>
          <w:shd w:val="clear" w:color="auto" w:fill="FFFFFF"/>
        </w:rPr>
        <w:t>。此外，结余分配</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Style w:val="8"/>
          <w:rFonts w:hint="eastAsia" w:ascii="Times New Roman" w:hAnsi="Times New Roman" w:eastAsia="方正仿宋_GBK"/>
          <w:b w:val="0"/>
          <w:bCs/>
          <w:sz w:val="32"/>
          <w:szCs w:val="32"/>
          <w:shd w:val="clear" w:color="auto" w:fill="FFFFFF"/>
          <w:lang w:val="en-US" w:eastAsia="zh-CN"/>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财政拨款收、支总计各减少14.81万元，下降12.7%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hint="default" w:ascii="Times New Roman" w:hAnsi="Times New Roman" w:eastAsia="方正仿宋_GBK"/>
          <w:b w:val="0"/>
          <w:bCs/>
          <w:sz w:val="32"/>
          <w:szCs w:val="32"/>
          <w:shd w:val="clear" w:color="auto" w:fill="FFFFFF"/>
        </w:rPr>
        <w:t>1</w:t>
      </w:r>
      <w:r>
        <w:rPr>
          <w:rStyle w:val="8"/>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与2023年度相比，减少14.81万元，下降12.7%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r>
        <w:rPr>
          <w:rFonts w:hint="default" w:ascii="Times New Roman" w:hAnsi="Times New Roman" w:eastAsia="方正仿宋_GBK"/>
          <w:b w:val="0"/>
          <w:bCs/>
          <w:sz w:val="32"/>
          <w:szCs w:val="32"/>
          <w:shd w:val="clear" w:color="auto" w:fill="FFFFFF"/>
        </w:rPr>
        <w:t>较年初预算数减少2.72万元，下降2.6%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2</w:t>
      </w:r>
      <w:r>
        <w:rPr>
          <w:rStyle w:val="8"/>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与2023年度相比，减少14.81万元，下降12.7%</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r>
        <w:rPr>
          <w:rFonts w:hint="default" w:ascii="Times New Roman" w:hAnsi="Times New Roman" w:eastAsia="方正仿宋_GBK"/>
          <w:b w:val="0"/>
          <w:bCs/>
          <w:sz w:val="32"/>
          <w:szCs w:val="32"/>
          <w:shd w:val="clear" w:color="auto" w:fill="FFFFFF"/>
        </w:rPr>
        <w:t>较年初预算数减少2.72万元，下降2.6%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11.19</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11.0%</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5.86</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）城乡社区支出</w:t>
      </w:r>
      <w:r>
        <w:rPr>
          <w:rFonts w:hint="default" w:ascii="Times New Roman" w:hAnsi="Times New Roman" w:eastAsia="方正仿宋_GBK"/>
          <w:b w:val="0"/>
          <w:bCs/>
          <w:sz w:val="32"/>
          <w:szCs w:val="32"/>
          <w:shd w:val="clear" w:color="auto" w:fill="FFFFFF"/>
        </w:rPr>
        <w:t>79.13</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77.8%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较年初预算数减少2.72万元，下降3.3%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p>
    <w:p>
      <w:pPr>
        <w:keepNext w:val="0"/>
        <w:keepLines w:val="0"/>
        <w:pageBreakBefore w:val="0"/>
        <w:widowControl/>
        <w:kinsoku/>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5.60</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5.5%</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color w:val="FF0000"/>
          <w:sz w:val="32"/>
          <w:szCs w:val="32"/>
          <w:shd w:val="clear" w:color="auto" w:fill="FFFFFF"/>
        </w:rPr>
      </w:pPr>
      <w:r>
        <w:rPr>
          <w:rStyle w:val="8"/>
          <w:rFonts w:hint="default" w:ascii="Times New Roman" w:hAnsi="Times New Roman" w:eastAsia="方正仿宋_GBK"/>
          <w:b w:val="0"/>
          <w:bCs/>
          <w:sz w:val="32"/>
          <w:szCs w:val="32"/>
          <w:shd w:val="clear" w:color="auto" w:fill="FFFFFF"/>
        </w:rPr>
        <w:t>3</w:t>
      </w:r>
      <w:r>
        <w:rPr>
          <w:rStyle w:val="8"/>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ascii="方正仿宋_GBK" w:hAnsi="方正仿宋_GBK"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严格执行预算“零结转”，年度部门预算结余资金、结转满两年及以上的专项转移支付资金一律由县财政收回统筹安排。</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101.78</w:t>
      </w:r>
      <w:r>
        <w:rPr>
          <w:rFonts w:ascii="方正仿宋_GBK" w:hAnsi="方正仿宋_GBK" w:eastAsia="方正仿宋_GBK" w:cs="方正仿宋_GBK"/>
          <w:b w:val="0"/>
          <w:bCs/>
          <w:sz w:val="32"/>
          <w:szCs w:val="32"/>
          <w:shd w:val="clear" w:color="auto" w:fill="FFFFFF"/>
        </w:rPr>
        <w:t>万元。其中：人员经费</w:t>
      </w:r>
      <w:r>
        <w:rPr>
          <w:rFonts w:hint="default" w:ascii="Times New Roman" w:hAnsi="Times New Roman" w:eastAsia="方正仿宋_GBK"/>
          <w:b w:val="0"/>
          <w:bCs/>
          <w:sz w:val="32"/>
          <w:szCs w:val="32"/>
          <w:shd w:val="clear" w:color="auto" w:fill="FFFFFF"/>
        </w:rPr>
        <w:t>95.07</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与2023年度相比，减少12.41万元，下降11.6%</w:t>
      </w:r>
      <w:r>
        <w:rPr>
          <w:rFonts w:ascii="方正仿宋_GBK" w:hAnsi="方正仿宋_GBK" w:eastAsia="方正仿宋_GBK" w:cs="方正仿宋_GBK"/>
          <w:b w:val="0"/>
          <w:bCs/>
          <w:sz w:val="32"/>
          <w:szCs w:val="32"/>
          <w:shd w:val="clear" w:color="auto" w:fill="FFFFFF"/>
        </w:rPr>
        <w:t>，主要原因</w:t>
      </w:r>
      <w:r>
        <w:rPr>
          <w:rFonts w:hint="default" w:ascii="Times New Roman" w:hAnsi="Times New Roman" w:eastAsia="方正仿宋_GBK"/>
          <w:b w:val="0"/>
          <w:bCs/>
          <w:sz w:val="32"/>
          <w:szCs w:val="32"/>
          <w:shd w:val="clear" w:color="auto" w:fill="FFFFFF"/>
        </w:rPr>
        <w:t>是</w:t>
      </w:r>
      <w:r>
        <w:rPr>
          <w:rFonts w:hint="eastAsia" w:ascii="Times New Roman" w:hAnsi="Times New Roman" w:eastAsia="方正仿宋_GBK"/>
          <w:b w:val="0"/>
          <w:bCs/>
          <w:sz w:val="32"/>
          <w:szCs w:val="32"/>
          <w:shd w:val="clear" w:color="auto" w:fill="FFFFFF"/>
          <w:lang w:val="en-US" w:eastAsia="zh-CN"/>
        </w:rPr>
        <w:t>2024年</w:t>
      </w:r>
      <w:r>
        <w:rPr>
          <w:rFonts w:hint="eastAsia" w:ascii="方正仿宋_GBK" w:hAnsi="方正仿宋_GBK" w:eastAsia="方正仿宋_GBK" w:cs="方正仿宋_GBK"/>
          <w:b w:val="0"/>
          <w:bCs/>
          <w:sz w:val="32"/>
          <w:szCs w:val="32"/>
          <w:shd w:val="clear" w:color="auto" w:fill="FFFFFF"/>
          <w:lang w:val="en-US" w:eastAsia="zh-CN"/>
        </w:rPr>
        <w:t>减少通讯费发放。</w:t>
      </w:r>
      <w:r>
        <w:rPr>
          <w:rFonts w:ascii="方正仿宋_GBK" w:hAnsi="方正仿宋_GBK" w:eastAsia="方正仿宋_GBK" w:cs="方正仿宋_GBK"/>
          <w:b w:val="0"/>
          <w:bCs/>
          <w:sz w:val="32"/>
          <w:szCs w:val="32"/>
          <w:shd w:val="clear" w:color="auto" w:fill="FFFFFF"/>
        </w:rPr>
        <w:t>人员经费用途主要包括</w:t>
      </w:r>
      <w:r>
        <w:rPr>
          <w:rFonts w:ascii="Times New Roman" w:hAnsi="Times New Roman" w:eastAsia="方正仿宋_GBK" w:cs="Times New Roman"/>
          <w:b w:val="0"/>
          <w:bCs/>
          <w:sz w:val="32"/>
          <w:szCs w:val="32"/>
          <w:shd w:val="clear" w:color="auto" w:fill="FFFFFF"/>
        </w:rPr>
        <w:t>基本工资、津贴补贴、奖金、社会保障缴费。</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Fonts w:ascii="方正仿宋_GBK" w:hAnsi="方正仿宋_GBK"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6.71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与2023年度相比，减少2.39万元，下降26.3%</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r>
        <w:rPr>
          <w:rFonts w:ascii="方正仿宋_GBK" w:hAnsi="方正仿宋_GBK" w:eastAsia="方正仿宋_GBK" w:cs="方正仿宋_GBK"/>
          <w:b w:val="0"/>
          <w:bCs/>
          <w:sz w:val="32"/>
          <w:szCs w:val="32"/>
          <w:shd w:val="clear" w:color="auto" w:fill="FFFFFF"/>
        </w:rPr>
        <w:t>公用经费用途主要包括</w:t>
      </w:r>
      <w:r>
        <w:rPr>
          <w:rFonts w:ascii="Times New Roman" w:hAnsi="Times New Roman" w:eastAsia="方正仿宋_GBK" w:cs="Times New Roman"/>
          <w:b w:val="0"/>
          <w:bCs/>
          <w:sz w:val="32"/>
          <w:szCs w:val="32"/>
          <w:shd w:val="clear" w:color="auto" w:fill="FFFFFF"/>
        </w:rPr>
        <w:t>办公费、培训费、会议费、差旅费</w:t>
      </w:r>
      <w:r>
        <w:rPr>
          <w:rFonts w:hint="eastAsia" w:ascii="Times New Roman" w:hAnsi="Times New Roman" w:eastAsia="方正仿宋_GBK" w:cs="Times New Roman"/>
          <w:b w:val="0"/>
          <w:bCs/>
          <w:sz w:val="32"/>
          <w:szCs w:val="32"/>
          <w:shd w:val="clear" w:color="auto" w:fill="FFFFFF"/>
          <w:lang w:val="en-US" w:eastAsia="zh-CN"/>
        </w:rPr>
        <w:t>等。</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Style w:val="8"/>
          <w:rFonts w:ascii="Times New Roman" w:hAnsi="Times New Roman" w:eastAsia="方正仿宋_GBK" w:cs="Times New Roman"/>
          <w:b w:val="0"/>
          <w:bCs/>
          <w:sz w:val="32"/>
          <w:szCs w:val="32"/>
        </w:rPr>
        <w:t>本单位202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Times New Roman"/>
          <w:b w:val="0"/>
          <w:bCs/>
          <w:sz w:val="32"/>
          <w:szCs w:val="32"/>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ascii="Times New Roman" w:hAnsi="Times New Roman" w:eastAsia="方正仿宋_GBK" w:cs="Times New Roman"/>
          <w:b w:val="0"/>
          <w:bCs/>
          <w:sz w:val="32"/>
          <w:szCs w:val="32"/>
        </w:rPr>
        <w:t>本单位202</w:t>
      </w:r>
      <w:r>
        <w:rPr>
          <w:rStyle w:val="8"/>
          <w:rFonts w:hint="eastAsia" w:ascii="Times New Roman" w:hAnsi="Times New Roman" w:eastAsia="方正仿宋_GBK" w:cs="Times New Roman"/>
          <w:b w:val="0"/>
          <w:bCs/>
          <w:sz w:val="32"/>
          <w:szCs w:val="32"/>
          <w:lang w:val="en-US" w:eastAsia="zh-CN"/>
        </w:rPr>
        <w:t>4</w:t>
      </w:r>
      <w:r>
        <w:rPr>
          <w:rStyle w:val="8"/>
          <w:rFonts w:ascii="Times New Roman" w:hAnsi="Times New Roman" w:eastAsia="方正仿宋_GBK" w:cs="Times New Roman"/>
          <w:b w:val="0"/>
          <w:bCs/>
          <w:sz w:val="32"/>
          <w:szCs w:val="32"/>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w:t>
      </w:r>
      <w:r>
        <w:rPr>
          <w:rStyle w:val="8"/>
          <w:rFonts w:hint="eastAsia" w:ascii="方正楷体_GBK" w:hAnsi="方正楷体_GBK" w:eastAsia="方正楷体_GBK" w:cs="方正楷体_GBK"/>
          <w:b w:val="0"/>
          <w:bCs/>
          <w:sz w:val="32"/>
          <w:szCs w:val="32"/>
          <w:shd w:val="clear" w:color="auto" w:fill="FFFFFF"/>
          <w:lang w:eastAsia="zh-CN"/>
        </w:rPr>
        <w:t>财政拨款</w:t>
      </w:r>
      <w:r>
        <w:rPr>
          <w:rStyle w:val="8"/>
          <w:rFonts w:hint="eastAsia" w:ascii="方正楷体_GBK" w:hAnsi="方正楷体_GBK" w:eastAsia="方正楷体_GBK" w:cs="方正楷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较上年支出数减少0.77万元，下降100.0%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较上年支出数无增减</w:t>
      </w:r>
      <w:r>
        <w:rPr>
          <w:rFonts w:ascii="方正仿宋_GBK" w:hAnsi="方正仿宋_GBK" w:eastAsia="方正仿宋_GBK" w:cs="方正仿宋_GBK"/>
          <w:b w:val="0"/>
          <w:bCs/>
          <w:sz w:val="32"/>
          <w:szCs w:val="32"/>
          <w:shd w:val="clear" w:color="auto" w:fill="FFFFFF"/>
        </w:rPr>
        <w:t>，主要原因是</w:t>
      </w:r>
      <w:r>
        <w:rPr>
          <w:rFonts w:ascii="Times New Roman" w:hAnsi="Times New Roman" w:eastAsia="方正仿宋_GBK" w:cs="Times New Roman"/>
          <w:b w:val="0"/>
          <w:bCs/>
          <w:sz w:val="32"/>
          <w:szCs w:val="32"/>
          <w:shd w:val="clear" w:color="auto" w:fill="FFFFFF"/>
        </w:rPr>
        <w:t>主要原因是202</w:t>
      </w:r>
      <w:r>
        <w:rPr>
          <w:rFonts w:hint="eastAsia" w:ascii="Times New Roman" w:hAnsi="Times New Roman" w:eastAsia="方正仿宋_GBK" w:cs="Times New Roman"/>
          <w:b w:val="0"/>
          <w:bCs/>
          <w:sz w:val="32"/>
          <w:szCs w:val="32"/>
          <w:shd w:val="clear" w:color="auto" w:fill="FFFFFF"/>
          <w:lang w:val="en-US" w:eastAsia="zh-CN"/>
        </w:rPr>
        <w:t>4</w:t>
      </w:r>
      <w:r>
        <w:rPr>
          <w:rFonts w:ascii="Times New Roman" w:hAnsi="Times New Roman" w:eastAsia="方正仿宋_GBK" w:cs="Times New Roman"/>
          <w:b w:val="0"/>
          <w:bCs/>
          <w:sz w:val="32"/>
          <w:szCs w:val="32"/>
          <w:shd w:val="clear" w:color="auto" w:fill="FFFFFF"/>
        </w:rPr>
        <w:t>年未安排人员出国出访。较上年支出数无增减，主要原因是202</w:t>
      </w:r>
      <w:r>
        <w:rPr>
          <w:rFonts w:hint="eastAsia" w:ascii="Times New Roman" w:hAnsi="Times New Roman" w:eastAsia="方正仿宋_GBK" w:cs="Times New Roman"/>
          <w:b w:val="0"/>
          <w:bCs/>
          <w:sz w:val="32"/>
          <w:szCs w:val="32"/>
          <w:shd w:val="clear" w:color="auto" w:fill="FFFFFF"/>
          <w:lang w:val="en-US" w:eastAsia="zh-CN"/>
        </w:rPr>
        <w:t>3</w:t>
      </w:r>
      <w:r>
        <w:rPr>
          <w:rFonts w:ascii="Times New Roman" w:hAnsi="Times New Roman" w:eastAsia="方正仿宋_GBK" w:cs="Times New Roman"/>
          <w:b w:val="0"/>
          <w:bCs/>
          <w:sz w:val="32"/>
          <w:szCs w:val="32"/>
          <w:shd w:val="clear" w:color="auto" w:fill="FFFFFF"/>
        </w:rPr>
        <w:t>年、202</w:t>
      </w:r>
      <w:r>
        <w:rPr>
          <w:rFonts w:hint="eastAsia" w:ascii="Times New Roman" w:hAnsi="Times New Roman" w:eastAsia="方正仿宋_GBK" w:cs="Times New Roman"/>
          <w:b w:val="0"/>
          <w:bCs/>
          <w:sz w:val="32"/>
          <w:szCs w:val="32"/>
          <w:shd w:val="clear" w:color="auto" w:fill="FFFFFF"/>
          <w:lang w:val="en-US" w:eastAsia="zh-CN"/>
        </w:rPr>
        <w:t>4</w:t>
      </w:r>
      <w:r>
        <w:rPr>
          <w:rFonts w:ascii="Times New Roman" w:hAnsi="Times New Roman" w:eastAsia="方正仿宋_GBK" w:cs="Times New Roman"/>
          <w:b w:val="0"/>
          <w:bCs/>
          <w:sz w:val="32"/>
          <w:szCs w:val="32"/>
          <w:shd w:val="clear" w:color="auto" w:fill="FFFFFF"/>
        </w:rPr>
        <w:t>年均未安排人员出国出访。</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shd w:val="clear" w:color="auto" w:fill="FFFFFF"/>
        </w:rPr>
        <w:t> 公务车购置费</w:t>
      </w:r>
      <w:r>
        <w:rPr>
          <w:rFonts w:ascii="Times New Roman" w:hAnsi="Times New Roman" w:eastAsia="方正仿宋_GBK" w:cs="Times New Roman"/>
          <w:b w:val="0"/>
          <w:bCs/>
          <w:sz w:val="32"/>
          <w:szCs w:val="32"/>
        </w:rPr>
        <w:t>0.00</w:t>
      </w:r>
      <w:r>
        <w:rPr>
          <w:rFonts w:ascii="Times New Roman" w:hAnsi="Times New Roman" w:eastAsia="方正仿宋_GBK" w:cs="Times New Roman"/>
          <w:b w:val="0"/>
          <w:bCs/>
          <w:sz w:val="32"/>
          <w:szCs w:val="32"/>
          <w:shd w:val="clear" w:color="auto" w:fill="FFFFFF"/>
        </w:rPr>
        <w:t>万元。费用支出较年初预算数</w:t>
      </w:r>
      <w:r>
        <w:rPr>
          <w:rFonts w:hint="eastAsia" w:ascii="Times New Roman" w:hAnsi="Times New Roman" w:eastAsia="方正仿宋_GBK" w:cs="Times New Roman"/>
          <w:b w:val="0"/>
          <w:bCs/>
          <w:sz w:val="32"/>
          <w:szCs w:val="32"/>
          <w:shd w:val="clear" w:color="auto" w:fill="FFFFFF"/>
          <w:lang w:eastAsia="zh-CN"/>
        </w:rPr>
        <w:t>、上年支出数</w:t>
      </w:r>
      <w:r>
        <w:rPr>
          <w:rFonts w:ascii="Times New Roman" w:hAnsi="Times New Roman" w:eastAsia="方正仿宋_GBK" w:cs="Times New Roman"/>
          <w:b w:val="0"/>
          <w:bCs/>
          <w:sz w:val="32"/>
          <w:szCs w:val="32"/>
          <w:shd w:val="clear" w:color="auto" w:fill="FFFFFF"/>
        </w:rPr>
        <w:t>无增减。</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ascii="Times New Roman" w:hAnsi="Times New Roman" w:eastAsia="方正仿宋_GBK" w:cs="Times New Roman"/>
          <w:b w:val="0"/>
          <w:bCs/>
          <w:sz w:val="32"/>
          <w:szCs w:val="32"/>
          <w:shd w:val="clear" w:color="auto" w:fill="FFFFFF"/>
        </w:rPr>
        <w:t> 公务车运行维护费</w:t>
      </w:r>
      <w:r>
        <w:rPr>
          <w:rFonts w:ascii="Times New Roman" w:hAnsi="Times New Roman" w:eastAsia="方正仿宋_GBK" w:cs="Times New Roman"/>
          <w:b w:val="0"/>
          <w:bCs/>
          <w:sz w:val="32"/>
          <w:szCs w:val="32"/>
        </w:rPr>
        <w:t>0.00</w:t>
      </w:r>
      <w:r>
        <w:rPr>
          <w:rFonts w:ascii="Times New Roman" w:hAnsi="Times New Roman" w:eastAsia="方正仿宋_GBK" w:cs="Times New Roman"/>
          <w:b w:val="0"/>
          <w:bCs/>
          <w:sz w:val="32"/>
          <w:szCs w:val="32"/>
          <w:shd w:val="clear" w:color="auto" w:fill="FFFFFF"/>
        </w:rPr>
        <w:t>万元。费用支出较年初预算数</w:t>
      </w:r>
      <w:r>
        <w:rPr>
          <w:rFonts w:hint="eastAsia" w:ascii="Times New Roman" w:hAnsi="Times New Roman" w:eastAsia="方正仿宋_GBK" w:cs="Times New Roman"/>
          <w:b w:val="0"/>
          <w:bCs/>
          <w:sz w:val="32"/>
          <w:szCs w:val="32"/>
          <w:shd w:val="clear" w:color="auto" w:fill="FFFFFF"/>
          <w:lang w:eastAsia="zh-CN"/>
        </w:rPr>
        <w:t>、上年支出数</w:t>
      </w:r>
      <w:r>
        <w:rPr>
          <w:rFonts w:ascii="Times New Roman" w:hAnsi="Times New Roman" w:eastAsia="方正仿宋_GBK" w:cs="Times New Roman"/>
          <w:b w:val="0"/>
          <w:bCs/>
          <w:sz w:val="32"/>
          <w:szCs w:val="32"/>
          <w:shd w:val="clear" w:color="auto" w:fill="FFFFFF"/>
        </w:rPr>
        <w:t>无增减。</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hint="eastAsia" w:ascii="Times New Roman" w:hAnsi="Times New Roman" w:eastAsia="方正仿宋_GBK"/>
          <w:b w:val="0"/>
          <w:bCs/>
          <w:sz w:val="32"/>
          <w:szCs w:val="32"/>
          <w:shd w:val="clear" w:color="auto" w:fill="FFFFFF"/>
          <w:lang w:eastAsia="zh-CN"/>
        </w:rPr>
        <w:t>。</w:t>
      </w:r>
      <w:r>
        <w:rPr>
          <w:rFonts w:hint="default" w:ascii="Times New Roman" w:hAnsi="Times New Roman" w:eastAsia="方正仿宋_GBK"/>
          <w:b w:val="0"/>
          <w:bCs/>
          <w:sz w:val="32"/>
          <w:szCs w:val="32"/>
          <w:shd w:val="clear" w:color="auto" w:fill="FFFFFF"/>
        </w:rPr>
        <w:t>较上年支出数减少0.77万元，下降100.0%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0</w:t>
      </w:r>
      <w:r>
        <w:rPr>
          <w:rFonts w:hint="eastAsia" w:ascii="Times New Roman" w:hAnsi="Times New Roman" w:eastAsia="方正仿宋_GBK"/>
          <w:b w:val="0"/>
          <w:bCs/>
          <w:sz w:val="32"/>
          <w:szCs w:val="32"/>
          <w:shd w:val="clear" w:color="auto" w:fill="FFFFFF"/>
          <w:lang w:val="en-US" w:eastAsia="zh-CN"/>
        </w:rPr>
        <w:t>.00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rPr>
      </w:pPr>
      <w:r>
        <w:rPr>
          <w:rFonts w:ascii="方正仿宋_GBK" w:hAnsi="方正仿宋_GBK"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与2023年度相比，减少0.13万元，下降100.0%</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r>
        <w:rPr>
          <w:rFonts w:ascii="方正仿宋_GBK" w:hAnsi="方正仿宋_GBK" w:eastAsia="方正仿宋_GBK" w:cs="方正仿宋_GBK"/>
          <w:b w:val="0"/>
          <w:bCs/>
          <w:sz w:val="32"/>
          <w:szCs w:val="32"/>
          <w:shd w:val="clear" w:color="auto" w:fill="FFFFFF"/>
        </w:rPr>
        <w:t>本年度培训费支出</w:t>
      </w:r>
      <w:r>
        <w:rPr>
          <w:rFonts w:hint="default" w:ascii="Times New Roman" w:hAnsi="Times New Roman" w:eastAsia="方正仿宋_GBK"/>
          <w:b w:val="0"/>
          <w:bCs/>
          <w:sz w:val="32"/>
          <w:szCs w:val="32"/>
          <w:shd w:val="clear" w:color="auto" w:fill="FFFFFF"/>
        </w:rPr>
        <w:t>0.01</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与2023年度相比，减少0.51万元，下降98.1%</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r>
        <w:rPr>
          <w:rFonts w:ascii="方正仿宋_GBK" w:hAnsi="方正仿宋_GBK" w:eastAsia="方正仿宋_GBK" w:cs="方正仿宋_GBK"/>
          <w:b w:val="0"/>
          <w:bCs/>
          <w:sz w:val="32"/>
          <w:szCs w:val="32"/>
          <w:shd w:val="clear" w:color="auto" w:fill="FFFFFF"/>
        </w:rPr>
        <w:t>本年度差旅费支出</w:t>
      </w:r>
      <w:r>
        <w:rPr>
          <w:rFonts w:hint="default" w:ascii="Times New Roman" w:hAnsi="Times New Roman" w:eastAsia="方正仿宋_GBK"/>
          <w:b w:val="0"/>
          <w:bCs/>
          <w:sz w:val="32"/>
          <w:szCs w:val="32"/>
          <w:shd w:val="clear" w:color="auto" w:fill="FFFFFF"/>
        </w:rPr>
        <w:t>0.69</w:t>
      </w:r>
      <w:r>
        <w:rPr>
          <w:rFonts w:ascii="方正仿宋_GBK" w:hAnsi="方正仿宋_GBK"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与2023年度相比，减少0.68万元，下降49.6%</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val="en-US" w:eastAsia="zh-CN"/>
        </w:rPr>
        <w:t>我单位是住建委下属单位，日常公用经费纳入部门统筹使用。</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b w:val="0"/>
          <w:bCs/>
          <w:sz w:val="32"/>
          <w:szCs w:val="32"/>
        </w:rPr>
      </w:pPr>
      <w:r>
        <w:rPr>
          <w:rFonts w:hint="default" w:ascii="方正仿宋_GBK" w:hAnsi="方正仿宋_GBK" w:eastAsia="方正仿宋_GBK" w:cs="方正仿宋_GBK"/>
          <w:b w:val="0"/>
          <w:bCs/>
          <w:sz w:val="32"/>
          <w:szCs w:val="32"/>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6"/>
        <w:keepNext w:val="0"/>
        <w:keepLines w:val="0"/>
        <w:pageBreakBefore w:val="0"/>
        <w:widowControl/>
        <w:kinsoku/>
        <w:wordWrap/>
        <w:overflowPunct/>
        <w:topLinePunct w:val="0"/>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hint="eastAsia" w:ascii="Times New Roman" w:hAnsi="Times New Roman" w:eastAsia="方正仿宋_GBK"/>
          <w:b w:val="0"/>
          <w:bCs/>
          <w:sz w:val="32"/>
          <w:szCs w:val="32"/>
          <w:shd w:val="clear" w:color="auto" w:fill="FFFFFF"/>
          <w:lang w:val="en-US" w:eastAsia="zh-CN"/>
        </w:rPr>
        <w:t>.00</w:t>
      </w:r>
      <w:bookmarkStart w:id="0" w:name="_GoBack"/>
      <w:bookmarkEnd w:id="0"/>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Fonts w:ascii="Times New Roman" w:hAnsi="Times New Roman" w:eastAsia="方正仿宋_GBK" w:cs="Times New Roman"/>
          <w:b w:val="0"/>
          <w:bCs/>
          <w:sz w:val="32"/>
          <w:szCs w:val="32"/>
          <w:shd w:val="clear" w:color="auto" w:fill="FFFFFF"/>
        </w:rPr>
        <w:t>202</w:t>
      </w:r>
      <w:r>
        <w:rPr>
          <w:rFonts w:hint="eastAsia" w:ascii="Times New Roman" w:hAnsi="Times New Roman" w:eastAsia="方正仿宋_GBK" w:cs="Times New Roman"/>
          <w:b w:val="0"/>
          <w:bCs/>
          <w:sz w:val="32"/>
          <w:szCs w:val="32"/>
          <w:shd w:val="clear" w:color="auto" w:fill="FFFFFF"/>
          <w:lang w:val="en-US" w:eastAsia="zh-CN"/>
        </w:rPr>
        <w:t>4</w:t>
      </w:r>
      <w:r>
        <w:rPr>
          <w:rFonts w:ascii="Times New Roman" w:hAnsi="Times New Roman" w:eastAsia="方正仿宋_GBK" w:cs="Times New Roman"/>
          <w:b w:val="0"/>
          <w:bCs/>
          <w:sz w:val="32"/>
          <w:szCs w:val="32"/>
          <w:shd w:val="clear" w:color="auto" w:fill="FFFFFF"/>
        </w:rPr>
        <w:t>年度我单位未发生政府采购事项，无相关经费支出。</w:t>
      </w:r>
      <w:r>
        <w:rPr>
          <w:rStyle w:val="8"/>
          <w:rFonts w:hint="eastAsia" w:ascii="方正黑体_GBK" w:hAnsi="方正黑体_GBK" w:eastAsia="方正黑体_GBK" w:cs="方正黑体_GBK"/>
          <w:b w:val="0"/>
          <w:bCs/>
          <w:sz w:val="32"/>
          <w:szCs w:val="32"/>
          <w:shd w:val="clear" w:color="auto" w:fill="FFFFFF"/>
        </w:rPr>
        <w:t>五、</w:t>
      </w:r>
      <w:r>
        <w:rPr>
          <w:rStyle w:val="8"/>
          <w:rFonts w:hint="eastAsia" w:ascii="方正黑体_GBK" w:hAnsi="方正黑体_GBK" w:eastAsia="方正黑体_GBK" w:cs="方正黑体_GBK"/>
          <w:b w:val="0"/>
          <w:bCs/>
          <w:sz w:val="32"/>
          <w:szCs w:val="32"/>
          <w:shd w:val="clear" w:color="auto" w:fill="FFFFFF"/>
          <w:lang w:eastAsia="zh-CN"/>
        </w:rPr>
        <w:t>预算</w:t>
      </w:r>
      <w:r>
        <w:rPr>
          <w:rStyle w:val="8"/>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val="en-US" w:eastAsia="zh-CN" w:bidi="ar"/>
        </w:rPr>
      </w:pPr>
      <w:r>
        <w:rPr>
          <w:rFonts w:hint="eastAsia" w:ascii="方正楷体_GBK" w:hAnsi="方正楷体_GBK" w:eastAsia="方正楷体_GBK" w:cs="方正楷体_GBK"/>
          <w:b w:val="0"/>
          <w:bCs/>
          <w:sz w:val="32"/>
          <w:szCs w:val="32"/>
          <w:shd w:val="clear" w:color="auto" w:fill="FFFFFF"/>
          <w:lang w:bidi="ar"/>
        </w:rPr>
        <w:t>（一）</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ascii="方正仿宋_GBK" w:hAnsi="方正仿宋_GBK" w:eastAsia="方正仿宋_GBK" w:cs="方正仿宋_GBK"/>
          <w:b w:val="0"/>
          <w:bCs/>
          <w:sz w:val="32"/>
          <w:szCs w:val="32"/>
          <w:highlight w:val="yellow"/>
          <w:shd w:val="clear" w:color="auto" w:fill="FFFFFF"/>
        </w:rPr>
      </w:pPr>
      <w:r>
        <w:rPr>
          <w:rFonts w:hint="eastAsia" w:ascii="方正仿宋_GBK" w:hAnsi="方正仿宋_GBK" w:eastAsia="方正仿宋_GBK" w:cs="方正仿宋_GBK"/>
          <w:b w:val="0"/>
          <w:bCs/>
          <w:sz w:val="32"/>
          <w:szCs w:val="32"/>
          <w:shd w:val="clear" w:color="auto" w:fill="FFFFFF"/>
        </w:rPr>
        <w:t>根据预算绩效管理要求，我单位无项目绩效自评，项目绩效纳入县住房和城乡建委（</w:t>
      </w:r>
      <w:r>
        <w:rPr>
          <w:rFonts w:hint="eastAsia" w:ascii="方正仿宋_GBK" w:hAnsi="方正仿宋_GBK" w:eastAsia="方正仿宋_GBK" w:cs="方正仿宋_GBK"/>
          <w:b w:val="0"/>
          <w:bCs/>
          <w:sz w:val="32"/>
          <w:szCs w:val="32"/>
          <w:shd w:val="clear" w:color="auto" w:fill="FFFFFF"/>
          <w:lang w:val="en-US" w:eastAsia="zh-CN"/>
        </w:rPr>
        <w:t>本级</w:t>
      </w:r>
      <w:r>
        <w:rPr>
          <w:rFonts w:hint="eastAsia" w:ascii="方正仿宋_GBK" w:hAnsi="方正仿宋_GBK" w:eastAsia="方正仿宋_GBK" w:cs="方正仿宋_GBK"/>
          <w:b w:val="0"/>
          <w:bCs/>
          <w:sz w:val="32"/>
          <w:szCs w:val="32"/>
          <w:shd w:val="clear" w:color="auto" w:fill="FFFFFF"/>
        </w:rPr>
        <w:t>）进行自评。</w:t>
      </w:r>
    </w:p>
    <w:p>
      <w:pPr>
        <w:pStyle w:val="11"/>
        <w:keepNext w:val="0"/>
        <w:keepLines w:val="0"/>
        <w:pageBreakBefore w:val="0"/>
        <w:widowControl/>
        <w:kinsoku/>
        <w:wordWrap/>
        <w:overflowPunct/>
        <w:topLinePunct w:val="0"/>
        <w:autoSpaceDE w:val="0"/>
        <w:bidi w:val="0"/>
        <w:spacing w:line="560" w:lineRule="exact"/>
        <w:ind w:firstLine="640"/>
        <w:jc w:val="both"/>
        <w:textAlignment w:val="auto"/>
        <w:rPr>
          <w:rFonts w:hint="eastAsia" w:ascii="方正楷体_GBK" w:hAnsi="方正楷体_GBK" w:eastAsia="方正楷体_GBK" w:cs="方正楷体_GBK"/>
          <w:b w:val="0"/>
          <w:bCs/>
          <w:sz w:val="32"/>
          <w:szCs w:val="32"/>
          <w:shd w:val="clear" w:color="auto" w:fill="FFFFFF"/>
          <w:lang w:bidi="ar"/>
        </w:rPr>
      </w:pPr>
      <w:r>
        <w:rPr>
          <w:rFonts w:hint="eastAsia" w:ascii="方正楷体_GBK" w:hAnsi="方正楷体_GBK" w:eastAsia="方正楷体_GBK" w:cs="方正楷体_GBK"/>
          <w:b w:val="0"/>
          <w:bCs/>
          <w:sz w:val="32"/>
          <w:szCs w:val="32"/>
          <w:shd w:val="clear" w:color="auto" w:fill="FFFFFF"/>
          <w:lang w:bidi="ar"/>
        </w:rPr>
        <w:t>（二）</w:t>
      </w:r>
      <w:r>
        <w:rPr>
          <w:rFonts w:hint="eastAsia" w:ascii="方正楷体_GBK" w:hAnsi="方正楷体_GBK" w:eastAsia="方正楷体_GBK" w:cs="方正楷体_GBK"/>
          <w:b w:val="0"/>
          <w:bCs/>
          <w:sz w:val="32"/>
          <w:szCs w:val="32"/>
          <w:shd w:val="clear" w:color="auto" w:fill="FFFFFF"/>
          <w:lang w:val="en-US" w:eastAsia="zh-CN" w:bidi="ar"/>
        </w:rPr>
        <w:t>单位</w:t>
      </w:r>
      <w:r>
        <w:rPr>
          <w:rFonts w:hint="eastAsia" w:ascii="方正楷体_GBK" w:hAnsi="方正楷体_GBK" w:eastAsia="方正楷体_GBK" w:cs="方正楷体_GBK"/>
          <w:b w:val="0"/>
          <w:bCs/>
          <w:sz w:val="32"/>
          <w:szCs w:val="32"/>
          <w:shd w:val="clear" w:color="auto" w:fill="FFFFFF"/>
          <w:lang w:bidi="ar"/>
        </w:rPr>
        <w:t>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我单位未组织开展绩效评价。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六</w:t>
      </w:r>
      <w:r>
        <w:rPr>
          <w:rStyle w:val="8"/>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b w:val="0"/>
          <w:bCs/>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（二）基本支出：</w:t>
      </w:r>
      <w:r>
        <w:rPr>
          <w:rFonts w:hint="eastAsia"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w:t>
      </w:r>
      <w:r>
        <w:rPr>
          <w:rFonts w:hint="eastAsia" w:ascii="方正仿宋_GBK" w:hAnsi="方正仿宋_GBK" w:eastAsia="方正仿宋_GBK" w:cs="方正仿宋_GBK"/>
          <w:b w:val="0"/>
          <w:bCs/>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（四）工资福利支出（支出经济分类科目类级）：</w:t>
      </w:r>
      <w:r>
        <w:rPr>
          <w:rFonts w:hint="eastAsia"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（五）商品和服务支出（支出经济分类科目类级）：</w:t>
      </w:r>
      <w:r>
        <w:rPr>
          <w:rFonts w:hint="eastAsia"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（六）对个人和家庭的补助（支出经济分类科目类级）：</w:t>
      </w:r>
      <w:r>
        <w:rPr>
          <w:rFonts w:hint="eastAsia" w:ascii="方正仿宋_GBK" w:hAnsi="方正仿宋_GBK" w:eastAsia="方正仿宋_GBK" w:cs="方正仿宋_GBK"/>
          <w:b w:val="0"/>
          <w:bCs/>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七</w:t>
      </w:r>
      <w:r>
        <w:rPr>
          <w:rStyle w:val="8"/>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8"/>
          <w:rFonts w:hint="eastAsia" w:ascii="方正仿宋_GBK" w:hAnsi="方正仿宋_GBK" w:eastAsia="方正仿宋_GBK" w:cs="方正仿宋_GBK"/>
          <w:b w:val="0"/>
          <w:bCs/>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023-76671508</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秀山土家族苗族自治县房地产开发管理服务中心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秀山土家族苗族自治县房地产开发管理服务中心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101.78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101.78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秀山土家族苗族自治县房地产开发管理服务中心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101.78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101.78</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秀山土家族苗族自治县房地产开发管理服务中心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秀山土家族苗族自治县房地产开发管理服务中心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秀山土家族苗族自治县房地产开发管理服务中心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95.07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秀山土家族苗族自治县房地产开发管理服务中心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秀山土家族苗族自治县房地产开发管理服务中心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秀山土家族苗族自治县房地产开发管理服务中心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117D9A"/>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CC112F"/>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8C0672"/>
    <w:rsid w:val="2BF81A22"/>
    <w:rsid w:val="2C636760"/>
    <w:rsid w:val="2C662021"/>
    <w:rsid w:val="2C6762A3"/>
    <w:rsid w:val="2DEA7DD7"/>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CC43468"/>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34348D"/>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B40DE6"/>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E112F6F"/>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5D940F7"/>
    <w:rsid w:val="66267C04"/>
    <w:rsid w:val="663F505A"/>
    <w:rsid w:val="66AF5D7C"/>
    <w:rsid w:val="66EE5541"/>
    <w:rsid w:val="67924660"/>
    <w:rsid w:val="68407834"/>
    <w:rsid w:val="6883293E"/>
    <w:rsid w:val="688412AD"/>
    <w:rsid w:val="68EB1B71"/>
    <w:rsid w:val="696C0310"/>
    <w:rsid w:val="6A06687C"/>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 w:val="7F89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2025-09-29T09:56:57Z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