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秀山土家族苗族自治县道路运输事务中心</w:t>
      </w:r>
    </w:p>
    <w:p>
      <w:pPr>
        <w:pStyle w:val="3"/>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一、</w:t>
      </w:r>
      <w:r>
        <w:rPr>
          <w:rStyle w:val="12"/>
          <w:rFonts w:hint="eastAsia" w:ascii="方正黑体_GBK" w:hAnsi="方正黑体_GBK" w:eastAsia="方正黑体_GBK" w:cs="方正黑体_GBK"/>
          <w:b w:val="0"/>
          <w:bCs/>
          <w:sz w:val="32"/>
          <w:szCs w:val="32"/>
          <w:shd w:val="clear" w:color="auto" w:fill="FFFFFF"/>
          <w:lang w:eastAsia="zh-CN"/>
        </w:rPr>
        <w:t>单位</w:t>
      </w:r>
      <w:r>
        <w:rPr>
          <w:rStyle w:val="12"/>
          <w:rFonts w:hint="eastAsia" w:ascii="方正黑体_GBK" w:hAnsi="方正黑体_GBK" w:eastAsia="方正黑体_GBK" w:cs="方正黑体_GBK"/>
          <w:b w:val="0"/>
          <w:bCs/>
          <w:sz w:val="32"/>
          <w:szCs w:val="32"/>
          <w:shd w:val="clear" w:color="auto" w:fill="FFFFFF"/>
        </w:rPr>
        <w:t>基本情况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楷体" w:cs="Times New Roman"/>
          <w:sz w:val="32"/>
          <w:szCs w:val="32"/>
          <w:shd w:val="clear" w:color="auto" w:fill="FFFFFF"/>
        </w:rPr>
      </w:pPr>
      <w:r>
        <w:rPr>
          <w:rFonts w:hint="default" w:ascii="Times New Roman" w:hAnsi="Times New Roman" w:eastAsia="方正仿宋_GBK" w:cs="Times New Roman"/>
          <w:kern w:val="0"/>
          <w:sz w:val="32"/>
          <w:szCs w:val="32"/>
        </w:rPr>
        <w:t>经县委编办审核，2019年第2次县委编委会议审定，设立秀山土家族苗族自治县道路运输服务中心，经2020年第3次县委编委会研究，同意秀山土家族苗族自治县道路运输服务中心更名为秀山土家族苗族自治县道路运输事务中心，为县交通局管理的公益一类副科级事业单位。</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sz w:val="32"/>
          <w:szCs w:val="32"/>
        </w:rPr>
      </w:pPr>
      <w:r>
        <w:rPr>
          <w:rStyle w:val="12"/>
          <w:rFonts w:hint="default" w:ascii="Times New Roman" w:hAnsi="Times New Roman" w:eastAsia="方正楷体_GBK" w:cs="Times New Roman"/>
          <w:b w:val="0"/>
          <w:bCs/>
          <w:sz w:val="32"/>
          <w:szCs w:val="32"/>
          <w:shd w:val="clear" w:color="auto" w:fill="FFFFFF"/>
        </w:rPr>
        <w:t>（一）职能职责</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shd w:val="clear" w:color="auto" w:fill="FFFFFF"/>
        </w:rPr>
        <w:t>贯彻执行道路运输法律、法规、规章和方针政策；做好道路运输行业的安全生产、行业稳定、生态环境保护和节能减排、智能化、信息化等服务工作；参与维护公路运输市场的秩序，维护行业内合法经营者的利益，参与调解营运证牌、经营范围、服务质量等公路运输纠纷；做好战备、抢险救灾、重点大宗、车站集散等物资的运输组织服务工作；做好道路旅客运输、道路货物运输及其相关业务的服务工作，切实做好客、货运输的流量、流向调查研究，协助主管部门制定本行业发展规划；开展行业统计，掌握公路运输行业经济发展情况，为上级部门提供决策依据；加强基础工作，建立基础台</w:t>
      </w:r>
      <w:r>
        <w:rPr>
          <w:rFonts w:hint="eastAsia" w:ascii="Times New Roman" w:hAnsi="Times New Roman" w:eastAsia="方正仿宋_GBK" w:cs="Times New Roman"/>
          <w:color w:val="auto"/>
          <w:sz w:val="32"/>
          <w:szCs w:val="32"/>
          <w:shd w:val="clear" w:color="auto" w:fill="FFFFFF"/>
          <w:lang w:val="en-US" w:eastAsia="zh-CN"/>
        </w:rPr>
        <w:t>账</w:t>
      </w:r>
      <w:r>
        <w:rPr>
          <w:rFonts w:hint="default" w:ascii="Times New Roman" w:hAnsi="Times New Roman" w:eastAsia="方正仿宋_GBK" w:cs="Times New Roman"/>
          <w:color w:val="auto"/>
          <w:sz w:val="32"/>
          <w:szCs w:val="32"/>
          <w:shd w:val="clear" w:color="auto" w:fill="FFFFFF"/>
        </w:rPr>
        <w:t>，及时汇总，为上级提供有关行业动态及发展情况；完成上级部门和主管部门交办的其它工作。</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（二）机构设置</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我中心属于财政全额拨款的事业单位，共有在职职工1</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人，退休职工</w:t>
      </w: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人。设有6个科室，其中有行政办（建立健全单位各项规章制度，加强机关建设和管理）、财务科（负责国家同意的会计制度和交通运输行业各项财经法规的贯彻、落实、执行、检查工作）、安全科（建立健全本单位的各项安全管理制度，完善和规范各类安全档案，做到行业安全管理有章可循，基础工作台帐有据可查，检查指导行业安全管理）、综合运输科（承担执行道路货运行业发展规划、服务标准规范及监督实施的事务工作，负责对客运市场的检查、指导工作，调解客运纠纷，如发现有客运违法行为，依法移交给执法部门处理。负责对公共汽车客运、出租汽车、汽车租赁企业的经营行为和业务进行指导工作，调解驾乘纠纷，如发现有客运违法行为，依法移交给执法部门处理）、驾培维修科（负责对驾培业户开业技术条件的核准工作及为从业人员职业资格评价、技能鉴定工作提供指导服务，指导维修企业升级和技术进步，开展技术比武及优质服务竞赛活动）及运输事务科（为从业人员职业资格评价、技能鉴定工作提供指导服务）</w:t>
      </w:r>
    </w:p>
    <w:p>
      <w:pPr>
        <w:pStyle w:val="17"/>
        <w:keepNext w:val="0"/>
        <w:keepLines w:val="0"/>
        <w:pageBreakBefore w:val="0"/>
        <w:widowControl/>
        <w:numPr>
          <w:ilvl w:val="0"/>
          <w:numId w:val="1"/>
        </w:numPr>
        <w:kinsoku/>
        <w:wordWrap/>
        <w:overflowPunct/>
        <w:topLinePunct w:val="0"/>
        <w:autoSpaceDE w:val="0"/>
        <w:autoSpaceDN/>
        <w:bidi w:val="0"/>
        <w:adjustRightInd/>
        <w:spacing w:beforeAutospacing="0" w:afterAutospacing="0" w:line="560" w:lineRule="exact"/>
        <w:ind w:firstLine="643"/>
        <w:jc w:val="both"/>
        <w:textAlignment w:val="auto"/>
        <w:outlineLvl w:val="9"/>
        <w:rPr>
          <w:rStyle w:val="12"/>
          <w:rFonts w:hint="eastAsia" w:ascii="方正黑体_GBK" w:hAnsi="方正黑体_GBK" w:eastAsia="方正黑体_GBK" w:cs="方正黑体_GBK"/>
          <w:b w:val="0"/>
          <w:bCs/>
          <w:sz w:val="32"/>
          <w:szCs w:val="32"/>
          <w:shd w:val="clear" w:color="auto" w:fill="FFFFFF"/>
          <w:lang w:val="en-US" w:eastAsia="zh-CN" w:bidi="ar-SA"/>
        </w:rPr>
      </w:pPr>
      <w:r>
        <w:rPr>
          <w:rStyle w:val="12"/>
          <w:rFonts w:hint="eastAsia" w:ascii="方正黑体_GBK" w:hAnsi="方正黑体_GBK" w:eastAsia="方正黑体_GBK" w:cs="方正黑体_GBK"/>
          <w:b w:val="0"/>
          <w:bCs/>
          <w:sz w:val="32"/>
          <w:szCs w:val="32"/>
          <w:shd w:val="clear" w:color="auto" w:fill="FFFFFF"/>
          <w:lang w:val="en-US" w:eastAsia="zh-CN" w:bidi="ar-SA"/>
        </w:rPr>
        <w:t>单位决算收支情况说明</w:t>
      </w:r>
    </w:p>
    <w:p>
      <w:pPr>
        <w:pStyle w:val="17"/>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楷体_GBK" w:cs="Times New Roman"/>
          <w:b w:val="0"/>
          <w:bCs/>
          <w:sz w:val="32"/>
          <w:szCs w:val="32"/>
          <w:shd w:val="clear" w:color="auto" w:fill="FFFFFF"/>
        </w:rPr>
        <w:t>（一）收入支出决算总体情况说明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bidi="ar-SA"/>
        </w:rPr>
        <w:t>1.本年度总体情况。本年度财政拨款收入1562.38万元，年初预算数是1454.67万元，较年初预算数增加107.71万元。</w:t>
      </w:r>
      <w:r>
        <w:rPr>
          <w:rFonts w:hint="default" w:ascii="Times New Roman" w:hAnsi="Times New Roman" w:eastAsia="方正仿宋_GBK" w:cs="Times New Roman"/>
          <w:color w:val="auto"/>
          <w:sz w:val="32"/>
          <w:szCs w:val="32"/>
          <w:lang w:val="en-US" w:eastAsia="zh-CN"/>
        </w:rPr>
        <w:t>主要原因是</w:t>
      </w:r>
      <w:r>
        <w:rPr>
          <w:rFonts w:hint="eastAsia" w:ascii="Times New Roman" w:hAnsi="Times New Roman" w:eastAsia="方正仿宋_GBK" w:cs="Times New Roman"/>
          <w:color w:val="auto"/>
          <w:sz w:val="32"/>
          <w:szCs w:val="32"/>
          <w:lang w:val="en-US" w:eastAsia="zh-CN" w:bidi="ar-SA"/>
        </w:rPr>
        <w:t>人员社保及公积金调标</w:t>
      </w:r>
      <w:r>
        <w:rPr>
          <w:rFonts w:hint="default" w:ascii="Times New Roman" w:hAnsi="Times New Roman" w:eastAsia="方正仿宋_GBK" w:cs="Times New Roman"/>
          <w:color w:val="auto"/>
          <w:sz w:val="32"/>
          <w:szCs w:val="32"/>
          <w:lang w:val="en-US" w:eastAsia="zh-CN"/>
        </w:rPr>
        <w:t>、项目及项目所需资金减少造成。</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color w:val="auto"/>
          <w:sz w:val="32"/>
          <w:szCs w:val="32"/>
          <w:lang w:val="en-US" w:eastAsia="zh-CN" w:bidi="ar-SA"/>
        </w:rPr>
      </w:pPr>
      <w:r>
        <w:rPr>
          <w:rFonts w:hint="eastAsia" w:ascii="Times New Roman" w:hAnsi="Times New Roman" w:eastAsia="方正仿宋_GBK" w:cs="Times New Roman"/>
          <w:color w:val="auto"/>
          <w:sz w:val="32"/>
          <w:szCs w:val="32"/>
          <w:lang w:val="en-US" w:eastAsia="zh-CN"/>
        </w:rPr>
        <w:t>2.收入情况。</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年度收入合计</w:t>
      </w:r>
      <w:r>
        <w:rPr>
          <w:rFonts w:hint="eastAsia" w:ascii="Times New Roman" w:hAnsi="Times New Roman" w:eastAsia="方正仿宋_GBK" w:cs="Times New Roman"/>
          <w:color w:val="auto"/>
          <w:sz w:val="32"/>
          <w:szCs w:val="32"/>
          <w:lang w:val="en-US" w:eastAsia="zh-CN"/>
        </w:rPr>
        <w:t>1562.38</w:t>
      </w:r>
      <w:r>
        <w:rPr>
          <w:rFonts w:hint="default" w:ascii="Times New Roman" w:hAnsi="Times New Roman" w:eastAsia="方正仿宋_GBK" w:cs="Times New Roman"/>
          <w:color w:val="auto"/>
          <w:sz w:val="32"/>
          <w:szCs w:val="32"/>
          <w:lang w:val="en-US" w:eastAsia="zh-CN"/>
        </w:rPr>
        <w:t>万元，较上年决算数</w:t>
      </w:r>
      <w:r>
        <w:rPr>
          <w:rFonts w:hint="eastAsia" w:ascii="Times New Roman" w:hAnsi="Times New Roman" w:eastAsia="方正仿宋_GBK" w:cs="Times New Roman"/>
          <w:color w:val="auto"/>
          <w:sz w:val="32"/>
          <w:szCs w:val="32"/>
          <w:lang w:val="en-US" w:eastAsia="zh-CN"/>
        </w:rPr>
        <w:t>增加360.91</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上涨30.0</w:t>
      </w:r>
      <w:r>
        <w:rPr>
          <w:rFonts w:hint="default" w:ascii="Times New Roman" w:hAnsi="Times New Roman" w:eastAsia="方正仿宋_GBK" w:cs="Times New Roman"/>
          <w:color w:val="auto"/>
          <w:sz w:val="32"/>
          <w:szCs w:val="32"/>
          <w:lang w:val="en-US" w:eastAsia="zh-CN"/>
        </w:rPr>
        <w:t>%，主要原因是项目及项目所需资金</w:t>
      </w:r>
      <w:r>
        <w:rPr>
          <w:rFonts w:hint="eastAsia" w:ascii="Times New Roman" w:hAnsi="Times New Roman" w:eastAsia="方正仿宋_GBK" w:cs="Times New Roman"/>
          <w:color w:val="auto"/>
          <w:sz w:val="32"/>
          <w:szCs w:val="32"/>
          <w:lang w:val="en-US" w:eastAsia="zh-CN"/>
        </w:rPr>
        <w:t>增长</w:t>
      </w:r>
      <w:r>
        <w:rPr>
          <w:rFonts w:hint="default" w:ascii="Times New Roman" w:hAnsi="Times New Roman" w:eastAsia="方正仿宋_GBK" w:cs="Times New Roman"/>
          <w:color w:val="auto"/>
          <w:sz w:val="32"/>
          <w:szCs w:val="32"/>
          <w:lang w:val="en-US" w:eastAsia="zh-CN"/>
        </w:rPr>
        <w:t>。其中：财政拨款收入</w:t>
      </w:r>
      <w:r>
        <w:rPr>
          <w:rFonts w:hint="eastAsia" w:ascii="Times New Roman" w:hAnsi="Times New Roman" w:eastAsia="方正仿宋_GBK" w:cs="Times New Roman"/>
          <w:color w:val="auto"/>
          <w:sz w:val="32"/>
          <w:szCs w:val="32"/>
          <w:lang w:val="en-US" w:eastAsia="zh-CN"/>
        </w:rPr>
        <w:t>1562.38</w:t>
      </w:r>
      <w:r>
        <w:rPr>
          <w:rFonts w:hint="default" w:ascii="Times New Roman" w:hAnsi="Times New Roman" w:eastAsia="方正仿宋_GBK" w:cs="Times New Roman"/>
          <w:color w:val="auto"/>
          <w:sz w:val="32"/>
          <w:szCs w:val="32"/>
          <w:lang w:val="en-US" w:eastAsia="zh-CN"/>
        </w:rPr>
        <w:t>万元，占100.0%；事业收入0.00万元，占0.0%；经营收入0.00万元，占0.0%；其他收入0.00万元，占0.0%。此外，使用非财政拨款结余和专用结余0.00万元，年初结转和结余0.00万元。</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bidi="ar-SA"/>
        </w:rPr>
        <w:t>3.支出情况。</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年度支出合计</w:t>
      </w:r>
      <w:r>
        <w:rPr>
          <w:rFonts w:hint="eastAsia" w:ascii="Times New Roman" w:hAnsi="Times New Roman" w:eastAsia="方正仿宋_GBK" w:cs="Times New Roman"/>
          <w:color w:val="auto"/>
          <w:sz w:val="32"/>
          <w:szCs w:val="32"/>
          <w:lang w:val="en-US" w:eastAsia="zh-CN"/>
        </w:rPr>
        <w:t>1562.38</w:t>
      </w:r>
      <w:r>
        <w:rPr>
          <w:rFonts w:hint="default" w:ascii="Times New Roman" w:hAnsi="Times New Roman" w:eastAsia="方正仿宋_GBK" w:cs="Times New Roman"/>
          <w:color w:val="auto"/>
          <w:sz w:val="32"/>
          <w:szCs w:val="32"/>
          <w:lang w:val="en-US" w:eastAsia="zh-CN"/>
        </w:rPr>
        <w:t>万元，较上年决算数</w:t>
      </w:r>
      <w:r>
        <w:rPr>
          <w:rFonts w:hint="eastAsia" w:ascii="Times New Roman" w:hAnsi="Times New Roman" w:eastAsia="方正仿宋_GBK" w:cs="Times New Roman"/>
          <w:color w:val="auto"/>
          <w:sz w:val="32"/>
          <w:szCs w:val="32"/>
          <w:lang w:val="en-US" w:eastAsia="zh-CN"/>
        </w:rPr>
        <w:t>增加360.91</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上涨30.0</w:t>
      </w:r>
      <w:r>
        <w:rPr>
          <w:rFonts w:hint="default" w:ascii="Times New Roman" w:hAnsi="Times New Roman" w:eastAsia="方正仿宋_GBK" w:cs="Times New Roman"/>
          <w:color w:val="auto"/>
          <w:sz w:val="32"/>
          <w:szCs w:val="32"/>
          <w:lang w:val="en-US" w:eastAsia="zh-CN"/>
        </w:rPr>
        <w:t>%，主要原因是项目及项目所需资金</w:t>
      </w:r>
      <w:r>
        <w:rPr>
          <w:rFonts w:hint="eastAsia" w:ascii="Times New Roman" w:hAnsi="Times New Roman" w:eastAsia="方正仿宋_GBK" w:cs="Times New Roman"/>
          <w:color w:val="auto"/>
          <w:sz w:val="32"/>
          <w:szCs w:val="32"/>
          <w:lang w:val="en-US" w:eastAsia="zh-CN"/>
        </w:rPr>
        <w:t>增加</w:t>
      </w:r>
      <w:r>
        <w:rPr>
          <w:rFonts w:hint="default" w:ascii="Times New Roman" w:hAnsi="Times New Roman" w:eastAsia="方正仿宋_GBK" w:cs="Times New Roman"/>
          <w:color w:val="auto"/>
          <w:sz w:val="32"/>
          <w:szCs w:val="32"/>
          <w:lang w:val="en-US" w:eastAsia="zh-CN"/>
        </w:rPr>
        <w:t>。其中：基本支出</w:t>
      </w:r>
      <w:r>
        <w:rPr>
          <w:rFonts w:hint="eastAsia" w:ascii="Times New Roman" w:hAnsi="Times New Roman" w:eastAsia="方正仿宋_GBK" w:cs="Times New Roman"/>
          <w:color w:val="auto"/>
          <w:sz w:val="32"/>
          <w:szCs w:val="32"/>
          <w:lang w:val="en-US" w:eastAsia="zh-CN"/>
        </w:rPr>
        <w:t>287.87</w:t>
      </w:r>
      <w:r>
        <w:rPr>
          <w:rFonts w:hint="default" w:ascii="Times New Roman" w:hAnsi="Times New Roman" w:eastAsia="方正仿宋_GBK" w:cs="Times New Roman"/>
          <w:color w:val="auto"/>
          <w:sz w:val="32"/>
          <w:szCs w:val="32"/>
          <w:lang w:val="en-US" w:eastAsia="zh-CN"/>
        </w:rPr>
        <w:t>万元，占</w:t>
      </w:r>
      <w:r>
        <w:rPr>
          <w:rFonts w:hint="eastAsia" w:ascii="Times New Roman" w:hAnsi="Times New Roman" w:eastAsia="方正仿宋_GBK" w:cs="Times New Roman"/>
          <w:color w:val="auto"/>
          <w:sz w:val="32"/>
          <w:szCs w:val="32"/>
          <w:lang w:val="en-US" w:eastAsia="zh-CN"/>
        </w:rPr>
        <w:t>18.4</w:t>
      </w:r>
      <w:r>
        <w:rPr>
          <w:rFonts w:hint="default" w:ascii="Times New Roman" w:hAnsi="Times New Roman" w:eastAsia="方正仿宋_GBK" w:cs="Times New Roman"/>
          <w:color w:val="auto"/>
          <w:sz w:val="32"/>
          <w:szCs w:val="32"/>
          <w:lang w:val="en-US" w:eastAsia="zh-CN"/>
        </w:rPr>
        <w:t>%；项目支出</w:t>
      </w:r>
      <w:r>
        <w:rPr>
          <w:rFonts w:hint="eastAsia" w:ascii="Times New Roman" w:hAnsi="Times New Roman" w:eastAsia="方正仿宋_GBK" w:cs="Times New Roman"/>
          <w:color w:val="auto"/>
          <w:sz w:val="32"/>
          <w:szCs w:val="32"/>
          <w:lang w:val="en-US" w:eastAsia="zh-CN"/>
        </w:rPr>
        <w:t>1274.51</w:t>
      </w:r>
      <w:r>
        <w:rPr>
          <w:rFonts w:hint="default" w:ascii="Times New Roman" w:hAnsi="Times New Roman" w:eastAsia="方正仿宋_GBK" w:cs="Times New Roman"/>
          <w:color w:val="auto"/>
          <w:sz w:val="32"/>
          <w:szCs w:val="32"/>
          <w:lang w:val="en-US" w:eastAsia="zh-CN"/>
        </w:rPr>
        <w:t>万元，占</w:t>
      </w:r>
      <w:r>
        <w:rPr>
          <w:rFonts w:hint="eastAsia" w:ascii="Times New Roman" w:hAnsi="Times New Roman" w:eastAsia="方正仿宋_GBK" w:cs="Times New Roman"/>
          <w:color w:val="auto"/>
          <w:sz w:val="32"/>
          <w:szCs w:val="32"/>
          <w:lang w:val="en-US" w:eastAsia="zh-CN"/>
        </w:rPr>
        <w:t>81.6</w:t>
      </w:r>
      <w:r>
        <w:rPr>
          <w:rFonts w:hint="default" w:ascii="Times New Roman" w:hAnsi="Times New Roman" w:eastAsia="方正仿宋_GBK" w:cs="Times New Roman"/>
          <w:color w:val="auto"/>
          <w:sz w:val="32"/>
          <w:szCs w:val="32"/>
          <w:lang w:val="en-US" w:eastAsia="zh-CN"/>
        </w:rPr>
        <w:t>%；经营支出0.00万元，占0.0%。此外，结余分配0.00万元。</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outlineLvl w:val="9"/>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（二）财政拨款收入支出决算总体情况说明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年度财政拨款收、支</w:t>
      </w:r>
      <w:r>
        <w:rPr>
          <w:rFonts w:hint="eastAsia" w:ascii="Times New Roman" w:hAnsi="Times New Roman" w:eastAsia="方正仿宋_GBK" w:cs="Times New Roman"/>
          <w:color w:val="auto"/>
          <w:sz w:val="32"/>
          <w:szCs w:val="32"/>
          <w:lang w:val="en-US" w:eastAsia="zh-CN"/>
        </w:rPr>
        <w:t>持平。</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jc w:val="both"/>
        <w:textAlignment w:val="auto"/>
        <w:outlineLvl w:val="9"/>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1.收入情况。202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年度一般公共预算财政拨款收入</w:t>
      </w:r>
      <w:r>
        <w:rPr>
          <w:rFonts w:hint="eastAsia" w:ascii="Times New Roman" w:hAnsi="Times New Roman" w:eastAsia="方正仿宋_GBK" w:cs="Times New Roman"/>
          <w:color w:val="auto"/>
          <w:sz w:val="32"/>
          <w:szCs w:val="32"/>
          <w:lang w:val="en-US" w:eastAsia="zh-CN"/>
        </w:rPr>
        <w:t>1562.38</w:t>
      </w:r>
      <w:r>
        <w:rPr>
          <w:rFonts w:hint="default" w:ascii="Times New Roman" w:hAnsi="Times New Roman" w:eastAsia="方正仿宋_GBK" w:cs="Times New Roman"/>
          <w:color w:val="auto"/>
          <w:sz w:val="32"/>
          <w:szCs w:val="32"/>
          <w:lang w:val="en-US" w:eastAsia="zh-CN"/>
        </w:rPr>
        <w:t>万元，较上年决算数</w:t>
      </w:r>
      <w:r>
        <w:rPr>
          <w:rFonts w:hint="eastAsia" w:ascii="Times New Roman" w:hAnsi="Times New Roman" w:eastAsia="方正仿宋_GBK" w:cs="Times New Roman"/>
          <w:color w:val="auto"/>
          <w:sz w:val="32"/>
          <w:szCs w:val="32"/>
          <w:lang w:val="en-US" w:eastAsia="zh-CN"/>
        </w:rPr>
        <w:t>增加360.91</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上涨30.0</w:t>
      </w:r>
      <w:r>
        <w:rPr>
          <w:rFonts w:hint="default" w:ascii="Times New Roman" w:hAnsi="Times New Roman" w:eastAsia="方正仿宋_GBK" w:cs="Times New Roman"/>
          <w:color w:val="auto"/>
          <w:sz w:val="32"/>
          <w:szCs w:val="32"/>
          <w:lang w:val="en-US" w:eastAsia="zh-CN"/>
        </w:rPr>
        <w:t>%。主要原因是项目及项目所需资金</w:t>
      </w:r>
      <w:r>
        <w:rPr>
          <w:rFonts w:hint="eastAsia" w:ascii="Times New Roman" w:hAnsi="Times New Roman" w:eastAsia="方正仿宋_GBK" w:cs="Times New Roman"/>
          <w:color w:val="auto"/>
          <w:sz w:val="32"/>
          <w:szCs w:val="32"/>
          <w:lang w:val="en-US" w:eastAsia="zh-CN"/>
        </w:rPr>
        <w:t>增长</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较年初预算数增加107.71万元</w:t>
      </w:r>
      <w:r>
        <w:rPr>
          <w:rFonts w:hint="default" w:ascii="Times New Roman" w:hAnsi="Times New Roman" w:eastAsia="方正仿宋_GBK" w:cs="Times New Roman"/>
          <w:color w:val="auto"/>
          <w:sz w:val="32"/>
          <w:szCs w:val="32"/>
          <w:lang w:val="en-US" w:eastAsia="zh-CN"/>
        </w:rPr>
        <w:t>。主要原因是项目及项目所需资金</w:t>
      </w:r>
      <w:r>
        <w:rPr>
          <w:rFonts w:hint="eastAsia" w:ascii="Times New Roman" w:hAnsi="Times New Roman" w:eastAsia="方正仿宋_GBK" w:cs="Times New Roman"/>
          <w:color w:val="auto"/>
          <w:sz w:val="32"/>
          <w:szCs w:val="32"/>
          <w:lang w:val="en-US" w:eastAsia="zh-CN"/>
        </w:rPr>
        <w:t>增长</w:t>
      </w:r>
      <w:r>
        <w:rPr>
          <w:rFonts w:hint="default" w:ascii="Times New Roman" w:hAnsi="Times New Roman" w:eastAsia="方正仿宋_GBK" w:cs="Times New Roman"/>
          <w:color w:val="auto"/>
          <w:sz w:val="32"/>
          <w:szCs w:val="32"/>
          <w:lang w:val="en-US" w:eastAsia="zh-CN"/>
        </w:rPr>
        <w:t>。此外，年初财政拨款结转和结余0.00万元。</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2.支出情况。202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年度一般公共预算财政拨款支出</w:t>
      </w:r>
      <w:r>
        <w:rPr>
          <w:rFonts w:hint="eastAsia" w:ascii="Times New Roman" w:hAnsi="Times New Roman" w:eastAsia="方正仿宋_GBK" w:cs="Times New Roman"/>
          <w:color w:val="auto"/>
          <w:sz w:val="32"/>
          <w:szCs w:val="32"/>
          <w:lang w:val="en-US" w:eastAsia="zh-CN"/>
        </w:rPr>
        <w:t>1562.38</w:t>
      </w:r>
      <w:r>
        <w:rPr>
          <w:rFonts w:hint="default" w:ascii="Times New Roman" w:hAnsi="Times New Roman" w:eastAsia="方正仿宋_GBK" w:cs="Times New Roman"/>
          <w:color w:val="auto"/>
          <w:sz w:val="32"/>
          <w:szCs w:val="32"/>
          <w:lang w:val="en-US" w:eastAsia="zh-CN"/>
        </w:rPr>
        <w:t>万元，较上年决算数</w:t>
      </w:r>
      <w:r>
        <w:rPr>
          <w:rFonts w:hint="eastAsia" w:ascii="Times New Roman" w:hAnsi="Times New Roman" w:eastAsia="方正仿宋_GBK" w:cs="Times New Roman"/>
          <w:color w:val="auto"/>
          <w:sz w:val="32"/>
          <w:szCs w:val="32"/>
          <w:lang w:val="en-US" w:eastAsia="zh-CN"/>
        </w:rPr>
        <w:t>增加360.91</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上涨30.0</w:t>
      </w:r>
      <w:r>
        <w:rPr>
          <w:rFonts w:hint="default" w:ascii="Times New Roman" w:hAnsi="Times New Roman" w:eastAsia="方正仿宋_GBK" w:cs="Times New Roman"/>
          <w:color w:val="auto"/>
          <w:sz w:val="32"/>
          <w:szCs w:val="32"/>
          <w:lang w:val="en-US" w:eastAsia="zh-CN"/>
        </w:rPr>
        <w:t>%。主要原因是项目及项目所需资金</w:t>
      </w:r>
      <w:r>
        <w:rPr>
          <w:rFonts w:hint="eastAsia" w:ascii="Times New Roman" w:hAnsi="Times New Roman" w:eastAsia="方正仿宋_GBK" w:cs="Times New Roman"/>
          <w:color w:val="auto"/>
          <w:sz w:val="32"/>
          <w:szCs w:val="32"/>
          <w:lang w:val="en-US" w:eastAsia="zh-CN"/>
        </w:rPr>
        <w:t>增长</w:t>
      </w:r>
      <w:r>
        <w:rPr>
          <w:rFonts w:hint="default" w:ascii="Times New Roman" w:hAnsi="Times New Roman" w:eastAsia="方正仿宋_GBK" w:cs="Times New Roman"/>
          <w:color w:val="auto"/>
          <w:sz w:val="32"/>
          <w:szCs w:val="32"/>
          <w:lang w:val="en-US" w:eastAsia="zh-CN"/>
        </w:rPr>
        <w:t>。较上年决算数</w:t>
      </w:r>
      <w:r>
        <w:rPr>
          <w:rFonts w:hint="eastAsia" w:ascii="Times New Roman" w:hAnsi="Times New Roman" w:eastAsia="方正仿宋_GBK" w:cs="Times New Roman"/>
          <w:color w:val="auto"/>
          <w:sz w:val="32"/>
          <w:szCs w:val="32"/>
          <w:lang w:val="en-US" w:eastAsia="zh-CN"/>
        </w:rPr>
        <w:t>增加360.91</w:t>
      </w:r>
      <w:r>
        <w:rPr>
          <w:rFonts w:hint="default" w:ascii="Times New Roman" w:hAnsi="Times New Roman" w:eastAsia="方正仿宋_GBK" w:cs="Times New Roman"/>
          <w:color w:val="auto"/>
          <w:sz w:val="32"/>
          <w:szCs w:val="32"/>
          <w:lang w:val="en-US" w:eastAsia="zh-CN"/>
        </w:rPr>
        <w:t>万元。主要原因是项目及项目所需资金</w:t>
      </w:r>
      <w:r>
        <w:rPr>
          <w:rFonts w:hint="eastAsia" w:ascii="Times New Roman" w:hAnsi="Times New Roman" w:eastAsia="方正仿宋_GBK" w:cs="Times New Roman"/>
          <w:color w:val="auto"/>
          <w:sz w:val="32"/>
          <w:szCs w:val="32"/>
          <w:lang w:val="en-US" w:eastAsia="zh-CN"/>
        </w:rPr>
        <w:t>增长</w:t>
      </w:r>
      <w:r>
        <w:rPr>
          <w:rFonts w:hint="default" w:ascii="Times New Roman" w:hAnsi="Times New Roman" w:eastAsia="方正仿宋_GBK" w:cs="Times New Roman"/>
          <w:color w:val="auto"/>
          <w:sz w:val="32"/>
          <w:szCs w:val="32"/>
          <w:lang w:val="en-US" w:eastAsia="zh-CN"/>
        </w:rPr>
        <w:t>。</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3.结转结余情况。20</w:t>
      </w:r>
      <w:r>
        <w:rPr>
          <w:rFonts w:hint="eastAsia"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lang w:val="en-US" w:eastAsia="zh-CN"/>
        </w:rPr>
        <w:t>年度年末一般公共预算财政拨款结转和结余0.00万元，较上年决算数无增减，主要原因是预算执行情况良好，全部资金项目均无结余。</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FF0000"/>
          <w:sz w:val="32"/>
          <w:szCs w:val="32"/>
          <w:highlight w:val="cyan"/>
          <w:shd w:val="clear" w:color="auto" w:fill="FFFFFF"/>
        </w:rPr>
      </w:pPr>
      <w:r>
        <w:rPr>
          <w:rFonts w:hint="default" w:ascii="Times New Roman" w:hAnsi="Times New Roman" w:eastAsia="方正仿宋_GBK" w:cs="Times New Roman"/>
          <w:color w:val="auto"/>
          <w:sz w:val="32"/>
          <w:szCs w:val="32"/>
          <w:lang w:val="en-US" w:eastAsia="zh-CN"/>
        </w:rPr>
        <w:t>4.比较情况。本单位202</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年度一般公共预算财政拨款支出主要用于以下几个方面</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rPr>
        <w:t>（1）社会保障与就业支出</w:t>
      </w:r>
      <w:r>
        <w:rPr>
          <w:rFonts w:hint="eastAsia" w:ascii="Times New Roman" w:hAnsi="Times New Roman" w:eastAsia="方正仿宋_GBK" w:cs="Times New Roman"/>
          <w:color w:val="auto"/>
          <w:sz w:val="32"/>
          <w:szCs w:val="32"/>
          <w:lang w:val="en-US" w:eastAsia="zh-CN"/>
        </w:rPr>
        <w:t>67.18</w:t>
      </w:r>
      <w:r>
        <w:rPr>
          <w:rFonts w:hint="default" w:ascii="Times New Roman" w:hAnsi="Times New Roman" w:eastAsia="方正仿宋_GBK" w:cs="Times New Roman"/>
          <w:color w:val="auto"/>
          <w:sz w:val="32"/>
          <w:szCs w:val="32"/>
          <w:lang w:val="en-US" w:eastAsia="zh-CN"/>
        </w:rPr>
        <w:t>万元，占4</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%，较年初预算数</w:t>
      </w:r>
      <w:r>
        <w:rPr>
          <w:rFonts w:hint="eastAsia" w:ascii="Times New Roman" w:hAnsi="Times New Roman" w:eastAsia="方正仿宋_GBK" w:cs="Times New Roman"/>
          <w:color w:val="auto"/>
          <w:sz w:val="32"/>
          <w:szCs w:val="32"/>
          <w:lang w:val="en-US" w:eastAsia="zh-CN"/>
        </w:rPr>
        <w:t>增加</w:t>
      </w:r>
      <w:r>
        <w:rPr>
          <w:rFonts w:hint="default" w:ascii="Times New Roman" w:hAnsi="Times New Roman" w:eastAsia="方正仿宋_GBK" w:cs="Times New Roman"/>
          <w:color w:val="auto"/>
          <w:sz w:val="32"/>
          <w:szCs w:val="32"/>
          <w:lang w:val="en-US" w:eastAsia="zh-CN"/>
        </w:rPr>
        <w:t>14.0</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上涨26.4</w:t>
      </w:r>
      <w:r>
        <w:rPr>
          <w:rFonts w:hint="default" w:ascii="Times New Roman" w:hAnsi="Times New Roman" w:eastAsia="方正仿宋_GBK" w:cs="Times New Roman"/>
          <w:color w:val="auto"/>
          <w:sz w:val="32"/>
          <w:szCs w:val="32"/>
          <w:lang w:val="en-US" w:eastAsia="zh-CN"/>
        </w:rPr>
        <w:t>%，主要原因是</w:t>
      </w:r>
      <w:r>
        <w:rPr>
          <w:rFonts w:hint="eastAsia" w:ascii="Times New Roman" w:hAnsi="Times New Roman" w:eastAsia="方正仿宋_GBK" w:cs="Times New Roman"/>
          <w:color w:val="auto"/>
          <w:sz w:val="32"/>
          <w:szCs w:val="32"/>
          <w:lang w:val="en-US" w:eastAsia="zh-CN" w:bidi="ar-SA"/>
        </w:rPr>
        <w:t>员社保及公积金调标。</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rPr>
        <w:t>（2）卫生健康支出1</w:t>
      </w:r>
      <w:r>
        <w:rPr>
          <w:rFonts w:hint="eastAsia" w:ascii="Times New Roman" w:hAnsi="Times New Roman" w:eastAsia="方正仿宋_GBK" w:cs="Times New Roman"/>
          <w:color w:val="auto"/>
          <w:sz w:val="32"/>
          <w:szCs w:val="32"/>
          <w:lang w:val="en-US" w:eastAsia="zh-CN"/>
        </w:rPr>
        <w:t>4.67</w:t>
      </w:r>
      <w:r>
        <w:rPr>
          <w:rFonts w:hint="default" w:ascii="Times New Roman" w:hAnsi="Times New Roman" w:eastAsia="方正仿宋_GBK" w:cs="Times New Roman"/>
          <w:color w:val="auto"/>
          <w:sz w:val="32"/>
          <w:szCs w:val="32"/>
          <w:lang w:val="en-US" w:eastAsia="zh-CN"/>
        </w:rPr>
        <w:t>万元，占</w:t>
      </w:r>
      <w:r>
        <w:rPr>
          <w:rFonts w:hint="eastAsia" w:ascii="Times New Roman" w:hAnsi="Times New Roman" w:eastAsia="方正仿宋_GBK" w:cs="Times New Roman"/>
          <w:color w:val="auto"/>
          <w:sz w:val="32"/>
          <w:szCs w:val="32"/>
          <w:lang w:val="en-US" w:eastAsia="zh-CN"/>
        </w:rPr>
        <w:t>0.9</w:t>
      </w:r>
      <w:r>
        <w:rPr>
          <w:rFonts w:hint="default" w:ascii="Times New Roman" w:hAnsi="Times New Roman" w:eastAsia="方正仿宋_GBK" w:cs="Times New Roman"/>
          <w:color w:val="auto"/>
          <w:sz w:val="32"/>
          <w:szCs w:val="32"/>
          <w:lang w:val="en-US" w:eastAsia="zh-CN"/>
        </w:rPr>
        <w:t>%，较年初预算数</w:t>
      </w:r>
      <w:r>
        <w:rPr>
          <w:rFonts w:hint="eastAsia" w:ascii="Times New Roman" w:hAnsi="Times New Roman" w:eastAsia="方正仿宋_GBK" w:cs="Times New Roman"/>
          <w:color w:val="auto"/>
          <w:sz w:val="32"/>
          <w:szCs w:val="32"/>
          <w:lang w:val="en-US" w:eastAsia="zh-CN"/>
        </w:rPr>
        <w:t>减少0.08万元</w:t>
      </w:r>
      <w:r>
        <w:rPr>
          <w:rFonts w:hint="default" w:ascii="Times New Roman" w:hAnsi="Times New Roman" w:eastAsia="方正仿宋_GBK" w:cs="Times New Roman"/>
          <w:color w:val="auto"/>
          <w:sz w:val="32"/>
          <w:szCs w:val="32"/>
          <w:lang w:val="en-US" w:eastAsia="zh-CN"/>
        </w:rPr>
        <w:t>，主要原因是</w:t>
      </w:r>
      <w:r>
        <w:rPr>
          <w:rFonts w:hint="eastAsia" w:ascii="Times New Roman" w:hAnsi="Times New Roman" w:eastAsia="方正仿宋_GBK" w:cs="Times New Roman"/>
          <w:color w:val="auto"/>
          <w:sz w:val="32"/>
          <w:szCs w:val="32"/>
          <w:lang w:val="en-US" w:eastAsia="zh-CN" w:bidi="ar-SA"/>
        </w:rPr>
        <w:t>员社保及公积金调标。</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（3）交通运输支出</w:t>
      </w:r>
      <w:r>
        <w:rPr>
          <w:rFonts w:hint="eastAsia" w:ascii="Times New Roman" w:hAnsi="Times New Roman" w:eastAsia="方正仿宋_GBK" w:cs="Times New Roman"/>
          <w:color w:val="auto"/>
          <w:sz w:val="32"/>
          <w:szCs w:val="32"/>
          <w:lang w:val="en-US" w:eastAsia="zh-CN"/>
        </w:rPr>
        <w:t>1466.86</w:t>
      </w:r>
      <w:r>
        <w:rPr>
          <w:rFonts w:hint="default" w:ascii="Times New Roman" w:hAnsi="Times New Roman" w:eastAsia="方正仿宋_GBK" w:cs="Times New Roman"/>
          <w:color w:val="auto"/>
          <w:sz w:val="32"/>
          <w:szCs w:val="32"/>
          <w:lang w:val="en-US" w:eastAsia="zh-CN"/>
        </w:rPr>
        <w:t>万元，占</w:t>
      </w:r>
      <w:r>
        <w:rPr>
          <w:rFonts w:hint="eastAsia" w:ascii="Times New Roman" w:hAnsi="Times New Roman" w:eastAsia="方正仿宋_GBK" w:cs="Times New Roman"/>
          <w:color w:val="auto"/>
          <w:sz w:val="32"/>
          <w:szCs w:val="32"/>
          <w:lang w:val="en-US" w:eastAsia="zh-CN"/>
        </w:rPr>
        <w:t>93.9</w:t>
      </w:r>
      <w:r>
        <w:rPr>
          <w:rFonts w:hint="default" w:ascii="Times New Roman" w:hAnsi="Times New Roman" w:eastAsia="方正仿宋_GBK" w:cs="Times New Roman"/>
          <w:color w:val="auto"/>
          <w:sz w:val="32"/>
          <w:szCs w:val="32"/>
          <w:lang w:val="en-US" w:eastAsia="zh-CN"/>
        </w:rPr>
        <w:t>%，较年初预算数</w:t>
      </w:r>
      <w:r>
        <w:rPr>
          <w:rFonts w:hint="eastAsia" w:ascii="Times New Roman" w:hAnsi="Times New Roman" w:eastAsia="方正仿宋_GBK" w:cs="Times New Roman"/>
          <w:color w:val="auto"/>
          <w:sz w:val="32"/>
          <w:szCs w:val="32"/>
          <w:lang w:val="en-US" w:eastAsia="zh-CN"/>
        </w:rPr>
        <w:t>增加93.72</w:t>
      </w:r>
      <w:r>
        <w:rPr>
          <w:rFonts w:hint="default" w:ascii="Times New Roman" w:hAnsi="Times New Roman" w:eastAsia="方正仿宋_GBK" w:cs="Times New Roman"/>
          <w:color w:val="auto"/>
          <w:sz w:val="32"/>
          <w:szCs w:val="32"/>
          <w:lang w:val="en-US" w:eastAsia="zh-CN"/>
        </w:rPr>
        <w:t>万元，</w:t>
      </w:r>
      <w:r>
        <w:rPr>
          <w:rFonts w:hint="eastAsia" w:ascii="Times New Roman" w:hAnsi="Times New Roman" w:eastAsia="方正仿宋_GBK" w:cs="Times New Roman"/>
          <w:color w:val="auto"/>
          <w:sz w:val="32"/>
          <w:szCs w:val="32"/>
          <w:lang w:val="en-US" w:eastAsia="zh-CN"/>
        </w:rPr>
        <w:t>上涨6.8</w:t>
      </w:r>
      <w:r>
        <w:rPr>
          <w:rFonts w:hint="default" w:ascii="Times New Roman" w:hAnsi="Times New Roman" w:eastAsia="方正仿宋_GBK" w:cs="Times New Roman"/>
          <w:color w:val="auto"/>
          <w:sz w:val="32"/>
          <w:szCs w:val="32"/>
          <w:lang w:val="en-US" w:eastAsia="zh-CN"/>
        </w:rPr>
        <w:t>%，主要原因是部分项目的资金</w:t>
      </w:r>
      <w:r>
        <w:rPr>
          <w:rFonts w:hint="eastAsia" w:ascii="Times New Roman" w:hAnsi="Times New Roman" w:eastAsia="方正仿宋_GBK" w:cs="Times New Roman"/>
          <w:color w:val="auto"/>
          <w:sz w:val="32"/>
          <w:szCs w:val="32"/>
          <w:lang w:val="en-US" w:eastAsia="zh-CN"/>
        </w:rPr>
        <w:t>按照实际结算</w:t>
      </w:r>
      <w:r>
        <w:rPr>
          <w:rFonts w:hint="default" w:ascii="Times New Roman" w:hAnsi="Times New Roman" w:eastAsia="方正仿宋_GBK" w:cs="Times New Roman"/>
          <w:color w:val="auto"/>
          <w:sz w:val="32"/>
          <w:szCs w:val="32"/>
          <w:lang w:val="en-US"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color w:val="auto"/>
          <w:sz w:val="32"/>
          <w:szCs w:val="32"/>
          <w:lang w:val="en-US" w:eastAsia="zh-CN" w:bidi="ar-SA"/>
        </w:rPr>
        <w:t>（</w:t>
      </w:r>
      <w:r>
        <w:rPr>
          <w:rFonts w:hint="eastAsia" w:ascii="Times New Roman" w:hAnsi="Times New Roman" w:eastAsia="方正仿宋_GBK" w:cs="Times New Roman"/>
          <w:color w:val="auto"/>
          <w:sz w:val="32"/>
          <w:szCs w:val="32"/>
          <w:lang w:val="en-US" w:eastAsia="zh-CN" w:bidi="ar-SA"/>
        </w:rPr>
        <w:t>4</w:t>
      </w:r>
      <w:r>
        <w:rPr>
          <w:rFonts w:hint="default" w:ascii="Times New Roman" w:hAnsi="Times New Roman" w:eastAsia="方正仿宋_GBK" w:cs="Times New Roman"/>
          <w:color w:val="auto"/>
          <w:sz w:val="32"/>
          <w:szCs w:val="32"/>
          <w:lang w:val="en-US" w:eastAsia="zh-CN" w:bidi="ar-SA"/>
        </w:rPr>
        <w:t>）住房保障支出</w:t>
      </w:r>
      <w:r>
        <w:rPr>
          <w:rFonts w:hint="eastAsia" w:ascii="Times New Roman" w:hAnsi="Times New Roman" w:eastAsia="方正仿宋_GBK" w:cs="Times New Roman"/>
          <w:color w:val="auto"/>
          <w:sz w:val="32"/>
          <w:szCs w:val="32"/>
          <w:lang w:val="en-US" w:eastAsia="zh-CN" w:bidi="ar-SA"/>
        </w:rPr>
        <w:t>13.66</w:t>
      </w:r>
      <w:r>
        <w:rPr>
          <w:rFonts w:hint="default" w:ascii="Times New Roman" w:hAnsi="Times New Roman" w:eastAsia="方正仿宋_GBK" w:cs="Times New Roman"/>
          <w:color w:val="auto"/>
          <w:sz w:val="32"/>
          <w:szCs w:val="32"/>
          <w:lang w:val="en-US" w:eastAsia="zh-CN" w:bidi="ar-SA"/>
        </w:rPr>
        <w:t>万元，占</w:t>
      </w:r>
      <w:r>
        <w:rPr>
          <w:rFonts w:hint="eastAsia" w:ascii="Times New Roman" w:hAnsi="Times New Roman" w:eastAsia="方正仿宋_GBK" w:cs="Times New Roman"/>
          <w:color w:val="auto"/>
          <w:sz w:val="32"/>
          <w:szCs w:val="32"/>
          <w:lang w:val="en-US" w:eastAsia="zh-CN" w:bidi="ar-SA"/>
        </w:rPr>
        <w:t>0.9</w:t>
      </w:r>
      <w:r>
        <w:rPr>
          <w:rFonts w:hint="default" w:ascii="Times New Roman" w:hAnsi="Times New Roman" w:eastAsia="方正仿宋_GBK" w:cs="Times New Roman"/>
          <w:color w:val="auto"/>
          <w:sz w:val="32"/>
          <w:szCs w:val="32"/>
          <w:lang w:val="en-US" w:eastAsia="zh-CN" w:bidi="ar-SA"/>
        </w:rPr>
        <w:t>%，</w:t>
      </w:r>
      <w:r>
        <w:rPr>
          <w:rFonts w:hint="default" w:ascii="Times New Roman" w:hAnsi="Times New Roman" w:eastAsia="方正仿宋_GBK" w:cs="Times New Roman"/>
          <w:color w:val="auto"/>
          <w:sz w:val="32"/>
          <w:szCs w:val="32"/>
          <w:lang w:val="en-US" w:eastAsia="zh-CN"/>
        </w:rPr>
        <w:t>较年初预算数无增减，主要原因是事业单位</w:t>
      </w:r>
      <w:r>
        <w:rPr>
          <w:rFonts w:hint="default" w:ascii="Times New Roman" w:hAnsi="Times New Roman" w:eastAsia="方正仿宋_GBK" w:cs="Times New Roman"/>
          <w:color w:val="auto"/>
          <w:sz w:val="32"/>
          <w:szCs w:val="32"/>
          <w:lang w:val="en-US" w:eastAsia="zh-CN" w:bidi="ar-SA"/>
        </w:rPr>
        <w:t>住房保障</w:t>
      </w:r>
      <w:r>
        <w:rPr>
          <w:rFonts w:hint="default" w:ascii="Times New Roman" w:hAnsi="Times New Roman" w:eastAsia="方正仿宋_GBK" w:cs="Times New Roman"/>
          <w:color w:val="auto"/>
          <w:sz w:val="32"/>
          <w:szCs w:val="32"/>
          <w:lang w:val="en-US" w:eastAsia="zh-CN"/>
        </w:rPr>
        <w:t>项目执行情况良好</w:t>
      </w:r>
      <w:r>
        <w:rPr>
          <w:rFonts w:hint="eastAsia" w:ascii="Times New Roman" w:hAnsi="Times New Roman" w:eastAsia="方正仿宋_GBK" w:cs="Times New Roman"/>
          <w:color w:val="auto"/>
          <w:sz w:val="32"/>
          <w:szCs w:val="32"/>
          <w:lang w:val="en-US" w:eastAsia="zh-CN"/>
        </w:rPr>
        <w:t>。</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bidi="ar-SA"/>
        </w:rPr>
        <w:t> 202</w:t>
      </w:r>
      <w:r>
        <w:rPr>
          <w:rFonts w:hint="eastAsia" w:ascii="Times New Roman" w:hAnsi="Times New Roman" w:eastAsia="方正仿宋_GBK" w:cs="Times New Roman"/>
          <w:color w:val="auto"/>
          <w:sz w:val="32"/>
          <w:szCs w:val="32"/>
          <w:lang w:val="en-US" w:eastAsia="zh-CN" w:bidi="ar-SA"/>
        </w:rPr>
        <w:t>4</w:t>
      </w:r>
      <w:r>
        <w:rPr>
          <w:rFonts w:hint="default" w:ascii="Times New Roman" w:hAnsi="Times New Roman" w:eastAsia="方正仿宋_GBK" w:cs="Times New Roman"/>
          <w:color w:val="auto"/>
          <w:sz w:val="32"/>
          <w:szCs w:val="32"/>
          <w:lang w:val="en-US" w:eastAsia="zh-CN" w:bidi="ar-SA"/>
        </w:rPr>
        <w:t>年度一般公共财政拨款基本支出</w:t>
      </w:r>
      <w:r>
        <w:rPr>
          <w:rFonts w:hint="eastAsia" w:ascii="Times New Roman" w:hAnsi="Times New Roman" w:eastAsia="方正仿宋_GBK" w:cs="Times New Roman"/>
          <w:color w:val="auto"/>
          <w:sz w:val="32"/>
          <w:szCs w:val="32"/>
          <w:lang w:val="en-US" w:eastAsia="zh-CN" w:bidi="ar-SA"/>
        </w:rPr>
        <w:t>287.87</w:t>
      </w:r>
      <w:r>
        <w:rPr>
          <w:rFonts w:hint="default" w:ascii="Times New Roman" w:hAnsi="Times New Roman" w:eastAsia="方正仿宋_GBK" w:cs="Times New Roman"/>
          <w:color w:val="auto"/>
          <w:sz w:val="32"/>
          <w:szCs w:val="32"/>
          <w:lang w:val="en-US" w:eastAsia="zh-CN" w:bidi="ar-SA"/>
        </w:rPr>
        <w:t>万元。其中：人员经费</w:t>
      </w:r>
      <w:r>
        <w:rPr>
          <w:rFonts w:hint="eastAsia" w:ascii="Times New Roman" w:hAnsi="Times New Roman" w:eastAsia="方正仿宋_GBK" w:cs="Times New Roman"/>
          <w:color w:val="auto"/>
          <w:sz w:val="32"/>
          <w:szCs w:val="32"/>
          <w:lang w:val="en-US" w:eastAsia="zh-CN" w:bidi="ar-SA"/>
        </w:rPr>
        <w:t>272.2</w:t>
      </w:r>
      <w:r>
        <w:rPr>
          <w:rFonts w:hint="default" w:ascii="Times New Roman" w:hAnsi="Times New Roman" w:eastAsia="方正仿宋_GBK" w:cs="Times New Roman"/>
          <w:color w:val="auto"/>
          <w:sz w:val="32"/>
          <w:szCs w:val="32"/>
          <w:lang w:val="en-US" w:eastAsia="zh-CN" w:bidi="ar-SA"/>
        </w:rPr>
        <w:t>万元，较上年决算数减少</w:t>
      </w:r>
      <w:r>
        <w:rPr>
          <w:rFonts w:hint="eastAsia" w:ascii="Times New Roman" w:hAnsi="Times New Roman" w:eastAsia="方正仿宋_GBK" w:cs="Times New Roman"/>
          <w:color w:val="auto"/>
          <w:sz w:val="32"/>
          <w:szCs w:val="32"/>
          <w:lang w:val="en-US" w:eastAsia="zh-CN" w:bidi="ar-SA"/>
        </w:rPr>
        <w:t>10.88</w:t>
      </w:r>
      <w:r>
        <w:rPr>
          <w:rFonts w:hint="default" w:ascii="Times New Roman" w:hAnsi="Times New Roman" w:eastAsia="方正仿宋_GBK" w:cs="Times New Roman"/>
          <w:color w:val="auto"/>
          <w:sz w:val="32"/>
          <w:szCs w:val="32"/>
          <w:lang w:val="en-US" w:eastAsia="zh-CN" w:bidi="ar-SA"/>
        </w:rPr>
        <w:t>万元，下降</w:t>
      </w:r>
      <w:r>
        <w:rPr>
          <w:rFonts w:hint="eastAsia" w:ascii="Times New Roman" w:hAnsi="Times New Roman" w:eastAsia="方正仿宋_GBK" w:cs="Times New Roman"/>
          <w:color w:val="auto"/>
          <w:sz w:val="32"/>
          <w:szCs w:val="32"/>
          <w:lang w:val="en-US" w:eastAsia="zh-CN" w:bidi="ar-SA"/>
        </w:rPr>
        <w:t>3.8</w:t>
      </w:r>
      <w:r>
        <w:rPr>
          <w:rFonts w:hint="default" w:ascii="Times New Roman" w:hAnsi="Times New Roman" w:eastAsia="方正仿宋_GBK" w:cs="Times New Roman"/>
          <w:color w:val="auto"/>
          <w:sz w:val="32"/>
          <w:szCs w:val="32"/>
          <w:lang w:val="en-US" w:eastAsia="zh-CN" w:bidi="ar-SA"/>
        </w:rPr>
        <w:t>%，主要原因是当年单位存在人员退休造成。人员经费用途主要包括人员工资、绩效及社保缴纳等。公用经费</w:t>
      </w:r>
      <w:r>
        <w:rPr>
          <w:rFonts w:hint="eastAsia" w:ascii="Times New Roman" w:hAnsi="Times New Roman" w:eastAsia="方正仿宋_GBK" w:cs="Times New Roman"/>
          <w:color w:val="auto"/>
          <w:sz w:val="32"/>
          <w:szCs w:val="32"/>
          <w:lang w:val="en-US" w:eastAsia="zh-CN" w:bidi="ar-SA"/>
        </w:rPr>
        <w:t>15.67</w:t>
      </w:r>
      <w:r>
        <w:rPr>
          <w:rFonts w:hint="default" w:ascii="Times New Roman" w:hAnsi="Times New Roman" w:eastAsia="方正仿宋_GBK" w:cs="Times New Roman"/>
          <w:color w:val="auto"/>
          <w:sz w:val="32"/>
          <w:szCs w:val="32"/>
          <w:lang w:val="en-US" w:eastAsia="zh-CN" w:bidi="ar-SA"/>
        </w:rPr>
        <w:t>万元，较上年决算数减少</w:t>
      </w:r>
      <w:r>
        <w:rPr>
          <w:rFonts w:hint="eastAsia" w:ascii="Times New Roman" w:hAnsi="Times New Roman" w:eastAsia="方正仿宋_GBK" w:cs="Times New Roman"/>
          <w:color w:val="auto"/>
          <w:sz w:val="32"/>
          <w:szCs w:val="32"/>
          <w:lang w:val="en-US" w:eastAsia="zh-CN" w:bidi="ar-SA"/>
        </w:rPr>
        <w:t>5.26</w:t>
      </w:r>
      <w:r>
        <w:rPr>
          <w:rFonts w:hint="default" w:ascii="Times New Roman" w:hAnsi="Times New Roman" w:eastAsia="方正仿宋_GBK" w:cs="Times New Roman"/>
          <w:color w:val="auto"/>
          <w:sz w:val="32"/>
          <w:szCs w:val="32"/>
          <w:lang w:val="en-US" w:eastAsia="zh-CN" w:bidi="ar-SA"/>
        </w:rPr>
        <w:t>万元，下降</w:t>
      </w:r>
      <w:r>
        <w:rPr>
          <w:rFonts w:hint="eastAsia" w:ascii="Times New Roman" w:hAnsi="Times New Roman" w:eastAsia="方正仿宋_GBK" w:cs="Times New Roman"/>
          <w:color w:val="auto"/>
          <w:sz w:val="32"/>
          <w:szCs w:val="32"/>
          <w:lang w:val="en-US" w:eastAsia="zh-CN" w:bidi="ar-SA"/>
        </w:rPr>
        <w:t>25.1</w:t>
      </w:r>
      <w:r>
        <w:rPr>
          <w:rFonts w:hint="default" w:ascii="Times New Roman" w:hAnsi="Times New Roman" w:eastAsia="方正仿宋_GBK" w:cs="Times New Roman"/>
          <w:color w:val="auto"/>
          <w:sz w:val="32"/>
          <w:szCs w:val="32"/>
          <w:lang w:val="en-US" w:eastAsia="zh-CN" w:bidi="ar-SA"/>
        </w:rPr>
        <w:t>%，主要原因是按照当前过紧日子要求，压减了基本办公费用等支出。公用经费用途主要包括办公费、水电费、差旅费等。</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w:t>
      </w:r>
      <w:r>
        <w:rPr>
          <w:rFonts w:hint="default" w:ascii="Times New Roman" w:hAnsi="Times New Roman" w:eastAsia="方正楷体_GBK" w:cs="Times New Roman"/>
          <w:b w:val="0"/>
          <w:bCs/>
          <w:sz w:val="32"/>
          <w:szCs w:val="32"/>
          <w:shd w:val="clear" w:color="auto" w:fill="FFFFFF"/>
        </w:rPr>
        <w:t>府性基金预算收支决算情况说明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bidi="ar-SA"/>
        </w:rPr>
        <w:t>本单位202</w:t>
      </w:r>
      <w:r>
        <w:rPr>
          <w:rFonts w:hint="eastAsia" w:ascii="Times New Roman" w:hAnsi="Times New Roman" w:eastAsia="方正仿宋_GBK" w:cs="Times New Roman"/>
          <w:color w:val="auto"/>
          <w:sz w:val="32"/>
          <w:szCs w:val="32"/>
          <w:lang w:val="en-US" w:eastAsia="zh-CN" w:bidi="ar-SA"/>
        </w:rPr>
        <w:t>4</w:t>
      </w:r>
      <w:r>
        <w:rPr>
          <w:rFonts w:hint="default" w:ascii="Times New Roman" w:hAnsi="Times New Roman" w:eastAsia="方正仿宋_GBK" w:cs="Times New Roman"/>
          <w:color w:val="auto"/>
          <w:sz w:val="32"/>
          <w:szCs w:val="32"/>
          <w:lang w:val="en-US" w:eastAsia="zh-CN" w:bidi="ar-SA"/>
        </w:rPr>
        <w:t>年度无政府性基金预算财政拨款收支</w:t>
      </w:r>
      <w:r>
        <w:rPr>
          <w:rFonts w:hint="default" w:ascii="Times New Roman" w:hAnsi="Times New Roman" w:eastAsia="方正仿宋_GBK" w:cs="Times New Roman"/>
          <w:sz w:val="32"/>
          <w:szCs w:val="32"/>
          <w:shd w:val="clear" w:color="auto" w:fill="FFFFFF"/>
        </w:rPr>
        <w:t>。</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 w:eastAsia="仿宋_GB2312" w:cs="仿宋"/>
          <w:sz w:val="32"/>
          <w:szCs w:val="32"/>
          <w:lang w:val="en-US"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color w:val="auto"/>
          <w:sz w:val="32"/>
          <w:szCs w:val="32"/>
          <w:lang w:val="en-US" w:eastAsia="zh-CN" w:bidi="ar-SA"/>
        </w:rPr>
        <w:t>本单位202</w:t>
      </w:r>
      <w:r>
        <w:rPr>
          <w:rFonts w:hint="eastAsia" w:ascii="Times New Roman" w:hAnsi="Times New Roman" w:eastAsia="方正仿宋_GBK" w:cs="Times New Roman"/>
          <w:color w:val="auto"/>
          <w:sz w:val="32"/>
          <w:szCs w:val="32"/>
          <w:lang w:val="en-US" w:eastAsia="zh-CN" w:bidi="ar-SA"/>
        </w:rPr>
        <w:t>4</w:t>
      </w:r>
      <w:r>
        <w:rPr>
          <w:rFonts w:hint="default" w:ascii="Times New Roman" w:hAnsi="Times New Roman" w:eastAsia="方正仿宋_GBK" w:cs="Times New Roman"/>
          <w:color w:val="auto"/>
          <w:sz w:val="32"/>
          <w:szCs w:val="32"/>
          <w:lang w:val="en-US" w:eastAsia="zh-CN" w:bidi="ar-SA"/>
        </w:rPr>
        <w:t>年度无国有资本经营预算财政拨款支出</w:t>
      </w:r>
      <w:r>
        <w:rPr>
          <w:rFonts w:hint="default" w:ascii="Times New Roman" w:hAnsi="Times New Roman" w:eastAsia="方正仿宋_GBK" w:cs="Times New Roman"/>
          <w:sz w:val="32"/>
          <w:szCs w:val="32"/>
          <w:shd w:val="clear" w:color="auto" w:fill="FFFFFF"/>
        </w:rPr>
        <w:t>。</w:t>
      </w:r>
    </w:p>
    <w:p>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lang w:eastAsia="zh-CN"/>
        </w:rPr>
        <w:t>财政拨款</w:t>
      </w:r>
      <w:r>
        <w:rPr>
          <w:rStyle w:val="12"/>
          <w:rFonts w:hint="eastAsia" w:ascii="方正黑体_GBK" w:hAnsi="方正黑体_GBK" w:eastAsia="方正黑体_GBK" w:cs="方正黑体_GBK"/>
          <w:b w:val="0"/>
          <w:bCs/>
          <w:sz w:val="32"/>
          <w:szCs w:val="32"/>
          <w:shd w:val="clear" w:color="auto" w:fill="FFFFFF"/>
        </w:rPr>
        <w:t>“三公”经费情况说明</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lang w:val="en-US" w:eastAsia="zh-CN"/>
        </w:rPr>
      </w:pPr>
      <w:r>
        <w:rPr>
          <w:rFonts w:hint="eastAsia" w:ascii="Times New Roman" w:hAnsi="Times New Roman" w:eastAsia="方正楷体_GBK" w:cs="Times New Roman"/>
          <w:b w:val="0"/>
          <w:bCs w:val="0"/>
          <w:sz w:val="32"/>
          <w:szCs w:val="32"/>
          <w:shd w:val="clear" w:color="auto" w:fill="FFFFFF"/>
          <w:lang w:val="en-US" w:eastAsia="zh-CN"/>
        </w:rPr>
        <w:t>（一）</w:t>
      </w:r>
      <w:r>
        <w:rPr>
          <w:rFonts w:hint="default" w:ascii="方正楷体_GBK" w:hAnsi="方正楷体_GBK" w:eastAsia="方正楷体_GBK" w:cs="方正楷体_GBK"/>
          <w:b w:val="0"/>
          <w:bCs w:val="0"/>
          <w:sz w:val="32"/>
          <w:szCs w:val="32"/>
          <w:shd w:val="clear" w:color="auto" w:fill="FFFFFF"/>
          <w:lang w:val="en-US" w:eastAsia="zh-CN" w:bidi="ar-SA"/>
        </w:rPr>
        <w:t>“</w:t>
      </w:r>
      <w:r>
        <w:rPr>
          <w:rFonts w:hint="eastAsia" w:ascii="方正楷体_GBK" w:hAnsi="方正楷体_GBK" w:eastAsia="方正楷体_GBK" w:cs="方正楷体_GBK"/>
          <w:b w:val="0"/>
          <w:bCs w:val="0"/>
          <w:sz w:val="32"/>
          <w:szCs w:val="32"/>
          <w:shd w:val="clear" w:color="auto" w:fill="FFFFFF"/>
          <w:lang w:val="en-US" w:eastAsia="zh-CN" w:bidi="ar-SA"/>
        </w:rPr>
        <w:t>三公</w:t>
      </w:r>
      <w:r>
        <w:rPr>
          <w:rFonts w:hint="default" w:ascii="方正楷体_GBK" w:hAnsi="方正楷体_GBK" w:eastAsia="方正楷体_GBK" w:cs="方正楷体_GBK"/>
          <w:b w:val="0"/>
          <w:bCs w:val="0"/>
          <w:sz w:val="32"/>
          <w:szCs w:val="32"/>
          <w:shd w:val="clear" w:color="auto" w:fill="FFFFFF"/>
          <w:lang w:val="en-US" w:eastAsia="zh-CN" w:bidi="ar-SA"/>
        </w:rPr>
        <w:t>”</w:t>
      </w:r>
      <w:r>
        <w:rPr>
          <w:rFonts w:hint="eastAsia" w:ascii="Times New Roman" w:hAnsi="Times New Roman" w:eastAsia="方正楷体_GBK" w:cs="Times New Roman"/>
          <w:b w:val="0"/>
          <w:bCs w:val="0"/>
          <w:sz w:val="32"/>
          <w:szCs w:val="32"/>
          <w:shd w:val="clear" w:color="auto" w:fill="FFFFFF"/>
          <w:lang w:val="en-US" w:eastAsia="zh-CN"/>
        </w:rPr>
        <w:t>经费支出总体情况说明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bidi="ar-SA"/>
        </w:rPr>
        <w:t>202</w:t>
      </w:r>
      <w:r>
        <w:rPr>
          <w:rFonts w:hint="eastAsia" w:ascii="Times New Roman" w:hAnsi="Times New Roman" w:eastAsia="方正仿宋_GBK" w:cs="Times New Roman"/>
          <w:color w:val="auto"/>
          <w:sz w:val="32"/>
          <w:szCs w:val="32"/>
          <w:lang w:val="en-US" w:eastAsia="zh-CN" w:bidi="ar-SA"/>
        </w:rPr>
        <w:t>4年度</w:t>
      </w:r>
      <w:r>
        <w:rPr>
          <w:rFonts w:hint="eastAsia" w:ascii="方正仿宋_GBK" w:hAnsi="方正仿宋_GBK" w:eastAsia="方正仿宋_GBK" w:cs="方正仿宋_GBK"/>
          <w:color w:val="auto"/>
          <w:sz w:val="32"/>
          <w:szCs w:val="32"/>
          <w:lang w:val="en-US" w:eastAsia="zh-CN" w:bidi="ar-SA"/>
        </w:rPr>
        <w:t>“三公”</w:t>
      </w:r>
      <w:r>
        <w:rPr>
          <w:rFonts w:hint="eastAsia" w:ascii="Times New Roman" w:hAnsi="Times New Roman" w:eastAsia="方正仿宋_GBK" w:cs="Times New Roman"/>
          <w:color w:val="auto"/>
          <w:sz w:val="32"/>
          <w:szCs w:val="32"/>
          <w:lang w:val="en-US" w:eastAsia="zh-CN" w:bidi="ar-SA"/>
        </w:rPr>
        <w:t>经费支出共计1.27万元，较年初预算数增加0.57万元，上涨81.4%，</w:t>
      </w:r>
      <w:r>
        <w:rPr>
          <w:rFonts w:hint="eastAsia" w:ascii="仿宋_GB2312" w:hAnsi="仿宋" w:eastAsia="仿宋_GB2312"/>
          <w:sz w:val="32"/>
          <w:szCs w:val="32"/>
          <w:lang w:eastAsia="zh-CN"/>
        </w:rPr>
        <w:t>因为本单位车辆年限较久，维修维护费增加。</w:t>
      </w:r>
      <w:r>
        <w:rPr>
          <w:rFonts w:hint="eastAsia" w:ascii="Times New Roman" w:hAnsi="Times New Roman" w:eastAsia="方正仿宋_GBK" w:cs="Times New Roman"/>
          <w:color w:val="auto"/>
          <w:sz w:val="32"/>
          <w:szCs w:val="32"/>
          <w:lang w:val="en-US" w:eastAsia="zh-CN" w:bidi="ar-SA"/>
        </w:rPr>
        <w:t>为强化公务接待支出管理，本年未发生公务</w:t>
      </w:r>
      <w:r>
        <w:rPr>
          <w:rFonts w:hint="eastAsia" w:ascii="Times New Roman" w:hAnsi="Times New Roman" w:eastAsia="方正仿宋_GBK" w:cs="Times New Roman"/>
          <w:color w:val="auto"/>
          <w:sz w:val="32"/>
          <w:szCs w:val="32"/>
          <w:lang w:val="en-US" w:eastAsia="zh-CN"/>
        </w:rPr>
        <w:t>接待费；进一步规范因公出国（境）活动，今年未安排单位人员出国出访。较上年支出数减少0.82万元，下降39.2</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，主要原因是减少了公务接待费；并加强</w:t>
      </w:r>
      <w:r>
        <w:rPr>
          <w:rFonts w:hint="eastAsia" w:ascii="方正仿宋_GBK" w:hAnsi="方正仿宋_GBK" w:eastAsia="方正仿宋_GBK" w:cs="方正仿宋_GBK"/>
          <w:color w:val="auto"/>
          <w:sz w:val="32"/>
          <w:szCs w:val="32"/>
          <w:lang w:val="en-US" w:eastAsia="zh-CN" w:bidi="ar-SA"/>
        </w:rPr>
        <w:t>“三公”</w:t>
      </w:r>
      <w:r>
        <w:rPr>
          <w:rFonts w:hint="eastAsia" w:ascii="Times New Roman" w:hAnsi="Times New Roman" w:eastAsia="方正仿宋_GBK" w:cs="Times New Roman"/>
          <w:color w:val="auto"/>
          <w:sz w:val="32"/>
          <w:szCs w:val="32"/>
          <w:lang w:val="en-US" w:eastAsia="zh-CN"/>
        </w:rPr>
        <w:t>经费管理，深入贯彻执行习近平总书记关于</w:t>
      </w:r>
      <w:r>
        <w:rPr>
          <w:rFonts w:hint="default" w:ascii="方正仿宋_GBK" w:hAnsi="方正仿宋_GBK" w:eastAsia="方正仿宋_GBK" w:cs="方正仿宋_GBK"/>
          <w:color w:val="auto"/>
          <w:sz w:val="32"/>
          <w:szCs w:val="32"/>
          <w:lang w:val="en-US" w:eastAsia="zh-CN" w:bidi="ar-SA"/>
        </w:rPr>
        <w:t>“</w:t>
      </w:r>
      <w:r>
        <w:rPr>
          <w:rFonts w:hint="eastAsia" w:ascii="方正仿宋_GBK" w:hAnsi="方正仿宋_GBK" w:eastAsia="方正仿宋_GBK" w:cs="方正仿宋_GBK"/>
          <w:color w:val="auto"/>
          <w:sz w:val="32"/>
          <w:szCs w:val="32"/>
          <w:lang w:val="en-US" w:eastAsia="zh-CN" w:bidi="ar-SA"/>
        </w:rPr>
        <w:t>党和政府带头过紧日子</w:t>
      </w:r>
      <w:r>
        <w:rPr>
          <w:rFonts w:hint="default" w:ascii="方正仿宋_GBK" w:hAnsi="方正仿宋_GBK" w:eastAsia="方正仿宋_GBK" w:cs="方正仿宋_GBK"/>
          <w:color w:val="auto"/>
          <w:sz w:val="32"/>
          <w:szCs w:val="32"/>
          <w:lang w:val="en-US" w:eastAsia="zh-CN" w:bidi="ar-SA"/>
        </w:rPr>
        <w:t>”</w:t>
      </w:r>
      <w:r>
        <w:rPr>
          <w:rFonts w:hint="eastAsia" w:ascii="Times New Roman" w:hAnsi="Times New Roman" w:eastAsia="方正仿宋_GBK" w:cs="Times New Roman"/>
          <w:color w:val="auto"/>
          <w:sz w:val="32"/>
          <w:szCs w:val="32"/>
          <w:lang w:val="en-US" w:eastAsia="zh-CN"/>
        </w:rPr>
        <w:t>的重要指示精神。</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eastAsia" w:ascii="Times New Roman" w:hAnsi="Times New Roman" w:eastAsia="方正楷体_GBK" w:cs="Times New Roman"/>
          <w:b w:val="0"/>
          <w:bCs w:val="0"/>
          <w:sz w:val="32"/>
          <w:szCs w:val="32"/>
          <w:shd w:val="clear" w:color="auto" w:fill="FFFFFF"/>
          <w:lang w:val="en-US" w:eastAsia="zh-CN" w:bidi="ar-SA"/>
        </w:rPr>
      </w:pPr>
      <w:r>
        <w:rPr>
          <w:rFonts w:hint="eastAsia" w:ascii="Times New Roman" w:hAnsi="Times New Roman" w:eastAsia="方正楷体_GBK" w:cs="Times New Roman"/>
          <w:b w:val="0"/>
          <w:bCs w:val="0"/>
          <w:sz w:val="32"/>
          <w:szCs w:val="32"/>
          <w:shd w:val="clear" w:color="auto" w:fill="FFFFFF"/>
          <w:lang w:val="en-US" w:eastAsia="zh-CN" w:bidi="ar-SA"/>
        </w:rPr>
        <w:t>（二）</w:t>
      </w:r>
      <w:r>
        <w:rPr>
          <w:rFonts w:hint="eastAsia" w:ascii="方正楷体_GBK" w:hAnsi="方正楷体_GBK" w:eastAsia="方正楷体_GBK" w:cs="方正楷体_GBK"/>
          <w:b w:val="0"/>
          <w:bCs w:val="0"/>
          <w:sz w:val="32"/>
          <w:szCs w:val="32"/>
          <w:shd w:val="clear" w:color="auto" w:fill="FFFFFF"/>
          <w:lang w:val="en-US" w:eastAsia="zh-CN" w:bidi="ar-SA"/>
        </w:rPr>
        <w:t>“三公”</w:t>
      </w:r>
      <w:r>
        <w:rPr>
          <w:rFonts w:hint="eastAsia" w:ascii="Times New Roman" w:hAnsi="Times New Roman" w:eastAsia="方正楷体_GBK" w:cs="Times New Roman"/>
          <w:b w:val="0"/>
          <w:bCs w:val="0"/>
          <w:sz w:val="32"/>
          <w:szCs w:val="32"/>
          <w:shd w:val="clear" w:color="auto" w:fill="FFFFFF"/>
          <w:lang w:val="en-US" w:eastAsia="zh-CN" w:bidi="ar-SA"/>
        </w:rPr>
        <w:t>经费分项支出情况</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color w:val="auto"/>
          <w:sz w:val="32"/>
          <w:szCs w:val="32"/>
          <w:lang w:val="en-US" w:eastAsia="zh-CN" w:bidi="ar-SA"/>
        </w:rPr>
      </w:pPr>
      <w:r>
        <w:rPr>
          <w:rFonts w:hint="eastAsia" w:ascii="Times New Roman" w:hAnsi="Times New Roman" w:eastAsia="方正仿宋_GBK" w:cs="Times New Roman"/>
          <w:color w:val="auto"/>
          <w:sz w:val="32"/>
          <w:szCs w:val="32"/>
          <w:lang w:val="en-US" w:eastAsia="zh-CN"/>
        </w:rPr>
        <w:t>公务用车购置及运行维护费</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27万元，主要用于</w:t>
      </w:r>
      <w:r>
        <w:rPr>
          <w:rFonts w:hint="eastAsia" w:ascii="仿宋_GB2312" w:hAnsi="仿宋" w:eastAsia="仿宋_GB2312"/>
          <w:sz w:val="32"/>
          <w:szCs w:val="32"/>
          <w:lang w:eastAsia="zh-CN"/>
        </w:rPr>
        <w:t>维修维护</w:t>
      </w:r>
      <w:r>
        <w:rPr>
          <w:rFonts w:hint="eastAsia" w:ascii="Times New Roman" w:hAnsi="Times New Roman" w:eastAsia="方正仿宋_GBK" w:cs="Times New Roman"/>
          <w:color w:val="auto"/>
          <w:sz w:val="32"/>
          <w:szCs w:val="32"/>
          <w:lang w:val="en-US" w:eastAsia="zh-CN"/>
        </w:rPr>
        <w:t>。费用支出较年初预算数增加1.27万元，上涨100.0</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，主要原因是年初未规划相应经费。较上年支出数减少0.74万元，下降36.8</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主要原因是办公经费减少。因公出国（境）费0.00万元，费用支出与年初预算数持平，与上年支出数持平。公务接待费0.00万元，费用支出与年初预算数持平，较上年减少0.08万元，下降100.0%，主要原因是深入贯彻执行习近平总书记关于</w:t>
      </w:r>
      <w:r>
        <w:rPr>
          <w:rFonts w:hint="default" w:ascii="方正仿宋_GBK" w:hAnsi="方正仿宋_GBK" w:eastAsia="方正仿宋_GBK" w:cs="方正仿宋_GBK"/>
          <w:color w:val="auto"/>
          <w:sz w:val="32"/>
          <w:szCs w:val="32"/>
          <w:lang w:val="en-US" w:eastAsia="zh-CN" w:bidi="ar-SA"/>
        </w:rPr>
        <w:t>“</w:t>
      </w:r>
      <w:r>
        <w:rPr>
          <w:rFonts w:hint="eastAsia" w:ascii="方正仿宋_GBK" w:hAnsi="方正仿宋_GBK" w:eastAsia="方正仿宋_GBK" w:cs="方正仿宋_GBK"/>
          <w:color w:val="auto"/>
          <w:sz w:val="32"/>
          <w:szCs w:val="32"/>
          <w:lang w:val="en-US" w:eastAsia="zh-CN" w:bidi="ar-SA"/>
        </w:rPr>
        <w:t>党和政府带头过紧日子</w:t>
      </w:r>
      <w:r>
        <w:rPr>
          <w:rFonts w:hint="default" w:ascii="方正仿宋_GBK" w:hAnsi="方正仿宋_GBK" w:eastAsia="方正仿宋_GBK" w:cs="方正仿宋_GBK"/>
          <w:color w:val="auto"/>
          <w:sz w:val="32"/>
          <w:szCs w:val="32"/>
          <w:lang w:val="en-US" w:eastAsia="zh-CN" w:bidi="ar-SA"/>
        </w:rPr>
        <w:t>”</w:t>
      </w:r>
      <w:r>
        <w:rPr>
          <w:rFonts w:hint="eastAsia" w:ascii="方正仿宋_GBK" w:hAnsi="方正仿宋_GBK" w:eastAsia="方正仿宋_GBK" w:cs="方正仿宋_GBK"/>
          <w:color w:val="auto"/>
          <w:sz w:val="32"/>
          <w:szCs w:val="32"/>
          <w:lang w:val="en-US" w:eastAsia="zh-CN" w:bidi="ar-SA"/>
        </w:rPr>
        <w:t>的重要指示精神。</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val="0"/>
          <w:sz w:val="32"/>
          <w:szCs w:val="32"/>
          <w:shd w:val="clear" w:color="auto" w:fill="FFFFFF"/>
          <w:lang w:val="en-US" w:eastAsia="zh-CN" w:bidi="ar-SA"/>
        </w:rPr>
      </w:pPr>
      <w:r>
        <w:rPr>
          <w:rFonts w:hint="eastAsia" w:ascii="Times New Roman" w:hAnsi="Times New Roman" w:eastAsia="方正楷体_GBK" w:cs="Times New Roman"/>
          <w:b w:val="0"/>
          <w:bCs w:val="0"/>
          <w:sz w:val="32"/>
          <w:szCs w:val="32"/>
          <w:shd w:val="clear" w:color="auto" w:fill="FFFFFF"/>
          <w:lang w:val="en-US" w:eastAsia="zh-CN" w:bidi="ar-SA"/>
        </w:rPr>
        <w:t>（三）</w:t>
      </w:r>
      <w:r>
        <w:rPr>
          <w:rFonts w:hint="default" w:ascii="方正楷体_GBK" w:hAnsi="方正楷体_GBK" w:eastAsia="方正楷体_GBK" w:cs="方正楷体_GBK"/>
          <w:b w:val="0"/>
          <w:bCs w:val="0"/>
          <w:sz w:val="32"/>
          <w:szCs w:val="32"/>
          <w:shd w:val="clear" w:color="auto" w:fill="FFFFFF"/>
          <w:lang w:val="en-US" w:eastAsia="zh-CN" w:bidi="ar-SA"/>
        </w:rPr>
        <w:t>“</w:t>
      </w:r>
      <w:r>
        <w:rPr>
          <w:rFonts w:hint="eastAsia" w:ascii="方正楷体_GBK" w:hAnsi="方正楷体_GBK" w:eastAsia="方正楷体_GBK" w:cs="方正楷体_GBK"/>
          <w:b w:val="0"/>
          <w:bCs w:val="0"/>
          <w:sz w:val="32"/>
          <w:szCs w:val="32"/>
          <w:shd w:val="clear" w:color="auto" w:fill="FFFFFF"/>
          <w:lang w:val="en-US" w:eastAsia="zh-CN" w:bidi="ar-SA"/>
        </w:rPr>
        <w:t>三公</w:t>
      </w:r>
      <w:r>
        <w:rPr>
          <w:rFonts w:hint="default" w:ascii="方正楷体_GBK" w:hAnsi="方正楷体_GBK" w:eastAsia="方正楷体_GBK" w:cs="方正楷体_GBK"/>
          <w:b w:val="0"/>
          <w:bCs w:val="0"/>
          <w:sz w:val="32"/>
          <w:szCs w:val="32"/>
          <w:shd w:val="clear" w:color="auto" w:fill="FFFFFF"/>
          <w:lang w:val="en-US" w:eastAsia="zh-CN" w:bidi="ar-SA"/>
        </w:rPr>
        <w:t>”</w:t>
      </w:r>
      <w:r>
        <w:rPr>
          <w:rFonts w:hint="eastAsia" w:ascii="方正楷体_GBK" w:hAnsi="方正楷体_GBK" w:eastAsia="方正楷体_GBK" w:cs="方正楷体_GBK"/>
          <w:b w:val="0"/>
          <w:bCs w:val="0"/>
          <w:sz w:val="32"/>
          <w:szCs w:val="32"/>
          <w:shd w:val="clear" w:color="auto" w:fill="FFFFFF"/>
          <w:lang w:val="en-US" w:eastAsia="zh-CN" w:bidi="ar-SA"/>
        </w:rPr>
        <w:t>经</w:t>
      </w:r>
      <w:r>
        <w:rPr>
          <w:rFonts w:hint="eastAsia" w:ascii="Times New Roman" w:hAnsi="Times New Roman" w:eastAsia="方正楷体_GBK" w:cs="Times New Roman"/>
          <w:b w:val="0"/>
          <w:bCs w:val="0"/>
          <w:sz w:val="32"/>
          <w:szCs w:val="32"/>
          <w:shd w:val="clear" w:color="auto" w:fill="FFFFFF"/>
          <w:lang w:val="en-US" w:eastAsia="zh-CN" w:bidi="ar-SA"/>
        </w:rPr>
        <w:t>费实物量情况</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4年度本部门因公出国（境）共计</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个团组，</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人；公务用车购置</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辆，公务车保有量为</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0辆；国内公务接待</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批次</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人，其中：国内外事接待</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批次，</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人；国（境）外公务接待</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批次，</w:t>
      </w:r>
      <w:r>
        <w:rPr>
          <w:rFonts w:hint="default"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en-US" w:eastAsia="zh-CN"/>
        </w:rPr>
        <w:t>人。</w:t>
      </w:r>
      <w:r>
        <w:rPr>
          <w:rFonts w:hint="default" w:ascii="Times New Roman" w:hAnsi="Times New Roman" w:eastAsia="方正仿宋_GBK" w:cs="Times New Roman"/>
          <w:color w:val="auto"/>
          <w:sz w:val="32"/>
          <w:szCs w:val="32"/>
          <w:lang w:val="en-US" w:eastAsia="zh-CN"/>
        </w:rPr>
        <w:t>202</w:t>
      </w:r>
      <w:r>
        <w:rPr>
          <w:rFonts w:hint="eastAsia" w:ascii="Times New Roman" w:hAnsi="Times New Roman" w:eastAsia="方正仿宋_GBK" w:cs="Times New Roman"/>
          <w:color w:val="auto"/>
          <w:sz w:val="32"/>
          <w:szCs w:val="32"/>
          <w:lang w:val="en-US" w:eastAsia="zh-CN"/>
        </w:rPr>
        <w:t>4年本部门人均接待费</w:t>
      </w:r>
      <w:r>
        <w:rPr>
          <w:rFonts w:hint="default" w:ascii="Times New Roman" w:hAnsi="Times New Roman" w:eastAsia="方正仿宋_GBK" w:cs="Times New Roman"/>
          <w:color w:val="auto"/>
          <w:sz w:val="32"/>
          <w:szCs w:val="32"/>
          <w:lang w:val="en-US" w:eastAsia="zh-CN"/>
        </w:rPr>
        <w:t>0.00</w:t>
      </w:r>
      <w:r>
        <w:rPr>
          <w:rFonts w:hint="eastAsia" w:ascii="Times New Roman" w:hAnsi="Times New Roman" w:eastAsia="方正仿宋_GBK" w:cs="Times New Roman"/>
          <w:color w:val="auto"/>
          <w:sz w:val="32"/>
          <w:szCs w:val="32"/>
          <w:lang w:val="en-US" w:eastAsia="zh-CN"/>
        </w:rPr>
        <w:t>元，车均购置费</w:t>
      </w:r>
      <w:r>
        <w:rPr>
          <w:rFonts w:hint="default" w:ascii="Times New Roman" w:hAnsi="Times New Roman" w:eastAsia="方正仿宋_GBK" w:cs="Times New Roman"/>
          <w:color w:val="auto"/>
          <w:sz w:val="32"/>
          <w:szCs w:val="32"/>
          <w:lang w:val="en-US" w:eastAsia="zh-CN"/>
        </w:rPr>
        <w:t>0.00</w:t>
      </w:r>
      <w:r>
        <w:rPr>
          <w:rFonts w:hint="eastAsia" w:ascii="Times New Roman" w:hAnsi="Times New Roman" w:eastAsia="方正仿宋_GBK" w:cs="Times New Roman"/>
          <w:color w:val="auto"/>
          <w:sz w:val="32"/>
          <w:szCs w:val="32"/>
          <w:lang w:val="en-US" w:eastAsia="zh-CN"/>
        </w:rPr>
        <w:t>万元，车均维护费0.13万元。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default" w:ascii="黑体" w:hAnsi="黑体" w:eastAsia="黑体" w:cs="黑体"/>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 xml:space="preserve"> （一）财政拨款会议费和培训费情况说明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color w:val="auto"/>
          <w:sz w:val="32"/>
          <w:szCs w:val="32"/>
          <w:lang w:val="en-US" w:eastAsia="zh-CN" w:bidi="ar-SA"/>
        </w:rPr>
        <w:t xml:space="preserve"> 本年度会议费支出0.00万元，较上年决算数无增减，主要原因是未产生会议费用。本年度培训费支出0.17万元，</w:t>
      </w:r>
      <w:r>
        <w:rPr>
          <w:rFonts w:hint="eastAsia" w:ascii="Times New Roman" w:hAnsi="Times New Roman" w:eastAsia="方正仿宋_GBK" w:cs="Times New Roman"/>
          <w:color w:val="auto"/>
          <w:sz w:val="32"/>
          <w:szCs w:val="32"/>
          <w:lang w:val="en-US" w:eastAsia="zh-CN" w:bidi="ar-SA"/>
        </w:rPr>
        <w:t>与</w:t>
      </w:r>
      <w:r>
        <w:rPr>
          <w:rFonts w:hint="default" w:ascii="Times New Roman" w:hAnsi="Times New Roman" w:eastAsia="方正仿宋_GBK" w:cs="Times New Roman"/>
          <w:color w:val="auto"/>
          <w:sz w:val="32"/>
          <w:szCs w:val="32"/>
          <w:lang w:val="en-US" w:eastAsia="zh-CN" w:bidi="ar-SA"/>
        </w:rPr>
        <w:t>上年决算数</w:t>
      </w:r>
      <w:r>
        <w:rPr>
          <w:rFonts w:hint="eastAsia" w:ascii="Times New Roman" w:hAnsi="Times New Roman" w:eastAsia="方正仿宋_GBK" w:cs="Times New Roman"/>
          <w:color w:val="auto"/>
          <w:sz w:val="32"/>
          <w:szCs w:val="32"/>
          <w:lang w:val="en-US" w:eastAsia="zh-CN" w:bidi="ar-SA"/>
        </w:rPr>
        <w:t>持平</w:t>
      </w:r>
      <w:r>
        <w:rPr>
          <w:rFonts w:hint="default" w:ascii="Times New Roman" w:hAnsi="Times New Roman" w:eastAsia="方正仿宋_GBK" w:cs="Times New Roman"/>
          <w:color w:val="auto"/>
          <w:sz w:val="32"/>
          <w:szCs w:val="32"/>
          <w:lang w:val="en-US" w:eastAsia="zh-CN" w:bidi="ar-SA"/>
        </w:rPr>
        <w:t>，增长</w:t>
      </w:r>
      <w:r>
        <w:rPr>
          <w:rFonts w:hint="eastAsia" w:ascii="Times New Roman" w:hAnsi="Times New Roman" w:eastAsia="方正仿宋_GBK" w:cs="Times New Roman"/>
          <w:color w:val="auto"/>
          <w:sz w:val="32"/>
          <w:szCs w:val="32"/>
          <w:lang w:val="en-US" w:eastAsia="zh-CN" w:bidi="ar-SA"/>
        </w:rPr>
        <w:t>0</w:t>
      </w:r>
      <w:r>
        <w:rPr>
          <w:rFonts w:hint="default" w:ascii="Times New Roman" w:hAnsi="Times New Roman" w:eastAsia="方正仿宋_GBK" w:cs="Times New Roman"/>
          <w:color w:val="auto"/>
          <w:sz w:val="32"/>
          <w:szCs w:val="32"/>
          <w:lang w:val="en-US" w:eastAsia="zh-CN" w:bidi="ar-SA"/>
        </w:rPr>
        <w:t>.0%</w:t>
      </w:r>
      <w:r>
        <w:rPr>
          <w:rFonts w:hint="eastAsia" w:ascii="Times New Roman" w:hAnsi="Times New Roman" w:eastAsia="方正仿宋_GBK" w:cs="Times New Roman"/>
          <w:color w:val="auto"/>
          <w:sz w:val="32"/>
          <w:szCs w:val="32"/>
          <w:lang w:val="en-US" w:eastAsia="zh-CN" w:bidi="ar-SA"/>
        </w:rPr>
        <w:t>。</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按照部门决算列报口径，我单位不在机关运行经费统计范围之内。</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3"/>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bidi="ar-SA"/>
        </w:rPr>
        <w:t>  截至</w:t>
      </w:r>
      <w:r>
        <w:rPr>
          <w:rFonts w:hint="eastAsia" w:ascii="Times New Roman" w:hAnsi="Times New Roman" w:eastAsia="方正仿宋_GBK" w:cs="Times New Roman"/>
          <w:color w:val="auto"/>
          <w:sz w:val="32"/>
          <w:szCs w:val="32"/>
          <w:lang w:val="en-US" w:eastAsia="zh-CN" w:bidi="ar-SA"/>
        </w:rPr>
        <w:t>2024</w:t>
      </w:r>
      <w:r>
        <w:rPr>
          <w:rFonts w:hint="default" w:ascii="Times New Roman" w:hAnsi="Times New Roman" w:eastAsia="方正仿宋_GBK" w:cs="Times New Roman"/>
          <w:color w:val="auto"/>
          <w:sz w:val="32"/>
          <w:szCs w:val="32"/>
          <w:lang w:val="en-US" w:eastAsia="zh-CN" w:bidi="ar-SA"/>
        </w:rPr>
        <w:t>年12月31日，本单位共有车辆10辆，其中，副部（省）级及以上领导用车0辆、主要负责人用车0辆、机要通信用车0辆、应急保障用车10辆、执法执勤用车0辆，特种专业技术用车0辆，离退休干部用车0辆。单价100</w:t>
      </w:r>
      <w:r>
        <w:rPr>
          <w:rFonts w:hint="eastAsia" w:ascii="Times New Roman" w:hAnsi="Times New Roman" w:eastAsia="方正仿宋_GBK" w:cs="Times New Roman"/>
          <w:color w:val="auto"/>
          <w:sz w:val="32"/>
          <w:szCs w:val="32"/>
          <w:lang w:val="en-US" w:eastAsia="zh-CN" w:bidi="ar-SA"/>
        </w:rPr>
        <w:t>.00</w:t>
      </w:r>
      <w:r>
        <w:rPr>
          <w:rFonts w:hint="default" w:ascii="Times New Roman" w:hAnsi="Times New Roman" w:eastAsia="方正仿宋_GBK" w:cs="Times New Roman"/>
          <w:color w:val="auto"/>
          <w:sz w:val="32"/>
          <w:szCs w:val="32"/>
          <w:lang w:val="en-US" w:eastAsia="zh-CN" w:bidi="ar-SA"/>
        </w:rPr>
        <w:t>万元（含）以上专用设备0台（套）。</w:t>
      </w:r>
    </w:p>
    <w:p>
      <w:pPr>
        <w:pStyle w:val="17"/>
        <w:keepNext w:val="0"/>
        <w:keepLines w:val="0"/>
        <w:pageBreakBefore w:val="0"/>
        <w:widowControl/>
        <w:numPr>
          <w:ilvl w:val="0"/>
          <w:numId w:val="2"/>
        </w:numPr>
        <w:kinsoku/>
        <w:wordWrap/>
        <w:overflowPunct/>
        <w:topLinePunct w:val="0"/>
        <w:autoSpaceDE w:val="0"/>
        <w:autoSpaceDN/>
        <w:bidi w:val="0"/>
        <w:adjustRightInd/>
        <w:spacing w:beforeAutospacing="0" w:afterAutospacing="0" w:line="560" w:lineRule="exact"/>
        <w:ind w:firstLine="643"/>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政府采购支出情况说明</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auto"/>
          <w:sz w:val="32"/>
          <w:szCs w:val="32"/>
          <w:lang w:val="en-US" w:eastAsia="zh-CN" w:bidi="ar-SA"/>
        </w:rPr>
        <w:t>202</w:t>
      </w:r>
      <w:r>
        <w:rPr>
          <w:rFonts w:hint="eastAsia" w:ascii="Times New Roman" w:hAnsi="Times New Roman" w:eastAsia="方正仿宋_GBK" w:cs="Times New Roman"/>
          <w:color w:val="auto"/>
          <w:sz w:val="32"/>
          <w:szCs w:val="32"/>
          <w:lang w:val="en-US" w:eastAsia="zh-CN" w:bidi="ar-SA"/>
        </w:rPr>
        <w:t>4</w:t>
      </w:r>
      <w:r>
        <w:rPr>
          <w:rFonts w:hint="default" w:ascii="Times New Roman" w:hAnsi="Times New Roman" w:eastAsia="方正仿宋_GBK" w:cs="Times New Roman"/>
          <w:color w:val="auto"/>
          <w:sz w:val="32"/>
          <w:szCs w:val="32"/>
          <w:lang w:val="en-US" w:eastAsia="zh-CN" w:bidi="ar-SA"/>
        </w:rPr>
        <w:t>年度我单位未发生政府采购事项，</w:t>
      </w:r>
      <w:r>
        <w:rPr>
          <w:rFonts w:hint="default" w:ascii="Times New Roman" w:hAnsi="Times New Roman" w:eastAsia="方正仿宋_GBK" w:cs="Times New Roman"/>
          <w:sz w:val="32"/>
          <w:szCs w:val="32"/>
          <w:shd w:val="clear" w:color="auto" w:fill="FFFFFF"/>
        </w:rPr>
        <w:t>无相关经费支出。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2"/>
          <w:rFonts w:hint="eastAsia" w:ascii="方正黑体_GBK" w:hAnsi="方正黑体_GBK" w:eastAsia="方正黑体_GBK" w:cs="方正黑体_GBK"/>
          <w:b w:val="0"/>
          <w:bCs/>
          <w:sz w:val="32"/>
          <w:szCs w:val="32"/>
          <w:shd w:val="clear" w:color="auto" w:fill="FFFFFF"/>
          <w:lang w:val="en-US" w:eastAsia="zh-CN" w:bidi="ar-SA"/>
        </w:rPr>
      </w:pPr>
      <w:r>
        <w:rPr>
          <w:rStyle w:val="12"/>
          <w:rFonts w:hint="eastAsia" w:ascii="方正黑体_GBK" w:hAnsi="方正黑体_GBK" w:eastAsia="方正黑体_GBK" w:cs="方正黑体_GBK"/>
          <w:b w:val="0"/>
          <w:bCs/>
          <w:sz w:val="32"/>
          <w:szCs w:val="32"/>
          <w:shd w:val="clear" w:color="auto" w:fill="FFFFFF"/>
          <w:lang w:val="en-US" w:eastAsia="zh-CN" w:bidi="ar-SA"/>
        </w:rPr>
        <w:t>五、</w:t>
      </w:r>
      <w:r>
        <w:rPr>
          <w:rFonts w:hint="eastAsia" w:ascii="Times New Roman" w:hAnsi="Times New Roman" w:eastAsia="方正仿宋_GBK" w:cs="Times New Roman"/>
          <w:color w:val="auto"/>
          <w:sz w:val="32"/>
          <w:szCs w:val="32"/>
          <w:lang w:val="en-US" w:eastAsia="zh-CN" w:bidi="ar-SA"/>
        </w:rPr>
        <w:t>2024</w:t>
      </w:r>
      <w:r>
        <w:rPr>
          <w:rStyle w:val="12"/>
          <w:rFonts w:hint="eastAsia" w:ascii="方正黑体_GBK" w:hAnsi="方正黑体_GBK" w:eastAsia="方正黑体_GBK" w:cs="方正黑体_GBK"/>
          <w:b w:val="0"/>
          <w:bCs/>
          <w:sz w:val="32"/>
          <w:szCs w:val="32"/>
          <w:shd w:val="clear" w:color="auto" w:fill="FFFFFF"/>
          <w:lang w:val="en-US" w:eastAsia="zh-CN" w:bidi="ar-SA"/>
        </w:rPr>
        <w:t>年度预算</w:t>
      </w:r>
      <w:bookmarkStart w:id="0" w:name="_GoBack"/>
      <w:bookmarkEnd w:id="0"/>
      <w:r>
        <w:rPr>
          <w:rStyle w:val="12"/>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7"/>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楷体_GBK" w:cs="Times New Roman"/>
          <w:b w:val="0"/>
          <w:bCs w:val="0"/>
          <w:sz w:val="32"/>
          <w:szCs w:val="32"/>
          <w:shd w:val="clear" w:color="auto" w:fill="FFFFFF"/>
        </w:rPr>
      </w:pPr>
      <w:r>
        <w:rPr>
          <w:rFonts w:hint="eastAsia" w:ascii="Times New Roman" w:hAnsi="Times New Roman" w:eastAsia="方正楷体_GBK" w:cs="Times New Roman"/>
          <w:b w:val="0"/>
          <w:bCs w:val="0"/>
          <w:sz w:val="32"/>
          <w:szCs w:val="32"/>
          <w:shd w:val="clear" w:color="auto" w:fill="FFFFFF"/>
        </w:rPr>
        <w:t>（一）单位自评情况</w:t>
      </w:r>
    </w:p>
    <w:p>
      <w:pPr>
        <w:pStyle w:val="18"/>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sz w:val="32"/>
          <w:szCs w:val="32"/>
          <w:shd w:val="clear" w:color="auto" w:fill="FFFFFF"/>
        </w:rPr>
        <w:t>根据预算绩效管理要求，我</w:t>
      </w:r>
      <w:r>
        <w:rPr>
          <w:rFonts w:hint="default" w:ascii="Times New Roman" w:hAnsi="Times New Roman" w:eastAsia="方正仿宋_GBK" w:cs="Times New Roman"/>
          <w:color w:val="auto"/>
          <w:sz w:val="32"/>
          <w:szCs w:val="32"/>
          <w:lang w:val="en-US" w:eastAsia="zh-CN" w:bidi="ar-SA"/>
        </w:rPr>
        <w:t>单位对</w:t>
      </w:r>
      <w:r>
        <w:rPr>
          <w:rFonts w:hint="eastAsia" w:ascii="Times New Roman" w:hAnsi="Times New Roman" w:eastAsia="方正仿宋_GBK" w:cs="Times New Roman"/>
          <w:color w:val="auto"/>
          <w:sz w:val="32"/>
          <w:szCs w:val="32"/>
          <w:lang w:val="en-US" w:eastAsia="zh-CN" w:bidi="ar-SA"/>
        </w:rPr>
        <w:t>部门</w:t>
      </w:r>
      <w:r>
        <w:rPr>
          <w:rFonts w:hint="default" w:ascii="Times New Roman" w:hAnsi="Times New Roman" w:eastAsia="方正仿宋_GBK" w:cs="Times New Roman"/>
          <w:color w:val="auto"/>
          <w:sz w:val="32"/>
          <w:szCs w:val="32"/>
          <w:lang w:val="en-US" w:eastAsia="zh-CN" w:bidi="ar-SA"/>
        </w:rPr>
        <w:t>整体和</w:t>
      </w:r>
      <w:r>
        <w:rPr>
          <w:rFonts w:hint="eastAsia" w:ascii="Times New Roman" w:hAnsi="Times New Roman" w:eastAsia="方正仿宋_GBK" w:cs="Times New Roman"/>
          <w:color w:val="auto"/>
          <w:sz w:val="32"/>
          <w:szCs w:val="32"/>
          <w:lang w:val="en-US" w:eastAsia="zh-CN" w:bidi="ar-SA"/>
        </w:rPr>
        <w:t>6</w:t>
      </w:r>
      <w:r>
        <w:rPr>
          <w:rFonts w:hint="default" w:ascii="Times New Roman" w:hAnsi="Times New Roman" w:eastAsia="方正仿宋_GBK" w:cs="Times New Roman"/>
          <w:color w:val="auto"/>
          <w:sz w:val="32"/>
          <w:szCs w:val="32"/>
          <w:lang w:val="en-US" w:eastAsia="zh-CN" w:bidi="ar-SA"/>
        </w:rPr>
        <w:t>个二级项目开展了绩效自评，涉及财政拨款项目支出资金</w:t>
      </w:r>
      <w:r>
        <w:rPr>
          <w:rFonts w:hint="eastAsia" w:ascii="Times New Roman" w:hAnsi="Times New Roman" w:eastAsia="方正仿宋_GBK" w:cs="Times New Roman"/>
          <w:color w:val="auto"/>
          <w:sz w:val="32"/>
          <w:szCs w:val="32"/>
          <w:lang w:val="en-US" w:eastAsia="zh-CN" w:bidi="ar-SA"/>
        </w:rPr>
        <w:t>1274.51</w:t>
      </w:r>
      <w:r>
        <w:rPr>
          <w:rFonts w:hint="default" w:ascii="Times New Roman" w:hAnsi="Times New Roman" w:eastAsia="方正仿宋_GBK" w:cs="Times New Roman"/>
          <w:color w:val="auto"/>
          <w:sz w:val="32"/>
          <w:szCs w:val="32"/>
          <w:lang w:val="en-US" w:eastAsia="zh-CN" w:bidi="ar-SA"/>
        </w:rPr>
        <w:t>万元，其中部门整体绩效自评和部分项目支出绩效自评情况如下所示</w:t>
      </w:r>
      <w:r>
        <w:rPr>
          <w:rFonts w:hint="eastAsia" w:ascii="Times New Roman" w:hAnsi="Times New Roman" w:eastAsia="方正仿宋_GBK" w:cs="Times New Roman"/>
          <w:color w:val="auto"/>
          <w:sz w:val="32"/>
          <w:szCs w:val="32"/>
          <w:lang w:val="en-US" w:eastAsia="zh-CN" w:bidi="ar-SA"/>
        </w:rPr>
        <w:t>。</w:t>
      </w:r>
    </w:p>
    <w:tbl>
      <w:tblPr>
        <w:tblStyle w:val="13"/>
        <w:tblpPr w:leftFromText="181" w:rightFromText="181" w:vertAnchor="text" w:horzAnchor="page" w:tblpX="1804" w:tblpY="744"/>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5"/>
        <w:gridCol w:w="3"/>
        <w:gridCol w:w="1026"/>
        <w:gridCol w:w="419"/>
        <w:gridCol w:w="204"/>
        <w:gridCol w:w="634"/>
        <w:gridCol w:w="885"/>
        <w:gridCol w:w="696"/>
        <w:gridCol w:w="14"/>
        <w:gridCol w:w="759"/>
        <w:gridCol w:w="184"/>
        <w:gridCol w:w="595"/>
        <w:gridCol w:w="761"/>
        <w:gridCol w:w="57"/>
        <w:gridCol w:w="1102"/>
        <w:gridCol w:w="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33" w:hRule="atLeast"/>
        </w:trPr>
        <w:tc>
          <w:tcPr>
            <w:tcW w:w="8300" w:type="dxa"/>
            <w:gridSpan w:val="16"/>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N/>
              <w:bidi w:val="0"/>
              <w:adjustRightInd/>
              <w:spacing w:line="560" w:lineRule="exact"/>
              <w:jc w:val="both"/>
              <w:textAlignment w:val="center"/>
              <w:rPr>
                <w:rFonts w:hint="default" w:ascii="Times New Roman" w:hAnsi="Times New Roman" w:eastAsia="方正黑体_GBK" w:cs="Times New Roman"/>
                <w:i w:val="0"/>
                <w:color w:val="auto"/>
                <w:kern w:val="0"/>
                <w:sz w:val="28"/>
                <w:szCs w:val="28"/>
                <w:highlight w:val="none"/>
                <w:u w:val="none"/>
                <w:lang w:val="en-US" w:eastAsia="zh-CN" w:bidi="ar"/>
              </w:rPr>
            </w:pPr>
            <w:r>
              <w:rPr>
                <w:rFonts w:hint="default" w:ascii="Times New Roman" w:hAnsi="Times New Roman" w:eastAsia="方正黑体_GBK" w:cs="Times New Roman"/>
                <w:i w:val="0"/>
                <w:color w:val="auto"/>
                <w:kern w:val="0"/>
                <w:sz w:val="28"/>
                <w:szCs w:val="28"/>
                <w:highlight w:val="none"/>
                <w:u w:val="none"/>
                <w:lang w:val="en-US" w:eastAsia="zh-CN" w:bidi="ar"/>
              </w:rPr>
              <w:t>秀山土家族苗族自治县道路运输事务中心</w:t>
            </w:r>
          </w:p>
          <w:p>
            <w:pPr>
              <w:keepNext w:val="0"/>
              <w:keepLines w:val="0"/>
              <w:pageBreakBefore w:val="0"/>
              <w:widowControl/>
              <w:suppressLineNumbers w:val="0"/>
              <w:kinsoku/>
              <w:wordWrap/>
              <w:overflowPunct/>
              <w:topLinePunct w:val="0"/>
              <w:autoSpaceDN/>
              <w:bidi w:val="0"/>
              <w:adjustRightInd/>
              <w:spacing w:line="560" w:lineRule="exact"/>
              <w:jc w:val="both"/>
              <w:textAlignment w:val="center"/>
              <w:rPr>
                <w:rFonts w:hint="default" w:ascii="Times New Roman" w:hAnsi="Times New Roman" w:eastAsia="方正黑体_GBK" w:cs="Times New Roman"/>
                <w:i w:val="0"/>
                <w:color w:val="auto"/>
                <w:sz w:val="28"/>
                <w:szCs w:val="28"/>
                <w:highlight w:val="none"/>
                <w:u w:val="none"/>
              </w:rPr>
            </w:pPr>
            <w:r>
              <w:rPr>
                <w:rFonts w:hint="default" w:ascii="Times New Roman" w:hAnsi="Times New Roman" w:eastAsia="方正黑体_GBK" w:cs="Times New Roman"/>
                <w:i w:val="0"/>
                <w:color w:val="auto"/>
                <w:kern w:val="0"/>
                <w:sz w:val="28"/>
                <w:szCs w:val="28"/>
                <w:highlight w:val="none"/>
                <w:u w:val="none"/>
                <w:lang w:val="en-US" w:eastAsia="zh-CN" w:bidi="ar"/>
              </w:rPr>
              <w:t>202</w:t>
            </w:r>
            <w:r>
              <w:rPr>
                <w:rFonts w:hint="eastAsia" w:ascii="Times New Roman" w:hAnsi="Times New Roman" w:eastAsia="方正黑体_GBK" w:cs="Times New Roman"/>
                <w:i w:val="0"/>
                <w:color w:val="auto"/>
                <w:kern w:val="0"/>
                <w:sz w:val="28"/>
                <w:szCs w:val="28"/>
                <w:highlight w:val="none"/>
                <w:u w:val="none"/>
                <w:lang w:val="en-US" w:eastAsia="zh-CN" w:bidi="ar"/>
              </w:rPr>
              <w:t>4</w:t>
            </w:r>
            <w:r>
              <w:rPr>
                <w:rFonts w:hint="default" w:ascii="Times New Roman" w:hAnsi="Times New Roman" w:eastAsia="方正黑体_GBK" w:cs="Times New Roman"/>
                <w:i w:val="0"/>
                <w:color w:val="auto"/>
                <w:kern w:val="0"/>
                <w:sz w:val="28"/>
                <w:szCs w:val="28"/>
                <w:highlight w:val="none"/>
                <w:u w:val="none"/>
                <w:lang w:val="en-US" w:eastAsia="zh-CN" w:bidi="ar"/>
              </w:rPr>
              <w:t>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60" w:hRule="atLeast"/>
        </w:trPr>
        <w:tc>
          <w:tcPr>
            <w:tcW w:w="5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主管部门</w:t>
            </w:r>
          </w:p>
        </w:tc>
        <w:tc>
          <w:tcPr>
            <w:tcW w:w="10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220-县交通运输委</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部门编码</w:t>
            </w: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220012</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自评总分（分）</w:t>
            </w:r>
          </w:p>
        </w:tc>
        <w:tc>
          <w:tcPr>
            <w:tcW w:w="453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2" w:hRule="atLeast"/>
        </w:trPr>
        <w:tc>
          <w:tcPr>
            <w:tcW w:w="5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部门联系人</w:t>
            </w:r>
          </w:p>
        </w:tc>
        <w:tc>
          <w:tcPr>
            <w:tcW w:w="2286"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程梦静</w:t>
            </w: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联系人电话</w:t>
            </w:r>
          </w:p>
        </w:tc>
        <w:tc>
          <w:tcPr>
            <w:tcW w:w="4534"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15340311690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2"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年初预算数</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全年（调整）预算数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全年执行数</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执行率</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执行率</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权重</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执行率得分</w:t>
            </w:r>
            <w:r>
              <w:rPr>
                <w:rFonts w:hint="default" w:ascii="Times New Roman" w:hAnsi="Times New Roman" w:eastAsia="方正仿宋_GBK" w:cs="Times New Roman"/>
                <w:i w:val="0"/>
                <w:color w:val="auto"/>
                <w:kern w:val="0"/>
                <w:sz w:val="24"/>
                <w:szCs w:val="24"/>
                <w:highlight w:val="none"/>
                <w:u w:val="none"/>
                <w:lang w:val="en-US" w:eastAsia="zh-CN" w:bidi="ar"/>
              </w:rPr>
              <w:br w:type="textWrapping"/>
            </w:r>
            <w:r>
              <w:rPr>
                <w:rFonts w:hint="default" w:ascii="Times New Roman" w:hAnsi="Times New Roman" w:eastAsia="方正仿宋_GBK" w:cs="Times New Roman"/>
                <w:i w:val="0"/>
                <w:color w:val="auto"/>
                <w:kern w:val="0"/>
                <w:sz w:val="24"/>
                <w:szCs w:val="24"/>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2"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年度总金额</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sz w:val="24"/>
                <w:szCs w:val="24"/>
                <w:highlight w:val="none"/>
                <w:u w:val="none"/>
              </w:rPr>
              <w:t>1</w:t>
            </w:r>
            <w:r>
              <w:rPr>
                <w:rFonts w:hint="eastAsia" w:ascii="Times New Roman" w:hAnsi="Times New Roman" w:eastAsia="方正仿宋_GBK" w:cs="Times New Roman"/>
                <w:i w:val="0"/>
                <w:color w:val="auto"/>
                <w:sz w:val="24"/>
                <w:szCs w:val="24"/>
                <w:highlight w:val="none"/>
                <w:u w:val="none"/>
                <w:lang w:val="en-US" w:eastAsia="zh-CN"/>
              </w:rPr>
              <w:t>178.94</w:t>
            </w:r>
            <w:r>
              <w:rPr>
                <w:rFonts w:hint="default" w:ascii="Times New Roman" w:hAnsi="Times New Roman" w:eastAsia="方正仿宋_GBK" w:cs="Times New Roman"/>
                <w:i w:val="0"/>
                <w:color w:val="auto"/>
                <w:sz w:val="24"/>
                <w:szCs w:val="24"/>
                <w:highlight w:val="none"/>
                <w:u w:val="none"/>
              </w:rPr>
              <w:t>万元</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eastAsia="zh-CN"/>
              </w:rPr>
            </w:pPr>
            <w:r>
              <w:rPr>
                <w:rFonts w:hint="eastAsia" w:ascii="Times New Roman" w:hAnsi="Times New Roman" w:eastAsia="方正仿宋_GBK" w:cs="Times New Roman"/>
                <w:i w:val="0"/>
                <w:color w:val="auto"/>
                <w:sz w:val="24"/>
                <w:szCs w:val="24"/>
                <w:highlight w:val="none"/>
                <w:u w:val="none"/>
                <w:lang w:val="en-US" w:eastAsia="zh-CN"/>
              </w:rPr>
              <w:t>1274.51</w:t>
            </w:r>
            <w:r>
              <w:rPr>
                <w:rFonts w:hint="default" w:ascii="Times New Roman" w:hAnsi="Times New Roman" w:eastAsia="方正仿宋_GBK" w:cs="Times New Roman"/>
                <w:i w:val="0"/>
                <w:color w:val="auto"/>
                <w:sz w:val="24"/>
                <w:szCs w:val="24"/>
                <w:highlight w:val="none"/>
                <w:u w:val="none"/>
                <w:lang w:val="en-US" w:eastAsia="zh-CN"/>
              </w:rPr>
              <w:t xml:space="preserve">万元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eastAsia="zh-CN"/>
              </w:rPr>
            </w:pPr>
            <w:r>
              <w:rPr>
                <w:rFonts w:hint="eastAsia" w:ascii="Times New Roman" w:hAnsi="Times New Roman" w:eastAsia="方正仿宋_GBK" w:cs="Times New Roman"/>
                <w:i w:val="0"/>
                <w:color w:val="auto"/>
                <w:sz w:val="24"/>
                <w:szCs w:val="24"/>
                <w:highlight w:val="none"/>
                <w:u w:val="none"/>
                <w:lang w:val="en-US" w:eastAsia="zh-CN"/>
              </w:rPr>
              <w:t>1274.51</w:t>
            </w:r>
            <w:r>
              <w:rPr>
                <w:rFonts w:hint="default" w:ascii="Times New Roman" w:hAnsi="Times New Roman" w:eastAsia="方正仿宋_GBK" w:cs="Times New Roman"/>
                <w:i w:val="0"/>
                <w:color w:val="auto"/>
                <w:sz w:val="24"/>
                <w:szCs w:val="24"/>
                <w:highlight w:val="none"/>
                <w:u w:val="none"/>
                <w:lang w:val="en-US" w:eastAsia="zh-CN"/>
              </w:rPr>
              <w:t>万元</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lang w:val="en-US" w:eastAsia="zh-CN"/>
              </w:rPr>
            </w:pPr>
            <w:r>
              <w:rPr>
                <w:rFonts w:hint="default" w:ascii="Times New Roman" w:hAnsi="Times New Roman" w:eastAsia="方正仿宋_GBK" w:cs="Times New Roman"/>
                <w:i w:val="0"/>
                <w:color w:val="auto"/>
                <w:sz w:val="24"/>
                <w:szCs w:val="24"/>
                <w:highlight w:val="none"/>
                <w:u w:val="none"/>
                <w:lang w:val="en-US" w:eastAsia="zh-CN"/>
              </w:rPr>
              <w:t>100</w:t>
            </w: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lang w:val="en-US"/>
              </w:rPr>
            </w:pPr>
            <w:r>
              <w:rPr>
                <w:rFonts w:hint="default" w:ascii="Times New Roman" w:hAnsi="Times New Roman" w:eastAsia="方正仿宋_GBK" w:cs="Times New Roman"/>
                <w:i w:val="0"/>
                <w:color w:val="auto"/>
                <w:sz w:val="24"/>
                <w:szCs w:val="24"/>
                <w:highlight w:val="none"/>
                <w:u w:val="none"/>
                <w:lang w:val="en-US" w:eastAsia="zh-CN"/>
              </w:rPr>
              <w:t>10.00</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lang w:val="en-US"/>
              </w:rPr>
            </w:pPr>
            <w:r>
              <w:rPr>
                <w:rFonts w:hint="default" w:ascii="Times New Roman" w:hAnsi="Times New Roman" w:eastAsia="方正仿宋_GBK" w:cs="Times New Roman"/>
                <w:i w:val="0"/>
                <w:color w:val="auto"/>
                <w:sz w:val="24"/>
                <w:szCs w:val="24"/>
                <w:highlight w:val="none"/>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60"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其中：财政拨款</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eastAsia="zh-CN" w:bidi="ar-SA"/>
              </w:rPr>
            </w:pPr>
            <w:r>
              <w:rPr>
                <w:rFonts w:hint="default" w:ascii="Times New Roman" w:hAnsi="Times New Roman" w:eastAsia="方正仿宋_GBK" w:cs="Times New Roman"/>
                <w:i w:val="0"/>
                <w:color w:val="auto"/>
                <w:sz w:val="24"/>
                <w:szCs w:val="24"/>
                <w:highlight w:val="none"/>
                <w:u w:val="none"/>
              </w:rPr>
              <w:t>1</w:t>
            </w:r>
            <w:r>
              <w:rPr>
                <w:rFonts w:hint="eastAsia" w:ascii="Times New Roman" w:hAnsi="Times New Roman" w:eastAsia="方正仿宋_GBK" w:cs="Times New Roman"/>
                <w:i w:val="0"/>
                <w:color w:val="auto"/>
                <w:sz w:val="24"/>
                <w:szCs w:val="24"/>
                <w:highlight w:val="none"/>
                <w:u w:val="none"/>
                <w:lang w:val="en-US" w:eastAsia="zh-CN"/>
              </w:rPr>
              <w:t>178.94</w:t>
            </w:r>
            <w:r>
              <w:rPr>
                <w:rFonts w:hint="default" w:ascii="Times New Roman" w:hAnsi="Times New Roman" w:eastAsia="方正仿宋_GBK" w:cs="Times New Roman"/>
                <w:i w:val="0"/>
                <w:color w:val="auto"/>
                <w:sz w:val="24"/>
                <w:szCs w:val="24"/>
                <w:highlight w:val="none"/>
                <w:u w:val="none"/>
              </w:rPr>
              <w:t>万元</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eastAsia="zh-CN"/>
              </w:rPr>
            </w:pPr>
            <w:r>
              <w:rPr>
                <w:rFonts w:hint="eastAsia" w:ascii="Times New Roman" w:hAnsi="Times New Roman" w:eastAsia="方正仿宋_GBK" w:cs="Times New Roman"/>
                <w:i w:val="0"/>
                <w:color w:val="auto"/>
                <w:sz w:val="24"/>
                <w:szCs w:val="24"/>
                <w:highlight w:val="none"/>
                <w:u w:val="none"/>
                <w:lang w:val="en-US" w:eastAsia="zh-CN"/>
              </w:rPr>
              <w:t>1274.51</w:t>
            </w:r>
            <w:r>
              <w:rPr>
                <w:rFonts w:hint="default" w:ascii="Times New Roman" w:hAnsi="Times New Roman" w:eastAsia="方正仿宋_GBK" w:cs="Times New Roman"/>
                <w:i w:val="0"/>
                <w:color w:val="auto"/>
                <w:sz w:val="24"/>
                <w:szCs w:val="24"/>
                <w:highlight w:val="none"/>
                <w:u w:val="none"/>
                <w:lang w:val="en-US" w:eastAsia="zh-CN"/>
              </w:rPr>
              <w:t xml:space="preserve">万元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eastAsia="zh-CN"/>
              </w:rPr>
            </w:pPr>
            <w:r>
              <w:rPr>
                <w:rFonts w:hint="eastAsia" w:ascii="Times New Roman" w:hAnsi="Times New Roman" w:eastAsia="方正仿宋_GBK" w:cs="Times New Roman"/>
                <w:i w:val="0"/>
                <w:color w:val="auto"/>
                <w:sz w:val="24"/>
                <w:szCs w:val="24"/>
                <w:highlight w:val="none"/>
                <w:u w:val="none"/>
                <w:lang w:val="en-US" w:eastAsia="zh-CN"/>
              </w:rPr>
              <w:t>1274.51</w:t>
            </w:r>
            <w:r>
              <w:rPr>
                <w:rFonts w:hint="default" w:ascii="Times New Roman" w:hAnsi="Times New Roman" w:eastAsia="方正仿宋_GBK" w:cs="Times New Roman"/>
                <w:i w:val="0"/>
                <w:color w:val="auto"/>
                <w:sz w:val="24"/>
                <w:szCs w:val="24"/>
                <w:highlight w:val="none"/>
                <w:u w:val="none"/>
                <w:lang w:val="en-US" w:eastAsia="zh-CN"/>
              </w:rPr>
              <w:t>万元</w:t>
            </w:r>
          </w:p>
        </w:tc>
        <w:tc>
          <w:tcPr>
            <w:tcW w:w="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sz w:val="24"/>
                <w:szCs w:val="24"/>
                <w:highlight w:val="none"/>
                <w:u w:val="none"/>
                <w:lang w:val="en-US" w:eastAsia="zh-CN"/>
              </w:rPr>
              <w:t>100</w:t>
            </w: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rPr>
            </w:pPr>
            <w:r>
              <w:rPr>
                <w:rFonts w:hint="default" w:ascii="Times New Roman" w:hAnsi="Times New Roman" w:eastAsia="方正仿宋_GBK" w:cs="Times New Roman"/>
                <w:i w:val="0"/>
                <w:color w:val="auto"/>
                <w:sz w:val="24"/>
                <w:szCs w:val="24"/>
                <w:highlight w:val="none"/>
                <w:u w:val="none"/>
                <w:lang w:val="en-US" w:eastAsia="zh-CN"/>
              </w:rPr>
              <w:t>10.00</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rPr>
            </w:pPr>
            <w:r>
              <w:rPr>
                <w:rFonts w:hint="default" w:ascii="Times New Roman" w:hAnsi="Times New Roman" w:eastAsia="方正仿宋_GBK" w:cs="Times New Roman"/>
                <w:i w:val="0"/>
                <w:color w:val="auto"/>
                <w:sz w:val="24"/>
                <w:szCs w:val="24"/>
                <w:highlight w:val="none"/>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6"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一般公共预算</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eastAsia="zh-CN" w:bidi="ar-SA"/>
              </w:rPr>
            </w:pPr>
            <w:r>
              <w:rPr>
                <w:rFonts w:hint="default" w:ascii="Times New Roman" w:hAnsi="Times New Roman" w:eastAsia="方正仿宋_GBK" w:cs="Times New Roman"/>
                <w:i w:val="0"/>
                <w:color w:val="auto"/>
                <w:sz w:val="24"/>
                <w:szCs w:val="24"/>
                <w:highlight w:val="none"/>
                <w:u w:val="none"/>
              </w:rPr>
              <w:t>1</w:t>
            </w:r>
            <w:r>
              <w:rPr>
                <w:rFonts w:hint="eastAsia" w:ascii="Times New Roman" w:hAnsi="Times New Roman" w:eastAsia="方正仿宋_GBK" w:cs="Times New Roman"/>
                <w:i w:val="0"/>
                <w:color w:val="auto"/>
                <w:sz w:val="24"/>
                <w:szCs w:val="24"/>
                <w:highlight w:val="none"/>
                <w:u w:val="none"/>
                <w:lang w:val="en-US" w:eastAsia="zh-CN"/>
              </w:rPr>
              <w:t>178.94</w:t>
            </w:r>
            <w:r>
              <w:rPr>
                <w:rFonts w:hint="default" w:ascii="Times New Roman" w:hAnsi="Times New Roman" w:eastAsia="方正仿宋_GBK" w:cs="Times New Roman"/>
                <w:i w:val="0"/>
                <w:color w:val="auto"/>
                <w:sz w:val="24"/>
                <w:szCs w:val="24"/>
                <w:highlight w:val="none"/>
                <w:u w:val="none"/>
              </w:rPr>
              <w:t>万元</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eastAsia="zh-CN"/>
              </w:rPr>
            </w:pPr>
            <w:r>
              <w:rPr>
                <w:rFonts w:hint="eastAsia" w:ascii="Times New Roman" w:hAnsi="Times New Roman" w:eastAsia="方正仿宋_GBK" w:cs="Times New Roman"/>
                <w:i w:val="0"/>
                <w:color w:val="auto"/>
                <w:sz w:val="24"/>
                <w:szCs w:val="24"/>
                <w:highlight w:val="none"/>
                <w:u w:val="none"/>
                <w:lang w:val="en-US" w:eastAsia="zh-CN"/>
              </w:rPr>
              <w:t>1274.51</w:t>
            </w:r>
            <w:r>
              <w:rPr>
                <w:rFonts w:hint="default" w:ascii="Times New Roman" w:hAnsi="Times New Roman" w:eastAsia="方正仿宋_GBK" w:cs="Times New Roman"/>
                <w:i w:val="0"/>
                <w:color w:val="auto"/>
                <w:sz w:val="24"/>
                <w:szCs w:val="24"/>
                <w:highlight w:val="none"/>
                <w:u w:val="none"/>
                <w:lang w:val="en-US" w:eastAsia="zh-CN"/>
              </w:rPr>
              <w:t xml:space="preserve">万元 </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lang w:val="en-US" w:eastAsia="zh-CN"/>
              </w:rPr>
            </w:pPr>
            <w:r>
              <w:rPr>
                <w:rFonts w:hint="eastAsia" w:ascii="Times New Roman" w:hAnsi="Times New Roman" w:eastAsia="方正仿宋_GBK" w:cs="Times New Roman"/>
                <w:i w:val="0"/>
                <w:color w:val="auto"/>
                <w:sz w:val="24"/>
                <w:szCs w:val="24"/>
                <w:highlight w:val="none"/>
                <w:u w:val="none"/>
                <w:lang w:val="en-US" w:eastAsia="zh-CN"/>
              </w:rPr>
              <w:t>1274.51</w:t>
            </w:r>
            <w:r>
              <w:rPr>
                <w:rFonts w:hint="default" w:ascii="Times New Roman" w:hAnsi="Times New Roman" w:eastAsia="方正仿宋_GBK" w:cs="Times New Roman"/>
                <w:i w:val="0"/>
                <w:color w:val="auto"/>
                <w:sz w:val="24"/>
                <w:szCs w:val="24"/>
                <w:highlight w:val="none"/>
                <w:u w:val="none"/>
                <w:lang w:val="en-US" w:eastAsia="zh-CN"/>
              </w:rPr>
              <w:t>万元</w:t>
            </w:r>
          </w:p>
        </w:tc>
        <w:tc>
          <w:tcPr>
            <w:tcW w:w="71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sz w:val="24"/>
                <w:szCs w:val="24"/>
                <w:highlight w:val="none"/>
                <w:u w:val="none"/>
                <w:lang w:val="en-US" w:eastAsia="zh-CN"/>
              </w:rPr>
              <w:t>100</w:t>
            </w:r>
          </w:p>
        </w:tc>
        <w:tc>
          <w:tcPr>
            <w:tcW w:w="2299"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lang w:val="en-US"/>
              </w:rPr>
            </w:pPr>
            <w:r>
              <w:rPr>
                <w:rFonts w:hint="default" w:ascii="Times New Roman" w:hAnsi="Times New Roman" w:eastAsia="方正仿宋_GBK" w:cs="Times New Roman"/>
                <w:i w:val="0"/>
                <w:color w:val="auto"/>
                <w:sz w:val="24"/>
                <w:szCs w:val="24"/>
                <w:highlight w:val="none"/>
                <w:u w:val="none"/>
                <w:lang w:val="en-US" w:eastAsia="zh-CN"/>
              </w:rPr>
              <w:t>10.00</w:t>
            </w:r>
          </w:p>
        </w:tc>
        <w:tc>
          <w:tcPr>
            <w:tcW w:w="1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lang w:val="en-US"/>
              </w:rPr>
            </w:pPr>
            <w:r>
              <w:rPr>
                <w:rFonts w:hint="default" w:ascii="Times New Roman" w:hAnsi="Times New Roman" w:eastAsia="方正仿宋_GBK" w:cs="Times New Roman"/>
                <w:i w:val="0"/>
                <w:color w:val="auto"/>
                <w:sz w:val="24"/>
                <w:szCs w:val="24"/>
                <w:highlight w:val="none"/>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8" w:hRule="atLeast"/>
        </w:trPr>
        <w:tc>
          <w:tcPr>
            <w:tcW w:w="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当年绩效目标</w:t>
            </w:r>
          </w:p>
        </w:tc>
        <w:tc>
          <w:tcPr>
            <w:tcW w:w="2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年初绩效目标</w:t>
            </w:r>
          </w:p>
        </w:tc>
        <w:tc>
          <w:tcPr>
            <w:tcW w:w="2538"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全年（调整）绩效目标</w:t>
            </w:r>
          </w:p>
        </w:tc>
        <w:tc>
          <w:tcPr>
            <w:tcW w:w="2881"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64"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22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sz w:val="24"/>
                <w:szCs w:val="24"/>
                <w:highlight w:val="none"/>
                <w:u w:val="none"/>
              </w:rPr>
              <w:t>用于</w:t>
            </w:r>
            <w:r>
              <w:rPr>
                <w:rFonts w:hint="default" w:ascii="Times New Roman" w:hAnsi="Times New Roman" w:eastAsia="方正仿宋_GBK" w:cs="Times New Roman"/>
                <w:i w:val="0"/>
                <w:color w:val="auto"/>
                <w:sz w:val="24"/>
                <w:szCs w:val="24"/>
                <w:highlight w:val="none"/>
                <w:u w:val="none"/>
                <w:lang w:eastAsia="zh-CN"/>
              </w:rPr>
              <w:t>保障单位</w:t>
            </w:r>
            <w:r>
              <w:rPr>
                <w:rFonts w:hint="default" w:ascii="Times New Roman" w:hAnsi="Times New Roman" w:eastAsia="方正仿宋_GBK" w:cs="Times New Roman"/>
                <w:i w:val="0"/>
                <w:color w:val="auto"/>
                <w:sz w:val="24"/>
                <w:szCs w:val="24"/>
                <w:highlight w:val="none"/>
                <w:u w:val="none"/>
              </w:rPr>
              <w:t>正常运转，</w:t>
            </w:r>
            <w:r>
              <w:rPr>
                <w:rFonts w:hint="default" w:ascii="Times New Roman" w:hAnsi="Times New Roman" w:eastAsia="方正仿宋_GBK" w:cs="Times New Roman"/>
                <w:i w:val="0"/>
                <w:color w:val="auto"/>
                <w:sz w:val="24"/>
                <w:szCs w:val="24"/>
                <w:highlight w:val="none"/>
                <w:u w:val="none"/>
                <w:lang w:eastAsia="zh-CN"/>
              </w:rPr>
              <w:t>对我县道路运输行业进行综合性管理</w:t>
            </w:r>
            <w:r>
              <w:rPr>
                <w:rFonts w:hint="default" w:ascii="Times New Roman" w:hAnsi="Times New Roman" w:eastAsia="方正仿宋_GBK" w:cs="Times New Roman"/>
                <w:i w:val="0"/>
                <w:color w:val="auto"/>
                <w:sz w:val="24"/>
                <w:szCs w:val="24"/>
                <w:highlight w:val="none"/>
                <w:u w:val="none"/>
              </w:rPr>
              <w:t>，</w:t>
            </w:r>
            <w:r>
              <w:rPr>
                <w:rFonts w:hint="default" w:ascii="Times New Roman" w:hAnsi="Times New Roman" w:eastAsia="方正仿宋_GBK" w:cs="Times New Roman"/>
                <w:i w:val="0"/>
                <w:color w:val="auto"/>
                <w:sz w:val="24"/>
                <w:szCs w:val="24"/>
                <w:highlight w:val="none"/>
                <w:u w:val="none"/>
                <w:lang w:eastAsia="zh-CN"/>
              </w:rPr>
              <w:t>确保行业安全稳定发展</w:t>
            </w:r>
            <w:r>
              <w:rPr>
                <w:rFonts w:hint="default" w:ascii="Times New Roman" w:hAnsi="Times New Roman" w:eastAsia="方正仿宋_GBK" w:cs="Times New Roman"/>
                <w:i w:val="0"/>
                <w:color w:val="auto"/>
                <w:sz w:val="24"/>
                <w:szCs w:val="24"/>
                <w:highlight w:val="none"/>
                <w:u w:val="none"/>
              </w:rPr>
              <w:t>。</w:t>
            </w:r>
          </w:p>
        </w:tc>
        <w:tc>
          <w:tcPr>
            <w:tcW w:w="2538"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p>
        </w:tc>
        <w:tc>
          <w:tcPr>
            <w:tcW w:w="2881"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sz w:val="24"/>
                <w:szCs w:val="24"/>
                <w:highlight w:val="none"/>
                <w:u w:val="none"/>
              </w:rPr>
              <w:t>用于</w:t>
            </w:r>
            <w:r>
              <w:rPr>
                <w:rFonts w:hint="default" w:ascii="Times New Roman" w:hAnsi="Times New Roman" w:eastAsia="方正仿宋_GBK" w:cs="Times New Roman"/>
                <w:i w:val="0"/>
                <w:color w:val="auto"/>
                <w:sz w:val="24"/>
                <w:szCs w:val="24"/>
                <w:highlight w:val="none"/>
                <w:u w:val="none"/>
                <w:lang w:eastAsia="zh-CN"/>
              </w:rPr>
              <w:t>保障单位</w:t>
            </w:r>
            <w:r>
              <w:rPr>
                <w:rFonts w:hint="default" w:ascii="Times New Roman" w:hAnsi="Times New Roman" w:eastAsia="方正仿宋_GBK" w:cs="Times New Roman"/>
                <w:i w:val="0"/>
                <w:color w:val="auto"/>
                <w:sz w:val="24"/>
                <w:szCs w:val="24"/>
                <w:highlight w:val="none"/>
                <w:u w:val="none"/>
              </w:rPr>
              <w:t>正常运转，</w:t>
            </w:r>
            <w:r>
              <w:rPr>
                <w:rFonts w:hint="default" w:ascii="Times New Roman" w:hAnsi="Times New Roman" w:eastAsia="方正仿宋_GBK" w:cs="Times New Roman"/>
                <w:i w:val="0"/>
                <w:color w:val="auto"/>
                <w:sz w:val="24"/>
                <w:szCs w:val="24"/>
                <w:highlight w:val="none"/>
                <w:u w:val="none"/>
                <w:lang w:eastAsia="zh-CN"/>
              </w:rPr>
              <w:t>对我县道路运输行业进行综合性管理</w:t>
            </w:r>
            <w:r>
              <w:rPr>
                <w:rFonts w:hint="default" w:ascii="Times New Roman" w:hAnsi="Times New Roman" w:eastAsia="方正仿宋_GBK" w:cs="Times New Roman"/>
                <w:i w:val="0"/>
                <w:color w:val="auto"/>
                <w:sz w:val="24"/>
                <w:szCs w:val="24"/>
                <w:highlight w:val="none"/>
                <w:u w:val="none"/>
              </w:rPr>
              <w:t>，</w:t>
            </w:r>
            <w:r>
              <w:rPr>
                <w:rFonts w:hint="default" w:ascii="Times New Roman" w:hAnsi="Times New Roman" w:eastAsia="方正仿宋_GBK" w:cs="Times New Roman"/>
                <w:i w:val="0"/>
                <w:color w:val="auto"/>
                <w:sz w:val="24"/>
                <w:szCs w:val="24"/>
                <w:highlight w:val="none"/>
                <w:u w:val="none"/>
                <w:lang w:eastAsia="zh-CN"/>
              </w:rPr>
              <w:t>确保行业安全稳定发展</w:t>
            </w:r>
            <w:r>
              <w:rPr>
                <w:rFonts w:hint="default" w:ascii="Times New Roman" w:hAnsi="Times New Roman" w:eastAsia="方正仿宋_GBK" w:cs="Times New Roman"/>
                <w:i w:val="0"/>
                <w:color w:val="auto"/>
                <w:sz w:val="24"/>
                <w:szCs w:val="24"/>
                <w:highlight w:val="none"/>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6" w:hRule="atLeast"/>
        </w:trPr>
        <w:tc>
          <w:tcPr>
            <w:tcW w:w="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绩效指标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指标名称</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计量单位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全年完成值</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偏离度（%）</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得分系数（%）</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指标权重（分）</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指标得分（分）</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安全管理</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万元/年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货运车辆管理</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元/年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50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50</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客运车辆管理</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元/年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120</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客运站管理</w:t>
            </w:r>
          </w:p>
        </w:tc>
        <w:tc>
          <w:tcPr>
            <w:tcW w:w="62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万元/年</w:t>
            </w:r>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3</w:t>
            </w:r>
          </w:p>
        </w:tc>
        <w:tc>
          <w:tcPr>
            <w:tcW w:w="6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3</w:t>
            </w:r>
          </w:p>
        </w:tc>
        <w:tc>
          <w:tcPr>
            <w:tcW w:w="77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5</w:t>
            </w: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5</w:t>
            </w:r>
          </w:p>
        </w:tc>
        <w:tc>
          <w:tcPr>
            <w:tcW w:w="3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维修企业管理</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万元/年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市场整治</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万元/年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5</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5</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预决算及时编制率</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预决算按时公开率</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政策知晓率</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90</w:t>
            </w:r>
          </w:p>
        </w:tc>
        <w:tc>
          <w:tcPr>
            <w:tcW w:w="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14</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2" w:hRule="atLeast"/>
        </w:trPr>
        <w:tc>
          <w:tcPr>
            <w:tcW w:w="598"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both"/>
              <w:outlineLvl w:val="9"/>
              <w:rPr>
                <w:rFonts w:hint="default" w:ascii="Times New Roman" w:hAnsi="Times New Roman" w:eastAsia="方正仿宋_GBK" w:cs="Times New Roman"/>
                <w:i w:val="0"/>
                <w:color w:val="auto"/>
                <w:sz w:val="24"/>
                <w:szCs w:val="24"/>
                <w:highlight w:val="none"/>
                <w:u w:val="none"/>
              </w:rPr>
            </w:pPr>
          </w:p>
        </w:tc>
        <w:tc>
          <w:tcPr>
            <w:tcW w:w="10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公众满意度</w:t>
            </w:r>
          </w:p>
        </w:tc>
        <w:tc>
          <w:tcPr>
            <w:tcW w:w="62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90</w:t>
            </w:r>
          </w:p>
        </w:tc>
        <w:tc>
          <w:tcPr>
            <w:tcW w:w="6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90</w:t>
            </w:r>
          </w:p>
        </w:tc>
        <w:tc>
          <w:tcPr>
            <w:tcW w:w="77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0</w:t>
            </w:r>
          </w:p>
        </w:tc>
        <w:tc>
          <w:tcPr>
            <w:tcW w:w="77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81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15</w:t>
            </w: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14</w:t>
            </w:r>
          </w:p>
        </w:tc>
        <w:tc>
          <w:tcPr>
            <w:tcW w:w="36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3" w:hRule="atLeast"/>
        </w:trPr>
        <w:tc>
          <w:tcPr>
            <w:tcW w:w="59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总体说明</w:t>
            </w:r>
          </w:p>
        </w:tc>
        <w:tc>
          <w:tcPr>
            <w:tcW w:w="7702" w:type="dxa"/>
            <w:gridSpan w:val="14"/>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r>
    </w:tbl>
    <w:p>
      <w:pPr>
        <w:pStyle w:val="18"/>
        <w:keepNext w:val="0"/>
        <w:keepLines w:val="0"/>
        <w:pageBreakBefore w:val="0"/>
        <w:widowControl/>
        <w:kinsoku/>
        <w:wordWrap/>
        <w:overflowPunct/>
        <w:topLinePunct w:val="0"/>
        <w:autoSpaceDE w:val="0"/>
        <w:autoSpaceDN/>
        <w:bidi w:val="0"/>
        <w:adjustRightInd/>
        <w:spacing w:before="0" w:beforeAutospacing="0" w:afterAutospacing="0" w:line="560" w:lineRule="exact"/>
        <w:jc w:val="both"/>
        <w:textAlignment w:val="auto"/>
        <w:outlineLvl w:val="9"/>
        <w:rPr>
          <w:rFonts w:hint="default" w:ascii="Times New Roman" w:hAnsi="Times New Roman" w:eastAsia="方正仿宋_GBK" w:cs="Times New Roman"/>
          <w:color w:val="auto"/>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0" w:firstLineChars="0"/>
        <w:jc w:val="both"/>
        <w:textAlignment w:val="auto"/>
        <w:outlineLvl w:val="9"/>
        <w:rPr>
          <w:rFonts w:hint="default" w:ascii="Times New Roman" w:hAnsi="Times New Roman" w:eastAsia="楷体" w:cs="Times New Roman"/>
          <w:b/>
          <w:bCs/>
          <w:sz w:val="32"/>
          <w:szCs w:val="32"/>
          <w:shd w:val="clear" w:color="auto" w:fill="FFFFFF"/>
        </w:rPr>
      </w:pPr>
    </w:p>
    <w:tbl>
      <w:tblPr>
        <w:tblStyle w:val="13"/>
        <w:tblpPr w:leftFromText="180" w:rightFromText="180" w:vertAnchor="text" w:horzAnchor="page" w:tblpX="1722" w:tblpY="191"/>
        <w:tblOverlap w:val="never"/>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0"/>
        <w:gridCol w:w="1274"/>
        <w:gridCol w:w="1386"/>
        <w:gridCol w:w="623"/>
        <w:gridCol w:w="546"/>
        <w:gridCol w:w="623"/>
        <w:gridCol w:w="623"/>
        <w:gridCol w:w="753"/>
        <w:gridCol w:w="626"/>
        <w:gridCol w:w="623"/>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90" w:hRule="atLeast"/>
        </w:trPr>
        <w:tc>
          <w:tcPr>
            <w:tcW w:w="8345" w:type="dxa"/>
            <w:gridSpan w:val="11"/>
            <w:shd w:val="clear" w:color="auto" w:fill="auto"/>
            <w:vAlign w:val="center"/>
          </w:tcPr>
          <w:p>
            <w:pPr>
              <w:keepNext w:val="0"/>
              <w:keepLines w:val="0"/>
              <w:pageBreakBefore w:val="0"/>
              <w:widowControl/>
              <w:suppressLineNumbers w:val="0"/>
              <w:kinsoku/>
              <w:wordWrap/>
              <w:overflowPunct/>
              <w:topLinePunct w:val="0"/>
              <w:autoSpaceDN/>
              <w:bidi w:val="0"/>
              <w:adjustRightInd/>
              <w:spacing w:line="560" w:lineRule="exact"/>
              <w:ind w:firstLine="1680" w:firstLineChars="600"/>
              <w:jc w:val="both"/>
              <w:textAlignment w:val="center"/>
              <w:rPr>
                <w:rFonts w:hint="default" w:ascii="Times New Roman" w:hAnsi="Times New Roman" w:eastAsia="方正黑体_GBK" w:cs="Times New Roman"/>
                <w:i w:val="0"/>
                <w:color w:val="auto"/>
                <w:kern w:val="0"/>
                <w:sz w:val="28"/>
                <w:szCs w:val="28"/>
                <w:highlight w:val="none"/>
                <w:u w:val="none"/>
                <w:lang w:val="en-US" w:eastAsia="zh-CN" w:bidi="ar"/>
              </w:rPr>
            </w:pPr>
            <w:r>
              <w:rPr>
                <w:rFonts w:hint="default" w:ascii="Times New Roman" w:hAnsi="Times New Roman" w:eastAsia="方正黑体_GBK" w:cs="Times New Roman"/>
                <w:i w:val="0"/>
                <w:color w:val="auto"/>
                <w:kern w:val="0"/>
                <w:sz w:val="28"/>
                <w:szCs w:val="28"/>
                <w:highlight w:val="none"/>
                <w:u w:val="none"/>
                <w:lang w:val="en-US" w:eastAsia="zh-CN" w:bidi="ar"/>
              </w:rPr>
              <w:t>秀山土家族苗族自治县道路运输事务中心</w:t>
            </w:r>
          </w:p>
          <w:p>
            <w:pPr>
              <w:keepNext w:val="0"/>
              <w:keepLines w:val="0"/>
              <w:pageBreakBefore w:val="0"/>
              <w:widowControl/>
              <w:suppressLineNumbers w:val="0"/>
              <w:kinsoku/>
              <w:wordWrap/>
              <w:overflowPunct/>
              <w:topLinePunct w:val="0"/>
              <w:autoSpaceDN/>
              <w:bidi w:val="0"/>
              <w:adjustRightInd/>
              <w:spacing w:line="560" w:lineRule="exact"/>
              <w:jc w:val="both"/>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方正黑体_GBK" w:cs="Times New Roman"/>
                <w:i w:val="0"/>
                <w:color w:val="auto"/>
                <w:kern w:val="0"/>
                <w:sz w:val="28"/>
                <w:szCs w:val="28"/>
                <w:highlight w:val="none"/>
                <w:u w:val="none"/>
                <w:lang w:val="en-US" w:eastAsia="zh-CN" w:bidi="ar"/>
              </w:rPr>
              <w:t>202</w:t>
            </w:r>
            <w:r>
              <w:rPr>
                <w:rFonts w:hint="eastAsia" w:ascii="Times New Roman" w:hAnsi="Times New Roman" w:eastAsia="方正黑体_GBK" w:cs="Times New Roman"/>
                <w:i w:val="0"/>
                <w:color w:val="auto"/>
                <w:kern w:val="0"/>
                <w:sz w:val="28"/>
                <w:szCs w:val="28"/>
                <w:highlight w:val="none"/>
                <w:u w:val="none"/>
                <w:lang w:val="en-US" w:eastAsia="zh-CN" w:bidi="ar"/>
              </w:rPr>
              <w:t>4</w:t>
            </w:r>
            <w:r>
              <w:rPr>
                <w:rFonts w:hint="default" w:ascii="Times New Roman" w:hAnsi="Times New Roman" w:eastAsia="方正黑体_GBK" w:cs="Times New Roman"/>
                <w:i w:val="0"/>
                <w:color w:val="auto"/>
                <w:kern w:val="0"/>
                <w:sz w:val="28"/>
                <w:szCs w:val="28"/>
                <w:highlight w:val="none"/>
                <w:u w:val="none"/>
                <w:lang w:val="en-US" w:eastAsia="zh-CN" w:bidi="ar"/>
              </w:rPr>
              <w:t>年度项目支出绩效自评情况表（二级项目）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序号</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项目名称</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指标名称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指标性质</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计量单位</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全年完成值</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指标得分</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说明</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sz w:val="24"/>
                <w:szCs w:val="24"/>
                <w:highlight w:val="none"/>
                <w:u w:val="none"/>
              </w:rPr>
            </w:pPr>
            <w:r>
              <w:rPr>
                <w:rFonts w:hint="default" w:ascii="Times New Roman" w:hAnsi="Times New Roman" w:eastAsia="方正仿宋_GBK" w:cs="Times New Roman"/>
                <w:i w:val="0"/>
                <w:color w:val="auto"/>
                <w:kern w:val="0"/>
                <w:sz w:val="24"/>
                <w:szCs w:val="24"/>
                <w:highlight w:val="none"/>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p>
        </w:tc>
        <w:tc>
          <w:tcPr>
            <w:tcW w:w="127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农村客运车辆保险市级补助</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政策知晓率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35</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3"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27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车辆数量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370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辆</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370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3"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27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38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企业数量</w:t>
            </w:r>
          </w:p>
        </w:tc>
        <w:tc>
          <w:tcPr>
            <w:tcW w:w="6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5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p>
        </w:tc>
        <w:tc>
          <w:tcPr>
            <w:tcW w:w="6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个</w:t>
            </w:r>
          </w:p>
        </w:tc>
        <w:tc>
          <w:tcPr>
            <w:tcW w:w="6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15</w:t>
            </w:r>
          </w:p>
        </w:tc>
        <w:tc>
          <w:tcPr>
            <w:tcW w:w="75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p>
        </w:tc>
        <w:tc>
          <w:tcPr>
            <w:tcW w:w="6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15</w:t>
            </w:r>
          </w:p>
        </w:tc>
        <w:tc>
          <w:tcPr>
            <w:tcW w:w="6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7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3" w:hRule="atLeast"/>
        </w:trPr>
        <w:tc>
          <w:tcPr>
            <w:tcW w:w="4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27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38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政策知晓率</w:t>
            </w:r>
          </w:p>
        </w:tc>
        <w:tc>
          <w:tcPr>
            <w:tcW w:w="6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54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100</w:t>
            </w:r>
          </w:p>
        </w:tc>
        <w:tc>
          <w:tcPr>
            <w:tcW w:w="6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6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20</w:t>
            </w:r>
          </w:p>
        </w:tc>
        <w:tc>
          <w:tcPr>
            <w:tcW w:w="75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100</w:t>
            </w:r>
          </w:p>
        </w:tc>
        <w:tc>
          <w:tcPr>
            <w:tcW w:w="6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20</w:t>
            </w:r>
          </w:p>
        </w:tc>
        <w:tc>
          <w:tcPr>
            <w:tcW w:w="6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7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3"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2</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城市公交购买服务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覆盖路线数</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13</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13</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3"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补助标准</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960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元/人年</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960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3"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企业数量</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个</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3" w:hRule="atLeast"/>
        </w:trPr>
        <w:tc>
          <w:tcPr>
            <w:tcW w:w="4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政策知晓率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default" w:ascii="Times New Roman" w:hAnsi="Times New Roman" w:eastAsia="方正仿宋_GBK" w:cs="Times New Roman"/>
                <w:i w:val="0"/>
                <w:color w:val="auto"/>
                <w:kern w:val="0"/>
                <w:sz w:val="24"/>
                <w:szCs w:val="24"/>
                <w:highlight w:val="none"/>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9"/>
              <w:rPr>
                <w:rFonts w:hint="default" w:ascii="Times New Roman" w:hAnsi="Times New Roman" w:eastAsia="方正仿宋_GBK" w:cs="Times New Roman"/>
                <w:i w:val="0"/>
                <w:color w:val="auto"/>
                <w:kern w:val="0"/>
                <w:sz w:val="24"/>
                <w:szCs w:val="24"/>
                <w:highlight w:val="none"/>
                <w:u w:val="none"/>
                <w:lang w:val="en-US" w:eastAsia="zh-CN" w:bidi="ar"/>
              </w:rPr>
            </w:pPr>
            <w:r>
              <w:rPr>
                <w:rFonts w:hint="eastAsia" w:ascii="Times New Roman" w:hAnsi="Times New Roman" w:eastAsia="方正仿宋_GBK" w:cs="Times New Roman"/>
                <w:i w:val="0"/>
                <w:color w:val="auto"/>
                <w:kern w:val="0"/>
                <w:sz w:val="24"/>
                <w:szCs w:val="24"/>
                <w:highlight w:val="none"/>
                <w:u w:val="none"/>
                <w:lang w:val="en-US" w:eastAsia="zh-CN" w:bidi="ar"/>
              </w:rPr>
              <w:t>30</w:t>
            </w:r>
          </w:p>
        </w:tc>
      </w:tr>
    </w:tbl>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0" w:firstLineChars="0"/>
        <w:jc w:val="both"/>
        <w:textAlignment w:val="auto"/>
        <w:outlineLvl w:val="9"/>
        <w:rPr>
          <w:rFonts w:hint="default" w:ascii="Times New Roman" w:hAnsi="Times New Roman" w:eastAsia="楷体" w:cs="Times New Roman"/>
          <w:b/>
          <w:bCs/>
          <w:sz w:val="32"/>
          <w:szCs w:val="32"/>
          <w:shd w:val="clear" w:color="auto" w:fill="FFFFFF"/>
        </w:rPr>
        <w:sectPr>
          <w:pgSz w:w="11915" w:h="16840"/>
          <w:pgMar w:top="1440" w:right="1800" w:bottom="1440" w:left="1800" w:header="850" w:footer="992" w:gutter="0"/>
          <w:pgNumType w:fmt="numberInDash"/>
          <w:cols w:space="720" w:num="1"/>
          <w:docGrid w:type="lines" w:linePitch="312" w:charSpace="0"/>
        </w:sectPr>
      </w:pPr>
    </w:p>
    <w:p>
      <w:pPr>
        <w:pStyle w:val="18"/>
        <w:keepNext w:val="0"/>
        <w:keepLines w:val="0"/>
        <w:pageBreakBefore w:val="0"/>
        <w:widowControl/>
        <w:numPr>
          <w:ilvl w:val="0"/>
          <w:numId w:val="3"/>
        </w:numPr>
        <w:suppressLineNumbers w:val="0"/>
        <w:kinsoku/>
        <w:wordWrap/>
        <w:overflowPunct/>
        <w:topLinePunct w:val="0"/>
        <w:autoSpaceDE w:val="0"/>
        <w:autoSpaceDN/>
        <w:bidi w:val="0"/>
        <w:adjustRightInd/>
        <w:snapToGrid/>
        <w:spacing w:before="0" w:beforeAutospacing="0" w:after="0" w:afterAutospacing="0" w:line="560" w:lineRule="exact"/>
        <w:ind w:left="0" w:leftChars="0" w:firstLine="640" w:firstLineChars="200"/>
        <w:jc w:val="both"/>
        <w:textAlignment w:val="auto"/>
        <w:rPr>
          <w:rFonts w:hint="eastAsia" w:ascii="Times New Roman" w:hAnsi="Times New Roman" w:eastAsia="方正楷体_GBK" w:cs="Times New Roman"/>
          <w:b w:val="0"/>
          <w:bCs w:val="0"/>
          <w:sz w:val="32"/>
          <w:szCs w:val="32"/>
          <w:shd w:val="clear" w:color="auto" w:fill="FFFFFF"/>
          <w:lang w:val="en-US" w:eastAsia="zh-CN" w:bidi="ar-SA"/>
        </w:rPr>
      </w:pPr>
      <w:r>
        <w:rPr>
          <w:rFonts w:hint="eastAsia" w:ascii="Times New Roman" w:hAnsi="Times New Roman" w:eastAsia="方正楷体_GBK" w:cs="Times New Roman"/>
          <w:b w:val="0"/>
          <w:bCs w:val="0"/>
          <w:sz w:val="32"/>
          <w:szCs w:val="32"/>
          <w:shd w:val="clear" w:color="auto" w:fill="FFFFFF"/>
          <w:lang w:val="en-US" w:eastAsia="zh-CN" w:bidi="ar-SA"/>
        </w:rPr>
        <w:t>单位绩效评价情况</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Chars="0" w:firstLine="320" w:firstLineChars="1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 xml:space="preserve">  1.</w:t>
      </w:r>
      <w:r>
        <w:rPr>
          <w:rFonts w:hint="default" w:ascii="Times New Roman" w:hAnsi="Times New Roman" w:eastAsia="方正仿宋_GBK" w:cs="Times New Roman"/>
          <w:sz w:val="32"/>
          <w:szCs w:val="32"/>
          <w:shd w:val="clear" w:color="auto" w:fill="FFFFFF"/>
          <w:lang w:val="en-US" w:eastAsia="zh-CN" w:bidi="ar-SA"/>
        </w:rPr>
        <w:t>农村客运车辆保险市级补助</w:t>
      </w:r>
      <w:r>
        <w:rPr>
          <w:rFonts w:hint="eastAsia" w:ascii="Times New Roman" w:hAnsi="Times New Roman" w:eastAsia="方正仿宋_GBK" w:cs="Times New Roman"/>
          <w:sz w:val="32"/>
          <w:szCs w:val="32"/>
          <w:shd w:val="clear" w:color="auto" w:fill="FFFFFF"/>
          <w:lang w:val="en-US" w:eastAsia="zh-CN" w:bidi="ar-SA"/>
        </w:rPr>
        <w:t>：2024年该项目绩效评价为90分，该项目运行良好，已实现该年绩效目标。下一步将继续加强对农村客运保险的补助支付，保障农村居民的出行安全。</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2.城市公交购买服务：2024年该项目绩效评价为90分，该项目运行良好，已实现该年绩效目标。下一步将继续加强对城市公交购买服务的支付，减少居民出行负担。</w:t>
      </w:r>
    </w:p>
    <w:p>
      <w:pPr>
        <w:pStyle w:val="22"/>
        <w:keepNext w:val="0"/>
        <w:keepLines w:val="0"/>
        <w:pageBreakBefore w:val="0"/>
        <w:widowControl/>
        <w:kinsoku/>
        <w:wordWrap/>
        <w:overflowPunct/>
        <w:topLinePunct w:val="0"/>
        <w:autoSpaceDE w:val="0"/>
        <w:autoSpaceDN/>
        <w:bidi w:val="0"/>
        <w:adjustRightInd/>
        <w:snapToGrid/>
        <w:spacing w:after="0" w:afterAutospacing="0" w:line="560" w:lineRule="exact"/>
        <w:ind w:left="0" w:leftChars="0" w:firstLine="640" w:firstLineChars="200"/>
        <w:jc w:val="both"/>
        <w:textAlignment w:val="auto"/>
        <w:rPr>
          <w:rFonts w:hint="eastAsia" w:ascii="Times New Roman" w:hAnsi="Times New Roman" w:eastAsia="方正楷体_GBK" w:cs="Times New Roman"/>
          <w:b w:val="0"/>
          <w:bCs w:val="0"/>
          <w:kern w:val="0"/>
          <w:sz w:val="32"/>
          <w:szCs w:val="32"/>
          <w:shd w:val="clear" w:color="auto" w:fill="FFFFFF"/>
          <w:lang w:val="en-US" w:eastAsia="zh-CN" w:bidi="ar-SA"/>
        </w:rPr>
      </w:pPr>
      <w:r>
        <w:rPr>
          <w:rFonts w:hint="eastAsia" w:ascii="Times New Roman" w:hAnsi="Times New Roman" w:eastAsia="方正楷体_GBK" w:cs="Times New Roman"/>
          <w:b w:val="0"/>
          <w:bCs w:val="0"/>
          <w:kern w:val="0"/>
          <w:sz w:val="32"/>
          <w:szCs w:val="32"/>
          <w:shd w:val="clear" w:color="auto" w:fill="FFFFFF"/>
          <w:lang w:val="en-US" w:eastAsia="zh-CN" w:bidi="ar-SA"/>
        </w:rPr>
        <w:t>（三）财政绩效评价情况</w:t>
      </w:r>
    </w:p>
    <w:p>
      <w:pPr>
        <w:pStyle w:val="17"/>
        <w:keepNext w:val="0"/>
        <w:keepLines w:val="0"/>
        <w:pageBreakBefore w:val="0"/>
        <w:widowControl/>
        <w:kinsoku/>
        <w:wordWrap/>
        <w:overflowPunct/>
        <w:topLinePunct w:val="0"/>
        <w:autoSpaceDE w:val="0"/>
        <w:autoSpaceDN/>
        <w:bidi w:val="0"/>
        <w:adjustRightInd/>
        <w:spacing w:beforeAutospacing="0" w:afterAutospacing="0" w:line="560" w:lineRule="exact"/>
        <w:jc w:val="both"/>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县</w:t>
      </w:r>
      <w:r>
        <w:rPr>
          <w:rFonts w:hint="default" w:ascii="Times New Roman" w:hAnsi="Times New Roman" w:eastAsia="方正仿宋_GBK" w:cs="Times New Roman"/>
          <w:sz w:val="32"/>
          <w:szCs w:val="32"/>
          <w:shd w:val="clear" w:color="auto" w:fill="FFFFFF"/>
        </w:rPr>
        <w:t>财政局未委托第三方对我单位开展绩效评价。</w:t>
      </w:r>
    </w:p>
    <w:p>
      <w:pPr>
        <w:pStyle w:val="18"/>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kern w:val="0"/>
          <w:sz w:val="32"/>
          <w:szCs w:val="32"/>
        </w:rPr>
      </w:pPr>
      <w:r>
        <w:rPr>
          <w:rStyle w:val="19"/>
          <w:rFonts w:hint="eastAsia" w:ascii="方正仿宋_GBK" w:hAnsi="方正仿宋_GBK" w:eastAsia="方正仿宋_GBK" w:cs="方正仿宋_GBK"/>
          <w:b/>
          <w:bCs/>
          <w:sz w:val="32"/>
          <w:szCs w:val="32"/>
          <w:shd w:val="clear" w:fill="FFFFFF"/>
        </w:rPr>
        <w:t xml:space="preserve"> </w:t>
      </w:r>
      <w:r>
        <w:rPr>
          <w:rStyle w:val="19"/>
          <w:rFonts w:hint="eastAsia" w:ascii="方正仿宋_GBK" w:hAnsi="方正仿宋_GBK" w:eastAsia="方正仿宋_GBK" w:cs="方正仿宋_GBK"/>
          <w:b/>
          <w:bCs/>
          <w:sz w:val="32"/>
          <w:szCs w:val="32"/>
          <w:shd w:val="clear" w:fill="FFFFFF"/>
          <w:lang w:val="en-US" w:eastAsia="zh-CN"/>
        </w:rPr>
        <w:t xml:space="preserve">  </w:t>
      </w:r>
      <w:r>
        <w:rPr>
          <w:rStyle w:val="12"/>
          <w:rFonts w:hint="eastAsia" w:ascii="黑体" w:hAnsi="黑体" w:eastAsia="黑体" w:cs="黑体"/>
          <w:sz w:val="32"/>
          <w:szCs w:val="32"/>
          <w:shd w:val="clear" w:color="auto" w:fill="FFFFFF"/>
          <w:lang w:val="en-US" w:eastAsia="zh-CN" w:bidi="ar-SA"/>
        </w:rPr>
        <w:t xml:space="preserve"> </w:t>
      </w:r>
      <w:r>
        <w:rPr>
          <w:rStyle w:val="12"/>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lang w:val="en-US" w:eastAsia="zh-CN"/>
        </w:rPr>
        <w:t>指</w:t>
      </w:r>
      <w:r>
        <w:rPr>
          <w:rFonts w:hint="eastAsia" w:ascii="方正仿宋_GBK" w:hAnsi="方正仿宋_GBK" w:eastAsia="方正仿宋_GBK" w:cs="方正仿宋_GBK"/>
          <w:kern w:val="0"/>
          <w:sz w:val="32"/>
          <w:szCs w:val="32"/>
          <w:shd w:val="clear" w:fill="FFFFFF"/>
        </w:rPr>
        <w:t>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12"/>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rPr>
        <w:t>杨敬修</w:t>
      </w:r>
      <w:r>
        <w:rPr>
          <w:rFonts w:hint="eastAsia" w:ascii="方正仿宋_GBK" w:hAnsi="方正仿宋_GBK" w:eastAsia="方正仿宋_GBK" w:cs="方正仿宋_GBK"/>
          <w:kern w:val="0"/>
          <w:sz w:val="32"/>
          <w:szCs w:val="32"/>
          <w:shd w:val="clear" w:fill="FFFFFF"/>
        </w:rPr>
        <w:t xml:space="preserve">   </w:t>
      </w:r>
      <w:r>
        <w:rPr>
          <w:rFonts w:hint="eastAsia" w:ascii="Times New Roman" w:hAnsi="Times New Roman" w:eastAsia="方正仿宋_GBK" w:cs="Times New Roman"/>
          <w:sz w:val="32"/>
          <w:szCs w:val="32"/>
          <w:shd w:val="clear" w:color="auto" w:fill="FFFFFF"/>
          <w:lang w:val="en-US" w:eastAsia="zh-CN" w:bidi="ar-SA"/>
        </w:rPr>
        <w:t>023-76865391</w:t>
      </w: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秀山土家族苗族自治县道路运输事务中心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1,562.38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1,562.38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1,562.38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pPr w:leftFromText="180" w:rightFromText="180" w:vertAnchor="text" w:horzAnchor="page" w:tblpX="934" w:tblpY="-9924"/>
        <w:tblOverlap w:val="never"/>
        <w:tblW w:w="15240" w:type="dxa"/>
        <w:tblInd w:w="0" w:type="dxa"/>
        <w:tblLayout w:type="fixed"/>
        <w:tblCellMar>
          <w:top w:w="0" w:type="dxa"/>
          <w:left w:w="0" w:type="dxa"/>
          <w:bottom w:w="0" w:type="dxa"/>
          <w:right w:w="0" w:type="dxa"/>
        </w:tblCellMar>
      </w:tblPr>
      <w:tblGrid>
        <w:gridCol w:w="1405"/>
        <w:gridCol w:w="2870"/>
        <w:gridCol w:w="1556"/>
        <w:gridCol w:w="1426"/>
        <w:gridCol w:w="1235"/>
        <w:gridCol w:w="1413"/>
        <w:gridCol w:w="1"/>
        <w:gridCol w:w="1433"/>
        <w:gridCol w:w="1275"/>
        <w:gridCol w:w="1327"/>
        <w:gridCol w:w="1299"/>
      </w:tblGrid>
      <w:tr>
        <w:tblPrEx>
          <w:tblLayout w:type="fixed"/>
          <w:tblCellMar>
            <w:top w:w="0" w:type="dxa"/>
            <w:left w:w="0" w:type="dxa"/>
            <w:bottom w:w="0" w:type="dxa"/>
            <w:right w:w="0" w:type="dxa"/>
          </w:tblCellMar>
        </w:tblPrEx>
        <w:trPr>
          <w:trHeight w:val="90" w:hRule="atLeast"/>
        </w:trPr>
        <w:tc>
          <w:tcPr>
            <w:tcW w:w="15240" w:type="dxa"/>
            <w:gridSpan w:val="11"/>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90" w:hRule="atLeast"/>
        </w:trPr>
        <w:tc>
          <w:tcPr>
            <w:tcW w:w="58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秀山土家族苗族自治县道路运输事务中心</w:t>
            </w:r>
          </w:p>
        </w:tc>
        <w:tc>
          <w:tcPr>
            <w:tcW w:w="142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1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gridSpan w:val="2"/>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58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2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3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1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4" w:type="dxa"/>
            <w:gridSpan w:val="2"/>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7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12" w:hRule="atLeast"/>
        </w:trPr>
        <w:tc>
          <w:tcPr>
            <w:tcW w:w="14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87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4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7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4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7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4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7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90" w:hRule="atLeast"/>
        </w:trPr>
        <w:tc>
          <w:tcPr>
            <w:tcW w:w="42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1,562.38</w:t>
            </w:r>
            <w:r>
              <w:rPr>
                <w:rFonts w:ascii="Times New Roman" w:hAnsi="Times New Roman"/>
                <w:b/>
                <w:color w:val="000000"/>
                <w:sz w:val="20"/>
                <w:u w:color="auto"/>
              </w:rPr>
              <w:t xml:space="preserve"> </w:t>
            </w:r>
          </w:p>
        </w:tc>
        <w:tc>
          <w:tcPr>
            <w:tcW w:w="14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1,562.38</w:t>
            </w:r>
            <w:r>
              <w:rPr>
                <w:rFonts w:ascii="Times New Roman" w:hAnsi="Times New Roman"/>
                <w:b/>
                <w:color w:val="000000"/>
                <w:sz w:val="20"/>
                <w:u w:color="auto"/>
              </w:rPr>
              <w:t xml:space="preserve"> </w:t>
            </w:r>
          </w:p>
        </w:tc>
        <w:tc>
          <w:tcPr>
            <w:tcW w:w="12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14"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23.42</w:t>
            </w:r>
            <w:r>
              <w:rPr>
                <w:rFonts w:ascii="Times New Roman" w:hAnsi="Times New Roman"/>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23.42</w:t>
            </w:r>
            <w:r>
              <w:rPr>
                <w:rFonts w:ascii="Times New Roman" w:hAnsi="Times New Roman"/>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28.96</w:t>
            </w:r>
            <w:r>
              <w:rPr>
                <w:rFonts w:ascii="Times New Roman" w:hAnsi="Times New Roman"/>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28.96</w:t>
            </w:r>
            <w:r>
              <w:rPr>
                <w:rFonts w:ascii="Times New Roman" w:hAnsi="Times New Roman"/>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w:t>
            </w:r>
            <w:r>
              <w:rPr>
                <w:rFonts w:ascii="Times New Roman" w:hAnsi="Times New Roman"/>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w:t>
            </w:r>
            <w:r>
              <w:rPr>
                <w:rFonts w:ascii="Times New Roman" w:hAnsi="Times New Roman"/>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1,466.86</w:t>
            </w:r>
            <w:r>
              <w:rPr>
                <w:rFonts w:ascii="Times New Roman" w:hAnsi="Times New Roman"/>
                <w:b/>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1,466.86</w:t>
            </w:r>
            <w:r>
              <w:rPr>
                <w:rFonts w:ascii="Times New Roman" w:hAnsi="Times New Roman"/>
                <w:b/>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1,466.86</w:t>
            </w:r>
            <w:r>
              <w:rPr>
                <w:rFonts w:ascii="Times New Roman" w:hAnsi="Times New Roman"/>
                <w:b/>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1,466.86</w:t>
            </w:r>
            <w:r>
              <w:rPr>
                <w:rFonts w:ascii="Times New Roman" w:hAnsi="Times New Roman"/>
                <w:b/>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1,141.39</w:t>
            </w:r>
            <w:r>
              <w:rPr>
                <w:rFonts w:ascii="Times New Roman" w:hAnsi="Times New Roman"/>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1,141.39</w:t>
            </w:r>
            <w:r>
              <w:rPr>
                <w:rFonts w:ascii="Times New Roman" w:hAnsi="Times New Roman"/>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2140136</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187.94</w:t>
            </w:r>
            <w:r>
              <w:rPr>
                <w:rFonts w:ascii="Times New Roman" w:hAnsi="Times New Roman"/>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187.94</w:t>
            </w:r>
            <w:r>
              <w:rPr>
                <w:rFonts w:ascii="Times New Roman" w:hAnsi="Times New Roman"/>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137.53</w:t>
            </w:r>
            <w:r>
              <w:rPr>
                <w:rFonts w:ascii="Times New Roman" w:hAnsi="Times New Roman"/>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137.53</w:t>
            </w:r>
            <w:r>
              <w:rPr>
                <w:rFonts w:ascii="Times New Roman" w:hAnsi="Times New Roman"/>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4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8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u w:color="auto"/>
              </w:rPr>
              <w:t xml:space="preserve"> </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u w:color="auto"/>
              </w:rPr>
              <w:t xml:space="preserve"> </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3"/>
        <w:tblW w:w="14820" w:type="dxa"/>
        <w:tblInd w:w="0" w:type="dxa"/>
        <w:tblLayout w:type="fixed"/>
        <w:tblCellMar>
          <w:top w:w="0" w:type="dxa"/>
          <w:left w:w="0" w:type="dxa"/>
          <w:bottom w:w="0" w:type="dxa"/>
          <w:right w:w="0" w:type="dxa"/>
        </w:tblCellMar>
      </w:tblPr>
      <w:tblGrid>
        <w:gridCol w:w="1250"/>
        <w:gridCol w:w="3484"/>
        <w:gridCol w:w="1780"/>
        <w:gridCol w:w="1708"/>
        <w:gridCol w:w="1570"/>
        <w:gridCol w:w="1506"/>
        <w:gridCol w:w="1637"/>
        <w:gridCol w:w="1885"/>
      </w:tblGrid>
      <w:tr>
        <w:tblPrEx>
          <w:tblLayout w:type="fixed"/>
          <w:tblCellMar>
            <w:top w:w="0" w:type="dxa"/>
            <w:left w:w="0" w:type="dxa"/>
            <w:bottom w:w="0" w:type="dxa"/>
            <w:right w:w="0" w:type="dxa"/>
          </w:tblCellMar>
        </w:tblPrEx>
        <w:trPr>
          <w:trHeight w:val="90" w:hRule="atLeast"/>
        </w:trPr>
        <w:tc>
          <w:tcPr>
            <w:tcW w:w="1482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90" w:hRule="atLeast"/>
        </w:trPr>
        <w:tc>
          <w:tcPr>
            <w:tcW w:w="6514"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秀山土家族苗族自治县道路运输事务中心 </w:t>
            </w:r>
          </w:p>
        </w:tc>
        <w:tc>
          <w:tcPr>
            <w:tcW w:w="17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8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51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8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atLeast"/>
        </w:trPr>
        <w:tc>
          <w:tcPr>
            <w:tcW w:w="125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48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5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90" w:hRule="atLeast"/>
        </w:trPr>
        <w:tc>
          <w:tcPr>
            <w:tcW w:w="47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1,562.38</w:t>
            </w:r>
            <w:r>
              <w:rPr>
                <w:rFonts w:ascii="Times New Roman" w:hAnsi="Times New Roman"/>
                <w:b/>
                <w:color w:val="000000"/>
                <w:sz w:val="20"/>
                <w:u w:color="auto"/>
              </w:rPr>
              <w:t xml:space="preserve"> </w:t>
            </w:r>
          </w:p>
        </w:tc>
        <w:tc>
          <w:tcPr>
            <w:tcW w:w="17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287.87</w:t>
            </w:r>
            <w:r>
              <w:rPr>
                <w:rFonts w:ascii="Times New Roman" w:hAnsi="Times New Roman"/>
                <w:b/>
                <w:color w:val="000000"/>
                <w:sz w:val="20"/>
                <w:u w:color="auto"/>
              </w:rPr>
              <w:t xml:space="preserve"> </w:t>
            </w:r>
          </w:p>
        </w:tc>
        <w:tc>
          <w:tcPr>
            <w:tcW w:w="15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1,274.51</w:t>
            </w:r>
            <w:r>
              <w:rPr>
                <w:rFonts w:ascii="Times New Roman" w:hAnsi="Times New Roman"/>
                <w:b/>
                <w:color w:val="000000"/>
                <w:sz w:val="20"/>
                <w:u w:color="auto"/>
              </w:rPr>
              <w:t xml:space="preserve"> </w:t>
            </w:r>
          </w:p>
        </w:tc>
        <w:tc>
          <w:tcPr>
            <w:tcW w:w="15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23.42</w:t>
            </w:r>
            <w:r>
              <w:rPr>
                <w:rFonts w:ascii="Times New Roman" w:hAnsi="Times New Roman"/>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23.42</w:t>
            </w:r>
            <w:r>
              <w:rPr>
                <w:rFonts w:ascii="Times New Roman" w:hAnsi="Times New Roman"/>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28.96</w:t>
            </w:r>
            <w:r>
              <w:rPr>
                <w:rFonts w:ascii="Times New Roman" w:hAnsi="Times New Roman"/>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28.96</w:t>
            </w:r>
            <w:r>
              <w:rPr>
                <w:rFonts w:ascii="Times New Roman" w:hAnsi="Times New Roman"/>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w:t>
            </w:r>
            <w:r>
              <w:rPr>
                <w:rFonts w:ascii="Times New Roman" w:hAnsi="Times New Roman"/>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14.81</w:t>
            </w:r>
            <w:r>
              <w:rPr>
                <w:rFonts w:ascii="Times New Roman" w:hAnsi="Times New Roman"/>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1,466.86</w:t>
            </w:r>
            <w:r>
              <w:rPr>
                <w:rFonts w:ascii="Times New Roman" w:hAnsi="Times New Roman"/>
                <w:b/>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192.36</w:t>
            </w:r>
            <w:r>
              <w:rPr>
                <w:rFonts w:ascii="Times New Roman" w:hAnsi="Times New Roman"/>
                <w:b/>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1,274.51</w:t>
            </w:r>
            <w:r>
              <w:rPr>
                <w:rFonts w:ascii="Times New Roman" w:hAnsi="Times New Roman"/>
                <w:b/>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1,466.86</w:t>
            </w:r>
            <w:r>
              <w:rPr>
                <w:rFonts w:ascii="Times New Roman" w:hAnsi="Times New Roman"/>
                <w:b/>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192.36</w:t>
            </w:r>
            <w:r>
              <w:rPr>
                <w:rFonts w:ascii="Times New Roman" w:hAnsi="Times New Roman"/>
                <w:b/>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1,274.51</w:t>
            </w:r>
            <w:r>
              <w:rPr>
                <w:rFonts w:ascii="Times New Roman" w:hAnsi="Times New Roman"/>
                <w:b/>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1,141.39</w:t>
            </w:r>
            <w:r>
              <w:rPr>
                <w:rFonts w:ascii="Times New Roman" w:hAnsi="Times New Roman"/>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192.36</w:t>
            </w:r>
            <w:r>
              <w:rPr>
                <w:rFonts w:ascii="Times New Roman" w:hAnsi="Times New Roman"/>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949.04</w:t>
            </w:r>
            <w:r>
              <w:rPr>
                <w:rFonts w:ascii="Times New Roman" w:hAnsi="Times New Roman"/>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2140136</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187.94</w:t>
            </w:r>
            <w:r>
              <w:rPr>
                <w:rFonts w:ascii="Times New Roman" w:hAnsi="Times New Roman"/>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187.94</w:t>
            </w:r>
            <w:r>
              <w:rPr>
                <w:rFonts w:ascii="Times New Roman" w:hAnsi="Times New Roman"/>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137.53</w:t>
            </w:r>
            <w:r>
              <w:rPr>
                <w:rFonts w:ascii="Times New Roman" w:hAnsi="Times New Roman"/>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137.53</w:t>
            </w:r>
            <w:r>
              <w:rPr>
                <w:rFonts w:ascii="Times New Roman" w:hAnsi="Times New Roman"/>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12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4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u w:color="auto"/>
              </w:rPr>
              <w:t xml:space="preserve"> </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13.66</w:t>
            </w:r>
            <w:r>
              <w:rPr>
                <w:rFonts w:ascii="Times New Roman" w:hAnsi="Times New Roman"/>
                <w:color w:val="000000"/>
                <w:sz w:val="20"/>
                <w:u w:color="auto"/>
              </w:rPr>
              <w:t xml:space="preserve"> </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秀山土家族苗族自治县道路运输事务中心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1,466.86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1,466.86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1,562.38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1,562.38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秀山土家族苗族自治县道路运输事务中心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1,562.38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1,274.51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67.18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1,466.86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1,274.51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1,466.86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192.36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1,274.51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1,141.39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949.04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3"/>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秀山土家族苗族自治县道路运输事务中心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272.20</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秀山土家族苗族自治县道路运输事务中心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秀山土家族苗族自治县道路运输事务中心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3"/>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秀山土家族苗族自治县道路运输事务中心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文本框 1" o:spid="_x0000_s103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C79A61"/>
    <w:multiLevelType w:val="singleLevel"/>
    <w:tmpl w:val="A7C79A61"/>
    <w:lvl w:ilvl="0" w:tentative="0">
      <w:start w:val="2"/>
      <w:numFmt w:val="chineseCounting"/>
      <w:suff w:val="nothing"/>
      <w:lvlText w:val="（%1）"/>
      <w:lvlJc w:val="left"/>
      <w:rPr>
        <w:rFonts w:hint="eastAsia"/>
      </w:rPr>
    </w:lvl>
  </w:abstractNum>
  <w:abstractNum w:abstractNumId="1">
    <w:nsid w:val="ABA3291C"/>
    <w:multiLevelType w:val="singleLevel"/>
    <w:tmpl w:val="ABA3291C"/>
    <w:lvl w:ilvl="0" w:tentative="0">
      <w:start w:val="2"/>
      <w:numFmt w:val="chineseCounting"/>
      <w:suff w:val="nothing"/>
      <w:lvlText w:val="%1、"/>
      <w:lvlJc w:val="left"/>
      <w:rPr>
        <w:rFonts w:hint="eastAsia"/>
      </w:rPr>
    </w:lvl>
  </w:abstractNum>
  <w:abstractNum w:abstractNumId="2">
    <w:nsid w:val="B7BD3C7C"/>
    <w:multiLevelType w:val="singleLevel"/>
    <w:tmpl w:val="B7BD3C7C"/>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B52C62"/>
    <w:rsid w:val="05BC6D49"/>
    <w:rsid w:val="06194FF1"/>
    <w:rsid w:val="06A2550B"/>
    <w:rsid w:val="06F80EE2"/>
    <w:rsid w:val="07001CCA"/>
    <w:rsid w:val="075678DB"/>
    <w:rsid w:val="077B465F"/>
    <w:rsid w:val="079D7CC7"/>
    <w:rsid w:val="07EF6F6C"/>
    <w:rsid w:val="08051BCA"/>
    <w:rsid w:val="086C12F4"/>
    <w:rsid w:val="08705944"/>
    <w:rsid w:val="08BA052C"/>
    <w:rsid w:val="08DB07BA"/>
    <w:rsid w:val="0969353F"/>
    <w:rsid w:val="098305D0"/>
    <w:rsid w:val="09B1218B"/>
    <w:rsid w:val="0A3317EA"/>
    <w:rsid w:val="0A5C4B69"/>
    <w:rsid w:val="0A86124A"/>
    <w:rsid w:val="0A9D42F8"/>
    <w:rsid w:val="0AB54CC0"/>
    <w:rsid w:val="0AC96ACA"/>
    <w:rsid w:val="0B9335CE"/>
    <w:rsid w:val="0BF2311A"/>
    <w:rsid w:val="0C7927C4"/>
    <w:rsid w:val="0C9B098C"/>
    <w:rsid w:val="0D673E11"/>
    <w:rsid w:val="0DDA54E4"/>
    <w:rsid w:val="0E3A5F83"/>
    <w:rsid w:val="0EAB6E79"/>
    <w:rsid w:val="0F836721"/>
    <w:rsid w:val="0FA25D96"/>
    <w:rsid w:val="107B59E5"/>
    <w:rsid w:val="10EC0126"/>
    <w:rsid w:val="10F70B9A"/>
    <w:rsid w:val="111445C7"/>
    <w:rsid w:val="114278C6"/>
    <w:rsid w:val="1158083A"/>
    <w:rsid w:val="11643A4B"/>
    <w:rsid w:val="11ED0F98"/>
    <w:rsid w:val="11F03528"/>
    <w:rsid w:val="12C921C4"/>
    <w:rsid w:val="12EB24A7"/>
    <w:rsid w:val="13871C70"/>
    <w:rsid w:val="13A71CB4"/>
    <w:rsid w:val="13AF1D43"/>
    <w:rsid w:val="13CE1647"/>
    <w:rsid w:val="13FD55AB"/>
    <w:rsid w:val="14200702"/>
    <w:rsid w:val="14370EA1"/>
    <w:rsid w:val="162F6E25"/>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70743B"/>
    <w:rsid w:val="20DF792B"/>
    <w:rsid w:val="21556F04"/>
    <w:rsid w:val="22403BD3"/>
    <w:rsid w:val="2293586D"/>
    <w:rsid w:val="22AD3177"/>
    <w:rsid w:val="235417B6"/>
    <w:rsid w:val="24B92327"/>
    <w:rsid w:val="24C14514"/>
    <w:rsid w:val="2533755C"/>
    <w:rsid w:val="25791755"/>
    <w:rsid w:val="262C6F81"/>
    <w:rsid w:val="26396DF4"/>
    <w:rsid w:val="27167136"/>
    <w:rsid w:val="271B442C"/>
    <w:rsid w:val="27B23302"/>
    <w:rsid w:val="29310A5F"/>
    <w:rsid w:val="29C37A35"/>
    <w:rsid w:val="2A076083"/>
    <w:rsid w:val="2A73162E"/>
    <w:rsid w:val="2A9E489B"/>
    <w:rsid w:val="2B167953"/>
    <w:rsid w:val="2B200583"/>
    <w:rsid w:val="2B2729C0"/>
    <w:rsid w:val="2B8209DE"/>
    <w:rsid w:val="2B821C91"/>
    <w:rsid w:val="2BF81A22"/>
    <w:rsid w:val="2C636760"/>
    <w:rsid w:val="2C6762A3"/>
    <w:rsid w:val="2FCA4B37"/>
    <w:rsid w:val="2FE029D7"/>
    <w:rsid w:val="2FF06E00"/>
    <w:rsid w:val="30577897"/>
    <w:rsid w:val="30586FEC"/>
    <w:rsid w:val="307819B7"/>
    <w:rsid w:val="315F0B22"/>
    <w:rsid w:val="31A15828"/>
    <w:rsid w:val="31D84415"/>
    <w:rsid w:val="32285F6F"/>
    <w:rsid w:val="32770556"/>
    <w:rsid w:val="329C0913"/>
    <w:rsid w:val="32AA0460"/>
    <w:rsid w:val="332423E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3C0964"/>
    <w:rsid w:val="426C1EA8"/>
    <w:rsid w:val="42736402"/>
    <w:rsid w:val="42E86A87"/>
    <w:rsid w:val="43307B09"/>
    <w:rsid w:val="439A3EB9"/>
    <w:rsid w:val="43BB152F"/>
    <w:rsid w:val="43F061FB"/>
    <w:rsid w:val="44870007"/>
    <w:rsid w:val="44C37687"/>
    <w:rsid w:val="45CB699A"/>
    <w:rsid w:val="46423C66"/>
    <w:rsid w:val="465B470D"/>
    <w:rsid w:val="469D6AD4"/>
    <w:rsid w:val="471E6C84"/>
    <w:rsid w:val="4748792B"/>
    <w:rsid w:val="475D719D"/>
    <w:rsid w:val="47674801"/>
    <w:rsid w:val="48225EF7"/>
    <w:rsid w:val="488F422B"/>
    <w:rsid w:val="48E36915"/>
    <w:rsid w:val="48EB6572"/>
    <w:rsid w:val="490D3E2F"/>
    <w:rsid w:val="495C4A24"/>
    <w:rsid w:val="497135DF"/>
    <w:rsid w:val="4A263DF2"/>
    <w:rsid w:val="4A2F278B"/>
    <w:rsid w:val="4A6F6675"/>
    <w:rsid w:val="4B135857"/>
    <w:rsid w:val="4B233A75"/>
    <w:rsid w:val="4B7951CB"/>
    <w:rsid w:val="4B7C315C"/>
    <w:rsid w:val="4C4222EE"/>
    <w:rsid w:val="4D062190"/>
    <w:rsid w:val="4D1F53CA"/>
    <w:rsid w:val="4D8551DD"/>
    <w:rsid w:val="4DAC4ACA"/>
    <w:rsid w:val="4DBE01D2"/>
    <w:rsid w:val="4EFD467F"/>
    <w:rsid w:val="4F0C6BA3"/>
    <w:rsid w:val="4F186D58"/>
    <w:rsid w:val="4F7738D9"/>
    <w:rsid w:val="4FFE7F08"/>
    <w:rsid w:val="504B6EAA"/>
    <w:rsid w:val="50F06B6E"/>
    <w:rsid w:val="51064DCD"/>
    <w:rsid w:val="51D21804"/>
    <w:rsid w:val="52234D33"/>
    <w:rsid w:val="522F6E0C"/>
    <w:rsid w:val="52463BA1"/>
    <w:rsid w:val="52F163D4"/>
    <w:rsid w:val="53077C26"/>
    <w:rsid w:val="531A2DB4"/>
    <w:rsid w:val="53C0244D"/>
    <w:rsid w:val="53DD4D4E"/>
    <w:rsid w:val="53DD4EDE"/>
    <w:rsid w:val="53E578CE"/>
    <w:rsid w:val="541330F0"/>
    <w:rsid w:val="54272666"/>
    <w:rsid w:val="543B029D"/>
    <w:rsid w:val="54861779"/>
    <w:rsid w:val="55084A4C"/>
    <w:rsid w:val="552256E1"/>
    <w:rsid w:val="554E5773"/>
    <w:rsid w:val="555829E0"/>
    <w:rsid w:val="555A3CBC"/>
    <w:rsid w:val="5582012B"/>
    <w:rsid w:val="558E4E05"/>
    <w:rsid w:val="55BE2E85"/>
    <w:rsid w:val="560701D6"/>
    <w:rsid w:val="56530F5D"/>
    <w:rsid w:val="566634A4"/>
    <w:rsid w:val="567700D3"/>
    <w:rsid w:val="569610C8"/>
    <w:rsid w:val="56FF7E9E"/>
    <w:rsid w:val="578867FC"/>
    <w:rsid w:val="5842572D"/>
    <w:rsid w:val="58530F54"/>
    <w:rsid w:val="58FF69BD"/>
    <w:rsid w:val="5A3B59D6"/>
    <w:rsid w:val="5AD134D8"/>
    <w:rsid w:val="5BF21DC4"/>
    <w:rsid w:val="5BF41F67"/>
    <w:rsid w:val="5C263CE4"/>
    <w:rsid w:val="5C5D2777"/>
    <w:rsid w:val="5CF66BF3"/>
    <w:rsid w:val="5D290C69"/>
    <w:rsid w:val="5DA80C2C"/>
    <w:rsid w:val="5EFC215D"/>
    <w:rsid w:val="5F2D4A41"/>
    <w:rsid w:val="60B24C8E"/>
    <w:rsid w:val="60C74F6C"/>
    <w:rsid w:val="61015958"/>
    <w:rsid w:val="61025A59"/>
    <w:rsid w:val="613552DA"/>
    <w:rsid w:val="613D5BBC"/>
    <w:rsid w:val="61536C39"/>
    <w:rsid w:val="62232F55"/>
    <w:rsid w:val="62743191"/>
    <w:rsid w:val="62944DD7"/>
    <w:rsid w:val="6319381F"/>
    <w:rsid w:val="63C25DC5"/>
    <w:rsid w:val="63C62057"/>
    <w:rsid w:val="64571EF5"/>
    <w:rsid w:val="64A70FD7"/>
    <w:rsid w:val="64FB113D"/>
    <w:rsid w:val="656152C6"/>
    <w:rsid w:val="6587477F"/>
    <w:rsid w:val="658C3A08"/>
    <w:rsid w:val="65C031CA"/>
    <w:rsid w:val="65CE6852"/>
    <w:rsid w:val="66267C04"/>
    <w:rsid w:val="663F505A"/>
    <w:rsid w:val="666C2D2F"/>
    <w:rsid w:val="66AF5D7C"/>
    <w:rsid w:val="66EE5541"/>
    <w:rsid w:val="67016DC8"/>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5D1F40"/>
    <w:rsid w:val="708F6F7F"/>
    <w:rsid w:val="70D94BD3"/>
    <w:rsid w:val="71574775"/>
    <w:rsid w:val="71C34D91"/>
    <w:rsid w:val="72DB435C"/>
    <w:rsid w:val="72E2613A"/>
    <w:rsid w:val="72F771F4"/>
    <w:rsid w:val="734D2787"/>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C646AF"/>
    <w:rsid w:val="7BD06A28"/>
    <w:rsid w:val="7C3A7C0B"/>
    <w:rsid w:val="7C5248E4"/>
    <w:rsid w:val="7C545AF5"/>
    <w:rsid w:val="7C566698"/>
    <w:rsid w:val="7C5866A3"/>
    <w:rsid w:val="7D7406BB"/>
    <w:rsid w:val="7DE94331"/>
    <w:rsid w:val="7F446A19"/>
    <w:rsid w:val="7F7452B9"/>
    <w:rsid w:val="7F8D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Normal (Web)"/>
    <w:basedOn w:val="1"/>
    <w:unhideWhenUsed/>
    <w:qFormat/>
    <w:uiPriority w:val="0"/>
    <w:pPr>
      <w:spacing w:before="100" w:beforeAutospacing="1" w:after="100" w:afterAutospacing="1"/>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rPr>
  </w:style>
  <w:style w:type="paragraph" w:customStyle="1" w:styleId="17">
    <w:name w:val="列出段落1"/>
    <w:basedOn w:val="1"/>
    <w:qFormat/>
    <w:uiPriority w:val="99"/>
    <w:pPr>
      <w:ind w:firstLine="420" w:firstLineChars="200"/>
    </w:pPr>
    <w:rPr>
      <w:rFonts w:hint="default"/>
    </w:rPr>
  </w:style>
  <w:style w:type="paragraph" w:customStyle="1" w:styleId="18">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9">
    <w:name w:val="21"/>
    <w:basedOn w:val="11"/>
    <w:qFormat/>
    <w:uiPriority w:val="0"/>
    <w:rPr>
      <w:rFonts w:hint="default" w:ascii="Wingdings" w:hAnsi="Wingdings" w:cs="Wingdings"/>
      <w:b/>
      <w:bCs/>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1">
    <w:name w:val="批注框文本 Char"/>
    <w:basedOn w:val="11"/>
    <w:link w:val="6"/>
    <w:qFormat/>
    <w:uiPriority w:val="0"/>
    <w:rPr>
      <w:rFonts w:ascii="宋体" w:hAnsi="宋体"/>
      <w:sz w:val="18"/>
      <w:szCs w:val="18"/>
    </w:rPr>
  </w:style>
  <w:style w:type="paragraph" w:customStyle="1" w:styleId="2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3">
    <w:name w:val="40"/>
    <w:basedOn w:val="11"/>
    <w:qFormat/>
    <w:uiPriority w:val="0"/>
    <w:rPr>
      <w:rFonts w:hint="default" w:ascii="Times New Roman" w:hAnsi="Times New Roman" w:cs="Times New Roman"/>
      <w:b/>
    </w:rPr>
  </w:style>
  <w:style w:type="character" w:customStyle="1" w:styleId="24">
    <w:name w:val="26"/>
    <w:basedOn w:val="11"/>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24</TotalTime>
  <ScaleCrop>false</ScaleCrop>
  <LinksUpToDate>false</LinksUpToDate>
  <CharactersWithSpaces>26313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111</cp:lastModifiedBy>
  <dcterms:modified xsi:type="dcterms:W3CDTF">2025-09-29T07:33:38Z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