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720" w:firstLineChars="200"/>
        <w:jc w:val="center"/>
        <w:textAlignment w:val="auto"/>
        <w:rPr>
          <w:rFonts w:hint="default" w:ascii="方正小标宋_GBK" w:hAnsi="方正小标宋_GBK" w:eastAsia="方正小标宋_GBK" w:cs="方正小标宋_GBK"/>
          <w:b w:val="0"/>
          <w:bCs w:val="0"/>
          <w:color w:val="auto"/>
          <w:sz w:val="36"/>
          <w:szCs w:val="36"/>
          <w:lang w:val="en-US" w:eastAsia="zh-CN"/>
        </w:rPr>
      </w:pPr>
      <w:bookmarkStart w:id="0" w:name="_GoBack"/>
      <w:bookmarkEnd w:id="0"/>
    </w:p>
    <w:p>
      <w:pPr>
        <w:pStyle w:val="7"/>
        <w:spacing w:before="0" w:beforeAutospacing="0" w:after="0" w:afterAutospacing="0" w:line="596" w:lineRule="exact"/>
        <w:jc w:val="center"/>
        <w:rPr>
          <w:rFonts w:hint="default" w:ascii="方正小标宋_GBK" w:hAnsi="方正小标宋_GBK" w:eastAsia="方正小标宋_GBK" w:cs="方正小标宋_GBK"/>
          <w:b w:val="0"/>
          <w:bCs w:val="0"/>
          <w:color w:val="auto"/>
          <w:sz w:val="36"/>
          <w:szCs w:val="36"/>
          <w:shd w:val="clear" w:color="auto" w:fill="FFFFFF"/>
        </w:rPr>
      </w:pPr>
      <w:r>
        <w:rPr>
          <w:rFonts w:ascii="方正小标宋_GBK" w:hAnsi="方正小标宋_GBK" w:eastAsia="方正小标宋_GBK" w:cs="方正小标宋_GBK"/>
          <w:b w:val="0"/>
          <w:bCs w:val="0"/>
          <w:color w:val="auto"/>
          <w:sz w:val="36"/>
          <w:szCs w:val="36"/>
        </w:rPr>
        <w:t>重庆市秀山土家族苗族自治县生态环境保护综合行政执法支队</w:t>
      </w:r>
      <w:r>
        <w:rPr>
          <w:rFonts w:hint="default" w:ascii="Times New Roman" w:hAnsi="Times New Roman" w:eastAsia="方正小标宋_GBK"/>
          <w:b w:val="0"/>
          <w:bCs w:val="0"/>
          <w:color w:val="auto"/>
          <w:sz w:val="36"/>
          <w:szCs w:val="36"/>
          <w:shd w:val="clear" w:color="auto" w:fill="FFFFFF"/>
        </w:rPr>
        <w:t>2024</w:t>
      </w:r>
      <w:r>
        <w:rPr>
          <w:rFonts w:ascii="方正小标宋_GBK" w:hAnsi="方正小标宋_GBK" w:eastAsia="方正小标宋_GBK" w:cs="方正小标宋_GBK"/>
          <w:b w:val="0"/>
          <w:bCs w:val="0"/>
          <w:color w:val="auto"/>
          <w:sz w:val="36"/>
          <w:szCs w:val="36"/>
          <w:shd w:val="clear" w:color="auto" w:fill="FFFFFF"/>
        </w:rPr>
        <w:t>年度决算公开说明</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一、</w:t>
      </w:r>
      <w:r>
        <w:rPr>
          <w:rStyle w:val="11"/>
          <w:rFonts w:hint="eastAsia" w:ascii="方正黑体_GBK" w:hAnsi="方正黑体_GBK" w:eastAsia="方正黑体_GBK" w:cs="方正黑体_GBK"/>
          <w:b w:val="0"/>
          <w:bCs/>
          <w:color w:val="auto"/>
          <w:sz w:val="32"/>
          <w:szCs w:val="32"/>
          <w:shd w:val="clear" w:color="auto" w:fill="FFFFFF"/>
          <w:lang w:eastAsia="zh-CN"/>
        </w:rPr>
        <w:t>部门</w:t>
      </w:r>
      <w:r>
        <w:rPr>
          <w:rStyle w:val="11"/>
          <w:rFonts w:hint="eastAsia" w:ascii="方正黑体_GBK" w:hAnsi="方正黑体_GBK" w:eastAsia="方正黑体_GBK" w:cs="方正黑体_GBK"/>
          <w:b w:val="0"/>
          <w:bCs/>
          <w:color w:val="auto"/>
          <w:sz w:val="32"/>
          <w:szCs w:val="32"/>
          <w:shd w:val="clear" w:color="auto" w:fill="FFFFFF"/>
        </w:rPr>
        <w:t>基本情况</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秀山土家族苗族自治县生态环境保护综合行政执法支队以县生态环境局名义，统一行使污染防治、生态保护、核与辐射安全的行政处罚权及与之相关的行政检查、行政强制权等执法职能。</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（1）承担生态环境保护法律、法规、规章和其他规范性文件的监督执行工作。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2）承担污染防治执法事项和违法案件的依法调查处理。依法开展水生态环境保护、饮用水水源地、地下水、入河排污口、大气环境保护、土壤生态环境保护、固体废物、化学品、重金属、农村面源污染、工业噪声等方面的污染防治执法和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3）承担生态保护执法事项和违法案件依法调查处理。承担自然保护地内进行非法开矿、修路、筑坝、建设造成生态破坏的生态保护执法和监督检查。依法开展因开发土地、矿藏等造成生态破坏的行政执法和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（4）承担核与辐射安全执法事项和违法案件的依法调查处理，依法组织开展核与辐射安全监督检查。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（5）受理县生态环境行政主管部门执法职责范围内违法行为的信访投诉、举报。</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（6）依法配合其它部门开展与本部门相关的执法工作。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（7）承担与生态环境保护综合行政执法有关的应急工作。</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（8）完成县委、县政府和县生态环境局交办的其他任务。</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（二）机构设置</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lang w:val="en-US" w:eastAsia="zh-CN"/>
        </w:rPr>
      </w:pPr>
      <w:r>
        <w:rPr>
          <w:rFonts w:hint="default" w:ascii="Times New Roman" w:hAnsi="Times New Roman" w:eastAsia="方正仿宋_GBK" w:cs="Times New Roman"/>
          <w:b w:val="0"/>
          <w:bCs/>
          <w:color w:val="auto"/>
          <w:sz w:val="32"/>
          <w:szCs w:val="32"/>
          <w:lang w:val="en-US" w:eastAsia="zh-CN"/>
        </w:rPr>
        <w:t>秀山县生态环境保护综合行政执法支队设置有7个内设机构，案件法制审查科、举报受理科、一大队、二大队、三大队、四大队、五大队。无二级单位。机构情况无变动。</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二、</w:t>
      </w:r>
      <w:r>
        <w:rPr>
          <w:rStyle w:val="11"/>
          <w:rFonts w:hint="eastAsia" w:ascii="方正黑体_GBK" w:hAnsi="方正黑体_GBK" w:eastAsia="方正黑体_GBK" w:cs="方正黑体_GBK"/>
          <w:b w:val="0"/>
          <w:bCs/>
          <w:color w:val="auto"/>
          <w:sz w:val="32"/>
          <w:szCs w:val="32"/>
          <w:shd w:val="clear" w:color="auto" w:fill="FFFFFF"/>
          <w:lang w:eastAsia="zh-CN"/>
        </w:rPr>
        <w:t>部门</w:t>
      </w:r>
      <w:r>
        <w:rPr>
          <w:rStyle w:val="11"/>
          <w:rFonts w:hint="eastAsia" w:ascii="方正黑体_GBK" w:hAnsi="方正黑体_GBK" w:eastAsia="方正黑体_GBK" w:cs="方正黑体_GBK"/>
          <w:b w:val="0"/>
          <w:bCs/>
          <w:color w:val="auto"/>
          <w:sz w:val="32"/>
          <w:szCs w:val="32"/>
          <w:shd w:val="clear" w:color="auto" w:fill="FFFFFF"/>
        </w:rPr>
        <w:t>决算</w:t>
      </w:r>
      <w:r>
        <w:rPr>
          <w:rStyle w:val="11"/>
          <w:rFonts w:hint="eastAsia" w:ascii="方正黑体_GBK" w:hAnsi="方正黑体_GBK" w:eastAsia="方正黑体_GBK" w:cs="方正黑体_GBK"/>
          <w:b w:val="0"/>
          <w:bCs/>
          <w:color w:val="auto"/>
          <w:sz w:val="32"/>
          <w:szCs w:val="32"/>
          <w:shd w:val="clear" w:color="auto" w:fill="FFFFFF"/>
          <w:lang w:eastAsia="zh-CN"/>
        </w:rPr>
        <w:t>收支</w:t>
      </w:r>
      <w:r>
        <w:rPr>
          <w:rStyle w:val="11"/>
          <w:rFonts w:hint="eastAsia" w:ascii="方正黑体_GBK" w:hAnsi="方正黑体_GBK" w:eastAsia="方正黑体_GBK" w:cs="方正黑体_GBK"/>
          <w:b w:val="0"/>
          <w:bCs/>
          <w:color w:val="auto"/>
          <w:sz w:val="32"/>
          <w:szCs w:val="32"/>
          <w:shd w:val="clear" w:color="auto" w:fill="FFFFFF"/>
        </w:rPr>
        <w:t>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（一）收入支出决算总体情况说明</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lang w:eastAsia="zh-CN"/>
        </w:rPr>
      </w:pPr>
      <w:r>
        <w:rPr>
          <w:rFonts w:hint="default" w:ascii="Times New Roman" w:hAnsi="Times New Roman" w:eastAsia="方正仿宋_GBK" w:cs="Times New Roman"/>
          <w:b w:val="0"/>
          <w:bCs/>
          <w:color w:val="auto"/>
          <w:sz w:val="32"/>
          <w:szCs w:val="32"/>
          <w:shd w:val="clear" w:color="auto" w:fill="FFFFFF"/>
        </w:rPr>
        <w:t>2024年度收</w:t>
      </w:r>
      <w:r>
        <w:rPr>
          <w:rFonts w:hint="default" w:ascii="Times New Roman" w:hAnsi="Times New Roman" w:eastAsia="方正仿宋_GBK" w:cs="Times New Roman"/>
          <w:b w:val="0"/>
          <w:bCs/>
          <w:color w:val="auto"/>
          <w:sz w:val="32"/>
          <w:szCs w:val="32"/>
          <w:shd w:val="clear" w:color="auto" w:fill="FFFFFF"/>
          <w:lang w:eastAsia="zh-CN"/>
        </w:rPr>
        <w:t>、支</w:t>
      </w:r>
      <w:r>
        <w:rPr>
          <w:rFonts w:hint="default" w:ascii="Times New Roman" w:hAnsi="Times New Roman" w:eastAsia="方正仿宋_GBK" w:cs="Times New Roman"/>
          <w:b w:val="0"/>
          <w:bCs/>
          <w:color w:val="auto"/>
          <w:sz w:val="32"/>
          <w:szCs w:val="32"/>
          <w:shd w:val="clear" w:color="auto" w:fill="FFFFFF"/>
        </w:rPr>
        <w:t>总计</w:t>
      </w:r>
      <w:r>
        <w:rPr>
          <w:rFonts w:hint="default" w:ascii="Times New Roman" w:hAnsi="Times New Roman" w:eastAsia="方正仿宋_GBK" w:cs="Times New Roman"/>
          <w:b w:val="0"/>
          <w:bCs/>
          <w:color w:val="auto"/>
          <w:sz w:val="32"/>
          <w:szCs w:val="32"/>
          <w:shd w:val="clear" w:color="auto" w:fill="FFFFFF"/>
          <w:lang w:eastAsia="zh-CN"/>
        </w:rPr>
        <w:t>均为</w:t>
      </w:r>
      <w:r>
        <w:rPr>
          <w:rFonts w:hint="default" w:ascii="Times New Roman" w:hAnsi="Times New Roman" w:eastAsia="方正仿宋_GBK" w:cs="Times New Roman"/>
          <w:b w:val="0"/>
          <w:bCs/>
          <w:color w:val="auto"/>
          <w:sz w:val="32"/>
          <w:szCs w:val="32"/>
          <w:shd w:val="clear" w:color="auto" w:fill="FFFFFF"/>
        </w:rPr>
        <w:t>614.53万元。收、支与2023年度相比，增加3.04万元，增长0.5%，主要原因是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p>
    <w:p>
      <w:pPr>
        <w:pStyle w:val="7"/>
        <w:keepNext w:val="0"/>
        <w:keepLines w:val="0"/>
        <w:pageBreakBefore w:val="0"/>
        <w:shd w:val="clear" w:color="auto" w:fill="FFFFFF"/>
        <w:kinsoku/>
        <w:wordWrap/>
        <w:overflowPunct/>
        <w:topLinePunct w:val="0"/>
        <w:autoSpaceDN/>
        <w:bidi w:val="0"/>
        <w:adjustRightInd/>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rPr>
        <w:t>1</w:t>
      </w:r>
      <w:r>
        <w:rPr>
          <w:rStyle w:val="11"/>
          <w:rFonts w:hint="default" w:ascii="Times New Roman" w:hAnsi="Times New Roman" w:eastAsia="方正仿宋_GBK" w:cs="Times New Roman"/>
          <w:b w:val="0"/>
          <w:bCs/>
          <w:color w:val="auto"/>
          <w:sz w:val="32"/>
          <w:szCs w:val="32"/>
          <w:shd w:val="clear" w:color="auto" w:fill="FFFFFF"/>
        </w:rPr>
        <w:t>.收入情况。</w:t>
      </w:r>
      <w:r>
        <w:rPr>
          <w:rFonts w:hint="default" w:ascii="Times New Roman" w:hAnsi="Times New Roman" w:eastAsia="方正仿宋_GBK" w:cs="Times New Roman"/>
          <w:b w:val="0"/>
          <w:bCs/>
          <w:color w:val="auto"/>
          <w:sz w:val="32"/>
          <w:szCs w:val="32"/>
          <w:shd w:val="clear" w:color="auto" w:fill="FFFFFF"/>
        </w:rPr>
        <w:t>2024年度收入合计614.53万元，与2023年度相比，增加3.04万元，增长0.5%，主要原因是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r>
        <w:rPr>
          <w:rFonts w:hint="default" w:ascii="Times New Roman" w:hAnsi="Times New Roman" w:eastAsia="方正仿宋_GBK" w:cs="Times New Roman"/>
          <w:b w:val="0"/>
          <w:bCs/>
          <w:color w:val="auto"/>
          <w:sz w:val="32"/>
          <w:szCs w:val="32"/>
          <w:shd w:val="clear" w:color="auto" w:fill="FFFFFF"/>
        </w:rPr>
        <w:t>。其中：财政拨款收入614.53万元，占100.0%；事业收入0.00万元，占0.0%；经营收入0.00万元，占0.0%；其他收入0.00万元，占0.0%。此外，使用非财政拨款结余（含专用结余）0.00万元，年初结转和结余0.00万元。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lang w:val="en-US" w:eastAsia="zh-CN"/>
        </w:rPr>
        <w:t>2</w:t>
      </w:r>
      <w:r>
        <w:rPr>
          <w:rStyle w:val="11"/>
          <w:rFonts w:hint="default" w:ascii="Times New Roman" w:hAnsi="Times New Roman" w:eastAsia="方正仿宋_GBK" w:cs="Times New Roman"/>
          <w:b w:val="0"/>
          <w:bCs/>
          <w:color w:val="auto"/>
          <w:sz w:val="32"/>
          <w:szCs w:val="32"/>
          <w:shd w:val="clear" w:color="auto" w:fill="FFFFFF"/>
        </w:rPr>
        <w:t>.支出情况。</w:t>
      </w:r>
      <w:r>
        <w:rPr>
          <w:rFonts w:hint="default" w:ascii="Times New Roman" w:hAnsi="Times New Roman" w:eastAsia="方正仿宋_GBK" w:cs="Times New Roman"/>
          <w:b w:val="0"/>
          <w:bCs/>
          <w:color w:val="auto"/>
          <w:sz w:val="32"/>
          <w:szCs w:val="32"/>
          <w:shd w:val="clear" w:color="auto" w:fill="FFFFFF"/>
        </w:rPr>
        <w:t>2024年度支出合计614.53万元，与2023年度相比，增加3.04万元，增长0.5%，主要原因是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。其中：基本支出561.76万元，占91.4%；项目支出52.76万元，占8.6%；经营支出</w:t>
      </w:r>
      <w:r>
        <w:rPr>
          <w:rFonts w:hint="default" w:ascii="Times New Roman" w:hAnsi="Times New Roman" w:eastAsia="方正仿宋_GBK" w:cs="Times New Roman"/>
          <w:b w:val="0"/>
          <w:bCs/>
          <w:color w:val="auto"/>
          <w:sz w:val="32"/>
          <w:szCs w:val="32"/>
        </w:rPr>
        <w:t>0.00</w:t>
      </w:r>
      <w:r>
        <w:rPr>
          <w:rFonts w:hint="default" w:ascii="Times New Roman" w:hAnsi="Times New Roman" w:eastAsia="方正仿宋_GBK" w:cs="Times New Roman"/>
          <w:b w:val="0"/>
          <w:bCs/>
          <w:color w:val="auto"/>
          <w:sz w:val="32"/>
          <w:szCs w:val="32"/>
          <w:shd w:val="clear" w:color="auto" w:fill="FFFFFF"/>
        </w:rPr>
        <w:t>万元，占0.0%。此外，结余分配0.00万元。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lang w:val="en-US" w:eastAsia="zh-CN"/>
        </w:rPr>
        <w:t>3</w:t>
      </w:r>
      <w:r>
        <w:rPr>
          <w:rStyle w:val="11"/>
          <w:rFonts w:hint="default" w:ascii="Times New Roman" w:hAnsi="Times New Roman" w:eastAsia="方正仿宋_GBK" w:cs="Times New Roman"/>
          <w:b w:val="0"/>
          <w:bCs/>
          <w:color w:val="auto"/>
          <w:sz w:val="32"/>
          <w:szCs w:val="32"/>
          <w:shd w:val="clear" w:color="auto" w:fill="FFFFFF"/>
        </w:rPr>
        <w:t>.结转结余情况。</w:t>
      </w:r>
      <w:r>
        <w:rPr>
          <w:rFonts w:hint="default" w:ascii="Times New Roman" w:hAnsi="Times New Roman" w:eastAsia="方正仿宋_GBK" w:cs="Times New Roman"/>
          <w:b w:val="0"/>
          <w:bCs/>
          <w:color w:val="auto"/>
          <w:sz w:val="32"/>
          <w:szCs w:val="32"/>
          <w:shd w:val="clear" w:color="auto" w:fill="FFFFFF"/>
        </w:rPr>
        <w:t>2024年度年末结转和结余0.00万元，与2023年度相比，无增减，主要原因是</w:t>
      </w:r>
      <w:r>
        <w:rPr>
          <w:rFonts w:hint="default" w:ascii="Times New Roman" w:hAnsi="Times New Roman" w:eastAsia="方正仿宋_GBK" w:cs="Times New Roman"/>
          <w:b w:val="0"/>
          <w:bCs/>
          <w:color w:val="auto"/>
          <w:sz w:val="32"/>
          <w:szCs w:val="32"/>
          <w:shd w:val="clear" w:color="auto" w:fill="FFFFFF"/>
          <w:lang w:eastAsia="zh-CN"/>
        </w:rPr>
        <w:t>本部门无结转结余</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（二）财政拨款收入支出决算总体情况说明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2024年度财政拨款收、支总计均为614.53万元。与2023年</w:t>
      </w:r>
      <w:r>
        <w:rPr>
          <w:rFonts w:hint="default" w:ascii="Times New Roman" w:hAnsi="Times New Roman" w:eastAsia="方正仿宋_GBK" w:cs="Times New Roman"/>
          <w:b w:val="0"/>
          <w:bCs/>
          <w:color w:val="auto"/>
          <w:sz w:val="32"/>
          <w:szCs w:val="32"/>
          <w:shd w:val="clear" w:color="auto" w:fill="FFFFFF"/>
          <w:lang w:eastAsia="zh-CN"/>
        </w:rPr>
        <w:t>度</w:t>
      </w:r>
      <w:r>
        <w:rPr>
          <w:rFonts w:hint="default" w:ascii="Times New Roman" w:hAnsi="Times New Roman" w:eastAsia="方正仿宋_GBK" w:cs="Times New Roman"/>
          <w:b w:val="0"/>
          <w:bCs/>
          <w:color w:val="auto"/>
          <w:sz w:val="32"/>
          <w:szCs w:val="32"/>
          <w:shd w:val="clear" w:color="auto" w:fill="FFFFFF"/>
        </w:rPr>
        <w:t>相比，财政拨款收、支总计各增加3.04万元，增长0.5%。主要原因是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（三）一般公共预算财政拨款收入支出决算情况说明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Style w:val="11"/>
          <w:rFonts w:hint="default" w:ascii="Times New Roman" w:hAnsi="Times New Roman" w:eastAsia="方正仿宋_GBK" w:cs="Times New Roman"/>
          <w:b w:val="0"/>
          <w:bCs/>
          <w:color w:val="auto"/>
          <w:sz w:val="32"/>
          <w:szCs w:val="32"/>
          <w:shd w:val="clear" w:color="auto" w:fill="FFFFFF"/>
        </w:rPr>
        <w:t>1.收入情况。</w:t>
      </w:r>
      <w:r>
        <w:rPr>
          <w:rFonts w:hint="default" w:ascii="Times New Roman" w:hAnsi="Times New Roman" w:eastAsia="方正仿宋_GBK" w:cs="Times New Roman"/>
          <w:b w:val="0"/>
          <w:bCs/>
          <w:color w:val="auto"/>
          <w:sz w:val="32"/>
          <w:szCs w:val="32"/>
          <w:shd w:val="clear" w:color="auto" w:fill="FFFFFF"/>
        </w:rPr>
        <w:t>2024年度一般公共预算财政拨款收入614.53万元，与2023年度相比，增加3.04万元，增长0.5%。主要原因是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。较年初预算数减少32.57万元，下降5.0%。主要原因是</w:t>
      </w:r>
      <w:r>
        <w:rPr>
          <w:rFonts w:hint="default" w:ascii="Times New Roman" w:hAnsi="Times New Roman" w:eastAsia="方正仿宋_GBK" w:cs="Times New Roman"/>
          <w:b w:val="0"/>
          <w:bCs/>
          <w:color w:val="auto"/>
          <w:sz w:val="32"/>
          <w:szCs w:val="32"/>
          <w:shd w:val="clear" w:color="auto" w:fill="FFFFFF"/>
          <w:lang w:val="en-US" w:eastAsia="zh-CN"/>
        </w:rPr>
        <w:t>2024年初预算项目增加</w:t>
      </w:r>
      <w:r>
        <w:rPr>
          <w:rFonts w:hint="default" w:ascii="Times New Roman" w:hAnsi="Times New Roman" w:eastAsia="方正仿宋_GBK" w:cs="Times New Roman"/>
          <w:b w:val="0"/>
          <w:bCs/>
          <w:color w:val="auto"/>
          <w:sz w:val="32"/>
          <w:szCs w:val="32"/>
          <w:shd w:val="clear" w:color="auto" w:fill="FFFFFF"/>
        </w:rPr>
        <w:t>。此外，年初财政拨款结转和结余0.00万元。</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2.支出情况。</w:t>
      </w:r>
      <w:r>
        <w:rPr>
          <w:rFonts w:hint="default" w:ascii="Times New Roman" w:hAnsi="Times New Roman" w:eastAsia="方正仿宋_GBK" w:cs="Times New Roman"/>
          <w:b w:val="0"/>
          <w:bCs/>
          <w:color w:val="auto"/>
          <w:sz w:val="32"/>
          <w:szCs w:val="32"/>
          <w:shd w:val="clear" w:color="auto" w:fill="FFFFFF"/>
        </w:rPr>
        <w:t>2024年度一般公共预算财政拨款支出614.53万元，与2023年度相比，增加3.04万元，增长0.5%。主要原因是</w:t>
      </w:r>
      <w:r>
        <w:rPr>
          <w:rFonts w:hint="default" w:ascii="Times New Roman" w:hAnsi="Times New Roman" w:eastAsia="方正仿宋_GBK" w:cs="Times New Roman"/>
          <w:b w:val="0"/>
          <w:bCs/>
          <w:color w:val="auto"/>
          <w:sz w:val="32"/>
          <w:szCs w:val="32"/>
          <w:shd w:val="clear" w:color="auto" w:fill="FFFFFF"/>
          <w:lang w:eastAsia="zh-CN"/>
        </w:rPr>
        <w:t>与上年基本持平</w:t>
      </w:r>
      <w:r>
        <w:rPr>
          <w:rFonts w:hint="default" w:ascii="Times New Roman" w:hAnsi="Times New Roman" w:eastAsia="方正仿宋_GBK" w:cs="Times New Roman"/>
          <w:b w:val="0"/>
          <w:bCs/>
          <w:color w:val="auto"/>
          <w:sz w:val="32"/>
          <w:szCs w:val="32"/>
          <w:shd w:val="clear" w:color="auto" w:fill="FFFFFF"/>
        </w:rPr>
        <w:t>。较年初预算数减少32.57万元，下降5.0%。主要原因是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因财政资金紧张项目未支付</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highlight w:val="none"/>
          <w:shd w:val="clear" w:color="auto" w:fill="FFFFFF"/>
        </w:rPr>
      </w:pPr>
      <w:r>
        <w:rPr>
          <w:rFonts w:hint="default" w:ascii="Times New Roman" w:hAnsi="Times New Roman" w:eastAsia="方正仿宋_GBK" w:cs="Times New Roman"/>
          <w:b w:val="0"/>
          <w:bCs/>
          <w:color w:val="auto"/>
          <w:sz w:val="32"/>
          <w:szCs w:val="32"/>
          <w:highlight w:val="none"/>
          <w:shd w:val="clear" w:color="auto" w:fill="FFFFFF"/>
        </w:rPr>
        <w:t>一般公共预算财政拨款支出主要</w:t>
      </w:r>
      <w:r>
        <w:rPr>
          <w:rFonts w:hint="default" w:ascii="Times New Roman" w:hAnsi="Times New Roman" w:eastAsia="方正仿宋_GBK" w:cs="Times New Roman"/>
          <w:b w:val="0"/>
          <w:bCs/>
          <w:color w:val="auto"/>
          <w:sz w:val="32"/>
          <w:szCs w:val="32"/>
          <w:highlight w:val="none"/>
          <w:shd w:val="clear" w:color="auto" w:fill="FFFFFF"/>
          <w:lang w:eastAsia="zh-CN"/>
        </w:rPr>
        <w:t>用途如下</w:t>
      </w:r>
      <w:r>
        <w:rPr>
          <w:rFonts w:hint="default" w:ascii="Times New Roman" w:hAnsi="Times New Roman" w:eastAsia="方正仿宋_GBK" w:cs="Times New Roman"/>
          <w:b w:val="0"/>
          <w:bCs/>
          <w:color w:val="auto"/>
          <w:sz w:val="32"/>
          <w:szCs w:val="32"/>
          <w:highlight w:val="none"/>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（1）一般公共服务支出0.00万元，占0.0%，较年初预算数无增减，主要原因是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本部门无公共服务支出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（2）外交支出0.00万元，占0.0%，较年初预算数无增减，主要原因是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本部门无外交支出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（3）国防支出0.00万元，占0.0%，较年初预算数无增减，主要原因是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本部门无国防支出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（4）公共安全支出0.00万元，占0.0%，较年初预算数无增减，主要原因是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本部门无公共安全支出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（5）教育支出0.00万元，占0.0%，较年初预算数无增减，主要原因是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本部门无教育支出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（6）科学技术支出0.00万元，占0.0%，较年初预算数无增减，主要原因是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本部门无科学技术支出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（7）文化旅游体育与传媒支出0.00万元，占0.0%，较年初预算数无增减，主要原因是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本部门无文化旅游体育与传媒支出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（8）社会保障</w:t>
      </w:r>
      <w:r>
        <w:rPr>
          <w:rFonts w:hint="default" w:ascii="Times New Roman" w:hAnsi="Times New Roman" w:eastAsia="方正仿宋_GBK" w:cs="Times New Roman"/>
          <w:b w:val="0"/>
          <w:bCs/>
          <w:color w:val="auto"/>
          <w:sz w:val="32"/>
          <w:szCs w:val="32"/>
          <w:shd w:val="clear" w:color="auto" w:fill="FFFFFF"/>
          <w:lang w:eastAsia="zh-CN"/>
        </w:rPr>
        <w:t>和</w:t>
      </w:r>
      <w:r>
        <w:rPr>
          <w:rFonts w:hint="default" w:ascii="Times New Roman" w:hAnsi="Times New Roman" w:eastAsia="方正仿宋_GBK" w:cs="Times New Roman"/>
          <w:b w:val="0"/>
          <w:bCs/>
          <w:color w:val="auto"/>
          <w:sz w:val="32"/>
          <w:szCs w:val="32"/>
          <w:shd w:val="clear" w:color="auto" w:fill="FFFFFF"/>
        </w:rPr>
        <w:t>就业支出76.81万元，占12.5%，较年初预算数减少0.16万元，下降0.2%，主要原因是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（9）卫生健康支出36.16万元，占5.9%，较年初预算数无增减，主要原因是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与上年度基本持平</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（10）节能环保支出460.99万元，占75.0%，较年初预算数减少32.41万元，下降6.6%，主要原因是</w:t>
      </w:r>
      <w:r>
        <w:rPr>
          <w:rFonts w:hint="default" w:ascii="Times New Roman" w:hAnsi="Times New Roman" w:eastAsia="方正仿宋_GBK" w:cs="Times New Roman"/>
          <w:b w:val="0"/>
          <w:bCs/>
          <w:color w:val="auto"/>
          <w:sz w:val="32"/>
          <w:szCs w:val="32"/>
          <w:shd w:val="clear" w:color="auto" w:fill="FFFFFF"/>
          <w:lang w:eastAsia="zh-CN"/>
        </w:rPr>
        <w:t>因财政紧张项目未支付</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（11）城乡社区支出0.00万元，占0.0%，较年初预算数无增减，主要原因是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本部门无城乡社区支出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（12）农林水支出0.00万元，占0.0%，较年初预算数无增减，主要原因是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本部门无农林水支出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（13）交通运输支出0.00万元，占0.0%，较年初预算数无增减，主要原因是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本部门无交通运输支出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（14）资源勘探信息等支出0.00万元，占0.0%，较年初预算数无增减，主要原因是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本部门无资源勘探信息等支出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（15）商业服务业等支出0.00万元，占0.0%，较年初预算数无增减，主要原因是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本部门无商业服务业等支出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（16）金融支出0.00万元，占0.0%，较年初预算数无增减，主要原因是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本部门无金融支出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（17）</w:t>
      </w:r>
      <w:r>
        <w:rPr>
          <w:rFonts w:hint="default" w:ascii="Times New Roman" w:hAnsi="Times New Roman" w:eastAsia="方正仿宋_GBK" w:cs="Times New Roman"/>
          <w:b w:val="0"/>
          <w:bCs/>
          <w:color w:val="auto"/>
          <w:sz w:val="32"/>
          <w:szCs w:val="32"/>
        </w:rPr>
        <w:t>援助其他地区支出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本部门无援助其他地区支出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（18）</w:t>
      </w:r>
      <w:r>
        <w:rPr>
          <w:rFonts w:hint="default" w:ascii="Times New Roman" w:hAnsi="Times New Roman" w:eastAsia="方正仿宋_GBK" w:cs="Times New Roman"/>
          <w:b w:val="0"/>
          <w:bCs/>
          <w:color w:val="auto"/>
          <w:sz w:val="32"/>
          <w:szCs w:val="32"/>
        </w:rPr>
        <w:t>自然资源海洋气象等支出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本部门无自然资源海洋气象等支出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（19）</w:t>
      </w:r>
      <w:r>
        <w:rPr>
          <w:rFonts w:hint="default" w:ascii="Times New Roman" w:hAnsi="Times New Roman" w:eastAsia="方正仿宋_GBK" w:cs="Times New Roman"/>
          <w:b w:val="0"/>
          <w:bCs/>
          <w:color w:val="auto"/>
          <w:sz w:val="32"/>
          <w:szCs w:val="32"/>
        </w:rPr>
        <w:t>住房保障支出</w:t>
      </w:r>
      <w:r>
        <w:rPr>
          <w:rFonts w:hint="default" w:ascii="Times New Roman" w:hAnsi="Times New Roman" w:eastAsia="方正仿宋_GBK" w:cs="Times New Roman"/>
          <w:b w:val="0"/>
          <w:bCs/>
          <w:color w:val="auto"/>
          <w:sz w:val="32"/>
          <w:szCs w:val="32"/>
          <w:shd w:val="clear" w:color="auto" w:fill="FFFFFF"/>
        </w:rPr>
        <w:t>40.57万元，占6.6%，较年初预算数无增减，主要原因是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与</w:t>
      </w:r>
      <w:r>
        <w:rPr>
          <w:rFonts w:hint="eastAsia" w:ascii="Times New Roman" w:hAnsi="Times New Roman" w:eastAsia="方正仿宋_GBK" w:cs="Times New Roman"/>
          <w:b w:val="0"/>
          <w:bCs/>
          <w:color w:val="auto"/>
          <w:sz w:val="32"/>
          <w:szCs w:val="32"/>
          <w:shd w:val="clear" w:color="auto" w:fill="FFFFFF"/>
          <w:lang w:eastAsia="zh-CN"/>
        </w:rPr>
        <w:t>年初预算</w:t>
      </w:r>
      <w:r>
        <w:rPr>
          <w:rFonts w:hint="default" w:ascii="Times New Roman" w:hAnsi="Times New Roman" w:eastAsia="方正仿宋_GBK" w:cs="Times New Roman"/>
          <w:b w:val="0"/>
          <w:bCs/>
          <w:color w:val="auto"/>
          <w:sz w:val="32"/>
          <w:szCs w:val="32"/>
          <w:shd w:val="clear" w:color="auto" w:fill="FFFFFF"/>
          <w:lang w:eastAsia="zh-CN"/>
        </w:rPr>
        <w:t>基本持平</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w:t>
      </w:r>
      <w:r>
        <w:rPr>
          <w:rFonts w:hint="default" w:ascii="Times New Roman" w:hAnsi="Times New Roman" w:eastAsia="方正仿宋_GBK" w:cs="Times New Roman"/>
          <w:b w:val="0"/>
          <w:bCs/>
          <w:color w:val="auto"/>
          <w:sz w:val="32"/>
          <w:szCs w:val="32"/>
        </w:rPr>
        <w:t>粮油物资储备支出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本部门无粮油物资储备支出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（21）</w:t>
      </w:r>
      <w:r>
        <w:rPr>
          <w:rFonts w:hint="default" w:ascii="Times New Roman" w:hAnsi="Times New Roman" w:eastAsia="方正仿宋_GBK" w:cs="Times New Roman"/>
          <w:b w:val="0"/>
          <w:bCs/>
          <w:color w:val="auto"/>
          <w:sz w:val="32"/>
          <w:szCs w:val="32"/>
        </w:rPr>
        <w:t>国有资本经营预算支出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本部门无国有资本经营预算支出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（22）</w:t>
      </w:r>
      <w:r>
        <w:rPr>
          <w:rFonts w:hint="default" w:ascii="Times New Roman" w:hAnsi="Times New Roman" w:eastAsia="方正仿宋_GBK" w:cs="Times New Roman"/>
          <w:b w:val="0"/>
          <w:bCs/>
          <w:color w:val="auto"/>
          <w:sz w:val="32"/>
          <w:szCs w:val="32"/>
        </w:rPr>
        <w:t>灾害防治及应急管理支出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本部门无灾害防治及应急管理支出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（23）</w:t>
      </w:r>
      <w:r>
        <w:rPr>
          <w:rFonts w:hint="default" w:ascii="Times New Roman" w:hAnsi="Times New Roman" w:eastAsia="方正仿宋_GBK" w:cs="Times New Roman"/>
          <w:b w:val="0"/>
          <w:bCs/>
          <w:color w:val="auto"/>
          <w:sz w:val="32"/>
          <w:szCs w:val="32"/>
        </w:rPr>
        <w:t>其他支出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本部门无其他支出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（24）</w:t>
      </w:r>
      <w:r>
        <w:rPr>
          <w:rFonts w:hint="default" w:ascii="Times New Roman" w:hAnsi="Times New Roman" w:eastAsia="方正仿宋_GBK" w:cs="Times New Roman"/>
          <w:b w:val="0"/>
          <w:bCs/>
          <w:color w:val="auto"/>
          <w:sz w:val="32"/>
          <w:szCs w:val="32"/>
        </w:rPr>
        <w:t>债务还本支出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本部门无债务还本支出</w:t>
      </w:r>
      <w:r>
        <w:rPr>
          <w:rFonts w:hint="default" w:ascii="Times New Roman" w:hAnsi="Times New Roman" w:eastAsia="方正仿宋_GBK" w:cs="Times New Roman"/>
          <w:b w:val="0"/>
          <w:bCs/>
          <w:color w:val="auto"/>
          <w:sz w:val="32"/>
          <w:szCs w:val="32"/>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（25）</w:t>
      </w:r>
      <w:r>
        <w:rPr>
          <w:rFonts w:hint="default" w:ascii="Times New Roman" w:hAnsi="Times New Roman" w:eastAsia="方正仿宋_GBK" w:cs="Times New Roman"/>
          <w:b w:val="0"/>
          <w:bCs/>
          <w:color w:val="auto"/>
          <w:sz w:val="32"/>
          <w:szCs w:val="32"/>
        </w:rPr>
        <w:t>债务付息支出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本部门无债务付息支出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（26）</w:t>
      </w:r>
      <w:r>
        <w:rPr>
          <w:rFonts w:hint="default" w:ascii="Times New Roman" w:hAnsi="Times New Roman" w:eastAsia="方正仿宋_GBK" w:cs="Times New Roman"/>
          <w:b w:val="0"/>
          <w:bCs/>
          <w:color w:val="auto"/>
          <w:sz w:val="32"/>
          <w:szCs w:val="32"/>
        </w:rPr>
        <w:t>抗疫特别国债安排的支出</w:t>
      </w:r>
      <w:r>
        <w:rPr>
          <w:rFonts w:hint="default" w:ascii="Times New Roman" w:hAnsi="Times New Roman" w:eastAsia="方正仿宋_GBK" w:cs="Times New Roman"/>
          <w:b w:val="0"/>
          <w:bCs/>
          <w:color w:val="auto"/>
          <w:sz w:val="32"/>
          <w:szCs w:val="32"/>
          <w:shd w:val="clear" w:color="auto" w:fill="FFFFFF"/>
        </w:rPr>
        <w:t>0.00万元，占0.0%，较年初预算数无增减，主要原因是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本部门无抗疫特别国债支出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Style w:val="11"/>
          <w:rFonts w:hint="default" w:ascii="Times New Roman" w:hAnsi="Times New Roman" w:eastAsia="方正仿宋_GBK" w:cs="Times New Roman"/>
          <w:b w:val="0"/>
          <w:bCs/>
          <w:color w:val="auto"/>
          <w:sz w:val="32"/>
          <w:szCs w:val="32"/>
          <w:shd w:val="clear" w:color="auto" w:fill="FFFFFF"/>
        </w:rPr>
        <w:t>3.结转结余情况。</w:t>
      </w:r>
      <w:r>
        <w:rPr>
          <w:rFonts w:hint="default" w:ascii="Times New Roman" w:hAnsi="Times New Roman" w:eastAsia="方正仿宋_GBK" w:cs="Times New Roman"/>
          <w:b w:val="0"/>
          <w:bCs/>
          <w:color w:val="auto"/>
          <w:sz w:val="32"/>
          <w:szCs w:val="32"/>
          <w:shd w:val="clear" w:color="auto" w:fill="FFFFFF"/>
        </w:rPr>
        <w:t>2024年度年末一般公共预算财政拨款结转和结余0.00万元，与2023年度相比，无增减，主要原因是</w:t>
      </w:r>
      <w:r>
        <w:rPr>
          <w:rFonts w:hint="default" w:ascii="Times New Roman" w:hAnsi="Times New Roman" w:eastAsia="方正仿宋_GBK" w:cs="Times New Roman"/>
          <w:b w:val="0"/>
          <w:bCs/>
          <w:color w:val="auto"/>
          <w:sz w:val="32"/>
          <w:szCs w:val="32"/>
          <w:shd w:val="clear" w:color="auto" w:fill="FFFFFF"/>
          <w:lang w:eastAsia="zh-CN"/>
        </w:rPr>
        <w:t>本部门无结转结余情况</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（四）一般公共预算财政拨款基本支出决算情况说明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FFFFFF"/>
        </w:rPr>
      </w:pPr>
      <w:r>
        <w:rPr>
          <w:rFonts w:hint="default" w:ascii="Times New Roman" w:hAnsi="Times New Roman" w:eastAsia="方正仿宋_GBK" w:cs="Times New Roman"/>
          <w:b w:val="0"/>
          <w:bCs/>
          <w:color w:val="auto"/>
          <w:sz w:val="32"/>
          <w:szCs w:val="32"/>
          <w:shd w:val="clear" w:color="auto" w:fill="FFFFFF"/>
        </w:rPr>
        <w:t>2024年度一般公共财政拨款基本支出561.76万元。其中：人员经费506.84万元，与2023年度相比，增加5.32万元，增长1.1%，主要原因是</w:t>
      </w:r>
      <w:r>
        <w:rPr>
          <w:rFonts w:hint="default" w:ascii="Times New Roman" w:hAnsi="Times New Roman" w:eastAsia="方正仿宋_GBK" w:cs="Times New Roman"/>
          <w:b w:val="0"/>
          <w:bCs/>
          <w:color w:val="auto"/>
          <w:sz w:val="32"/>
          <w:szCs w:val="32"/>
          <w:shd w:val="clear" w:color="auto" w:fill="FFFFFF"/>
          <w:lang w:eastAsia="zh-CN"/>
        </w:rPr>
        <w:t>每年人员工资调整</w:t>
      </w:r>
      <w:r>
        <w:rPr>
          <w:rFonts w:hint="default" w:ascii="Times New Roman" w:hAnsi="Times New Roman" w:eastAsia="方正仿宋_GBK" w:cs="Times New Roman"/>
          <w:b w:val="0"/>
          <w:bCs/>
          <w:color w:val="auto"/>
          <w:sz w:val="32"/>
          <w:szCs w:val="32"/>
          <w:shd w:val="clear" w:color="auto" w:fill="FFFFFF"/>
        </w:rPr>
        <w:t>。人员经费用途主要包括</w:t>
      </w:r>
      <w:r>
        <w:rPr>
          <w:rFonts w:hint="default" w:ascii="Times New Roman" w:hAnsi="Times New Roman" w:eastAsia="方正仿宋_GBK" w:cs="Times New Roman"/>
          <w:b w:val="0"/>
          <w:bCs/>
          <w:color w:val="auto"/>
          <w:sz w:val="32"/>
          <w:szCs w:val="32"/>
          <w:shd w:val="clear" w:color="auto" w:fill="FFFFFF"/>
          <w:lang w:val="en-US" w:eastAsia="zh-CN"/>
        </w:rPr>
        <w:t>基本工资、津贴补贴、奖金、社会保障缴费等</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公用经费54.92万元，与2023年度相比，减少14.87万元，下降21.3%，主要原因是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因财政资金紧张部分公用经费未支付</w:t>
      </w:r>
      <w:r>
        <w:rPr>
          <w:rFonts w:hint="default" w:ascii="Times New Roman" w:hAnsi="Times New Roman" w:eastAsia="方正仿宋_GBK" w:cs="Times New Roman"/>
          <w:b w:val="0"/>
          <w:bCs/>
          <w:color w:val="auto"/>
          <w:sz w:val="32"/>
          <w:szCs w:val="32"/>
          <w:shd w:val="clear" w:color="auto" w:fill="FFFFFF"/>
        </w:rPr>
        <w:t>。公用经费用途主要包括</w:t>
      </w:r>
      <w:r>
        <w:rPr>
          <w:rFonts w:hint="default" w:ascii="Times New Roman" w:hAnsi="Times New Roman" w:eastAsia="方正仿宋_GBK" w:cs="Times New Roman"/>
          <w:b w:val="0"/>
          <w:bCs/>
          <w:color w:val="auto"/>
          <w:sz w:val="32"/>
          <w:szCs w:val="32"/>
          <w:shd w:val="clear" w:color="auto" w:fill="FFFFFF"/>
          <w:lang w:val="en-US" w:eastAsia="zh-CN"/>
        </w:rPr>
        <w:t>办公费、印刷费、差旅费、物管费、邮电费、办公设备购置等</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（五）政府性基金预算收支决算情况说明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auto" w:fill="auto"/>
        </w:rPr>
      </w:pPr>
      <w:r>
        <w:rPr>
          <w:rFonts w:hint="default" w:ascii="Times New Roman" w:hAnsi="Times New Roman" w:eastAsia="方正仿宋_GBK" w:cs="Times New Roman"/>
          <w:b w:val="0"/>
          <w:bCs/>
          <w:color w:val="auto"/>
          <w:sz w:val="32"/>
          <w:szCs w:val="32"/>
          <w:shd w:val="clear" w:color="auto" w:fill="FFFFFF"/>
        </w:rPr>
        <w:t>2024年度政府性基金预算财政拨款年初结转结余0.00万元，年末结转结余0.00万元。本年收入0.00万元，与2023年度相比，无增减，主要原因是</w:t>
      </w:r>
      <w:r>
        <w:rPr>
          <w:rStyle w:val="11"/>
          <w:rFonts w:hint="default" w:ascii="Times New Roman" w:hAnsi="Times New Roman" w:eastAsia="方正仿宋_GBK" w:cs="Times New Roman"/>
          <w:b w:val="0"/>
          <w:bCs/>
          <w:color w:val="auto"/>
          <w:sz w:val="32"/>
          <w:szCs w:val="32"/>
          <w:shd w:val="clear" w:color="auto" w:fill="auto"/>
          <w:lang w:eastAsia="zh-CN"/>
        </w:rPr>
        <w:t>本部门</w:t>
      </w:r>
      <w:r>
        <w:rPr>
          <w:rStyle w:val="11"/>
          <w:rFonts w:hint="default" w:ascii="Times New Roman" w:hAnsi="Times New Roman" w:eastAsia="方正仿宋_GBK" w:cs="Times New Roman"/>
          <w:b w:val="0"/>
          <w:bCs/>
          <w:color w:val="auto"/>
          <w:sz w:val="32"/>
          <w:szCs w:val="32"/>
          <w:shd w:val="clear" w:color="auto" w:fill="auto"/>
        </w:rPr>
        <w:t>2024年度无政府性基金预算财政拨款收支</w:t>
      </w:r>
      <w:r>
        <w:rPr>
          <w:rFonts w:hint="default" w:ascii="Times New Roman" w:hAnsi="Times New Roman" w:eastAsia="方正仿宋_GBK" w:cs="Times New Roman"/>
          <w:b w:val="0"/>
          <w:bCs/>
          <w:color w:val="auto"/>
          <w:sz w:val="32"/>
          <w:szCs w:val="32"/>
          <w:shd w:val="clear" w:color="auto" w:fill="FFFFFF"/>
        </w:rPr>
        <w:t>。本年支出0.00万元，与2023年度相比，无增减，主要原因是</w:t>
      </w:r>
      <w:r>
        <w:rPr>
          <w:rStyle w:val="11"/>
          <w:rFonts w:hint="default" w:ascii="Times New Roman" w:hAnsi="Times New Roman" w:eastAsia="方正仿宋_GBK" w:cs="Times New Roman"/>
          <w:b w:val="0"/>
          <w:bCs/>
          <w:color w:val="auto"/>
          <w:sz w:val="32"/>
          <w:szCs w:val="32"/>
          <w:shd w:val="clear" w:color="auto" w:fill="auto"/>
          <w:lang w:eastAsia="zh-CN"/>
        </w:rPr>
        <w:t>本部门</w:t>
      </w:r>
      <w:r>
        <w:rPr>
          <w:rStyle w:val="11"/>
          <w:rFonts w:hint="default" w:ascii="Times New Roman" w:hAnsi="Times New Roman" w:eastAsia="方正仿宋_GBK" w:cs="Times New Roman"/>
          <w:b w:val="0"/>
          <w:bCs/>
          <w:color w:val="auto"/>
          <w:sz w:val="32"/>
          <w:szCs w:val="32"/>
          <w:shd w:val="clear" w:color="auto" w:fill="auto"/>
        </w:rPr>
        <w:t>2024年度无政府性基金预算财政拨款收支</w:t>
      </w:r>
      <w:r>
        <w:rPr>
          <w:rFonts w:hint="default" w:ascii="Times New Roman" w:hAnsi="Times New Roman" w:eastAsia="方正仿宋_GBK" w:cs="Times New Roman"/>
          <w:b w:val="0"/>
          <w:bCs/>
          <w:color w:val="auto"/>
          <w:sz w:val="32"/>
          <w:szCs w:val="32"/>
          <w:shd w:val="clear" w:color="auto" w:fill="auto"/>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（六）国有资本经营预算财政拨款支出决算情况说明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shd w:val="clear" w:color="FFFFFF" w:fill="D9D9D9"/>
        </w:rPr>
      </w:pPr>
      <w:r>
        <w:rPr>
          <w:rFonts w:hint="default" w:ascii="Times New Roman" w:hAnsi="Times New Roman" w:eastAsia="方正仿宋_GBK" w:cs="Times New Roman"/>
          <w:b w:val="0"/>
          <w:bCs/>
          <w:color w:val="auto"/>
          <w:sz w:val="32"/>
          <w:szCs w:val="32"/>
          <w:shd w:val="clear" w:color="auto" w:fill="FFFFFF"/>
        </w:rPr>
        <w:t>2024年度国有资本经营预算财政拨款支出0.00万元，基本支出0.00万元，项目支出0.00万元，</w:t>
      </w:r>
      <w:r>
        <w:rPr>
          <w:rStyle w:val="11"/>
          <w:rFonts w:hint="default" w:ascii="Times New Roman" w:hAnsi="Times New Roman" w:eastAsia="方正仿宋_GBK" w:cs="Times New Roman"/>
          <w:b w:val="0"/>
          <w:bCs/>
          <w:color w:val="auto"/>
          <w:sz w:val="32"/>
          <w:szCs w:val="32"/>
          <w:shd w:val="clear" w:color="auto" w:fill="auto"/>
          <w:lang w:eastAsia="zh-CN"/>
        </w:rPr>
        <w:t>本部门</w:t>
      </w:r>
      <w:r>
        <w:rPr>
          <w:rStyle w:val="11"/>
          <w:rFonts w:hint="default" w:ascii="Times New Roman" w:hAnsi="Times New Roman" w:eastAsia="方正仿宋_GBK" w:cs="Times New Roman"/>
          <w:b w:val="0"/>
          <w:bCs/>
          <w:color w:val="auto"/>
          <w:sz w:val="32"/>
          <w:szCs w:val="32"/>
          <w:shd w:val="clear" w:color="auto" w:fill="auto"/>
        </w:rPr>
        <w:t>2024年度无国有资本经营预算财政拨款支出</w:t>
      </w:r>
      <w:r>
        <w:rPr>
          <w:rFonts w:hint="default" w:ascii="Times New Roman" w:hAnsi="Times New Roman" w:eastAsia="方正仿宋_GBK" w:cs="Times New Roman"/>
          <w:b w:val="0"/>
          <w:bCs/>
          <w:color w:val="auto"/>
          <w:sz w:val="32"/>
          <w:szCs w:val="32"/>
          <w:shd w:val="clear" w:color="auto" w:fill="auto"/>
        </w:rPr>
        <w:t>。</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三、</w:t>
      </w:r>
      <w:r>
        <w:rPr>
          <w:rStyle w:val="11"/>
          <w:rFonts w:hint="eastAsia" w:ascii="方正黑体_GBK" w:hAnsi="方正黑体_GBK" w:eastAsia="方正黑体_GBK" w:cs="方正黑体_GBK"/>
          <w:b w:val="0"/>
          <w:bCs/>
          <w:color w:val="auto"/>
          <w:sz w:val="32"/>
          <w:szCs w:val="32"/>
          <w:shd w:val="clear" w:color="auto" w:fill="FFFFFF"/>
          <w:lang w:eastAsia="zh-CN"/>
        </w:rPr>
        <w:t>财政拨款</w:t>
      </w:r>
      <w:r>
        <w:rPr>
          <w:rStyle w:val="11"/>
          <w:rFonts w:hint="eastAsia" w:ascii="方正黑体_GBK" w:hAnsi="方正黑体_GBK" w:eastAsia="方正黑体_GBK" w:cs="方正黑体_GBK"/>
          <w:b w:val="0"/>
          <w:bCs/>
          <w:color w:val="auto"/>
          <w:sz w:val="32"/>
          <w:szCs w:val="32"/>
          <w:shd w:val="clear" w:color="auto" w:fill="FFFFFF"/>
        </w:rPr>
        <w:t>“三公”经费情况说明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（一）“三公”经费支出总体情况说明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w:t>
      </w:r>
      <w:r>
        <w:rPr>
          <w:rFonts w:hint="eastAsia" w:ascii="方正仿宋_GBK" w:hAnsi="方正仿宋_GBK" w:eastAsia="方正仿宋_GBK" w:cs="方正仿宋_GBK"/>
          <w:b w:val="0"/>
          <w:bCs/>
          <w:color w:val="auto"/>
          <w:sz w:val="32"/>
          <w:szCs w:val="32"/>
          <w:shd w:val="clear" w:color="auto" w:fill="FFFFFF"/>
        </w:rPr>
        <w:t>度“三公”</w:t>
      </w:r>
      <w:r>
        <w:rPr>
          <w:rFonts w:hint="default" w:ascii="Times New Roman" w:hAnsi="Times New Roman" w:eastAsia="方正仿宋_GBK" w:cs="Times New Roman"/>
          <w:b w:val="0"/>
          <w:bCs/>
          <w:color w:val="auto"/>
          <w:sz w:val="32"/>
          <w:szCs w:val="32"/>
          <w:shd w:val="clear" w:color="auto" w:fill="FFFFFF"/>
        </w:rPr>
        <w:t>经费支出共计3.39万元，较年初预算数增加2.39万元，增长239.0%，主要原因是</w:t>
      </w:r>
      <w:r>
        <w:rPr>
          <w:rFonts w:hint="default" w:ascii="Times New Roman" w:hAnsi="Times New Roman" w:eastAsia="方正仿宋_GBK" w:cs="Times New Roman"/>
          <w:b w:val="0"/>
          <w:bCs/>
          <w:color w:val="auto"/>
          <w:sz w:val="32"/>
          <w:szCs w:val="32"/>
          <w:shd w:val="clear" w:color="auto" w:fill="FFFFFF"/>
          <w:lang w:eastAsia="zh-CN"/>
        </w:rPr>
        <w:t>本部门年初未预算公务车运行维护费，实际有两台车产生了公车费用</w:t>
      </w:r>
      <w:r>
        <w:rPr>
          <w:rFonts w:hint="default" w:ascii="Times New Roman" w:hAnsi="Times New Roman" w:eastAsia="方正仿宋_GBK" w:cs="Times New Roman"/>
          <w:b w:val="0"/>
          <w:bCs/>
          <w:color w:val="auto"/>
          <w:sz w:val="32"/>
          <w:szCs w:val="32"/>
          <w:shd w:val="clear" w:color="auto" w:fill="FFFFFF"/>
        </w:rPr>
        <w:t>。较上年支出数减少2.21万元，下降39.5%，主要原因是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w:t>
      </w:r>
      <w:r>
        <w:rPr>
          <w:rFonts w:hint="eastAsia" w:ascii="方正仿宋_GBK" w:hAnsi="方正仿宋_GBK" w:eastAsia="方正仿宋_GBK" w:cs="方正仿宋_GBK"/>
          <w:b w:val="0"/>
          <w:bCs/>
          <w:color w:val="auto"/>
          <w:sz w:val="32"/>
          <w:szCs w:val="32"/>
          <w:shd w:val="clear" w:color="auto" w:fill="FFFFFF"/>
          <w:lang w:val="en-US" w:eastAsia="zh-CN"/>
        </w:rPr>
        <w:t>求从严控制“三公”经费</w:t>
      </w:r>
      <w:r>
        <w:rPr>
          <w:rFonts w:hint="eastAsia"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（二）“三公”经费分项支出情况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rPr>
        <w:t>因公出国（境）费用0.00万元，主要是用于</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2024年度无因公出国（境）费用</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车购置费0.00万元，主要用于</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。费用支出较年初预算数无增减，主要原因是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。较上年支出数无增减，主要原因是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2024年度未购置公务用车</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w:t>
      </w:r>
      <w:r>
        <w:rPr>
          <w:rFonts w:hint="default" w:ascii="Times New Roman" w:hAnsi="Times New Roman" w:eastAsia="方正仿宋_GBK" w:cs="Times New Roman"/>
          <w:b w:val="0"/>
          <w:bCs/>
          <w:color w:val="auto"/>
          <w:sz w:val="32"/>
          <w:szCs w:val="32"/>
          <w:shd w:val="clear" w:color="auto" w:fill="FFFFFF"/>
          <w:lang w:eastAsia="zh-CN"/>
        </w:rPr>
        <w:t>用</w:t>
      </w:r>
      <w:r>
        <w:rPr>
          <w:rFonts w:hint="default" w:ascii="Times New Roman" w:hAnsi="Times New Roman" w:eastAsia="方正仿宋_GBK" w:cs="Times New Roman"/>
          <w:b w:val="0"/>
          <w:bCs/>
          <w:color w:val="auto"/>
          <w:sz w:val="32"/>
          <w:szCs w:val="32"/>
          <w:shd w:val="clear" w:color="auto" w:fill="FFFFFF"/>
        </w:rPr>
        <w:t>车运行维护费2.63万元，主要用于</w:t>
      </w:r>
      <w:r>
        <w:rPr>
          <w:rFonts w:hint="default" w:ascii="Times New Roman" w:hAnsi="Times New Roman" w:eastAsia="方正仿宋_GBK" w:cs="Times New Roman"/>
          <w:b w:val="0"/>
          <w:bCs/>
          <w:color w:val="auto"/>
          <w:sz w:val="32"/>
          <w:szCs w:val="32"/>
          <w:shd w:val="clear" w:color="auto" w:fill="FFFFFF"/>
          <w:lang w:eastAsia="zh-CN"/>
        </w:rPr>
        <w:t>本部门公务车的保养、保险、维修和加油等费用</w:t>
      </w:r>
      <w:r>
        <w:rPr>
          <w:rFonts w:hint="default" w:ascii="Times New Roman" w:hAnsi="Times New Roman" w:eastAsia="方正仿宋_GBK" w:cs="Times New Roman"/>
          <w:b w:val="0"/>
          <w:bCs/>
          <w:color w:val="auto"/>
          <w:sz w:val="32"/>
          <w:szCs w:val="32"/>
          <w:shd w:val="clear" w:color="auto" w:fill="FFFFFF"/>
        </w:rPr>
        <w:t>。费用支出较年初预算数增加2.63万元，增长100.0%，主要原因是</w:t>
      </w:r>
      <w:r>
        <w:rPr>
          <w:rFonts w:hint="default" w:ascii="Times New Roman" w:hAnsi="Times New Roman" w:eastAsia="方正仿宋_GBK" w:cs="Times New Roman"/>
          <w:b w:val="0"/>
          <w:bCs/>
          <w:color w:val="auto"/>
          <w:sz w:val="32"/>
          <w:szCs w:val="32"/>
          <w:shd w:val="clear" w:color="auto" w:fill="FFFFFF"/>
          <w:lang w:eastAsia="zh-CN"/>
        </w:rPr>
        <w:t>本部门年初未预算公务车运行维护费，实际有两台车产生了公车费用</w:t>
      </w:r>
      <w:r>
        <w:rPr>
          <w:rFonts w:hint="default" w:ascii="Times New Roman" w:hAnsi="Times New Roman" w:eastAsia="方正仿宋_GBK" w:cs="Times New Roman"/>
          <w:b w:val="0"/>
          <w:bCs/>
          <w:color w:val="auto"/>
          <w:sz w:val="32"/>
          <w:szCs w:val="32"/>
          <w:shd w:val="clear" w:color="auto" w:fill="FFFFFF"/>
        </w:rPr>
        <w:t>。较上年支出数减少2.32万元，下降46.9%，主要原因是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严格落实中央八项规定精神，按照只减不增的要求从严控制</w:t>
      </w:r>
      <w:r>
        <w:rPr>
          <w:rFonts w:hint="eastAsia" w:ascii="方正仿宋_GBK" w:hAnsi="方正仿宋_GBK" w:eastAsia="方正仿宋_GBK" w:cs="方正仿宋_GBK"/>
          <w:b w:val="0"/>
          <w:bCs/>
          <w:color w:val="auto"/>
          <w:sz w:val="32"/>
          <w:szCs w:val="32"/>
          <w:shd w:val="clear" w:color="auto" w:fill="FFFFFF"/>
          <w:lang w:val="en-US" w:eastAsia="zh-CN"/>
        </w:rPr>
        <w:t>“三公”</w:t>
      </w:r>
      <w:r>
        <w:rPr>
          <w:rFonts w:hint="default" w:ascii="Times New Roman" w:hAnsi="Times New Roman" w:eastAsia="方正仿宋_GBK" w:cs="Times New Roman"/>
          <w:b w:val="0"/>
          <w:bCs/>
          <w:color w:val="auto"/>
          <w:sz w:val="32"/>
          <w:szCs w:val="32"/>
          <w:shd w:val="clear" w:color="auto" w:fill="FFFFFF"/>
          <w:lang w:val="en-US" w:eastAsia="zh-CN"/>
        </w:rPr>
        <w:t>经费</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公务接待费0.76万元，主要用于接待</w:t>
      </w:r>
      <w:r>
        <w:rPr>
          <w:rFonts w:hint="default" w:ascii="Times New Roman" w:hAnsi="Times New Roman" w:eastAsia="方正仿宋_GBK" w:cs="Times New Roman"/>
          <w:b w:val="0"/>
          <w:bCs/>
          <w:color w:val="auto"/>
          <w:sz w:val="32"/>
          <w:szCs w:val="32"/>
          <w:shd w:val="clear" w:color="auto" w:fill="FFFFFF"/>
          <w:lang w:eastAsia="zh-CN"/>
        </w:rPr>
        <w:t>其他单位检查等</w:t>
      </w:r>
      <w:r>
        <w:rPr>
          <w:rFonts w:hint="default" w:ascii="Times New Roman" w:hAnsi="Times New Roman" w:eastAsia="方正仿宋_GBK" w:cs="Times New Roman"/>
          <w:b w:val="0"/>
          <w:bCs/>
          <w:color w:val="auto"/>
          <w:sz w:val="32"/>
          <w:szCs w:val="32"/>
          <w:shd w:val="clear" w:color="auto" w:fill="FFFFFF"/>
        </w:rPr>
        <w:t>。费用支出较年初预算数减少0.24万元，下降24.0%，主要原因</w:t>
      </w:r>
      <w:r>
        <w:rPr>
          <w:rFonts w:hint="eastAsia" w:ascii="方正仿宋_GBK" w:hAnsi="方正仿宋_GBK" w:eastAsia="方正仿宋_GBK" w:cs="方正仿宋_GBK"/>
          <w:b w:val="0"/>
          <w:bCs/>
          <w:color w:val="auto"/>
          <w:sz w:val="32"/>
          <w:szCs w:val="32"/>
          <w:shd w:val="clear" w:color="auto" w:fill="FFFFFF"/>
        </w:rPr>
        <w:t>是</w:t>
      </w:r>
      <w:r>
        <w:rPr>
          <w:rFonts w:hint="eastAsia" w:ascii="方正仿宋_GBK" w:hAnsi="方正仿宋_GBK" w:eastAsia="方正仿宋_GBK" w:cs="方正仿宋_GBK"/>
          <w:b w:val="0"/>
          <w:bCs/>
          <w:color w:val="auto"/>
          <w:sz w:val="32"/>
          <w:szCs w:val="32"/>
          <w:shd w:val="clear" w:color="auto" w:fill="FFFFFF"/>
          <w:lang w:val="en-US" w:eastAsia="zh-CN"/>
        </w:rPr>
        <w:t>严格落实中央八项规定精神，按照只减不增的要求从严控制“三公”经费</w:t>
      </w:r>
      <w:r>
        <w:rPr>
          <w:rFonts w:hint="default" w:ascii="Times New Roman" w:hAnsi="Times New Roman" w:eastAsia="方正仿宋_GBK" w:cs="Times New Roman"/>
          <w:b w:val="0"/>
          <w:bCs/>
          <w:color w:val="auto"/>
          <w:sz w:val="32"/>
          <w:szCs w:val="32"/>
          <w:shd w:val="clear" w:color="auto" w:fill="FFFFFF"/>
        </w:rPr>
        <w:t>。较上年支出数增加0.11万元，增长16.9%，主要原因是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w:t>
      </w:r>
      <w:r>
        <w:rPr>
          <w:rFonts w:hint="default" w:ascii="Times New Roman" w:hAnsi="Times New Roman" w:eastAsia="方正仿宋_GBK" w:cs="Times New Roman"/>
          <w:b w:val="0"/>
          <w:bCs/>
          <w:color w:val="auto"/>
          <w:sz w:val="32"/>
          <w:szCs w:val="32"/>
          <w:shd w:val="clear" w:color="auto" w:fill="FFFFFF"/>
          <w:lang w:eastAsia="zh-CN"/>
        </w:rPr>
        <w:t>公务接待增多</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（三）“三公”经费实物量情况</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rPr>
        <w:t>因公出国（境）共计0个团组，0人；公务用车购置0辆，公务车保有量为2辆；国内公务接待9批次63人，其中：国内外事接待0批次，0人；国（境）外公务接待0批次，0人。2024年</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rPr>
        <w:t>人均接待费121.19元，车均购置费0</w:t>
      </w:r>
      <w:r>
        <w:rPr>
          <w:rFonts w:hint="eastAsia" w:ascii="Times New Roman" w:hAnsi="Times New Roman" w:eastAsia="方正仿宋_GBK" w:cs="Times New Roman"/>
          <w:b w:val="0"/>
          <w:bCs/>
          <w:color w:val="auto"/>
          <w:sz w:val="32"/>
          <w:szCs w:val="32"/>
          <w:shd w:val="clear" w:color="auto" w:fill="FFFFFF"/>
          <w:lang w:val="en-US" w:eastAsia="zh-CN"/>
        </w:rPr>
        <w:t>.00</w:t>
      </w:r>
      <w:r>
        <w:rPr>
          <w:rFonts w:hint="default" w:ascii="Times New Roman" w:hAnsi="Times New Roman" w:eastAsia="方正仿宋_GBK" w:cs="Times New Roman"/>
          <w:b w:val="0"/>
          <w:bCs/>
          <w:color w:val="auto"/>
          <w:sz w:val="32"/>
          <w:szCs w:val="32"/>
          <w:shd w:val="clear" w:color="auto" w:fill="FFFFFF"/>
        </w:rPr>
        <w:t>万元，车均维护费1.31万元。</w:t>
      </w:r>
    </w:p>
    <w:p>
      <w:pPr>
        <w:pStyle w:val="7"/>
        <w:keepNext w:val="0"/>
        <w:keepLines w:val="0"/>
        <w:pageBreakBefore w:val="0"/>
        <w:widowControl/>
        <w:numPr>
          <w:ilvl w:val="0"/>
          <w:numId w:val="1"/>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rPr>
        <w:t>其他需要说明的事项</w:t>
      </w:r>
    </w:p>
    <w:p>
      <w:pPr>
        <w:pStyle w:val="7"/>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（一）财政拨款会议费、培训费和差旅费情况说明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本年度会议费支出0.00万元，与2023年度相比，无增减，主要原因是</w:t>
      </w:r>
      <w:r>
        <w:rPr>
          <w:rFonts w:hint="default" w:ascii="Times New Roman" w:hAnsi="Times New Roman" w:eastAsia="方正仿宋_GBK" w:cs="Times New Roman"/>
          <w:b w:val="0"/>
          <w:bCs/>
          <w:color w:val="auto"/>
          <w:sz w:val="32"/>
          <w:szCs w:val="32"/>
          <w:highlight w:val="none"/>
          <w:shd w:val="clear" w:color="auto" w:fill="auto"/>
        </w:rPr>
        <w:t>因</w:t>
      </w:r>
      <w:r>
        <w:rPr>
          <w:rFonts w:hint="default" w:ascii="Times New Roman" w:hAnsi="Times New Roman" w:eastAsia="方正仿宋_GBK" w:cs="Times New Roman"/>
          <w:b w:val="0"/>
          <w:bCs/>
          <w:color w:val="auto"/>
          <w:sz w:val="32"/>
          <w:szCs w:val="32"/>
          <w:highlight w:val="none"/>
          <w:shd w:val="clear" w:color="auto" w:fill="auto"/>
          <w:lang w:eastAsia="zh-CN"/>
        </w:rPr>
        <w:t>本部门</w:t>
      </w:r>
      <w:r>
        <w:rPr>
          <w:rFonts w:hint="default" w:ascii="Times New Roman" w:hAnsi="Times New Roman" w:eastAsia="方正仿宋_GBK" w:cs="Times New Roman"/>
          <w:b w:val="0"/>
          <w:bCs/>
          <w:color w:val="auto"/>
          <w:sz w:val="32"/>
          <w:szCs w:val="32"/>
          <w:highlight w:val="none"/>
          <w:shd w:val="clear" w:color="auto" w:fill="auto"/>
          <w:lang w:val="en-US" w:eastAsia="zh-CN"/>
        </w:rPr>
        <w:t>2024年度无会议支出的</w:t>
      </w:r>
      <w:r>
        <w:rPr>
          <w:rFonts w:hint="default" w:ascii="Times New Roman" w:hAnsi="Times New Roman" w:eastAsia="方正仿宋_GBK" w:cs="Times New Roman"/>
          <w:b w:val="0"/>
          <w:bCs/>
          <w:color w:val="auto"/>
          <w:sz w:val="32"/>
          <w:szCs w:val="32"/>
          <w:highlight w:val="none"/>
          <w:shd w:val="clear" w:color="auto" w:fill="auto"/>
        </w:rPr>
        <w:t>原因，</w:t>
      </w:r>
      <w:r>
        <w:rPr>
          <w:rFonts w:hint="default" w:ascii="Times New Roman" w:hAnsi="Times New Roman" w:eastAsia="方正仿宋_GBK" w:cs="Times New Roman"/>
          <w:b w:val="0"/>
          <w:bCs/>
          <w:color w:val="auto"/>
          <w:sz w:val="32"/>
          <w:szCs w:val="32"/>
          <w:highlight w:val="none"/>
          <w:shd w:val="clear" w:color="auto" w:fill="auto"/>
          <w:lang w:eastAsia="zh-CN"/>
        </w:rPr>
        <w:t>未使用财政资金保障</w:t>
      </w:r>
      <w:r>
        <w:rPr>
          <w:rFonts w:hint="default" w:ascii="Times New Roman" w:hAnsi="Times New Roman" w:eastAsia="方正仿宋_GBK" w:cs="Times New Roman"/>
          <w:b w:val="0"/>
          <w:bCs/>
          <w:color w:val="auto"/>
          <w:sz w:val="32"/>
          <w:szCs w:val="32"/>
          <w:highlight w:val="none"/>
          <w:shd w:val="clear" w:color="auto" w:fill="auto"/>
        </w:rPr>
        <w:t>会议费</w:t>
      </w:r>
      <w:r>
        <w:rPr>
          <w:rFonts w:hint="default" w:ascii="Times New Roman" w:hAnsi="Times New Roman" w:eastAsia="方正仿宋_GBK" w:cs="Times New Roman"/>
          <w:b w:val="0"/>
          <w:bCs/>
          <w:color w:val="auto"/>
          <w:sz w:val="32"/>
          <w:szCs w:val="32"/>
          <w:shd w:val="clear" w:color="auto" w:fill="FFFFFF"/>
        </w:rPr>
        <w:t>。本年度培训费支出0.18万元，与2023年度相比，减少1.36万元，下降88.3%，主要原因是</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lang w:val="en-US" w:eastAsia="zh-CN"/>
        </w:rPr>
        <w:t>2024年度</w:t>
      </w:r>
      <w:r>
        <w:rPr>
          <w:rFonts w:hint="default" w:ascii="Times New Roman" w:hAnsi="Times New Roman" w:eastAsia="方正仿宋_GBK" w:cs="Times New Roman"/>
          <w:b w:val="0"/>
          <w:bCs/>
          <w:color w:val="auto"/>
          <w:sz w:val="32"/>
          <w:szCs w:val="32"/>
          <w:shd w:val="clear" w:color="auto" w:fill="FFFFFF"/>
          <w:lang w:eastAsia="zh-CN"/>
        </w:rPr>
        <w:t>培训减少</w:t>
      </w:r>
      <w:r>
        <w:rPr>
          <w:rFonts w:hint="default" w:ascii="Times New Roman" w:hAnsi="Times New Roman" w:eastAsia="方正仿宋_GBK" w:cs="Times New Roman"/>
          <w:b w:val="0"/>
          <w:bCs/>
          <w:color w:val="auto"/>
          <w:sz w:val="32"/>
          <w:szCs w:val="32"/>
          <w:shd w:val="clear" w:color="auto" w:fill="FFFFFF"/>
        </w:rPr>
        <w:t>。本年度差旅费支出2.08</w:t>
      </w:r>
      <w:r>
        <w:rPr>
          <w:rFonts w:hint="default" w:ascii="Times New Roman" w:hAnsi="Times New Roman" w:eastAsia="方正仿宋_GBK" w:cs="Times New Roman"/>
          <w:b w:val="0"/>
          <w:bCs/>
          <w:color w:val="auto"/>
          <w:sz w:val="32"/>
          <w:szCs w:val="32"/>
        </w:rPr>
        <w:t>万元，</w:t>
      </w:r>
      <w:r>
        <w:rPr>
          <w:rFonts w:hint="default" w:ascii="Times New Roman" w:hAnsi="Times New Roman" w:eastAsia="方正仿宋_GBK" w:cs="Times New Roman"/>
          <w:b w:val="0"/>
          <w:bCs/>
          <w:color w:val="auto"/>
          <w:sz w:val="32"/>
          <w:szCs w:val="32"/>
          <w:shd w:val="clear" w:color="auto" w:fill="FFFFFF"/>
        </w:rPr>
        <w:t>与2023年度相比，减少0.47万元，下降18.4%，主要原因是</w:t>
      </w:r>
      <w:r>
        <w:rPr>
          <w:rFonts w:hint="default" w:ascii="Times New Roman" w:hAnsi="Times New Roman" w:eastAsia="方正仿宋_GBK" w:cs="Times New Roman"/>
          <w:b w:val="0"/>
          <w:bCs/>
          <w:color w:val="auto"/>
          <w:sz w:val="32"/>
          <w:szCs w:val="32"/>
          <w:shd w:val="clear" w:color="auto" w:fill="FFFFFF"/>
          <w:lang w:val="en-US" w:eastAsia="zh-CN"/>
        </w:rPr>
        <w:t>严格落实中央八项规定精神，按照只减不增的要求从严控制</w:t>
      </w:r>
      <w:r>
        <w:rPr>
          <w:rFonts w:hint="eastAsia" w:ascii="方正仿宋_GBK" w:hAnsi="方正仿宋_GBK" w:eastAsia="方正仿宋_GBK" w:cs="方正仿宋_GBK"/>
          <w:b w:val="0"/>
          <w:bCs/>
          <w:color w:val="auto"/>
          <w:sz w:val="32"/>
          <w:szCs w:val="32"/>
          <w:shd w:val="clear" w:color="auto" w:fill="FFFFFF"/>
          <w:lang w:val="en-US" w:eastAsia="zh-CN"/>
        </w:rPr>
        <w:t>“三公”经费</w:t>
      </w:r>
      <w:r>
        <w:rPr>
          <w:rFonts w:hint="eastAsia" w:ascii="方正仿宋_GBK" w:hAnsi="方正仿宋_GBK" w:eastAsia="方正仿宋_GBK" w:cs="方正仿宋_GBK"/>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（二）机关运行经费情况说明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2024年度</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rPr>
        <w:t>机关运行经费支出54.92万元，机关运行经费主要用于开支主要用于开支</w:t>
      </w:r>
      <w:r>
        <w:rPr>
          <w:rFonts w:hint="default" w:ascii="Times New Roman" w:hAnsi="Times New Roman" w:eastAsia="方正仿宋_GBK" w:cs="Times New Roman"/>
          <w:b w:val="0"/>
          <w:bCs/>
          <w:color w:val="auto"/>
          <w:sz w:val="32"/>
          <w:szCs w:val="32"/>
          <w:shd w:val="clear" w:color="auto" w:fill="FFFFFF"/>
          <w:lang w:val="en-US" w:eastAsia="zh-CN"/>
        </w:rPr>
        <w:t>办公费、公务车运行维护费、会议费、培训会、差旅费等</w:t>
      </w:r>
      <w:r>
        <w:rPr>
          <w:rFonts w:hint="default" w:ascii="Times New Roman" w:hAnsi="Times New Roman" w:eastAsia="方正仿宋_GBK" w:cs="Times New Roman"/>
          <w:b w:val="0"/>
          <w:bCs/>
          <w:color w:val="auto"/>
          <w:sz w:val="32"/>
          <w:szCs w:val="32"/>
          <w:shd w:val="clear" w:color="auto" w:fill="FFFFFF"/>
        </w:rPr>
        <w:t>。机关运行经费较上年支出数减少14.87万元，下降21.3%，主要原因是</w:t>
      </w:r>
      <w:r>
        <w:rPr>
          <w:rFonts w:hint="default" w:ascii="Times New Roman" w:hAnsi="Times New Roman" w:eastAsia="方正仿宋_GBK" w:cs="Times New Roman"/>
          <w:b w:val="0"/>
          <w:bCs/>
          <w:color w:val="auto"/>
          <w:sz w:val="32"/>
          <w:szCs w:val="32"/>
          <w:shd w:val="clear" w:color="auto" w:fill="FFFFFF"/>
          <w:lang w:eastAsia="zh-CN"/>
        </w:rPr>
        <w:t>因财政资金紧张部分资金未支付</w:t>
      </w:r>
      <w:r>
        <w:rPr>
          <w:rFonts w:hint="default" w:ascii="Times New Roman" w:hAnsi="Times New Roman" w:eastAsia="方正仿宋_GBK" w:cs="Times New Roman"/>
          <w:b w:val="0"/>
          <w:bCs/>
          <w:color w:val="auto"/>
          <w:sz w:val="32"/>
          <w:szCs w:val="32"/>
          <w:shd w:val="clear" w:color="auto" w:fill="FFFFFF"/>
        </w:rPr>
        <w:t>。</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（三）国有资产占用情况说明</w:t>
      </w:r>
    </w:p>
    <w:p>
      <w:pPr>
        <w:pStyle w:val="7"/>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b w:val="0"/>
          <w:bCs/>
          <w:color w:val="auto"/>
          <w:sz w:val="32"/>
          <w:szCs w:val="32"/>
        </w:rPr>
      </w:pPr>
      <w:r>
        <w:rPr>
          <w:rFonts w:hint="default" w:ascii="Times New Roman" w:hAnsi="Times New Roman" w:eastAsia="方正仿宋_GBK" w:cs="Times New Roman"/>
          <w:b w:val="0"/>
          <w:bCs/>
          <w:color w:val="auto"/>
          <w:sz w:val="32"/>
          <w:szCs w:val="32"/>
          <w:shd w:val="clear" w:color="auto" w:fill="FFFFFF"/>
        </w:rPr>
        <w:t>截至2024年12月31日，</w:t>
      </w:r>
      <w:r>
        <w:rPr>
          <w:rFonts w:hint="default" w:ascii="Times New Roman" w:hAnsi="Times New Roman" w:eastAsia="方正仿宋_GBK" w:cs="Times New Roman"/>
          <w:b w:val="0"/>
          <w:bCs/>
          <w:color w:val="auto"/>
          <w:sz w:val="32"/>
          <w:szCs w:val="32"/>
          <w:shd w:val="clear" w:color="auto" w:fill="FFFFFF"/>
          <w:lang w:eastAsia="zh-CN"/>
        </w:rPr>
        <w:t>本部门</w:t>
      </w:r>
      <w:r>
        <w:rPr>
          <w:rFonts w:hint="default" w:ascii="Times New Roman" w:hAnsi="Times New Roman" w:eastAsia="方正仿宋_GBK" w:cs="Times New Roman"/>
          <w:b w:val="0"/>
          <w:bCs/>
          <w:color w:val="auto"/>
          <w:sz w:val="32"/>
          <w:szCs w:val="32"/>
          <w:shd w:val="clear" w:color="auto" w:fill="FFFFFF"/>
        </w:rPr>
        <w:t>共有车辆2辆，其中，副部（省）级及以上领导用车0辆、主要负责人用车0辆、机要通信用车0辆、应急保障用车1辆、执法执勤用车0辆，特种专业技术用车1辆，离退休干部用车0辆。单价100</w:t>
      </w:r>
      <w:r>
        <w:rPr>
          <w:rFonts w:hint="eastAsia" w:ascii="Times New Roman" w:hAnsi="Times New Roman" w:eastAsia="方正仿宋_GBK" w:cs="Times New Roman"/>
          <w:b w:val="0"/>
          <w:bCs/>
          <w:color w:val="auto"/>
          <w:sz w:val="32"/>
          <w:szCs w:val="32"/>
          <w:shd w:val="clear" w:color="auto" w:fill="FFFFFF"/>
          <w:lang w:val="en-US" w:eastAsia="zh-CN"/>
        </w:rPr>
        <w:t>.00</w:t>
      </w:r>
      <w:r>
        <w:rPr>
          <w:rFonts w:hint="default" w:ascii="Times New Roman" w:hAnsi="Times New Roman" w:eastAsia="方正仿宋_GBK" w:cs="Times New Roman"/>
          <w:b w:val="0"/>
          <w:bCs/>
          <w:color w:val="auto"/>
          <w:sz w:val="32"/>
          <w:szCs w:val="32"/>
          <w:shd w:val="clear" w:color="auto" w:fill="FFFFFF"/>
        </w:rPr>
        <w:t>万元（含）以上专用设备0台（套）。</w:t>
      </w:r>
    </w:p>
    <w:p>
      <w:pPr>
        <w:pStyle w:val="12"/>
        <w:keepNext w:val="0"/>
        <w:keepLines w:val="0"/>
        <w:pageBreakBefore w:val="0"/>
        <w:widowControl/>
        <w:numPr>
          <w:ilvl w:val="0"/>
          <w:numId w:val="2"/>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方正楷体_GBK" w:hAnsi="方正楷体_GBK" w:eastAsia="方正楷体_GBK" w:cs="方正楷体_GBK"/>
          <w:b w:val="0"/>
          <w:bCs/>
          <w:color w:val="auto"/>
          <w:sz w:val="32"/>
          <w:szCs w:val="32"/>
          <w:shd w:val="clear" w:color="auto" w:fill="FFFFFF"/>
        </w:rPr>
      </w:pPr>
      <w:r>
        <w:rPr>
          <w:rFonts w:hint="eastAsia" w:ascii="方正楷体_GBK" w:hAnsi="方正楷体_GBK" w:eastAsia="方正楷体_GBK" w:cs="方正楷体_GBK"/>
          <w:b w:val="0"/>
          <w:bCs/>
          <w:color w:val="auto"/>
          <w:sz w:val="32"/>
          <w:szCs w:val="32"/>
          <w:shd w:val="clear" w:color="auto" w:fill="FFFFFF"/>
        </w:rPr>
        <w:t>政府采购支出情况说明</w:t>
      </w:r>
    </w:p>
    <w:p>
      <w:pPr>
        <w:pStyle w:val="12"/>
        <w:keepNext w:val="0"/>
        <w:keepLines w:val="0"/>
        <w:pageBreakBefore w:val="0"/>
        <w:widowControl/>
        <w:numPr>
          <w:ilvl w:val="0"/>
          <w:numId w:val="0"/>
        </w:numPr>
        <w:kinsoku/>
        <w:wordWrap/>
        <w:overflowPunct/>
        <w:topLinePunct w:val="0"/>
        <w:autoSpaceDE w:val="0"/>
        <w:autoSpaceDN/>
        <w:bidi w:val="0"/>
        <w:adjustRightInd/>
        <w:snapToGrid/>
        <w:spacing w:beforeAutospacing="0" w:afterAutospacing="0" w:line="560" w:lineRule="exact"/>
        <w:ind w:firstLine="640" w:firstLineChars="200"/>
        <w:jc w:val="both"/>
        <w:textAlignment w:val="auto"/>
        <w:rPr>
          <w:rFonts w:hint="eastAsia" w:ascii="Times New Roman" w:hAnsi="Times New Roman" w:eastAsia="方正仿宋_GBK" w:cs="Times New Roman"/>
          <w:b w:val="0"/>
          <w:bCs/>
          <w:color w:val="auto"/>
          <w:sz w:val="32"/>
          <w:szCs w:val="32"/>
          <w:highlight w:val="none"/>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color w:val="auto"/>
          <w:sz w:val="32"/>
          <w:szCs w:val="32"/>
          <w:shd w:val="clear" w:color="auto" w:fill="FFFFFF"/>
        </w:rPr>
        <w:t>2024年度我单位未发生政府采购事项，无相关经费支出。</w:t>
      </w:r>
    </w:p>
    <w:p>
      <w:pPr>
        <w:pStyle w:val="7"/>
        <w:keepNext w:val="0"/>
        <w:keepLines w:val="0"/>
        <w:pageBreakBefore w:val="0"/>
        <w:widowControl/>
        <w:numPr>
          <w:ilvl w:val="0"/>
          <w:numId w:val="0"/>
        </w:numPr>
        <w:shd w:val="clear" w:color="auto" w:fill="FFFFFF"/>
        <w:kinsoku/>
        <w:wordWrap/>
        <w:overflowPunct/>
        <w:topLinePunct w:val="0"/>
        <w:autoSpaceDN/>
        <w:bidi w:val="0"/>
        <w:adjustRightInd/>
        <w:snapToGrid/>
        <w:spacing w:beforeAutospacing="0" w:afterAutospacing="0" w:line="560" w:lineRule="exact"/>
        <w:ind w:firstLine="640" w:firstLineChars="200"/>
        <w:jc w:val="both"/>
        <w:textAlignment w:val="auto"/>
        <w:rPr>
          <w:rFonts w:hint="eastAsia" w:ascii="方正黑体_GBK" w:hAnsi="方正黑体_GBK" w:eastAsia="方正黑体_GBK" w:cs="方正黑体_GBK"/>
          <w:b w:val="0"/>
          <w:bCs/>
          <w:color w:val="auto"/>
          <w:sz w:val="32"/>
          <w:szCs w:val="32"/>
          <w:highlight w:val="yellow"/>
          <w:shd w:val="clear" w:color="auto" w:fill="FFFFFF"/>
          <w:lang w:bidi="ar"/>
        </w:rPr>
      </w:pPr>
      <w:r>
        <w:rPr>
          <w:rStyle w:val="11"/>
          <w:rFonts w:hint="eastAsia" w:ascii="方正黑体_GBK" w:hAnsi="方正黑体_GBK" w:eastAsia="方正黑体_GBK" w:cs="方正黑体_GBK"/>
          <w:b w:val="0"/>
          <w:bCs/>
          <w:color w:val="auto"/>
          <w:sz w:val="32"/>
          <w:szCs w:val="32"/>
          <w:shd w:val="clear" w:color="auto" w:fill="FFFFFF"/>
        </w:rPr>
        <w:t>五、预算绩效管理情况说明</w:t>
      </w:r>
    </w:p>
    <w:p>
      <w:pPr>
        <w:pStyle w:val="12"/>
        <w:keepNext w:val="0"/>
        <w:keepLines w:val="0"/>
        <w:pageBreakBefore w:val="0"/>
        <w:widowControl/>
        <w:kinsoku/>
        <w:wordWrap/>
        <w:overflowPunct/>
        <w:topLinePunct w:val="0"/>
        <w:autoSpaceDE w:val="0"/>
        <w:autoSpaceDN/>
        <w:bidi w:val="0"/>
        <w:adjustRightInd/>
        <w:snapToGrid/>
        <w:spacing w:beforeAutospacing="0" w:afterAutospacing="0" w:line="560" w:lineRule="exact"/>
        <w:ind w:firstLine="640"/>
        <w:jc w:val="both"/>
        <w:textAlignment w:val="auto"/>
        <w:rPr>
          <w:rFonts w:hint="eastAsia" w:ascii="方正楷体_GBK" w:hAnsi="方正楷体_GBK" w:eastAsia="方正楷体_GBK" w:cs="方正楷体_GBK"/>
          <w:b w:val="0"/>
          <w:bCs/>
          <w:color w:val="auto"/>
          <w:sz w:val="32"/>
          <w:szCs w:val="32"/>
          <w:shd w:val="clear" w:color="auto" w:fill="FFFFFF"/>
          <w:lang w:val="en-US" w:eastAsia="zh-CN" w:bidi="ar"/>
        </w:rPr>
      </w:pPr>
      <w:r>
        <w:rPr>
          <w:rFonts w:hint="eastAsia" w:ascii="方正楷体_GBK" w:hAnsi="方正楷体_GBK" w:eastAsia="方正楷体_GBK" w:cs="方正楷体_GBK"/>
          <w:b w:val="0"/>
          <w:bCs/>
          <w:color w:val="auto"/>
          <w:sz w:val="32"/>
          <w:szCs w:val="32"/>
          <w:shd w:val="clear" w:color="auto" w:fill="FFFFFF"/>
          <w:lang w:bidi="ar"/>
        </w:rPr>
        <w:t>（一）</w:t>
      </w:r>
      <w:r>
        <w:rPr>
          <w:rFonts w:hint="eastAsia" w:ascii="方正楷体_GBK" w:hAnsi="方正楷体_GBK" w:eastAsia="方正楷体_GBK" w:cs="方正楷体_GBK"/>
          <w:b w:val="0"/>
          <w:bCs/>
          <w:color w:val="auto"/>
          <w:sz w:val="32"/>
          <w:szCs w:val="32"/>
          <w:shd w:val="clear" w:color="auto" w:fill="FFFFFF"/>
          <w:lang w:eastAsia="zh-CN" w:bidi="ar"/>
        </w:rPr>
        <w:t>部门</w:t>
      </w:r>
      <w:r>
        <w:rPr>
          <w:rFonts w:hint="eastAsia" w:ascii="方正楷体_GBK" w:hAnsi="方正楷体_GBK" w:eastAsia="方正楷体_GBK" w:cs="方正楷体_GBK"/>
          <w:b w:val="0"/>
          <w:bCs/>
          <w:color w:val="auto"/>
          <w:sz w:val="32"/>
          <w:szCs w:val="32"/>
          <w:shd w:val="clear" w:color="auto" w:fill="FFFFFF"/>
          <w:lang w:bidi="ar"/>
        </w:rPr>
        <w:t>自评情况</w:t>
      </w:r>
    </w:p>
    <w:p>
      <w:pPr>
        <w:pStyle w:val="13"/>
        <w:keepNext w:val="0"/>
        <w:keepLines w:val="0"/>
        <w:pageBreakBefore w:val="0"/>
        <w:widowControl/>
        <w:kinsoku/>
        <w:wordWrap/>
        <w:overflowPunct/>
        <w:topLinePunct w:val="0"/>
        <w:autoSpaceDE w:val="0"/>
        <w:autoSpaceDN/>
        <w:bidi w:val="0"/>
        <w:adjustRightInd/>
        <w:snapToGrid/>
        <w:spacing w:before="0" w:beforeAutospacing="0" w:afterAutospacing="0" w:line="560" w:lineRule="exact"/>
        <w:jc w:val="both"/>
        <w:textAlignment w:val="auto"/>
        <w:rPr>
          <w:rFonts w:hint="default" w:ascii="Times New Roman" w:hAnsi="Times New Roman" w:eastAsia="方正仿宋_GBK" w:cs="Times New Roman"/>
          <w:b w:val="0"/>
          <w:bCs/>
          <w:color w:val="auto"/>
          <w:sz w:val="28"/>
          <w:szCs w:val="28"/>
          <w:shd w:val="clear" w:color="auto" w:fill="FFFFFF"/>
          <w:lang w:bidi="ar"/>
        </w:rPr>
      </w:pPr>
      <w:r>
        <w:rPr>
          <w:rFonts w:hint="default" w:ascii="Times New Roman" w:hAnsi="Times New Roman" w:eastAsia="方正仿宋_GBK" w:cs="Times New Roman"/>
          <w:b w:val="0"/>
          <w:bCs/>
          <w:color w:val="auto"/>
          <w:sz w:val="32"/>
          <w:szCs w:val="32"/>
          <w:shd w:val="clear" w:color="auto" w:fill="FFFFFF"/>
          <w:lang w:bidi="ar"/>
        </w:rPr>
        <w:t>根据预算绩效管理要求，我部门对部门整体和</w:t>
      </w:r>
      <w:r>
        <w:rPr>
          <w:rFonts w:hint="default" w:ascii="Times New Roman" w:hAnsi="Times New Roman" w:eastAsia="方正仿宋_GBK" w:cs="Times New Roman"/>
          <w:b w:val="0"/>
          <w:bCs/>
          <w:color w:val="auto"/>
          <w:sz w:val="32"/>
          <w:szCs w:val="32"/>
          <w:shd w:val="clear" w:color="auto" w:fill="FFFFFF"/>
          <w:lang w:val="en-US" w:eastAsia="zh-CN" w:bidi="ar"/>
        </w:rPr>
        <w:t>2</w:t>
      </w:r>
      <w:r>
        <w:rPr>
          <w:rFonts w:hint="default" w:ascii="Times New Roman" w:hAnsi="Times New Roman" w:eastAsia="方正仿宋_GBK" w:cs="Times New Roman"/>
          <w:b w:val="0"/>
          <w:bCs/>
          <w:color w:val="auto"/>
          <w:sz w:val="32"/>
          <w:szCs w:val="32"/>
          <w:shd w:val="clear" w:color="auto" w:fill="FFFFFF"/>
          <w:lang w:bidi="ar"/>
        </w:rPr>
        <w:t>个项目开展了绩效自评，涉及项目支出资金</w:t>
      </w:r>
      <w:r>
        <w:rPr>
          <w:rFonts w:hint="default" w:ascii="Times New Roman" w:hAnsi="Times New Roman" w:eastAsia="方正仿宋_GBK" w:cs="Times New Roman"/>
          <w:b w:val="0"/>
          <w:bCs/>
          <w:color w:val="auto"/>
          <w:sz w:val="32"/>
          <w:szCs w:val="32"/>
          <w:shd w:val="clear" w:color="auto" w:fill="FFFFFF"/>
          <w:lang w:val="en-US" w:eastAsia="zh-CN" w:bidi="ar"/>
        </w:rPr>
        <w:t>52.76</w:t>
      </w:r>
      <w:r>
        <w:rPr>
          <w:rFonts w:hint="default" w:ascii="Times New Roman" w:hAnsi="Times New Roman" w:eastAsia="方正仿宋_GBK" w:cs="Times New Roman"/>
          <w:b w:val="0"/>
          <w:bCs/>
          <w:color w:val="auto"/>
          <w:sz w:val="32"/>
          <w:szCs w:val="32"/>
          <w:shd w:val="clear" w:color="auto" w:fill="FFFFFF"/>
          <w:lang w:bidi="ar"/>
        </w:rPr>
        <w:t>万元</w:t>
      </w:r>
      <w:r>
        <w:rPr>
          <w:rFonts w:hint="default" w:ascii="Times New Roman" w:hAnsi="Times New Roman" w:eastAsia="方正仿宋_GBK" w:cs="Times New Roman"/>
          <w:b w:val="0"/>
          <w:bCs/>
          <w:color w:val="auto"/>
          <w:sz w:val="32"/>
          <w:szCs w:val="32"/>
          <w:shd w:val="clear" w:color="auto" w:fill="FFFFFF"/>
          <w:lang w:eastAsia="zh-CN" w:bidi="ar"/>
        </w:rPr>
        <w:t>。</w:t>
      </w:r>
    </w:p>
    <w:p>
      <w:pPr>
        <w:pStyle w:val="13"/>
        <w:spacing w:before="0" w:beforeAutospacing="0"/>
        <w:rPr>
          <w:rFonts w:hint="default" w:ascii="Times New Roman" w:hAnsi="Times New Roman" w:eastAsia="方正仿宋_GBK" w:cs="Times New Roman"/>
          <w:b w:val="0"/>
          <w:bCs/>
          <w:color w:val="auto"/>
          <w:sz w:val="32"/>
          <w:szCs w:val="32"/>
        </w:rPr>
      </w:pPr>
      <w:r>
        <w:rPr>
          <w:b w:val="0"/>
          <w:bCs/>
          <w:color w:val="auto"/>
        </w:rPr>
        <w:drawing>
          <wp:inline distT="0" distB="0" distL="114300" distR="114300">
            <wp:extent cx="5407025" cy="5325110"/>
            <wp:effectExtent l="0" t="0" r="3175" b="889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8"/>
                    <a:stretch>
                      <a:fillRect/>
                    </a:stretch>
                  </pic:blipFill>
                  <pic:spPr>
                    <a:xfrm>
                      <a:off x="0" y="0"/>
                      <a:ext cx="5407025" cy="5325110"/>
                    </a:xfrm>
                    <a:prstGeom prst="rect">
                      <a:avLst/>
                    </a:prstGeom>
                    <a:noFill/>
                    <a:ln w="9525">
                      <a:noFill/>
                    </a:ln>
                  </pic:spPr>
                </pic:pic>
              </a:graphicData>
            </a:graphic>
          </wp:inline>
        </w:drawing>
      </w:r>
    </w:p>
    <w:p>
      <w:pPr>
        <w:pStyle w:val="12"/>
        <w:keepNext w:val="0"/>
        <w:keepLines w:val="0"/>
        <w:pageBreakBefore w:val="0"/>
        <w:widowControl/>
        <w:kinsoku/>
        <w:wordWrap/>
        <w:overflowPunct/>
        <w:topLinePunct w:val="0"/>
        <w:autoSpaceDE w:val="0"/>
        <w:autoSpaceDN/>
        <w:bidi w:val="0"/>
        <w:adjustRightInd/>
        <w:spacing w:line="560" w:lineRule="exact"/>
        <w:ind w:firstLine="640"/>
        <w:jc w:val="both"/>
        <w:textAlignment w:val="auto"/>
        <w:outlineLvl w:val="9"/>
        <w:rPr>
          <w:rFonts w:hint="eastAsia" w:ascii="方正楷体_GBK" w:hAnsi="方正楷体_GBK" w:eastAsia="方正楷体_GBK" w:cs="方正楷体_GBK"/>
          <w:b w:val="0"/>
          <w:bCs/>
          <w:color w:val="auto"/>
          <w:sz w:val="32"/>
          <w:szCs w:val="32"/>
          <w:shd w:val="clear" w:color="auto" w:fill="FFFFFF"/>
          <w:lang w:bidi="ar"/>
        </w:rPr>
      </w:pPr>
      <w:r>
        <w:rPr>
          <w:rFonts w:hint="eastAsia" w:ascii="方正楷体_GBK" w:hAnsi="方正楷体_GBK" w:eastAsia="方正楷体_GBK" w:cs="方正楷体_GBK"/>
          <w:b w:val="0"/>
          <w:bCs/>
          <w:color w:val="auto"/>
          <w:sz w:val="32"/>
          <w:szCs w:val="32"/>
          <w:shd w:val="clear" w:color="auto" w:fill="FFFFFF"/>
          <w:lang w:bidi="ar"/>
        </w:rPr>
        <w:t>（二）部门绩效评价情况</w:t>
      </w:r>
    </w:p>
    <w:p>
      <w:pPr>
        <w:keepNext w:val="0"/>
        <w:keepLines w:val="0"/>
        <w:pageBreakBefore w:val="0"/>
        <w:widowControl/>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lang w:bidi="ar"/>
        </w:rPr>
      </w:pPr>
      <w:r>
        <w:rPr>
          <w:rFonts w:hint="default" w:ascii="Times New Roman" w:hAnsi="Times New Roman" w:eastAsia="方正仿宋_GBK" w:cs="Times New Roman"/>
          <w:b w:val="0"/>
          <w:bCs/>
          <w:color w:val="auto"/>
          <w:sz w:val="32"/>
          <w:szCs w:val="32"/>
          <w:shd w:val="clear" w:color="auto" w:fill="FFFFFF"/>
          <w:lang w:bidi="ar"/>
        </w:rPr>
        <w:t>我</w:t>
      </w:r>
      <w:r>
        <w:rPr>
          <w:rFonts w:hint="default" w:ascii="Times New Roman" w:hAnsi="Times New Roman" w:eastAsia="方正仿宋_GBK" w:cs="Times New Roman"/>
          <w:b w:val="0"/>
          <w:bCs/>
          <w:color w:val="auto"/>
          <w:sz w:val="32"/>
          <w:szCs w:val="32"/>
          <w:shd w:val="clear" w:color="auto" w:fill="FFFFFF"/>
          <w:lang w:val="en-US" w:eastAsia="zh-CN" w:bidi="ar"/>
        </w:rPr>
        <w:t>单位</w:t>
      </w:r>
      <w:r>
        <w:rPr>
          <w:rFonts w:hint="default" w:ascii="Times New Roman" w:hAnsi="Times New Roman" w:eastAsia="方正仿宋_GBK" w:cs="Times New Roman"/>
          <w:b w:val="0"/>
          <w:bCs/>
          <w:color w:val="auto"/>
          <w:sz w:val="32"/>
          <w:szCs w:val="32"/>
          <w:shd w:val="clear" w:color="auto" w:fill="FFFFFF"/>
          <w:lang w:bidi="ar"/>
        </w:rPr>
        <w:t>对</w:t>
      </w:r>
      <w:r>
        <w:rPr>
          <w:rFonts w:hint="default" w:ascii="Times New Roman" w:hAnsi="Times New Roman" w:eastAsia="方正仿宋_GBK" w:cs="Times New Roman"/>
          <w:b w:val="0"/>
          <w:bCs/>
          <w:color w:val="auto"/>
          <w:sz w:val="32"/>
          <w:szCs w:val="32"/>
          <w:shd w:val="clear" w:color="auto" w:fill="FFFFFF"/>
          <w:lang w:val="en-US" w:eastAsia="zh-CN" w:bidi="ar"/>
        </w:rPr>
        <w:t>2个项目进行了单位绩效评价，对</w:t>
      </w:r>
      <w:r>
        <w:rPr>
          <w:rFonts w:hint="default" w:ascii="Times New Roman" w:hAnsi="Times New Roman" w:eastAsia="方正仿宋_GBK" w:cs="Times New Roman"/>
          <w:b w:val="0"/>
          <w:bCs/>
          <w:color w:val="auto"/>
          <w:sz w:val="32"/>
          <w:szCs w:val="32"/>
          <w:shd w:val="clear" w:color="auto" w:fill="FFFFFF"/>
          <w:lang w:bidi="ar"/>
        </w:rPr>
        <w:t>环境执法专项业务经费开展了绩效评价，涉及财政拨款项目资金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bidi="ar"/>
        </w:rPr>
        <w:t>51.28</w:t>
      </w:r>
      <w:r>
        <w:rPr>
          <w:rFonts w:hint="default" w:ascii="Times New Roman" w:hAnsi="Times New Roman" w:eastAsia="方正仿宋_GBK" w:cs="Times New Roman"/>
          <w:b w:val="0"/>
          <w:bCs/>
          <w:color w:val="auto"/>
          <w:sz w:val="32"/>
          <w:szCs w:val="32"/>
          <w:shd w:val="clear" w:color="auto" w:fill="FFFFFF"/>
          <w:lang w:bidi="ar"/>
        </w:rPr>
        <w:t>万元，评价得分</w:t>
      </w:r>
      <w:r>
        <w:rPr>
          <w:rFonts w:hint="default" w:ascii="Times New Roman" w:hAnsi="Times New Roman" w:eastAsia="方正仿宋_GBK" w:cs="Times New Roman"/>
          <w:b w:val="0"/>
          <w:bCs/>
          <w:color w:val="auto"/>
          <w:sz w:val="32"/>
          <w:szCs w:val="32"/>
          <w:shd w:val="clear" w:color="auto" w:fill="FFFFFF"/>
          <w:lang w:val="en-US" w:eastAsia="zh-CN" w:bidi="ar"/>
        </w:rPr>
        <w:t>94.88</w:t>
      </w:r>
      <w:r>
        <w:rPr>
          <w:rFonts w:hint="default" w:ascii="Times New Roman" w:hAnsi="Times New Roman" w:eastAsia="方正仿宋_GBK" w:cs="Times New Roman"/>
          <w:b w:val="0"/>
          <w:bCs/>
          <w:color w:val="auto"/>
          <w:sz w:val="32"/>
          <w:szCs w:val="32"/>
          <w:shd w:val="clear" w:color="auto" w:fill="FFFFFF"/>
          <w:lang w:bidi="ar"/>
        </w:rPr>
        <w:t>分，评价等次为</w:t>
      </w:r>
      <w:r>
        <w:rPr>
          <w:rFonts w:hint="default" w:ascii="Times New Roman" w:hAnsi="Times New Roman" w:eastAsia="方正仿宋_GBK" w:cs="Times New Roman"/>
          <w:b w:val="0"/>
          <w:bCs/>
          <w:color w:val="auto"/>
          <w:sz w:val="32"/>
          <w:szCs w:val="32"/>
          <w:shd w:val="clear" w:color="auto" w:fill="FFFFFF"/>
          <w:lang w:eastAsia="zh-CN" w:bidi="ar"/>
        </w:rPr>
        <w:t>优；</w:t>
      </w:r>
      <w:r>
        <w:rPr>
          <w:rFonts w:hint="default" w:ascii="Times New Roman" w:hAnsi="Times New Roman" w:eastAsia="方正仿宋_GBK" w:cs="Times New Roman"/>
          <w:b w:val="0"/>
          <w:bCs/>
          <w:color w:val="auto"/>
          <w:sz w:val="32"/>
          <w:szCs w:val="32"/>
          <w:shd w:val="clear" w:color="auto" w:fill="FFFFFF"/>
          <w:lang w:val="en-US" w:eastAsia="zh-CN" w:bidi="ar"/>
        </w:rPr>
        <w:t>对</w:t>
      </w:r>
      <w:r>
        <w:rPr>
          <w:rFonts w:hint="default" w:ascii="Times New Roman" w:hAnsi="Times New Roman" w:eastAsia="方正仿宋_GBK" w:cs="Times New Roman"/>
          <w:b w:val="0"/>
          <w:bCs/>
          <w:color w:val="auto"/>
          <w:sz w:val="32"/>
          <w:szCs w:val="32"/>
          <w:lang w:bidi="ar"/>
        </w:rPr>
        <w:t>生态环境保护综合行政执法机构规范化示范单位建设资金开</w:t>
      </w:r>
      <w:r>
        <w:rPr>
          <w:rFonts w:hint="default" w:ascii="Times New Roman" w:hAnsi="Times New Roman" w:eastAsia="方正仿宋_GBK" w:cs="Times New Roman"/>
          <w:b w:val="0"/>
          <w:bCs/>
          <w:color w:val="auto"/>
          <w:sz w:val="32"/>
          <w:szCs w:val="32"/>
          <w:shd w:val="clear" w:color="auto" w:fill="FFFFFF"/>
          <w:lang w:bidi="ar"/>
        </w:rPr>
        <w:t>展了绩效评价，涉及财政拨款项目资金</w:t>
      </w:r>
      <w:r>
        <w:rPr>
          <w:rFonts w:hint="default" w:ascii="Times New Roman" w:hAnsi="Times New Roman" w:eastAsia="方正仿宋_GBK" w:cs="Times New Roman"/>
          <w:b w:val="0"/>
          <w:bCs/>
          <w:color w:val="auto"/>
          <w:sz w:val="32"/>
          <w:szCs w:val="32"/>
          <w:shd w:val="clear" w:color="auto" w:fill="FFFFFF"/>
          <w:lang w:val="en-US" w:eastAsia="zh-CN" w:bidi="ar"/>
        </w:rPr>
        <w:t>1.48</w:t>
      </w:r>
      <w:r>
        <w:rPr>
          <w:rFonts w:hint="default" w:ascii="Times New Roman" w:hAnsi="Times New Roman" w:eastAsia="方正仿宋_GBK" w:cs="Times New Roman"/>
          <w:b w:val="0"/>
          <w:bCs/>
          <w:color w:val="auto"/>
          <w:sz w:val="32"/>
          <w:szCs w:val="32"/>
          <w:shd w:val="clear" w:color="auto" w:fill="FFFFFF"/>
          <w:lang w:bidi="ar"/>
        </w:rPr>
        <w:t>万元，评价得分</w:t>
      </w:r>
      <w:r>
        <w:rPr>
          <w:rFonts w:hint="default" w:ascii="Times New Roman" w:hAnsi="Times New Roman" w:eastAsia="方正仿宋_GBK" w:cs="Times New Roman"/>
          <w:b w:val="0"/>
          <w:bCs/>
          <w:color w:val="auto"/>
          <w:sz w:val="32"/>
          <w:szCs w:val="32"/>
          <w:shd w:val="clear" w:color="auto" w:fill="FFFFFF"/>
          <w:lang w:val="en-US" w:eastAsia="zh-CN" w:bidi="ar"/>
        </w:rPr>
        <w:t>100</w:t>
      </w:r>
      <w:r>
        <w:rPr>
          <w:rFonts w:hint="default" w:ascii="Times New Roman" w:hAnsi="Times New Roman" w:eastAsia="方正仿宋_GBK" w:cs="Times New Roman"/>
          <w:b w:val="0"/>
          <w:bCs/>
          <w:color w:val="auto"/>
          <w:sz w:val="32"/>
          <w:szCs w:val="32"/>
          <w:shd w:val="clear" w:color="auto" w:fill="FFFFFF"/>
          <w:lang w:bidi="ar"/>
        </w:rPr>
        <w:t>分，评价等次为</w:t>
      </w:r>
      <w:r>
        <w:rPr>
          <w:rFonts w:hint="default" w:ascii="Times New Roman" w:hAnsi="Times New Roman" w:eastAsia="方正仿宋_GBK" w:cs="Times New Roman"/>
          <w:b w:val="0"/>
          <w:bCs/>
          <w:color w:val="auto"/>
          <w:sz w:val="32"/>
          <w:szCs w:val="32"/>
          <w:shd w:val="clear" w:color="auto" w:fill="FFFFFF"/>
          <w:lang w:eastAsia="zh-CN" w:bidi="ar"/>
        </w:rPr>
        <w:t>优。</w:t>
      </w:r>
      <w:r>
        <w:rPr>
          <w:rFonts w:hint="default" w:ascii="Times New Roman" w:hAnsi="Times New Roman" w:eastAsia="方正仿宋_GBK" w:cs="Times New Roman"/>
          <w:b w:val="0"/>
          <w:bCs/>
          <w:color w:val="auto"/>
          <w:sz w:val="32"/>
          <w:szCs w:val="32"/>
          <w:lang w:bidi="ar"/>
        </w:rPr>
        <w:t>在今后工作中我们将严格执行行政事业单位会计制度，实现编制预算绩效目标全覆</w:t>
      </w:r>
      <w:r>
        <w:rPr>
          <w:rFonts w:hint="eastAsia" w:ascii="Times New Roman" w:hAnsi="Times New Roman" w:eastAsia="方正仿宋_GBK" w:cs="Times New Roman"/>
          <w:b w:val="0"/>
          <w:bCs/>
          <w:color w:val="auto"/>
          <w:sz w:val="32"/>
          <w:szCs w:val="32"/>
          <w:lang w:eastAsia="zh-CN" w:bidi="ar"/>
        </w:rPr>
        <w:t>；</w:t>
      </w:r>
      <w:r>
        <w:rPr>
          <w:rFonts w:hint="default" w:ascii="Times New Roman" w:hAnsi="Times New Roman" w:eastAsia="方正仿宋_GBK" w:cs="Times New Roman"/>
          <w:b w:val="0"/>
          <w:bCs/>
          <w:color w:val="auto"/>
          <w:sz w:val="32"/>
          <w:szCs w:val="32"/>
          <w:lang w:bidi="ar"/>
        </w:rPr>
        <w:t>加快项目支付审批流程</w:t>
      </w:r>
      <w:r>
        <w:rPr>
          <w:rFonts w:hint="eastAsia" w:ascii="Times New Roman" w:hAnsi="Times New Roman" w:eastAsia="方正仿宋_GBK" w:cs="Times New Roman"/>
          <w:b w:val="0"/>
          <w:bCs/>
          <w:color w:val="auto"/>
          <w:sz w:val="32"/>
          <w:szCs w:val="32"/>
          <w:lang w:eastAsia="zh-CN" w:bidi="ar"/>
        </w:rPr>
        <w:t>；</w:t>
      </w:r>
      <w:r>
        <w:rPr>
          <w:rFonts w:hint="default" w:ascii="Times New Roman" w:hAnsi="Times New Roman" w:eastAsia="方正仿宋_GBK" w:cs="Times New Roman"/>
          <w:b w:val="0"/>
          <w:bCs/>
          <w:color w:val="auto"/>
          <w:sz w:val="32"/>
          <w:szCs w:val="32"/>
          <w:lang w:bidi="ar"/>
        </w:rPr>
        <w:t>进一步强化预算管理，严谨科学、结合实际制定年初预算，重大支出项目做到有计划、有监督、有评估。</w:t>
      </w:r>
    </w:p>
    <w:p>
      <w:pPr>
        <w:pStyle w:val="12"/>
        <w:keepNext w:val="0"/>
        <w:keepLines w:val="0"/>
        <w:pageBreakBefore w:val="0"/>
        <w:widowControl/>
        <w:kinsoku/>
        <w:wordWrap/>
        <w:overflowPunct/>
        <w:topLinePunct w:val="0"/>
        <w:autoSpaceDE w:val="0"/>
        <w:autoSpaceDN/>
        <w:bidi w:val="0"/>
        <w:adjustRightInd/>
        <w:spacing w:line="560" w:lineRule="exact"/>
        <w:ind w:firstLine="640"/>
        <w:jc w:val="both"/>
        <w:textAlignment w:val="auto"/>
        <w:outlineLvl w:val="9"/>
        <w:rPr>
          <w:rFonts w:hint="eastAsia" w:ascii="方正楷体_GBK" w:hAnsi="方正楷体_GBK" w:eastAsia="方正楷体_GBK" w:cs="方正楷体_GBK"/>
          <w:b w:val="0"/>
          <w:bCs/>
          <w:color w:val="auto"/>
          <w:sz w:val="32"/>
          <w:szCs w:val="32"/>
          <w:shd w:val="clear" w:color="auto" w:fill="FFFFFF"/>
          <w:lang w:bidi="ar"/>
        </w:rPr>
      </w:pPr>
      <w:r>
        <w:rPr>
          <w:rFonts w:hint="eastAsia" w:ascii="方正楷体_GBK" w:hAnsi="方正楷体_GBK" w:eastAsia="方正楷体_GBK" w:cs="方正楷体_GBK"/>
          <w:b w:val="0"/>
          <w:bCs/>
          <w:color w:val="auto"/>
          <w:sz w:val="32"/>
          <w:szCs w:val="32"/>
          <w:shd w:val="clear" w:color="auto" w:fill="FFFFFF"/>
          <w:lang w:bidi="ar"/>
        </w:rPr>
        <w:t>（三）财政绩效评价情况</w:t>
      </w:r>
    </w:p>
    <w:p>
      <w:pPr>
        <w:pStyle w:val="12"/>
        <w:keepNext w:val="0"/>
        <w:keepLines w:val="0"/>
        <w:pageBreakBefore w:val="0"/>
        <w:widowControl/>
        <w:kinsoku/>
        <w:wordWrap/>
        <w:overflowPunct/>
        <w:topLinePunct w:val="0"/>
        <w:autoSpaceDE w:val="0"/>
        <w:autoSpaceDN/>
        <w:bidi w:val="0"/>
        <w:adjustRightInd/>
        <w:snapToGrid/>
        <w:spacing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lang w:val="en-US" w:eastAsia="zh-CN" w:bidi="ar"/>
        </w:rPr>
      </w:pPr>
      <w:r>
        <w:rPr>
          <w:rFonts w:hint="eastAsia" w:ascii="Times New Roman" w:hAnsi="Times New Roman" w:eastAsia="方正仿宋_GBK" w:cs="Times New Roman"/>
          <w:b w:val="0"/>
          <w:bCs/>
          <w:color w:val="auto"/>
          <w:sz w:val="32"/>
          <w:szCs w:val="32"/>
          <w:lang w:val="en-US" w:eastAsia="zh-CN" w:bidi="ar"/>
        </w:rPr>
        <w:t>县</w:t>
      </w:r>
      <w:r>
        <w:rPr>
          <w:rFonts w:hint="default" w:ascii="Times New Roman" w:hAnsi="Times New Roman" w:eastAsia="方正仿宋_GBK" w:cs="Times New Roman"/>
          <w:b w:val="0"/>
          <w:bCs/>
          <w:color w:val="auto"/>
          <w:sz w:val="32"/>
          <w:szCs w:val="32"/>
          <w:lang w:val="en-US" w:eastAsia="zh-CN" w:bidi="ar"/>
        </w:rPr>
        <w:t>财政局未委托第三方对我部门开展绩效评价。</w:t>
      </w:r>
    </w:p>
    <w:p>
      <w:pPr>
        <w:pStyle w:val="7"/>
        <w:keepNext w:val="0"/>
        <w:keepLines w:val="0"/>
        <w:pageBreakBefore w:val="0"/>
        <w:widowControl/>
        <w:shd w:val="clear" w:color="auto" w:fill="FFFFFF"/>
        <w:kinsoku/>
        <w:wordWrap/>
        <w:overflowPunct/>
        <w:topLinePunct w:val="0"/>
        <w:autoSpaceDN/>
        <w:bidi w:val="0"/>
        <w:adjustRightInd/>
        <w:snapToGrid/>
        <w:spacing w:before="0" w:beforeAutospacing="0" w:after="0" w:afterAutospacing="0" w:line="560" w:lineRule="exact"/>
        <w:ind w:firstLine="640" w:firstLineChars="200"/>
        <w:jc w:val="both"/>
        <w:textAlignment w:val="auto"/>
        <w:outlineLvl w:val="9"/>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六</w:t>
      </w:r>
      <w:r>
        <w:rPr>
          <w:rStyle w:val="11"/>
          <w:rFonts w:hint="eastAsia" w:ascii="方正黑体_GBK" w:hAnsi="方正黑体_GBK" w:eastAsia="方正黑体_GBK" w:cs="方正黑体_GBK"/>
          <w:b w:val="0"/>
          <w:bCs/>
          <w:color w:val="auto"/>
          <w:sz w:val="32"/>
          <w:szCs w:val="32"/>
          <w:shd w:val="clear" w:color="auto" w:fill="FFFFFF"/>
        </w:rPr>
        <w:t>、专业名词解释</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Fonts w:hint="eastAsia" w:ascii="方正楷体_GBK" w:hAnsi="方正楷体_GBK" w:eastAsia="方正楷体_GBK" w:cs="方正楷体_GBK"/>
          <w:b w:val="0"/>
          <w:bCs/>
          <w:color w:val="auto"/>
          <w:sz w:val="32"/>
          <w:szCs w:val="32"/>
          <w:shd w:val="clear" w:color="auto" w:fill="FFFFFF"/>
        </w:rPr>
        <w:t>（一）财政拨款收入：</w:t>
      </w:r>
      <w:r>
        <w:rPr>
          <w:rFonts w:hint="default" w:ascii="Times New Roman" w:hAnsi="Times New Roman" w:eastAsia="方正仿宋_GBK" w:cs="Times New Roman"/>
          <w:b w:val="0"/>
          <w:bCs/>
          <w:color w:val="auto"/>
          <w:sz w:val="32"/>
          <w:szCs w:val="32"/>
          <w:shd w:val="clear" w:color="auto" w:fill="FFFFFF"/>
        </w:rPr>
        <w:t>指本年度从本级财政部门取得的财政拨款。</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eastAsia" w:ascii="方正楷体_GBK" w:hAnsi="方正楷体_GBK" w:eastAsia="方正楷体_GBK" w:cs="方正楷体_GBK"/>
          <w:b w:val="0"/>
          <w:bCs/>
          <w:color w:val="auto"/>
          <w:sz w:val="32"/>
          <w:szCs w:val="32"/>
          <w:shd w:val="clear" w:color="auto" w:fill="FFFFFF"/>
        </w:rPr>
        <w:t>（二）事业收入</w:t>
      </w:r>
      <w:r>
        <w:rPr>
          <w:rFonts w:hint="eastAsia" w:ascii="方正楷体_GBK" w:hAnsi="方正楷体_GBK" w:eastAsia="方正楷体_GBK" w:cs="方正楷体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指事业单位开展专业业务活动及其辅助活动取得的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（三）经营收入：</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指事业单位在专业业务活动及其辅助活动之外开展非独立核算经营活动取得的</w:t>
      </w:r>
      <w:r>
        <w:rPr>
          <w:rFonts w:hint="default" w:ascii="Times New Roman" w:hAnsi="Times New Roman" w:eastAsia="方正仿宋_GBK" w:cs="Times New Roman"/>
          <w:b w:val="0"/>
          <w:bCs/>
          <w:color w:val="auto"/>
          <w:sz w:val="32"/>
          <w:szCs w:val="32"/>
          <w:shd w:val="clear" w:color="auto" w:fill="FFFFFF"/>
          <w:lang w:eastAsia="zh-CN"/>
        </w:rPr>
        <w:t>收入</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（四）其他收入：</w:t>
      </w:r>
      <w:r>
        <w:rPr>
          <w:rFonts w:hint="default" w:ascii="Times New Roman" w:hAnsi="Times New Roman" w:eastAsia="方正仿宋_GBK" w:cs="Times New Roman"/>
          <w:b w:val="0"/>
          <w:bCs/>
          <w:color w:val="auto"/>
          <w:sz w:val="32"/>
          <w:szCs w:val="32"/>
          <w:shd w:val="clear" w:color="auto" w:fill="FFFFFF"/>
        </w:rPr>
        <w:t>指单位取</w:t>
      </w:r>
      <w:r>
        <w:rPr>
          <w:rFonts w:hint="eastAsia" w:ascii="方正仿宋_GBK" w:hAnsi="方正仿宋_GBK" w:eastAsia="方正仿宋_GBK" w:cs="方正仿宋_GBK"/>
          <w:b w:val="0"/>
          <w:bCs/>
          <w:color w:val="auto"/>
          <w:sz w:val="32"/>
          <w:szCs w:val="32"/>
          <w:shd w:val="clear" w:color="auto" w:fill="FFFFFF"/>
        </w:rPr>
        <w:t>得的除“财政拨款收入”、“事业收入”、“经营收入”等以外的收入，包括未纳入财政预算或财政专户管理的投资收益、银行存款利息收入、租金收入、捐赠收入，现金盘盈收入、存货盘盈收入、收</w:t>
      </w:r>
      <w:r>
        <w:rPr>
          <w:rFonts w:hint="default" w:ascii="Times New Roman" w:hAnsi="Times New Roman" w:eastAsia="方正仿宋_GBK" w:cs="Times New Roman"/>
          <w:b w:val="0"/>
          <w:bCs/>
          <w:color w:val="auto"/>
          <w:sz w:val="32"/>
          <w:szCs w:val="32"/>
          <w:shd w:val="clear" w:color="auto" w:fill="FFFFFF"/>
        </w:rPr>
        <w:t>回已核销的应收及预付款项、无法偿付的应付及预收款项等。各单位从本级财政部门以外的同级单位取得的经费、从非本级财政部门取得的经费，以及行政单位收到的财政专户管理资金反映在本项内。</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（五）使用非财政拨款结余</w:t>
      </w:r>
      <w:r>
        <w:rPr>
          <w:rStyle w:val="11"/>
          <w:rFonts w:hint="default" w:ascii="方正楷体_GBK" w:hAnsi="方正楷体_GBK" w:eastAsia="方正楷体_GBK" w:cs="方正楷体_GBK"/>
          <w:b w:val="0"/>
          <w:bCs/>
          <w:color w:val="auto"/>
          <w:sz w:val="32"/>
          <w:szCs w:val="32"/>
          <w:shd w:val="clear" w:color="auto" w:fill="FFFFFF"/>
          <w:lang w:eastAsia="zh-CN"/>
        </w:rPr>
        <w:t>（含专用结余）</w:t>
      </w:r>
      <w:r>
        <w:rPr>
          <w:rStyle w:val="11"/>
          <w:rFonts w:hint="default" w:ascii="方正楷体_GBK" w:hAnsi="方正楷体_GBK" w:eastAsia="方正楷体_GBK" w:cs="方正楷体_GBK"/>
          <w:b w:val="0"/>
          <w:bCs/>
          <w:color w:val="auto"/>
          <w:sz w:val="32"/>
          <w:szCs w:val="32"/>
          <w:shd w:val="clear" w:color="auto" w:fill="FFFFFF"/>
        </w:rPr>
        <w:t>：</w:t>
      </w:r>
      <w:r>
        <w:rPr>
          <w:rFonts w:hint="default" w:ascii="Times New Roman" w:hAnsi="Times New Roman" w:eastAsia="方正仿宋_GBK" w:cs="Times New Roman"/>
          <w:b w:val="0"/>
          <w:bCs/>
          <w:color w:val="auto"/>
          <w:sz w:val="32"/>
          <w:szCs w:val="32"/>
          <w:shd w:val="clear" w:color="auto" w:fill="FFFFFF"/>
        </w:rPr>
        <w:t>指</w:t>
      </w:r>
      <w:r>
        <w:rPr>
          <w:rFonts w:hint="default" w:ascii="Times New Roman" w:hAnsi="Times New Roman" w:eastAsia="方正仿宋_GBK" w:cs="Times New Roman"/>
          <w:b w:val="0"/>
          <w:bCs/>
          <w:color w:val="auto"/>
          <w:sz w:val="32"/>
          <w:szCs w:val="32"/>
          <w:shd w:val="clear" w:color="auto" w:fill="FFFFFF"/>
          <w:lang w:eastAsia="zh-CN"/>
        </w:rPr>
        <w:t>事业单位按照预算管理要求使用非财政拨款结余弥补收支差额的金额，以及使用专用结余安排支出的金额。</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（六）年初结转和结余：</w:t>
      </w:r>
      <w:r>
        <w:rPr>
          <w:rFonts w:hint="default" w:ascii="Times New Roman" w:hAnsi="Times New Roman" w:eastAsia="方正仿宋_GBK" w:cs="Times New Roman"/>
          <w:b w:val="0"/>
          <w:bCs/>
          <w:color w:val="auto"/>
          <w:sz w:val="32"/>
          <w:szCs w:val="32"/>
          <w:shd w:val="clear" w:color="auto" w:fill="FFFFFF"/>
        </w:rPr>
        <w:t>指单位上年结转本年使用的基本支出结转、项目支出结转和结余、经营结余。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（七）结余分配：</w:t>
      </w:r>
      <w:r>
        <w:rPr>
          <w:rFonts w:hint="default" w:ascii="Times New Roman" w:hAnsi="Times New Roman" w:eastAsia="方正仿宋_GBK" w:cs="Times New Roman"/>
          <w:b w:val="0"/>
          <w:bCs/>
          <w:color w:val="auto"/>
          <w:sz w:val="32"/>
          <w:szCs w:val="32"/>
          <w:shd w:val="clear" w:color="auto" w:fill="FFFFFF"/>
        </w:rPr>
        <w:t>指单位按照国家有关规定，缴纳所得税、提取专用基金、转入非财政拨款结余等当年结余的分配情况。</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（八）年末结转和结余：</w:t>
      </w:r>
      <w:r>
        <w:rPr>
          <w:rFonts w:hint="default" w:ascii="Times New Roman" w:hAnsi="Times New Roman" w:eastAsia="方正仿宋_GBK" w:cs="Times New Roman"/>
          <w:b w:val="0"/>
          <w:bCs/>
          <w:color w:val="auto"/>
          <w:sz w:val="32"/>
          <w:szCs w:val="32"/>
          <w:shd w:val="clear" w:color="auto" w:fill="FFFFFF"/>
        </w:rPr>
        <w:t>指单位结转下年的基本支出结转、项目支出结转和结余、经营结余。</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（九）基本支出：</w:t>
      </w:r>
      <w:r>
        <w:rPr>
          <w:rFonts w:hint="default" w:ascii="Times New Roman" w:hAnsi="Times New Roman" w:eastAsia="方正仿宋_GBK" w:cs="Times New Roman"/>
          <w:b w:val="0"/>
          <w:bCs/>
          <w:color w:val="auto"/>
          <w:sz w:val="32"/>
          <w:szCs w:val="32"/>
          <w:shd w:val="clear" w:color="auto" w:fill="FFFFFF"/>
        </w:rPr>
        <w:t>指为保障机构正常运转、完成日常工作任务而发生的人员经费</w:t>
      </w:r>
      <w:r>
        <w:rPr>
          <w:rFonts w:hint="eastAsia" w:ascii="方正仿宋_GBK" w:hAnsi="方正仿宋_GBK" w:eastAsia="方正仿宋_GBK" w:cs="方正仿宋_GBK"/>
          <w:b w:val="0"/>
          <w:bCs/>
          <w:color w:val="auto"/>
          <w:sz w:val="32"/>
          <w:szCs w:val="32"/>
          <w:shd w:val="clear" w:color="auto" w:fill="FFFFFF"/>
        </w:rPr>
        <w:t>和公用经费。其中：人员经费指政府收支分类经济科目中的“工资福利支出”和“对个人和家庭的补助”；公用经费指政府收支分类经济科目中除“工资福利支出”和“对个人和家庭的补助”外的其他支出</w:t>
      </w:r>
      <w:r>
        <w:rPr>
          <w:rFonts w:hint="default" w:ascii="Times New Roman" w:hAnsi="Times New Roman" w:eastAsia="方正仿宋_GBK" w:cs="Times New Roman"/>
          <w:b w:val="0"/>
          <w:bCs/>
          <w:color w:val="auto"/>
          <w:sz w:val="32"/>
          <w:szCs w:val="32"/>
          <w:shd w:val="clear" w:color="auto" w:fill="FFFFFF"/>
        </w:rPr>
        <w:t>。</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（十）项目支出：</w:t>
      </w:r>
      <w:r>
        <w:rPr>
          <w:rFonts w:hint="default" w:ascii="Times New Roman" w:hAnsi="Times New Roman" w:eastAsia="方正仿宋_GBK" w:cs="Times New Roman"/>
          <w:b w:val="0"/>
          <w:bCs/>
          <w:color w:val="auto"/>
          <w:sz w:val="32"/>
          <w:szCs w:val="32"/>
          <w:shd w:val="clear" w:color="auto" w:fill="FFFFFF"/>
        </w:rPr>
        <w:t>指在基本支出之外为完成特定行政任务和事业发展目标所发生的支出。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（十一）经营支出：</w:t>
      </w:r>
      <w:r>
        <w:rPr>
          <w:rFonts w:hint="default" w:ascii="Times New Roman" w:hAnsi="Times New Roman" w:eastAsia="方正仿宋_GBK" w:cs="Times New Roman"/>
          <w:b w:val="0"/>
          <w:bCs/>
          <w:color w:val="auto"/>
          <w:sz w:val="32"/>
          <w:szCs w:val="32"/>
          <w:shd w:val="clear" w:color="auto" w:fill="FFFFFF"/>
        </w:rPr>
        <w:t>指事业单位在专业业务活动及其辅助活动之外开展非独立核算经营活动发生的支出。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（十二）“三公”经费：</w:t>
      </w:r>
      <w:r>
        <w:rPr>
          <w:rFonts w:hint="default" w:ascii="Times New Roman" w:hAnsi="Times New Roman" w:eastAsia="方正仿宋_GBK" w:cs="Times New Roman"/>
          <w:b w:val="0"/>
          <w:bCs/>
          <w:color w:val="auto"/>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（十三）机关运行经费：</w:t>
      </w:r>
      <w:r>
        <w:rPr>
          <w:rFonts w:hint="default" w:ascii="Times New Roman" w:hAnsi="Times New Roman" w:eastAsia="方正仿宋_GBK" w:cs="Times New Roman"/>
          <w:b w:val="0"/>
          <w:bCs/>
          <w:color w:val="auto"/>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（十四）工资福利支出（支出经济分类科目类级）：</w:t>
      </w:r>
      <w:r>
        <w:rPr>
          <w:rFonts w:hint="default" w:ascii="Times New Roman" w:hAnsi="Times New Roman" w:eastAsia="方正仿宋_GBK" w:cs="Times New Roman"/>
          <w:b w:val="0"/>
          <w:bCs/>
          <w:color w:val="auto"/>
          <w:sz w:val="32"/>
          <w:szCs w:val="32"/>
          <w:shd w:val="clear" w:color="auto" w:fill="FFFFFF"/>
        </w:rPr>
        <w:t>反映单位开支的在职职工和编制外长期聘用人员的各类劳动报酬，以及为上述人员缴纳的各项社会保险费等。</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（十五）商品和服务支出（支出经济分类科目类级）：</w:t>
      </w:r>
      <w:r>
        <w:rPr>
          <w:rFonts w:hint="default" w:ascii="Times New Roman" w:hAnsi="Times New Roman" w:eastAsia="方正仿宋_GBK" w:cs="Times New Roman"/>
          <w:b w:val="0"/>
          <w:bCs/>
          <w:color w:val="auto"/>
          <w:sz w:val="32"/>
          <w:szCs w:val="32"/>
          <w:shd w:val="clear" w:color="auto" w:fill="FFFFFF"/>
        </w:rPr>
        <w:t>反映单位购买商品和服务的支出（不包括用于购置固定资产的支出、战略性和应急储备支出）。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rPr>
      </w:pPr>
      <w:r>
        <w:rPr>
          <w:rStyle w:val="11"/>
          <w:rFonts w:hint="default" w:ascii="方正楷体_GBK" w:hAnsi="方正楷体_GBK" w:eastAsia="方正楷体_GBK" w:cs="方正楷体_GBK"/>
          <w:b w:val="0"/>
          <w:bCs/>
          <w:color w:val="auto"/>
          <w:sz w:val="32"/>
          <w:szCs w:val="32"/>
          <w:shd w:val="clear" w:color="auto" w:fill="FFFFFF"/>
        </w:rPr>
        <w:t>（十六）对个人和家庭的补助（支出经济分类科目类级）：</w:t>
      </w:r>
      <w:r>
        <w:rPr>
          <w:rFonts w:hint="default" w:ascii="Times New Roman" w:hAnsi="Times New Roman" w:eastAsia="方正仿宋_GBK" w:cs="Times New Roman"/>
          <w:b w:val="0"/>
          <w:bCs/>
          <w:color w:val="auto"/>
          <w:sz w:val="32"/>
          <w:szCs w:val="32"/>
          <w:shd w:val="clear" w:color="auto" w:fill="FFFFFF"/>
        </w:rPr>
        <w:t>反映用于对个人和家庭的补助支出。</w:t>
      </w:r>
    </w:p>
    <w:p>
      <w:pPr>
        <w:pStyle w:val="7"/>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b w:val="0"/>
          <w:bCs/>
          <w:color w:val="auto"/>
          <w:sz w:val="32"/>
          <w:szCs w:val="32"/>
          <w:shd w:val="clear" w:color="auto" w:fill="FFFFFF"/>
        </w:rPr>
      </w:pPr>
      <w:r>
        <w:rPr>
          <w:rStyle w:val="11"/>
          <w:rFonts w:hint="default" w:ascii="方正楷体_GBK" w:hAnsi="方正楷体_GBK" w:eastAsia="方正楷体_GBK" w:cs="方正楷体_GBK"/>
          <w:b w:val="0"/>
          <w:bCs/>
          <w:color w:val="auto"/>
          <w:sz w:val="32"/>
          <w:szCs w:val="32"/>
          <w:shd w:val="clear" w:color="auto" w:fill="FFFFFF"/>
        </w:rPr>
        <w:t>（十七）其他资本性支出（支出经济分类科目类级）：</w:t>
      </w:r>
      <w:r>
        <w:rPr>
          <w:rFonts w:hint="default" w:ascii="Times New Roman" w:hAnsi="Times New Roman" w:eastAsia="方正仿宋_GBK" w:cs="Times New Roman"/>
          <w:b w:val="0"/>
          <w:bCs/>
          <w:color w:val="auto"/>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7"/>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outlineLvl w:val="9"/>
        <w:rPr>
          <w:rStyle w:val="11"/>
          <w:rFonts w:hint="eastAsia" w:ascii="方正黑体_GBK" w:hAnsi="方正黑体_GBK" w:eastAsia="方正黑体_GBK" w:cs="方正黑体_GBK"/>
          <w:b w:val="0"/>
          <w:bCs/>
          <w:color w:val="auto"/>
          <w:sz w:val="32"/>
          <w:szCs w:val="32"/>
          <w:shd w:val="clear" w:color="auto" w:fill="FFFFFF"/>
        </w:rPr>
      </w:pPr>
      <w:r>
        <w:rPr>
          <w:rStyle w:val="11"/>
          <w:rFonts w:hint="eastAsia" w:ascii="方正黑体_GBK" w:hAnsi="方正黑体_GBK" w:eastAsia="方正黑体_GBK" w:cs="方正黑体_GBK"/>
          <w:b w:val="0"/>
          <w:bCs/>
          <w:color w:val="auto"/>
          <w:sz w:val="32"/>
          <w:szCs w:val="32"/>
          <w:shd w:val="clear" w:color="auto" w:fill="FFFFFF"/>
          <w:lang w:eastAsia="zh-CN"/>
        </w:rPr>
        <w:t>七</w:t>
      </w:r>
      <w:r>
        <w:rPr>
          <w:rStyle w:val="11"/>
          <w:rFonts w:hint="eastAsia" w:ascii="方正黑体_GBK" w:hAnsi="方正黑体_GBK" w:eastAsia="方正黑体_GBK" w:cs="方正黑体_GBK"/>
          <w:b w:val="0"/>
          <w:bCs/>
          <w:color w:val="auto"/>
          <w:sz w:val="32"/>
          <w:szCs w:val="32"/>
          <w:shd w:val="clear" w:color="auto" w:fill="FFFFFF"/>
        </w:rPr>
        <w:t>、决算公开联系方式及信息反馈渠道</w:t>
      </w:r>
    </w:p>
    <w:p>
      <w:pPr>
        <w:pStyle w:val="12"/>
        <w:keepNext w:val="0"/>
        <w:keepLines w:val="0"/>
        <w:pageBreakBefore w:val="0"/>
        <w:widowControl/>
        <w:kinsoku/>
        <w:wordWrap/>
        <w:overflowPunct/>
        <w:topLinePunct w:val="0"/>
        <w:autoSpaceDE w:val="0"/>
        <w:autoSpaceDN/>
        <w:bidi w:val="0"/>
        <w:adjustRightInd/>
        <w:spacing w:line="560" w:lineRule="exact"/>
        <w:ind w:firstLine="640"/>
        <w:jc w:val="both"/>
        <w:textAlignment w:val="auto"/>
        <w:outlineLvl w:val="9"/>
        <w:rPr>
          <w:rStyle w:val="11"/>
          <w:rFonts w:hint="default" w:ascii="Times New Roman" w:hAnsi="Times New Roman" w:eastAsia="方正仿宋_GBK" w:cs="Times New Roman"/>
          <w:b w:val="0"/>
          <w:bCs/>
          <w:color w:val="auto"/>
          <w:sz w:val="32"/>
          <w:szCs w:val="32"/>
          <w:shd w:val="clear" w:color="auto" w:fill="FFFF00"/>
          <w:lang w:val="en-US" w:eastAsia="zh-CN"/>
        </w:rPr>
        <w:sectPr>
          <w:footerReference r:id="rId4"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cs="Times New Roman"/>
          <w:b w:val="0"/>
          <w:bCs/>
          <w:color w:val="auto"/>
          <w:sz w:val="32"/>
          <w:szCs w:val="32"/>
          <w:shd w:val="clear" w:color="auto" w:fill="FFFFFF"/>
        </w:rPr>
        <w:t>本部门决算公开信息反馈和联系方式：</w:t>
      </w:r>
      <w:r>
        <w:rPr>
          <w:rFonts w:hint="default" w:ascii="Times New Roman" w:hAnsi="Times New Roman" w:eastAsia="方正仿宋_GBK" w:cs="Times New Roman"/>
          <w:b w:val="0"/>
          <w:bCs/>
          <w:color w:val="auto"/>
          <w:sz w:val="32"/>
          <w:szCs w:val="32"/>
          <w:shd w:val="clear" w:color="auto" w:fill="FFFFFF"/>
          <w:lang w:val="en-US" w:eastAsia="zh-CN"/>
        </w:rPr>
        <w:t>023-76665106</w:t>
      </w:r>
    </w:p>
    <w:tbl>
      <w:tblPr>
        <w:tblStyle w:val="8"/>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spacing w:line="200" w:lineRule="exact"/>
              <w:jc w:val="right"/>
              <w:rPr>
                <w:rFonts w:hint="default" w:ascii="Arial" w:hAnsi="Arial" w:cs="Arial"/>
                <w:color w:val="auto"/>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01</w:t>
            </w:r>
            <w:r>
              <w:rPr>
                <w:rFonts w:cs="宋体"/>
                <w:color w:val="auto"/>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r>
              <w:rPr>
                <w:rFonts w:cs="宋体"/>
                <w:color w:val="auto"/>
                <w:sz w:val="20"/>
                <w:szCs w:val="20"/>
              </w:rPr>
              <w:t>部门：</w:t>
            </w:r>
            <w:r>
              <w:rPr>
                <w:color w:val="auto"/>
                <w:sz w:val="20"/>
                <w:u w:color="auto"/>
              </w:rPr>
              <w:t>秀山土家族苗族自治县生态环境保护综合行政执法支队</w:t>
            </w:r>
          </w:p>
        </w:tc>
        <w:tc>
          <w:tcPr>
            <w:tcW w:w="404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ascii="Arial" w:hAnsi="Arial" w:cs="Arial"/>
                <w:color w:val="auto"/>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76.81</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36.16</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460.99</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rPr>
                <w:rFonts w:hint="default" w:cs="宋体"/>
                <w:b/>
                <w:bCs/>
                <w:color w:val="auto"/>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bCs/>
                <w:color w:val="auto"/>
                <w:sz w:val="20"/>
                <w:szCs w:val="20"/>
              </w:rPr>
            </w:pPr>
            <w:r>
              <w:rPr>
                <w:rFonts w:cs="宋体"/>
                <w:b/>
                <w:bCs/>
                <w:color w:val="auto"/>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40" w:lineRule="exact"/>
              <w:textAlignment w:val="center"/>
              <w:rPr>
                <w:rFonts w:hint="default" w:cs="宋体"/>
                <w:b/>
                <w:bCs/>
                <w:color w:val="auto"/>
                <w:sz w:val="20"/>
                <w:szCs w:val="20"/>
              </w:rPr>
            </w:pPr>
            <w:r>
              <w:rPr>
                <w:rFonts w:cs="宋体"/>
                <w:b/>
                <w:bCs/>
                <w:color w:val="auto"/>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spacing w:line="240" w:lineRule="exact"/>
              <w:jc w:val="center"/>
              <w:textAlignment w:val="center"/>
              <w:rPr>
                <w:rFonts w:hint="default" w:cs="宋体"/>
                <w:b/>
                <w:color w:val="auto"/>
                <w:sz w:val="20"/>
                <w:szCs w:val="20"/>
              </w:rPr>
            </w:pPr>
            <w:r>
              <w:rPr>
                <w:rFonts w:cs="宋体"/>
                <w:b/>
                <w:color w:val="auto"/>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614.53</w:t>
            </w:r>
            <w:r>
              <w:rPr>
                <w:rFonts w:ascii="Times New Roman" w:hAnsi="Times New Roman"/>
                <w:color w:val="auto"/>
                <w:sz w:val="20"/>
                <w:u w:color="auto"/>
              </w:rPr>
              <w:t xml:space="preserve"> </w:t>
            </w:r>
          </w:p>
        </w:tc>
      </w:tr>
    </w:tbl>
    <w:p>
      <w:pPr>
        <w:rPr>
          <w:rFonts w:hint="default" w:cs="宋体"/>
          <w:color w:val="auto"/>
          <w:sz w:val="21"/>
          <w:szCs w:val="21"/>
        </w:rPr>
      </w:pPr>
    </w:p>
    <w:p>
      <w:pPr>
        <w:spacing w:line="240" w:lineRule="exact"/>
        <w:rPr>
          <w:rFonts w:hint="default" w:cs="宋体"/>
          <w:color w:val="auto"/>
          <w:sz w:val="20"/>
          <w:szCs w:val="20"/>
        </w:rPr>
      </w:pPr>
      <w:r>
        <w:rPr>
          <w:rFonts w:cs="宋体"/>
          <w:color w:val="auto"/>
          <w:sz w:val="20"/>
          <w:szCs w:val="20"/>
        </w:rPr>
        <w:t>备注：1.本表反映部门本年度的总收支和年末结转结余情况。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tbl>
      <w:tblPr>
        <w:tblStyle w:val="8"/>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秀山土家族苗族自治县生态环境保护综合行政执法支队</w:t>
            </w: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02</w:t>
            </w:r>
            <w:r>
              <w:rPr>
                <w:rFonts w:cs="宋体"/>
                <w:color w:val="auto"/>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ind w:left="600" w:hanging="600" w:hangingChars="300"/>
        <w:rPr>
          <w:rFonts w:hint="default" w:cs="宋体"/>
          <w:color w:val="auto"/>
          <w:sz w:val="20"/>
          <w:szCs w:val="20"/>
        </w:rPr>
      </w:pPr>
      <w:r>
        <w:rPr>
          <w:rFonts w:cs="宋体"/>
          <w:color w:val="auto"/>
          <w:sz w:val="20"/>
          <w:szCs w:val="20"/>
        </w:rPr>
        <w:t>备注：1.本表反映部门本年度取得的各项收入情况。</w:t>
      </w:r>
      <w:r>
        <w:rPr>
          <w:rFonts w:cs="宋体"/>
          <w:color w:val="auto"/>
          <w:sz w:val="20"/>
          <w:szCs w:val="20"/>
        </w:rPr>
        <w:br w:type="textWrapping"/>
      </w:r>
      <w:r>
        <w:rPr>
          <w:rFonts w:cs="宋体"/>
          <w:color w:val="auto"/>
          <w:sz w:val="20"/>
          <w:szCs w:val="20"/>
        </w:rPr>
        <w:t>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0"/>
          <w:szCs w:val="20"/>
        </w:rPr>
      </w:pPr>
      <w:r>
        <w:rPr>
          <w:rFonts w:cs="宋体"/>
          <w:color w:val="auto"/>
          <w:sz w:val="20"/>
          <w:szCs w:val="20"/>
        </w:rPr>
        <w:br w:type="page"/>
      </w:r>
    </w:p>
    <w:tbl>
      <w:tblPr>
        <w:tblStyle w:val="8"/>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 xml:space="preserve">秀山土家族苗族自治县生态环境保护综合行政执法支队 </w:t>
            </w: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03</w:t>
            </w:r>
            <w:r>
              <w:rPr>
                <w:rFonts w:cs="宋体"/>
                <w:color w:val="auto"/>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561.76</w:t>
            </w:r>
            <w:r>
              <w:rPr>
                <w:rFonts w:ascii="Times New Roman" w:hAnsi="Times New Roman"/>
                <w:b/>
                <w:color w:val="auto"/>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52.76</w:t>
            </w:r>
            <w:r>
              <w:rPr>
                <w:rFonts w:ascii="Times New Roman" w:hAnsi="Times New Roman"/>
                <w:b/>
                <w:color w:val="auto"/>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0"/>
          <w:szCs w:val="20"/>
        </w:rPr>
      </w:pPr>
      <w:r>
        <w:rPr>
          <w:rFonts w:cs="宋体"/>
          <w:color w:val="auto"/>
          <w:sz w:val="20"/>
          <w:szCs w:val="20"/>
        </w:rPr>
        <w:t>备注：1.本表反映部门本年度各项支出情况。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p>
      <w:pPr>
        <w:rPr>
          <w:rFonts w:hint="default" w:cs="宋体"/>
          <w:color w:val="auto"/>
          <w:sz w:val="21"/>
          <w:szCs w:val="21"/>
        </w:rPr>
      </w:pPr>
    </w:p>
    <w:tbl>
      <w:tblPr>
        <w:tblStyle w:val="8"/>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spacing w:line="400" w:lineRule="exact"/>
              <w:jc w:val="center"/>
              <w:textAlignment w:val="bottom"/>
              <w:rPr>
                <w:rFonts w:hint="default" w:cs="宋体"/>
                <w:b/>
                <w:color w:val="auto"/>
                <w:sz w:val="32"/>
                <w:szCs w:val="32"/>
              </w:rPr>
            </w:pPr>
            <w:r>
              <w:rPr>
                <w:rFonts w:cs="宋体"/>
                <w:b/>
                <w:color w:val="auto"/>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秀山土家族苗族自治县生态环境保护综合行政执法支队</w:t>
            </w: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4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04</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76.81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76.81</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36.16</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460.99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460.99</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b/>
                <w:bCs/>
                <w:color w:val="auto"/>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bCs/>
                <w:color w:val="auto"/>
                <w:sz w:val="18"/>
                <w:szCs w:val="18"/>
              </w:rPr>
            </w:pPr>
            <w:r>
              <w:rPr>
                <w:rFonts w:cs="宋体"/>
                <w:b/>
                <w:bCs/>
                <w:color w:val="auto"/>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614.53</w:t>
            </w:r>
            <w:r>
              <w:rPr>
                <w:rFonts w:ascii="Times New Roman" w:hAnsi="Times New Roman"/>
                <w:color w:val="auto"/>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bl>
    <w:p>
      <w:pPr>
        <w:spacing w:line="240" w:lineRule="exact"/>
        <w:rPr>
          <w:rFonts w:hint="default" w:cs="宋体"/>
          <w:color w:val="auto"/>
          <w:sz w:val="20"/>
          <w:szCs w:val="20"/>
        </w:rPr>
      </w:pPr>
      <w:r>
        <w:rPr>
          <w:rFonts w:cs="宋体"/>
          <w:color w:val="auto"/>
          <w:sz w:val="20"/>
          <w:szCs w:val="20"/>
        </w:rPr>
        <w:t>备注：1.本表反映部门本年度一般公共预算财政拨款、政府性基金预算财政拨款及国有资本经营预算财政拨款的总收支和年末结转结余情况。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秀山土家族苗族自治县生态环境保护综合行政执法支队</w:t>
            </w: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05</w:t>
            </w:r>
            <w:r>
              <w:rPr>
                <w:rFonts w:cs="宋体"/>
                <w:color w:val="auto"/>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614.53</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561.76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76.81</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5.00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47.87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23.94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36.16</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29.92</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6.24</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节能环保支出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环境保护管理事务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460.99</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408.23</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52.76</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行政运行</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408.23</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43.28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2110199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其他环境保护管理事务支出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9.48</w:t>
            </w:r>
            <w:r>
              <w:rPr>
                <w:rFonts w:ascii="Times New Roman" w:hAnsi="Times New Roman"/>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b/>
                <w:color w:val="auto"/>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40.57</w:t>
            </w:r>
            <w:r>
              <w:rPr>
                <w:rFonts w:ascii="Times New Roman" w:hAnsi="Times New Roman"/>
                <w:b/>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r>
              <w:rPr>
                <w:rFonts w:cs="宋体"/>
                <w:color w:val="auto"/>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40.57</w:t>
            </w:r>
            <w:r>
              <w:rPr>
                <w:rFonts w:ascii="Times New Roman" w:hAnsi="Times New Roman"/>
                <w:color w:val="auto"/>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备注：1.本表反映部门本年度一般公共预算财政拨款支出情况。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p>
    <w:p>
      <w:pPr>
        <w:ind w:firstLine="630" w:firstLineChars="300"/>
        <w:rPr>
          <w:rFonts w:hint="default" w:cs="宋体"/>
          <w:color w:val="auto"/>
          <w:sz w:val="21"/>
          <w:szCs w:val="21"/>
        </w:rPr>
      </w:pPr>
      <w:r>
        <w:rPr>
          <w:rFonts w:cs="宋体"/>
          <w:color w:val="auto"/>
          <w:sz w:val="21"/>
          <w:szCs w:val="21"/>
        </w:rPr>
        <w:br w:type="page"/>
      </w:r>
    </w:p>
    <w:tbl>
      <w:tblPr>
        <w:tblStyle w:val="8"/>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spacing w:line="440" w:lineRule="exact"/>
              <w:jc w:val="center"/>
              <w:textAlignment w:val="bottom"/>
              <w:rPr>
                <w:rFonts w:hint="default" w:cs="宋体"/>
                <w:b/>
                <w:color w:val="auto"/>
                <w:sz w:val="32"/>
                <w:szCs w:val="32"/>
              </w:rPr>
            </w:pPr>
            <w:r>
              <w:rPr>
                <w:rFonts w:cs="宋体"/>
                <w:b/>
                <w:color w:val="auto"/>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r>
              <w:rPr>
                <w:rFonts w:cs="宋体"/>
                <w:color w:val="auto"/>
                <w:sz w:val="20"/>
                <w:szCs w:val="20"/>
              </w:rPr>
              <w:t>部门：</w:t>
            </w:r>
            <w:r>
              <w:rPr>
                <w:color w:val="auto"/>
                <w:sz w:val="20"/>
                <w:u w:color="auto"/>
              </w:rPr>
              <w:t>秀山土家族苗族自治县生态环境保护综合行政执法支队</w:t>
            </w: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06</w:t>
            </w:r>
            <w:r>
              <w:rPr>
                <w:rFonts w:cs="宋体"/>
                <w:color w:val="auto"/>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501.84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112.44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8.79</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99.10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140.57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0.21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48.17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3.33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23.94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10.74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29.92</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1.44</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0.90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2.00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40.57</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6.24</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1.43</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5.00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0.70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4.60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0.40</w:t>
            </w: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0.16</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1.21</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ind w:firstLine="180" w:firstLineChars="100"/>
              <w:textAlignment w:val="center"/>
              <w:rPr>
                <w:rFonts w:hint="default" w:cs="宋体"/>
                <w:color w:val="auto"/>
                <w:sz w:val="18"/>
                <w:szCs w:val="18"/>
              </w:rPr>
            </w:pPr>
            <w:r>
              <w:rPr>
                <w:rFonts w:cs="宋体"/>
                <w:color w:val="auto"/>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0.30</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23.68</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0.05</w:t>
            </w: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b/>
                <w:bCs/>
                <w:color w:val="auto"/>
                <w:sz w:val="18"/>
                <w:szCs w:val="18"/>
              </w:rPr>
            </w:pPr>
            <w:r>
              <w:rPr>
                <w:rFonts w:cs="宋体"/>
                <w:b/>
                <w:bCs/>
                <w:color w:val="auto"/>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spacing w:line="200" w:lineRule="exact"/>
              <w:rPr>
                <w:rFonts w:hint="default" w:cs="宋体"/>
                <w:color w:val="auto"/>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textAlignment w:val="center"/>
              <w:rPr>
                <w:rFonts w:hint="default" w:cs="宋体"/>
                <w:color w:val="auto"/>
                <w:sz w:val="18"/>
                <w:szCs w:val="18"/>
              </w:rPr>
            </w:pPr>
            <w:r>
              <w:rPr>
                <w:rFonts w:cs="宋体"/>
                <w:color w:val="auto"/>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ascii="Times New Roman" w:hAnsi="Times New Roman"/>
                <w:color w:val="auto"/>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rPr>
                <w:rFonts w:hint="default" w:cs="宋体"/>
                <w:color w:val="auto"/>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right"/>
              <w:rPr>
                <w:rFonts w:hint="default" w:ascii="Times New Roman" w:hAnsi="Times New Roman"/>
                <w:color w:val="auto"/>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wordWrap w:val="0"/>
              <w:spacing w:line="200" w:lineRule="exact"/>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506.84</w:t>
            </w:r>
            <w:r>
              <w:rPr>
                <w:rFonts w:ascii="Times New Roman" w:hAnsi="Times New Roman"/>
                <w:color w:val="auto"/>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auto"/>
                <w:sz w:val="18"/>
                <w:szCs w:val="18"/>
              </w:rPr>
            </w:pPr>
            <w:r>
              <w:rPr>
                <w:rFonts w:cs="宋体"/>
                <w:b/>
                <w:color w:val="auto"/>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spacing w:line="200" w:lineRule="exact"/>
              <w:jc w:val="right"/>
              <w:textAlignment w:val="center"/>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bl>
    <w:p>
      <w:pPr>
        <w:spacing w:line="280" w:lineRule="exact"/>
        <w:rPr>
          <w:rFonts w:hint="default" w:cs="宋体"/>
          <w:color w:val="auto"/>
          <w:sz w:val="20"/>
          <w:szCs w:val="20"/>
        </w:rPr>
      </w:pPr>
      <w:r>
        <w:rPr>
          <w:rFonts w:cs="宋体"/>
          <w:color w:val="auto"/>
          <w:sz w:val="20"/>
          <w:szCs w:val="20"/>
        </w:rPr>
        <w:t>备注：1.本表反映部门本年度一般公共预算财政拨款基本支出明细情况。</w:t>
      </w:r>
      <w:r>
        <w:rPr>
          <w:rFonts w:cs="宋体"/>
          <w:color w:val="auto"/>
          <w:sz w:val="20"/>
          <w:szCs w:val="20"/>
        </w:rPr>
        <w:br w:type="textWrapping"/>
      </w:r>
      <w:r>
        <w:rPr>
          <w:rFonts w:cs="宋体"/>
          <w:color w:val="auto"/>
          <w:sz w:val="20"/>
          <w:szCs w:val="20"/>
        </w:rPr>
        <w:t xml:space="preserve">      2.本套报表金额单位转换时可能存在尾数误差。</w:t>
      </w:r>
      <w:r>
        <w:rPr>
          <w:rFonts w:cs="宋体"/>
          <w:color w:val="auto"/>
          <w:sz w:val="20"/>
          <w:szCs w:val="20"/>
        </w:rPr>
        <w:br w:type="textWrapping"/>
      </w:r>
      <w:r>
        <w:rPr>
          <w:rFonts w:cs="宋体"/>
          <w:color w:val="auto"/>
          <w:sz w:val="20"/>
          <w:szCs w:val="20"/>
        </w:rPr>
        <w:br w:type="textWrapping"/>
      </w: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秀山土家族苗族自治县生态环境保护综合行政执法支队</w:t>
            </w: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07</w:t>
            </w:r>
            <w:r>
              <w:rPr>
                <w:rFonts w:cs="宋体"/>
                <w:color w:val="auto"/>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both"/>
              <w:textAlignment w:val="center"/>
              <w:rPr>
                <w:rFonts w:hint="default" w:cs="宋体"/>
                <w:color w:val="auto"/>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0.00</w:t>
            </w:r>
            <w:r>
              <w:rPr>
                <w:rFonts w:ascii="Times New Roman" w:hAnsi="Times New Roman"/>
                <w:color w:val="auto"/>
                <w:sz w:val="20"/>
                <w:u w:color="auto"/>
              </w:rPr>
              <w:t xml:space="preserve"> </w:t>
            </w:r>
          </w:p>
        </w:tc>
      </w:tr>
    </w:tbl>
    <w:p>
      <w:pPr>
        <w:rPr>
          <w:rFonts w:hint="default" w:cs="宋体"/>
          <w:color w:val="auto"/>
          <w:sz w:val="21"/>
          <w:szCs w:val="21"/>
        </w:rPr>
      </w:pPr>
      <w:r>
        <w:rPr>
          <w:rFonts w:cs="宋体"/>
          <w:color w:val="auto"/>
          <w:sz w:val="20"/>
          <w:szCs w:val="20"/>
        </w:rPr>
        <w:t>备注：本表反映部门本年度政府性基金预算财政拨款收入支出及结转和结余情况。本部门无政府性基金收支，故本表无数据。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cs="宋体"/>
          <w:color w:val="auto"/>
          <w:sz w:val="21"/>
          <w:szCs w:val="21"/>
        </w:rPr>
        <w:br w:type="page"/>
      </w:r>
    </w:p>
    <w:tbl>
      <w:tblPr>
        <w:tblStyle w:val="8"/>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jc w:val="center"/>
              <w:textAlignment w:val="bottom"/>
              <w:rPr>
                <w:rFonts w:hint="default" w:cs="宋体"/>
                <w:b/>
                <w:color w:val="auto"/>
                <w:sz w:val="32"/>
                <w:szCs w:val="32"/>
              </w:rPr>
            </w:pPr>
            <w:r>
              <w:rPr>
                <w:rFonts w:cs="宋体"/>
                <w:b/>
                <w:color w:val="auto"/>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rPr>
                <w:rFonts w:hint="default" w:cs="宋体"/>
                <w:color w:val="auto"/>
                <w:sz w:val="20"/>
                <w:szCs w:val="20"/>
              </w:rPr>
            </w:pPr>
            <w:r>
              <w:rPr>
                <w:rFonts w:cs="宋体"/>
                <w:color w:val="auto"/>
                <w:sz w:val="20"/>
                <w:szCs w:val="20"/>
              </w:rPr>
              <w:t>部门：</w:t>
            </w:r>
            <w:r>
              <w:rPr>
                <w:color w:val="auto"/>
                <w:sz w:val="20"/>
                <w:u w:color="auto"/>
              </w:rPr>
              <w:t>秀山土家族苗族自治县生态环境保护综合行政执法支队</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公开</w:t>
            </w:r>
            <w:r>
              <w:rPr>
                <w:rFonts w:hint="default" w:ascii="Times New Roman" w:hAnsi="Times New Roman"/>
                <w:color w:val="auto"/>
                <w:sz w:val="20"/>
                <w:szCs w:val="20"/>
              </w:rPr>
              <w:t>08</w:t>
            </w:r>
            <w:r>
              <w:rPr>
                <w:rFonts w:cs="宋体"/>
                <w:color w:val="auto"/>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rPr>
                <w:rFonts w:hint="default" w:cs="宋体"/>
                <w:color w:val="auto"/>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jc w:val="right"/>
              <w:textAlignment w:val="bottom"/>
              <w:rPr>
                <w:rFonts w:hint="default" w:cs="宋体"/>
                <w:color w:val="auto"/>
                <w:sz w:val="20"/>
                <w:szCs w:val="20"/>
              </w:rPr>
            </w:pPr>
            <w:r>
              <w:rPr>
                <w:rFonts w:cs="宋体"/>
                <w:color w:val="auto"/>
                <w:sz w:val="20"/>
                <w:szCs w:val="20"/>
              </w:rPr>
              <w:t>单位：万元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jc w:val="center"/>
              <w:textAlignment w:val="bottom"/>
              <w:rPr>
                <w:rFonts w:hint="default" w:cs="宋体"/>
                <w:b/>
                <w:color w:val="auto"/>
                <w:sz w:val="20"/>
                <w:szCs w:val="20"/>
              </w:rPr>
            </w:pPr>
            <w:r>
              <w:rPr>
                <w:rFonts w:cs="宋体"/>
                <w:b/>
                <w:color w:val="auto"/>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auto"/>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auto"/>
                <w:sz w:val="20"/>
                <w:szCs w:val="20"/>
              </w:rPr>
            </w:pPr>
            <w:r>
              <w:rPr>
                <w:rFonts w:cs="宋体"/>
                <w:b/>
                <w:color w:val="auto"/>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b/>
                <w:bCs/>
                <w:color w:val="auto"/>
                <w:sz w:val="20"/>
                <w:szCs w:val="20"/>
              </w:rPr>
              <w:t>0.00</w:t>
            </w:r>
            <w:r>
              <w:rPr>
                <w:rFonts w:ascii="Times New Roman" w:hAnsi="Times New Roman"/>
                <w:b/>
                <w:color w:val="auto"/>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textAlignment w:val="center"/>
              <w:rPr>
                <w:rFonts w:hint="default" w:cs="宋体"/>
                <w:color w:val="auto"/>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Times New Roman" w:hAnsi="Times New Roman"/>
                <w:b/>
                <w:color w:val="auto"/>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ordWrap w:val="0"/>
              <w:jc w:val="right"/>
              <w:textAlignment w:val="center"/>
              <w:rPr>
                <w:rFonts w:hint="default" w:ascii="Times New Roman" w:hAnsi="Times New Roman"/>
                <w:b/>
                <w:color w:val="auto"/>
                <w:sz w:val="20"/>
                <w:szCs w:val="20"/>
              </w:rPr>
            </w:pPr>
            <w:r>
              <w:rPr>
                <w:rFonts w:hint="default" w:ascii="Times New Roman" w:hAnsi="Times New Roman"/>
                <w:color w:val="auto"/>
                <w:sz w:val="20"/>
                <w:szCs w:val="20"/>
              </w:rPr>
              <w:t xml:space="preserve">0.00 </w:t>
            </w:r>
          </w:p>
        </w:tc>
      </w:tr>
    </w:tbl>
    <w:p>
      <w:pPr>
        <w:rPr>
          <w:rFonts w:hint="default" w:cs="宋体"/>
          <w:color w:val="auto"/>
          <w:sz w:val="21"/>
          <w:szCs w:val="21"/>
        </w:rPr>
      </w:pPr>
      <w:r>
        <w:rPr>
          <w:rFonts w:cs="宋体"/>
          <w:color w:val="auto"/>
          <w:sz w:val="20"/>
          <w:szCs w:val="20"/>
        </w:rPr>
        <w:t>备注：本表反映部门本年度国有资本经营预算财政拨款支出情况。本部门无国有资本经营收支，故本表无数据。</w:t>
      </w:r>
      <w:r>
        <w:rPr>
          <w:rFonts w:cs="宋体"/>
          <w:color w:val="auto"/>
          <w:sz w:val="20"/>
          <w:szCs w:val="20"/>
        </w:rPr>
        <w:br w:type="textWrapping"/>
      </w:r>
      <w:r>
        <w:rPr>
          <w:rFonts w:cs="宋体"/>
          <w:color w:val="auto"/>
          <w:sz w:val="20"/>
          <w:szCs w:val="20"/>
        </w:rPr>
        <w:br w:type="textWrapping"/>
      </w:r>
    </w:p>
    <w:p>
      <w:pPr>
        <w:rPr>
          <w:rFonts w:hint="default" w:cs="宋体"/>
          <w:color w:val="auto"/>
          <w:sz w:val="21"/>
          <w:szCs w:val="21"/>
        </w:rPr>
      </w:pPr>
      <w:r>
        <w:rPr>
          <w:rFonts w:hint="default" w:cs="宋体"/>
          <w:color w:val="auto"/>
          <w:sz w:val="21"/>
          <w:szCs w:val="21"/>
        </w:rPr>
        <w:br w:type="page"/>
      </w:r>
    </w:p>
    <w:tbl>
      <w:tblPr>
        <w:tblStyle w:val="8"/>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spacing w:line="400" w:lineRule="exact"/>
              <w:jc w:val="center"/>
              <w:textAlignment w:val="bottom"/>
              <w:rPr>
                <w:rFonts w:hint="default" w:cs="宋体"/>
                <w:b/>
                <w:color w:val="auto"/>
                <w:kern w:val="2"/>
                <w:sz w:val="32"/>
                <w:szCs w:val="32"/>
              </w:rPr>
            </w:pPr>
            <w:r>
              <w:rPr>
                <w:rFonts w:cs="宋体"/>
                <w:b/>
                <w:color w:val="auto"/>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16" w:type="dxa"/>
            <w:shd w:val="clear" w:color="auto" w:fill="auto"/>
            <w:tcMar>
              <w:top w:w="15" w:type="dxa"/>
              <w:left w:w="15" w:type="dxa"/>
              <w:right w:w="15" w:type="dxa"/>
            </w:tcMar>
            <w:vAlign w:val="bottom"/>
          </w:tcPr>
          <w:p>
            <w:pPr>
              <w:spacing w:line="280" w:lineRule="exact"/>
              <w:jc w:val="center"/>
              <w:rPr>
                <w:rFonts w:hint="default" w:cs="宋体"/>
                <w:color w:val="auto"/>
                <w:kern w:val="2"/>
                <w:sz w:val="20"/>
                <w:szCs w:val="20"/>
              </w:rPr>
            </w:pPr>
          </w:p>
        </w:tc>
        <w:tc>
          <w:tcPr>
            <w:tcW w:w="2375" w:type="dxa"/>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公开</w:t>
            </w:r>
            <w:r>
              <w:rPr>
                <w:rFonts w:hint="default" w:ascii="Times New Roman" w:hAnsi="Times New Roman"/>
                <w:color w:val="auto"/>
                <w:kern w:val="2"/>
                <w:sz w:val="20"/>
                <w:szCs w:val="20"/>
              </w:rPr>
              <w:t>09</w:t>
            </w:r>
            <w:r>
              <w:rPr>
                <w:rFonts w:cs="宋体"/>
                <w:color w:val="auto"/>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r>
              <w:rPr>
                <w:rFonts w:cs="宋体"/>
                <w:color w:val="auto"/>
                <w:kern w:val="2"/>
                <w:sz w:val="20"/>
                <w:szCs w:val="20"/>
              </w:rPr>
              <w:t>部门：</w:t>
            </w:r>
            <w:r>
              <w:rPr>
                <w:color w:val="auto"/>
                <w:sz w:val="20"/>
                <w:u w:color="auto"/>
              </w:rPr>
              <w:t>秀山土家族苗族自治县生态环境保护综合行政执法支队</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rPr>
                <w:rFonts w:hint="default" w:cs="宋体"/>
                <w:color w:val="auto"/>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rPr>
                <w:rFonts w:hint="default" w:cs="宋体"/>
                <w:color w:val="auto"/>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spacing w:line="280" w:lineRule="exact"/>
              <w:jc w:val="right"/>
              <w:textAlignment w:val="bottom"/>
              <w:rPr>
                <w:rFonts w:hint="default" w:cs="宋体"/>
                <w:color w:val="auto"/>
                <w:kern w:val="2"/>
                <w:sz w:val="20"/>
                <w:szCs w:val="20"/>
              </w:rPr>
            </w:pPr>
            <w:r>
              <w:rPr>
                <w:rFonts w:cs="宋体"/>
                <w:color w:val="auto"/>
                <w:kern w:val="2"/>
                <w:sz w:val="20"/>
                <w:szCs w:val="20"/>
              </w:rPr>
              <w:t>单位：万元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auto"/>
                <w:kern w:val="2"/>
                <w:sz w:val="16"/>
                <w:szCs w:val="16"/>
              </w:rPr>
            </w:pPr>
            <w:r>
              <w:rPr>
                <w:rFonts w:cs="宋体"/>
                <w:b/>
                <w:color w:val="auto"/>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3.39</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3.39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54.92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0.76</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1</w:t>
            </w: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2</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9</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63</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kern w:val="2"/>
                <w:sz w:val="16"/>
                <w:szCs w:val="16"/>
              </w:rPr>
            </w:pPr>
            <w:r>
              <w:rPr>
                <w:rFonts w:cs="宋体"/>
                <w:b/>
                <w:bCs/>
                <w:color w:val="auto"/>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ascii="Times New Roman" w:hAnsi="Times New Roman"/>
                <w:color w:val="auto"/>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auto"/>
                <w:kern w:val="2"/>
                <w:sz w:val="16"/>
                <w:szCs w:val="16"/>
              </w:rPr>
            </w:pPr>
            <w:r>
              <w:rPr>
                <w:rFonts w:cs="宋体"/>
                <w:b/>
                <w:color w:val="auto"/>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kern w:val="2"/>
                <w:sz w:val="18"/>
                <w:szCs w:val="18"/>
              </w:rPr>
            </w:pPr>
            <w:r>
              <w:rPr>
                <w:rFonts w:hint="default" w:ascii="Times New Roman" w:hAnsi="Times New Roman"/>
                <w:color w:val="auto"/>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kern w:val="2"/>
                <w:sz w:val="18"/>
                <w:szCs w:val="18"/>
              </w:rPr>
            </w:pPr>
            <w:r>
              <w:rPr>
                <w:rFonts w:hint="default" w:ascii="Times New Roman" w:hAnsi="Times New Roman"/>
                <w:color w:val="auto"/>
                <w:kern w:val="2"/>
                <w:sz w:val="18"/>
                <w:szCs w:val="18"/>
              </w:rPr>
              <w:t>0.18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auto"/>
                <w:sz w:val="16"/>
                <w:szCs w:val="16"/>
              </w:rPr>
            </w:pPr>
            <w:r>
              <w:rPr>
                <w:rFonts w:cs="宋体"/>
                <w:b/>
                <w:bCs/>
                <w:color w:val="auto"/>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auto"/>
                <w:sz w:val="18"/>
                <w:szCs w:val="18"/>
              </w:rPr>
            </w:pPr>
            <w:r>
              <w:rPr>
                <w:rFonts w:hint="default" w:ascii="Times New Roman" w:hAnsi="Times New Roman"/>
                <w:color w:val="auto"/>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auto"/>
                <w:sz w:val="18"/>
                <w:szCs w:val="18"/>
              </w:rPr>
            </w:pPr>
            <w:r>
              <w:rPr>
                <w:rFonts w:hint="default" w:ascii="Times New Roman" w:hAnsi="Times New Roman"/>
                <w:color w:val="auto"/>
                <w:sz w:val="18"/>
                <w:szCs w:val="18"/>
              </w:rPr>
              <w:t>2.08</w:t>
            </w:r>
            <w:r>
              <w:rPr>
                <w:rFonts w:ascii="Times New Roman" w:hAnsi="Times New Roman"/>
                <w:color w:val="auto"/>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auto"/>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auto"/>
                <w:sz w:val="16"/>
                <w:szCs w:val="16"/>
              </w:rPr>
            </w:pPr>
          </w:p>
        </w:tc>
      </w:tr>
    </w:tbl>
    <w:p>
      <w:pPr>
        <w:rPr>
          <w:rFonts w:hint="default" w:cs="宋体"/>
          <w:color w:val="auto"/>
          <w:sz w:val="18"/>
          <w:szCs w:val="18"/>
        </w:rPr>
      </w:pPr>
      <w:r>
        <w:rPr>
          <w:rFonts w:cs="宋体"/>
          <w:color w:val="auto"/>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color w:val="auto"/>
          <w:sz w:val="18"/>
          <w:szCs w:val="18"/>
        </w:rPr>
        <w:br w:type="textWrapping"/>
      </w:r>
      <w:r>
        <w:rPr>
          <w:rFonts w:cs="宋体"/>
          <w:color w:val="auto"/>
          <w:sz w:val="18"/>
          <w:szCs w:val="18"/>
        </w:rPr>
        <w:t xml:space="preserve">      2.本套报表金额单位转换时可能存在尾数误差。</w:t>
      </w:r>
      <w:r>
        <w:rPr>
          <w:rFonts w:cs="宋体"/>
          <w:color w:val="auto"/>
          <w:sz w:val="18"/>
          <w:szCs w:val="18"/>
        </w:rPr>
        <w:br w:type="textWrapping"/>
      </w:r>
      <w:r>
        <w:rPr>
          <w:rFonts w:cs="宋体"/>
          <w:color w:val="auto"/>
          <w:sz w:val="18"/>
          <w:szCs w:val="18"/>
        </w:rPr>
        <w:br w:type="textWrapping"/>
      </w:r>
    </w:p>
    <w:sectPr>
      <w:headerReference r:id="rId5" w:type="default"/>
      <w:footerReference r:id="rId6"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4"/>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4"/>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4"/>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4"/>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11BC09"/>
    <w:multiLevelType w:val="singleLevel"/>
    <w:tmpl w:val="F911BC09"/>
    <w:lvl w:ilvl="0" w:tentative="0">
      <w:start w:val="4"/>
      <w:numFmt w:val="chineseCounting"/>
      <w:suff w:val="nothing"/>
      <w:lvlText w:val="%1、"/>
      <w:lvlJc w:val="left"/>
      <w:rPr>
        <w:rFonts w:hint="eastAsia"/>
      </w:rPr>
    </w:lvl>
  </w:abstractNum>
  <w:abstractNum w:abstractNumId="1">
    <w:nsid w:val="33352396"/>
    <w:multiLevelType w:val="singleLevel"/>
    <w:tmpl w:val="33352396"/>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6D2F25"/>
    <w:rsid w:val="01F3521E"/>
    <w:rsid w:val="03B87EA0"/>
    <w:rsid w:val="03E3214F"/>
    <w:rsid w:val="044A3126"/>
    <w:rsid w:val="044C50BA"/>
    <w:rsid w:val="05BC6D49"/>
    <w:rsid w:val="06194FF1"/>
    <w:rsid w:val="06A2550B"/>
    <w:rsid w:val="06F80EE2"/>
    <w:rsid w:val="07001CCA"/>
    <w:rsid w:val="075678DB"/>
    <w:rsid w:val="079D7CC7"/>
    <w:rsid w:val="08051BCA"/>
    <w:rsid w:val="086C12F4"/>
    <w:rsid w:val="087B3940"/>
    <w:rsid w:val="08BA052C"/>
    <w:rsid w:val="08DB07BA"/>
    <w:rsid w:val="0969353F"/>
    <w:rsid w:val="098305D0"/>
    <w:rsid w:val="098A0877"/>
    <w:rsid w:val="09C84EE8"/>
    <w:rsid w:val="0A5C4B69"/>
    <w:rsid w:val="0A86124A"/>
    <w:rsid w:val="0AB54CC0"/>
    <w:rsid w:val="0B9335CE"/>
    <w:rsid w:val="0C7927C4"/>
    <w:rsid w:val="0C9B098C"/>
    <w:rsid w:val="0D673E11"/>
    <w:rsid w:val="0DDA54E4"/>
    <w:rsid w:val="0E3A5F83"/>
    <w:rsid w:val="0E74421A"/>
    <w:rsid w:val="0EA46639"/>
    <w:rsid w:val="0EC6180C"/>
    <w:rsid w:val="0F497FB6"/>
    <w:rsid w:val="0F836721"/>
    <w:rsid w:val="0FA25D96"/>
    <w:rsid w:val="107B59E5"/>
    <w:rsid w:val="10EC0126"/>
    <w:rsid w:val="10F70B9A"/>
    <w:rsid w:val="111445C7"/>
    <w:rsid w:val="114278C6"/>
    <w:rsid w:val="1158083A"/>
    <w:rsid w:val="11643A4B"/>
    <w:rsid w:val="11ED0F98"/>
    <w:rsid w:val="11F03528"/>
    <w:rsid w:val="12C921C4"/>
    <w:rsid w:val="12F52ECF"/>
    <w:rsid w:val="13871C70"/>
    <w:rsid w:val="139D5716"/>
    <w:rsid w:val="13A71CB4"/>
    <w:rsid w:val="13AF1D43"/>
    <w:rsid w:val="13CE1647"/>
    <w:rsid w:val="13DA0C25"/>
    <w:rsid w:val="13FD55AB"/>
    <w:rsid w:val="14200702"/>
    <w:rsid w:val="14907817"/>
    <w:rsid w:val="163A6CEE"/>
    <w:rsid w:val="173708E3"/>
    <w:rsid w:val="174C19C7"/>
    <w:rsid w:val="17C374FC"/>
    <w:rsid w:val="189079DC"/>
    <w:rsid w:val="189B0D0B"/>
    <w:rsid w:val="18B43F7C"/>
    <w:rsid w:val="194A1770"/>
    <w:rsid w:val="19B906A4"/>
    <w:rsid w:val="19D27F9B"/>
    <w:rsid w:val="1B6F15B6"/>
    <w:rsid w:val="1BAA2EDC"/>
    <w:rsid w:val="1C5C0973"/>
    <w:rsid w:val="1CA55E64"/>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0E9190B"/>
    <w:rsid w:val="21556F04"/>
    <w:rsid w:val="22403BD3"/>
    <w:rsid w:val="23DA37D9"/>
    <w:rsid w:val="247B61D3"/>
    <w:rsid w:val="24B92327"/>
    <w:rsid w:val="24C14514"/>
    <w:rsid w:val="2533755C"/>
    <w:rsid w:val="25791755"/>
    <w:rsid w:val="26396DF4"/>
    <w:rsid w:val="27167136"/>
    <w:rsid w:val="27322408"/>
    <w:rsid w:val="27750C29"/>
    <w:rsid w:val="27B23302"/>
    <w:rsid w:val="29310A5F"/>
    <w:rsid w:val="29C37A35"/>
    <w:rsid w:val="2A076083"/>
    <w:rsid w:val="2A13343A"/>
    <w:rsid w:val="2A73162E"/>
    <w:rsid w:val="2B167953"/>
    <w:rsid w:val="2B200583"/>
    <w:rsid w:val="2B220436"/>
    <w:rsid w:val="2B8209DE"/>
    <w:rsid w:val="2C6762A3"/>
    <w:rsid w:val="2EB47CED"/>
    <w:rsid w:val="2EBF7B3E"/>
    <w:rsid w:val="2EDE1934"/>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D92688"/>
    <w:rsid w:val="352930DB"/>
    <w:rsid w:val="35573069"/>
    <w:rsid w:val="355F6038"/>
    <w:rsid w:val="358C217E"/>
    <w:rsid w:val="35937598"/>
    <w:rsid w:val="36C9128A"/>
    <w:rsid w:val="372E3953"/>
    <w:rsid w:val="37742454"/>
    <w:rsid w:val="37841E99"/>
    <w:rsid w:val="37925235"/>
    <w:rsid w:val="37BF1123"/>
    <w:rsid w:val="383C3F15"/>
    <w:rsid w:val="38BE4696"/>
    <w:rsid w:val="3939115E"/>
    <w:rsid w:val="39B82A39"/>
    <w:rsid w:val="39C42CA8"/>
    <w:rsid w:val="39DC4FD6"/>
    <w:rsid w:val="39F03D7A"/>
    <w:rsid w:val="39F33306"/>
    <w:rsid w:val="3A2C1C67"/>
    <w:rsid w:val="3B1705E5"/>
    <w:rsid w:val="3B18334B"/>
    <w:rsid w:val="3B36794F"/>
    <w:rsid w:val="3C566AD6"/>
    <w:rsid w:val="3C6A5B02"/>
    <w:rsid w:val="3CD45FD0"/>
    <w:rsid w:val="3D2757A1"/>
    <w:rsid w:val="3D3D4FC4"/>
    <w:rsid w:val="3DDF3AB1"/>
    <w:rsid w:val="3E170908"/>
    <w:rsid w:val="3E1D0952"/>
    <w:rsid w:val="3E42660A"/>
    <w:rsid w:val="3E7555B1"/>
    <w:rsid w:val="3E787ED9"/>
    <w:rsid w:val="3EEC37F3"/>
    <w:rsid w:val="3F032E93"/>
    <w:rsid w:val="3F0527E5"/>
    <w:rsid w:val="3F4814B0"/>
    <w:rsid w:val="3F5E5D98"/>
    <w:rsid w:val="3F694D83"/>
    <w:rsid w:val="3F885DCC"/>
    <w:rsid w:val="3FCD675E"/>
    <w:rsid w:val="3FD86860"/>
    <w:rsid w:val="4004000C"/>
    <w:rsid w:val="40D54604"/>
    <w:rsid w:val="40F16DC2"/>
    <w:rsid w:val="411B6CE5"/>
    <w:rsid w:val="412070D7"/>
    <w:rsid w:val="41314E40"/>
    <w:rsid w:val="41E0734B"/>
    <w:rsid w:val="426554D0"/>
    <w:rsid w:val="426C1EA8"/>
    <w:rsid w:val="42736402"/>
    <w:rsid w:val="42E86A87"/>
    <w:rsid w:val="43307B09"/>
    <w:rsid w:val="43470647"/>
    <w:rsid w:val="438D0E97"/>
    <w:rsid w:val="43BB152F"/>
    <w:rsid w:val="44494994"/>
    <w:rsid w:val="44B96DCF"/>
    <w:rsid w:val="44C37687"/>
    <w:rsid w:val="45CB699A"/>
    <w:rsid w:val="465B470D"/>
    <w:rsid w:val="469D6AD4"/>
    <w:rsid w:val="471E6C84"/>
    <w:rsid w:val="4748792B"/>
    <w:rsid w:val="475D719D"/>
    <w:rsid w:val="47674801"/>
    <w:rsid w:val="48170C36"/>
    <w:rsid w:val="48225EF7"/>
    <w:rsid w:val="488F422B"/>
    <w:rsid w:val="48E36915"/>
    <w:rsid w:val="495C4A24"/>
    <w:rsid w:val="497135DF"/>
    <w:rsid w:val="4A1605D9"/>
    <w:rsid w:val="4A263DF2"/>
    <w:rsid w:val="4A6F6675"/>
    <w:rsid w:val="4ABF0746"/>
    <w:rsid w:val="4B0502DF"/>
    <w:rsid w:val="4B135857"/>
    <w:rsid w:val="4B7951CB"/>
    <w:rsid w:val="4B7C315C"/>
    <w:rsid w:val="4CCF773C"/>
    <w:rsid w:val="4CFB07A8"/>
    <w:rsid w:val="4DAC4ACA"/>
    <w:rsid w:val="4DBE01D2"/>
    <w:rsid w:val="4EFC6D10"/>
    <w:rsid w:val="4F0C6BA3"/>
    <w:rsid w:val="4F10477D"/>
    <w:rsid w:val="4F186D58"/>
    <w:rsid w:val="4FEA65B7"/>
    <w:rsid w:val="5042146E"/>
    <w:rsid w:val="50F06B6E"/>
    <w:rsid w:val="521253F5"/>
    <w:rsid w:val="52234D33"/>
    <w:rsid w:val="52261ABA"/>
    <w:rsid w:val="522F6E0C"/>
    <w:rsid w:val="52463BA1"/>
    <w:rsid w:val="5298794F"/>
    <w:rsid w:val="52F163D4"/>
    <w:rsid w:val="531A2DB4"/>
    <w:rsid w:val="53A610B6"/>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8867FC"/>
    <w:rsid w:val="5842572D"/>
    <w:rsid w:val="5A3B59D6"/>
    <w:rsid w:val="5AD134D8"/>
    <w:rsid w:val="5B6503B1"/>
    <w:rsid w:val="5C0F7EC4"/>
    <w:rsid w:val="5C263CE4"/>
    <w:rsid w:val="5C5D2777"/>
    <w:rsid w:val="5CF66BF3"/>
    <w:rsid w:val="5D290C69"/>
    <w:rsid w:val="5E810620"/>
    <w:rsid w:val="5F2D4A41"/>
    <w:rsid w:val="5F775CF3"/>
    <w:rsid w:val="60C74F6C"/>
    <w:rsid w:val="60F81AB5"/>
    <w:rsid w:val="61025A59"/>
    <w:rsid w:val="613D5BBC"/>
    <w:rsid w:val="61536C39"/>
    <w:rsid w:val="61E64F4A"/>
    <w:rsid w:val="623E0993"/>
    <w:rsid w:val="62944DD7"/>
    <w:rsid w:val="6319381F"/>
    <w:rsid w:val="63236436"/>
    <w:rsid w:val="63303185"/>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83200C2"/>
    <w:rsid w:val="68407834"/>
    <w:rsid w:val="6883293E"/>
    <w:rsid w:val="688412AD"/>
    <w:rsid w:val="68EB1B71"/>
    <w:rsid w:val="69475C96"/>
    <w:rsid w:val="6AAD2300"/>
    <w:rsid w:val="6B474EF5"/>
    <w:rsid w:val="6BBF53FD"/>
    <w:rsid w:val="6C560CAE"/>
    <w:rsid w:val="6C576495"/>
    <w:rsid w:val="6D903FF5"/>
    <w:rsid w:val="6DA955B8"/>
    <w:rsid w:val="6DE346AB"/>
    <w:rsid w:val="6DE5391A"/>
    <w:rsid w:val="6EEA5552"/>
    <w:rsid w:val="6EFD1324"/>
    <w:rsid w:val="6F5A53AC"/>
    <w:rsid w:val="6FAC003D"/>
    <w:rsid w:val="6FE55E12"/>
    <w:rsid w:val="6FE818FE"/>
    <w:rsid w:val="6FFB2E76"/>
    <w:rsid w:val="708F6F7F"/>
    <w:rsid w:val="70B16B0B"/>
    <w:rsid w:val="70D94BD3"/>
    <w:rsid w:val="71C34D91"/>
    <w:rsid w:val="72DB435C"/>
    <w:rsid w:val="72E2613A"/>
    <w:rsid w:val="72F771F4"/>
    <w:rsid w:val="734150D5"/>
    <w:rsid w:val="736650B0"/>
    <w:rsid w:val="73934AD2"/>
    <w:rsid w:val="750837F0"/>
    <w:rsid w:val="754758CF"/>
    <w:rsid w:val="761275E6"/>
    <w:rsid w:val="764F62AB"/>
    <w:rsid w:val="765C45EC"/>
    <w:rsid w:val="768A7619"/>
    <w:rsid w:val="772E1EBA"/>
    <w:rsid w:val="77563288"/>
    <w:rsid w:val="77EB79F7"/>
    <w:rsid w:val="796D60A4"/>
    <w:rsid w:val="79A031D5"/>
    <w:rsid w:val="7A1525F7"/>
    <w:rsid w:val="7A3F594E"/>
    <w:rsid w:val="7B420052"/>
    <w:rsid w:val="7B861484"/>
    <w:rsid w:val="7BD06A28"/>
    <w:rsid w:val="7C3A7C0B"/>
    <w:rsid w:val="7C5248E4"/>
    <w:rsid w:val="7C566698"/>
    <w:rsid w:val="7C5866A3"/>
    <w:rsid w:val="7D7406BB"/>
    <w:rsid w:val="7DE94331"/>
    <w:rsid w:val="7F446A19"/>
    <w:rsid w:val="7F7452B9"/>
    <w:rsid w:val="7F8401D1"/>
    <w:rsid w:val="7FAC32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Body Text First Indent 21"/>
    <w:basedOn w:val="1"/>
    <w:qFormat/>
    <w:uiPriority w:val="0"/>
    <w:pPr>
      <w:spacing w:after="120"/>
      <w:ind w:left="200" w:leftChars="200" w:firstLine="420"/>
    </w:pPr>
    <w:rPr>
      <w:rFonts w:ascii="仿宋_GB2312" w:hAnsi="Times New Roman" w:eastAsia="仿宋_GB2312" w:cs="仿宋_GB2312"/>
      <w:sz w:val="32"/>
      <w:szCs w:val="32"/>
    </w:rPr>
  </w:style>
  <w:style w:type="paragraph" w:styleId="3">
    <w:name w:val="Balloon Text"/>
    <w:basedOn w:val="1"/>
    <w:link w:val="16"/>
    <w:qFormat/>
    <w:uiPriority w:val="0"/>
    <w:rPr>
      <w:sz w:val="18"/>
      <w:szCs w:val="18"/>
    </w:rPr>
  </w:style>
  <w:style w:type="paragraph" w:styleId="4">
    <w:name w:val="footer"/>
    <w:basedOn w:val="1"/>
    <w:qFormat/>
    <w:uiPriority w:val="0"/>
    <w:pPr>
      <w:tabs>
        <w:tab w:val="center" w:pos="4153"/>
        <w:tab w:val="right" w:pos="8306"/>
      </w:tabs>
      <w:snapToGrid w:val="0"/>
    </w:pPr>
    <w:rPr>
      <w:sz w:val="18"/>
      <w:szCs w:val="18"/>
    </w:rPr>
  </w:style>
  <w:style w:type="paragraph" w:styleId="5">
    <w:name w:val="header"/>
    <w:basedOn w:val="1"/>
    <w:qFormat/>
    <w:uiPriority w:val="0"/>
    <w:pPr>
      <w:tabs>
        <w:tab w:val="center" w:pos="4153"/>
        <w:tab w:val="right" w:pos="8306"/>
      </w:tabs>
      <w:snapToGrid w:val="0"/>
      <w:jc w:val="center"/>
    </w:pPr>
    <w:rPr>
      <w:sz w:val="18"/>
      <w:szCs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7">
    <w:name w:val="Normal (Web)"/>
    <w:basedOn w:val="1"/>
    <w:unhideWhenUsed/>
    <w:qFormat/>
    <w:uiPriority w:val="0"/>
    <w:pPr>
      <w:spacing w:before="100" w:beforeAutospacing="1" w:after="100" w:afterAutospacing="1"/>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11">
    <w:name w:val="Strong"/>
    <w:qFormat/>
    <w:uiPriority w:val="0"/>
    <w:rPr>
      <w:b/>
    </w:rPr>
  </w:style>
  <w:style w:type="paragraph" w:customStyle="1" w:styleId="12">
    <w:name w:val="列出段落1"/>
    <w:basedOn w:val="1"/>
    <w:qFormat/>
    <w:uiPriority w:val="99"/>
    <w:pPr>
      <w:ind w:firstLine="420" w:firstLineChars="200"/>
    </w:pPr>
    <w:rPr>
      <w:rFonts w:hint="default"/>
    </w:rPr>
  </w:style>
  <w:style w:type="paragraph" w:customStyle="1" w:styleId="13">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4">
    <w:name w:val="21"/>
    <w:qFormat/>
    <w:uiPriority w:val="0"/>
    <w:rPr>
      <w:rFonts w:hint="default" w:ascii="Wingdings" w:hAnsi="Wingdings" w:cs="Wingdings"/>
      <w:b/>
      <w:bCs/>
    </w:rPr>
  </w:style>
  <w:style w:type="paragraph" w:customStyle="1" w:styleId="15">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6">
    <w:name w:val="批注框文本 Char"/>
    <w:basedOn w:val="10"/>
    <w:link w:val="3"/>
    <w:qFormat/>
    <w:uiPriority w:val="0"/>
    <w:rPr>
      <w:rFonts w:ascii="宋体" w:hAnsi="宋体"/>
      <w:sz w:val="18"/>
      <w:szCs w:val="18"/>
    </w:rPr>
  </w:style>
  <w:style w:type="paragraph" w:customStyle="1" w:styleId="17">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27</TotalTime>
  <ScaleCrop>false</ScaleCrop>
  <LinksUpToDate>false</LinksUpToDate>
  <CharactersWithSpaces>26302</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Administrator</cp:lastModifiedBy>
  <dcterms:modified xsi:type="dcterms:W3CDTF">2025-10-13T01:39:32Z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BB46EABDBB2749749395447164B066B3_12</vt:lpwstr>
  </property>
</Properties>
</file>