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b w:val="0"/>
          <w:bCs/>
          <w:color w:val="000000"/>
          <w:kern w:val="2"/>
          <w:sz w:val="44"/>
          <w:szCs w:val="44"/>
        </w:rPr>
      </w:pPr>
      <w:bookmarkStart w:id="0" w:name="_GoBack"/>
      <w:bookmarkEnd w:id="0"/>
      <w:r>
        <w:rPr>
          <w:rFonts w:hint="default" w:ascii="Times New Roman" w:hAnsi="Times New Roman" w:eastAsia="方正小标宋_GBK" w:cs="Times New Roman"/>
          <w:b w:val="0"/>
          <w:bCs/>
          <w:color w:val="000000"/>
          <w:kern w:val="2"/>
          <w:sz w:val="44"/>
          <w:szCs w:val="44"/>
        </w:rPr>
        <w:t>重庆市秀山土家族苗族自治县老干部活动中心（本级）2023年度决算公开说明</w:t>
      </w:r>
    </w:p>
    <w:p>
      <w:pPr>
        <w:pStyle w:val="2"/>
        <w:rPr>
          <w:rFonts w:hint="default"/>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1.贯彻执行党和国家关于老干部及老年教育的有关方针、政策、法规；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2.承担老年（老干部）教育事务性工作；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3.承担老干部的政治生活待遇及医疗保健、健康体检等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4.负责老干部活动中心各类设施的购置、保管和维护等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日常管理工作；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5.组织、协调老干部开展各项文体活动；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6.负责收集、整理老干部意见建议，向有关部门反馈；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7.负责老干部在发挥作用方面的先进事迹收集、报送工作；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8.负责以老年大学（老干部党校）为载体，开办适合老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干部的各类文艺教学班、政治理论培训班等事务性工作。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9.完成县委组织部交办的其他任务。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根据秀山委编委〔2019〕96号文件，县委编委会2019年第2次会议审议，十七届县人民政府常务会第57次会议、十四届县委常委会第101次会议审定，设立秀山土家族苗族自治县老干部活动中心（加挂秀山土家族苗族自治县老年大学牌子），为县委组织部管理的公益一类正科级事业单位。</w:t>
      </w:r>
      <w:r>
        <w:rPr>
          <w:rFonts w:hint="default" w:ascii="Times New Roman" w:hAnsi="Times New Roman" w:eastAsia="方正仿宋_GBK" w:cs="Times New Roman"/>
          <w:sz w:val="32"/>
          <w:szCs w:val="32"/>
        </w:rPr>
        <w:t>秀山土家族苗族自治县老干部活动中心设置3 个工作机构：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综合科。负责草拟年度工作要点、工作计划、综合性文稿；负责综合协调和日常事务处理工作；承担文电、会务、机要、档案等日常运转工作；负责党务党建、党风廉政、信息、统计、安全、保密、财务、综合治理、爱国卫生及后勤管理等工作；负责老干部活动阵地建设具体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服务指导科。负责离退休老干部日常服务工作；拟订老干部政治学习和文体活动计划并组织实施；负责指导乡镇、县级部门的离退休老干部服务工作；负责老干部医疗保健、健康体检等服务工作；负责收集、整理老干部意见建议，向有关部门反馈；负责组织、协调老干部开展各项文体活动；负责老干部各类活动宣传报道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老年教育科。负责拟订全县老年教育年度工作意见并组织实施；负责以老年大学（老干部党校）为载体，开办适合老干部的各类文艺教学班、政治理论培训班等事务性工作；负责老年大学（老干部党校）阵地建设具体事务性工作；负责指导相关部门引导老年学院发挥正能量作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2023年度收入总计445.30万元，支出总计</w:t>
      </w:r>
      <w:r>
        <w:rPr>
          <w:rFonts w:hint="default" w:ascii="Times New Roman" w:hAnsi="Times New Roman" w:eastAsia="方正仿宋_GBK" w:cs="Times New Roman"/>
          <w:sz w:val="32"/>
          <w:szCs w:val="32"/>
        </w:rPr>
        <w:t>445.30</w:t>
      </w:r>
      <w:r>
        <w:rPr>
          <w:rFonts w:hint="default" w:ascii="Times New Roman" w:hAnsi="Times New Roman" w:eastAsia="方正仿宋_GBK" w:cs="Times New Roman"/>
          <w:sz w:val="32"/>
          <w:szCs w:val="32"/>
          <w:shd w:val="clear" w:color="auto" w:fill="FFFFFF"/>
        </w:rPr>
        <w:t>万元。收支较上年决算数减少30.47万元，下降6.40%，主要原因是</w:t>
      </w:r>
      <w:r>
        <w:rPr>
          <w:rFonts w:hint="default" w:ascii="Times New Roman" w:hAnsi="Times New Roman" w:eastAsia="方正仿宋_GBK" w:cs="Times New Roman"/>
          <w:color w:val="auto"/>
          <w:sz w:val="32"/>
          <w:szCs w:val="32"/>
          <w:lang w:val="en-US" w:eastAsia="zh-CN"/>
        </w:rPr>
        <w:t>一般公共服务支出</w:t>
      </w:r>
      <w:r>
        <w:rPr>
          <w:rFonts w:hint="eastAsia" w:ascii="Times New Roman" w:hAnsi="Times New Roman" w:eastAsia="方正仿宋_GBK" w:cs="Times New Roman"/>
          <w:color w:val="auto"/>
          <w:sz w:val="32"/>
          <w:szCs w:val="32"/>
          <w:lang w:val="en-US" w:eastAsia="zh-CN"/>
        </w:rPr>
        <w:t>313.29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万元比上年减少</w:t>
      </w:r>
      <w:r>
        <w:rPr>
          <w:rFonts w:hint="eastAsia" w:ascii="Times New Roman" w:hAnsi="Times New Roman" w:eastAsia="方正仿宋_GBK" w:cs="Times New Roman"/>
          <w:color w:val="auto"/>
          <w:sz w:val="32"/>
          <w:szCs w:val="32"/>
          <w:lang w:val="en-US" w:eastAsia="zh-CN"/>
        </w:rPr>
        <w:t>16.18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万元、下降</w:t>
      </w:r>
      <w:r>
        <w:rPr>
          <w:rFonts w:hint="eastAsia" w:ascii="Times New Roman" w:hAnsi="Times New Roman" w:eastAsia="方正仿宋_GBK" w:cs="Times New Roman"/>
          <w:color w:val="auto"/>
          <w:sz w:val="32"/>
          <w:szCs w:val="32"/>
          <w:lang w:val="en-US" w:eastAsia="zh-CN"/>
        </w:rPr>
        <w:t>4.91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%；社会保障和就业支出</w:t>
      </w:r>
      <w:r>
        <w:rPr>
          <w:rFonts w:hint="eastAsia" w:ascii="Times New Roman" w:hAnsi="Times New Roman" w:eastAsia="方正仿宋_GBK" w:cs="Times New Roman"/>
          <w:color w:val="auto"/>
          <w:sz w:val="32"/>
          <w:szCs w:val="32"/>
          <w:lang w:val="en-US" w:eastAsia="zh-CN"/>
        </w:rPr>
        <w:t>110.56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万元比上年</w:t>
      </w:r>
      <w:r>
        <w:rPr>
          <w:rFonts w:hint="eastAsia" w:ascii="Times New Roman" w:hAnsi="Times New Roman" w:eastAsia="方正仿宋_GBK" w:cs="Times New Roman"/>
          <w:color w:val="auto"/>
          <w:sz w:val="32"/>
          <w:szCs w:val="32"/>
          <w:lang w:val="en-US" w:eastAsia="zh-CN"/>
        </w:rPr>
        <w:t>减少5.06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方正仿宋_GBK" w:cs="Times New Roman"/>
          <w:color w:val="auto"/>
          <w:sz w:val="32"/>
          <w:szCs w:val="32"/>
          <w:lang w:val="en-US" w:eastAsia="zh-CN"/>
        </w:rPr>
        <w:t>下降4.38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%；卫生健康支出</w:t>
      </w:r>
      <w:r>
        <w:rPr>
          <w:rFonts w:hint="eastAsia" w:ascii="Times New Roman" w:hAnsi="Times New Roman" w:eastAsia="方正仿宋_GBK" w:cs="Times New Roman"/>
          <w:color w:val="auto"/>
          <w:sz w:val="32"/>
          <w:szCs w:val="32"/>
          <w:lang w:val="en-US" w:eastAsia="zh-CN"/>
        </w:rPr>
        <w:t>6.84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万元比上年</w:t>
      </w:r>
      <w:r>
        <w:rPr>
          <w:rFonts w:hint="eastAsia" w:ascii="Times New Roman" w:hAnsi="Times New Roman" w:eastAsia="方正仿宋_GBK" w:cs="Times New Roman"/>
          <w:color w:val="auto"/>
          <w:sz w:val="32"/>
          <w:szCs w:val="32"/>
          <w:lang w:val="en-US" w:eastAsia="zh-CN"/>
        </w:rPr>
        <w:t>减少0.99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方正仿宋_GBK" w:cs="Times New Roman"/>
          <w:color w:val="auto"/>
          <w:sz w:val="32"/>
          <w:szCs w:val="32"/>
          <w:lang w:val="en-US" w:eastAsia="zh-CN"/>
        </w:rPr>
        <w:t>下降12.64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%；住房保障支出</w:t>
      </w:r>
      <w:r>
        <w:rPr>
          <w:rFonts w:hint="eastAsia" w:ascii="Times New Roman" w:hAnsi="Times New Roman" w:eastAsia="方正仿宋_GBK" w:cs="Times New Roman"/>
          <w:color w:val="auto"/>
          <w:sz w:val="32"/>
          <w:szCs w:val="32"/>
          <w:lang w:val="en-US" w:eastAsia="zh-CN"/>
        </w:rPr>
        <w:t>14.61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万元比上年</w:t>
      </w:r>
      <w:r>
        <w:rPr>
          <w:rFonts w:hint="eastAsia" w:ascii="Times New Roman" w:hAnsi="Times New Roman" w:eastAsia="方正仿宋_GBK" w:cs="Times New Roman"/>
          <w:color w:val="auto"/>
          <w:sz w:val="32"/>
          <w:szCs w:val="32"/>
          <w:lang w:val="en-US" w:eastAsia="zh-CN"/>
        </w:rPr>
        <w:t>增加7.01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方正仿宋_GBK" w:cs="Times New Roman"/>
          <w:color w:val="auto"/>
          <w:sz w:val="32"/>
          <w:szCs w:val="32"/>
          <w:lang w:val="en-US" w:eastAsia="zh-CN"/>
        </w:rPr>
        <w:t>增长92.24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%；年末结转结余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万元比上年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减少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15.25万元、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下降100.00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2023年度收入合计430.05万元，较上年决算数减少45.72万元，下降9.61%，主要原因是</w:t>
      </w:r>
      <w:r>
        <w:rPr>
          <w:rFonts w:hint="default" w:ascii="Times New Roman" w:hAnsi="Times New Roman" w:eastAsia="方正仿宋_GBK" w:cs="Times New Roman"/>
          <w:kern w:val="2"/>
          <w:sz w:val="32"/>
          <w:szCs w:val="32"/>
          <w:lang w:val="en-US" w:eastAsia="zh-CN"/>
        </w:rPr>
        <w:t>严格执行政府过紧日子要求。</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430.05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15.25</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445.30</w:t>
      </w:r>
      <w:r>
        <w:rPr>
          <w:rFonts w:hint="default" w:ascii="Times New Roman" w:hAnsi="Times New Roman" w:eastAsia="方正仿宋_GBK" w:cs="Times New Roman"/>
          <w:sz w:val="32"/>
          <w:szCs w:val="32"/>
          <w:shd w:val="clear" w:color="auto" w:fill="FFFFFF"/>
        </w:rPr>
        <w:t>万元，较上年决算数减少15.22万元，下降3.30%，主要原因是</w:t>
      </w:r>
      <w:r>
        <w:rPr>
          <w:rFonts w:hint="default" w:ascii="Times New Roman" w:hAnsi="Times New Roman" w:eastAsia="方正仿宋_GBK" w:cs="Times New Roman"/>
          <w:kern w:val="2"/>
          <w:sz w:val="32"/>
          <w:szCs w:val="32"/>
          <w:lang w:val="en-US" w:eastAsia="zh-CN"/>
        </w:rPr>
        <w:t>严格执行政府过紧日子要求</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老干部活动开展相对减少。其中：基本支出</w:t>
      </w:r>
      <w:r>
        <w:rPr>
          <w:rFonts w:hint="default" w:ascii="Times New Roman" w:hAnsi="Times New Roman" w:eastAsia="方正仿宋_GBK" w:cs="Times New Roman"/>
          <w:sz w:val="32"/>
          <w:szCs w:val="32"/>
        </w:rPr>
        <w:t>276.07</w:t>
      </w:r>
      <w:r>
        <w:rPr>
          <w:rFonts w:hint="default" w:ascii="Times New Roman" w:hAnsi="Times New Roman" w:eastAsia="方正仿宋_GBK" w:cs="Times New Roman"/>
          <w:sz w:val="32"/>
          <w:szCs w:val="32"/>
          <w:shd w:val="clear" w:color="auto" w:fill="FFFFFF"/>
        </w:rPr>
        <w:t>万元，占62.00%；项目支出</w:t>
      </w:r>
      <w:r>
        <w:rPr>
          <w:rFonts w:hint="default" w:ascii="Times New Roman" w:hAnsi="Times New Roman" w:eastAsia="方正仿宋_GBK" w:cs="Times New Roman"/>
          <w:sz w:val="32"/>
          <w:szCs w:val="32"/>
        </w:rPr>
        <w:t>169.23</w:t>
      </w:r>
      <w:r>
        <w:rPr>
          <w:rFonts w:hint="default" w:ascii="Times New Roman" w:hAnsi="Times New Roman" w:eastAsia="方正仿宋_GBK" w:cs="Times New Roman"/>
          <w:sz w:val="32"/>
          <w:szCs w:val="32"/>
          <w:shd w:val="clear" w:color="auto" w:fill="FFFFFF"/>
        </w:rPr>
        <w:t>万元，占38.00%；经营支出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万元，较上年决算数减少15.25万元，下降100.00%，主要原因是</w:t>
      </w:r>
      <w:r>
        <w:rPr>
          <w:rFonts w:hint="default" w:ascii="Times New Roman" w:hAnsi="Times New Roman" w:eastAsia="方正仿宋_GBK" w:cs="Times New Roman"/>
          <w:kern w:val="2"/>
          <w:sz w:val="32"/>
          <w:szCs w:val="32"/>
          <w:lang w:val="en-US" w:eastAsia="zh-CN" w:bidi="ar-SA"/>
        </w:rPr>
        <w:t>严格执行《秀山自治县部门预算零结转管理办法》等管理规定，本级财力安排零结转。</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2023年度财政拨款收、支总计445.30万元。与2022年相比，财政拨款收、支总计各减少30.47万元，下降6.40%。主要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去年因工作需要按程序新购一辆车。</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430.05</w:t>
      </w:r>
      <w:r>
        <w:rPr>
          <w:rFonts w:hint="default" w:ascii="Times New Roman" w:hAnsi="Times New Roman" w:eastAsia="方正仿宋_GBK" w:cs="Times New Roman"/>
          <w:sz w:val="32"/>
          <w:szCs w:val="32"/>
          <w:shd w:val="clear" w:color="auto" w:fill="FFFFFF"/>
        </w:rPr>
        <w:t>万元，较上年决算数减少45.72万元，下降9.61%。较年初预算数增加15.99万元，增长3.86%。主要原因是</w:t>
      </w:r>
      <w:r>
        <w:rPr>
          <w:rFonts w:hint="default" w:ascii="Times New Roman" w:hAnsi="Times New Roman" w:eastAsia="方正仿宋_GBK" w:cs="Times New Roman"/>
          <w:sz w:val="32"/>
          <w:szCs w:val="32"/>
        </w:rPr>
        <w:t>春节走访慰问活动经费不由我们单位编制预算。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15.25</w:t>
      </w:r>
      <w:r>
        <w:rPr>
          <w:rFonts w:hint="default" w:ascii="Times New Roman" w:hAnsi="Times New Roman" w:eastAsia="方正仿宋_GBK" w:cs="Times New Roman"/>
          <w:sz w:val="32"/>
          <w:szCs w:val="32"/>
          <w:shd w:val="clear" w:color="auto" w:fill="FFFFFF"/>
        </w:rPr>
        <w:t>万元。</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b/>
          <w:bCs w:val="0"/>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445.30</w:t>
      </w:r>
      <w:r>
        <w:rPr>
          <w:rFonts w:hint="default" w:ascii="Times New Roman" w:hAnsi="Times New Roman" w:eastAsia="方正仿宋_GBK" w:cs="Times New Roman"/>
          <w:sz w:val="32"/>
          <w:szCs w:val="32"/>
          <w:shd w:val="clear" w:color="auto" w:fill="FFFFFF"/>
        </w:rPr>
        <w:t>万元，较上年决算数减少15.22万元，下降3.30%。主要原因是</w:t>
      </w:r>
      <w:r>
        <w:rPr>
          <w:rFonts w:hint="default" w:ascii="Times New Roman" w:hAnsi="Times New Roman" w:eastAsia="方正仿宋_GBK" w:cs="Times New Roman"/>
          <w:sz w:val="32"/>
          <w:szCs w:val="32"/>
        </w:rPr>
        <w:t>一般公共服务支出313.29万元比上年减少16.18万元、下降4.91%；社会保障和就业支出110.56万元比上年减少5.06万元、下降4.38%；卫生健康支出6.84万元比上年减少0.99万元、下降12.64%；住房保障支出14.61万元比上年增加7.01万元、增长92.24%。较年初预算数增加31.24万元，增长7.54%。主要原因是一般公共服务支出313.29万元比年初预算数337.15万元减少23.86万元、下降7.08%；社会保障和就业支出110.56比年初预算数57.23万元增加53.33万元、增长93.19%，主要</w:t>
      </w:r>
      <w:r>
        <w:rPr>
          <w:rFonts w:hint="eastAsia" w:ascii="Times New Roman" w:hAnsi="Times New Roman" w:eastAsia="方正仿宋_GBK" w:cs="Times New Roman"/>
          <w:sz w:val="32"/>
          <w:szCs w:val="32"/>
          <w:lang w:val="en-US" w:eastAsia="zh-CN"/>
        </w:rPr>
        <w:t>原因</w:t>
      </w:r>
      <w:r>
        <w:rPr>
          <w:rFonts w:hint="default" w:ascii="Times New Roman" w:hAnsi="Times New Roman" w:eastAsia="方正仿宋_GBK" w:cs="Times New Roman"/>
          <w:sz w:val="32"/>
          <w:szCs w:val="32"/>
        </w:rPr>
        <w:t>是春节走访慰问活动经费不由我们单位编制预算；卫生健康支出6.84万元比年初预算数6.65万元增加0.19万元、增长2.86%；住房保障支出14.61比年初预算数13.03万元增加1.58万元、增长12.13%。</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仿宋_GBK" w:cs="Times New Roman"/>
          <w:kern w:val="0"/>
          <w:sz w:val="32"/>
          <w:szCs w:val="32"/>
        </w:rPr>
      </w:pPr>
      <w:r>
        <w:rPr>
          <w:rStyle w:val="9"/>
          <w:rFonts w:hint="default" w:ascii="Times New Roman" w:hAnsi="Times New Roman" w:eastAsia="方正仿宋_GBK" w:cs="Times New Roman"/>
          <w:b/>
          <w:bCs w:val="0"/>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万元，较上年决算数减少15.25万元，下降100.00%，主要原因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w:t>
      </w:r>
      <w:r>
        <w:rPr>
          <w:rFonts w:hint="default" w:ascii="Times New Roman" w:hAnsi="Times New Roman" w:eastAsia="方正仿宋_GBK" w:cs="Times New Roman"/>
          <w:color w:val="000000"/>
          <w:sz w:val="32"/>
          <w:szCs w:val="32"/>
        </w:rPr>
        <w:t>公务员2021年政策衔接清算资金因时间原因</w:t>
      </w:r>
      <w:r>
        <w:rPr>
          <w:rFonts w:hint="default" w:ascii="Times New Roman" w:hAnsi="Times New Roman" w:eastAsia="方正仿宋_GBK" w:cs="Times New Roman"/>
          <w:color w:val="000000"/>
          <w:sz w:val="32"/>
          <w:szCs w:val="32"/>
          <w:lang w:eastAsia="zh-CN"/>
        </w:rPr>
        <w:t>于</w:t>
      </w:r>
      <w:r>
        <w:rPr>
          <w:rFonts w:hint="default" w:ascii="Times New Roman" w:hAnsi="Times New Roman" w:eastAsia="方正仿宋_GBK" w:cs="Times New Roman"/>
          <w:color w:val="000000"/>
          <w:sz w:val="32"/>
          <w:szCs w:val="32"/>
          <w:lang w:val="en-US" w:eastAsia="zh-CN"/>
        </w:rPr>
        <w:t>2023年初</w:t>
      </w:r>
      <w:r>
        <w:rPr>
          <w:rFonts w:hint="default" w:ascii="Times New Roman" w:hAnsi="Times New Roman" w:eastAsia="方正仿宋_GBK" w:cs="Times New Roman"/>
          <w:color w:val="000000"/>
          <w:sz w:val="32"/>
          <w:szCs w:val="32"/>
          <w:lang w:eastAsia="zh-CN"/>
        </w:rPr>
        <w:t>才</w:t>
      </w:r>
      <w:r>
        <w:rPr>
          <w:rFonts w:hint="default" w:ascii="Times New Roman" w:hAnsi="Times New Roman" w:eastAsia="方正仿宋_GBK" w:cs="Times New Roman"/>
          <w:color w:val="000000"/>
          <w:sz w:val="32"/>
          <w:szCs w:val="32"/>
        </w:rPr>
        <w:t>实现支出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本单位</w:t>
      </w:r>
      <w:r>
        <w:rPr>
          <w:rFonts w:hint="default" w:ascii="Times New Roman" w:hAnsi="Times New Roman" w:eastAsia="方正仿宋_GBK" w:cs="Times New Roman"/>
          <w:kern w:val="2"/>
          <w:sz w:val="32"/>
          <w:szCs w:val="32"/>
        </w:rPr>
        <w:t>严格执行《秀山自治县部门预算零结转管理办法》等管理规定，本级财力安排零结转。</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9"/>
          <w:rFonts w:hint="default" w:ascii="Times New Roman" w:hAnsi="Times New Roman" w:eastAsia="方正仿宋_GBK" w:cs="Times New Roman"/>
          <w:b/>
          <w:bCs w:val="0"/>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313.29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70.36</w:t>
      </w:r>
      <w:r>
        <w:rPr>
          <w:rFonts w:hint="default" w:ascii="Times New Roman" w:hAnsi="Times New Roman" w:eastAsia="方正仿宋_GBK" w:cs="Times New Roman"/>
          <w:sz w:val="32"/>
          <w:szCs w:val="32"/>
          <w:shd w:val="clear" w:color="auto" w:fill="FFFFFF"/>
        </w:rPr>
        <w:t>%，较年初预算数减少23.86万元，下降7.08%，主要原因是</w:t>
      </w:r>
      <w:r>
        <w:rPr>
          <w:rFonts w:hint="default" w:ascii="Times New Roman" w:hAnsi="Times New Roman" w:eastAsia="方正仿宋_GBK" w:cs="Times New Roman"/>
          <w:sz w:val="32"/>
          <w:szCs w:val="32"/>
        </w:rPr>
        <w:t>行政运行144.06万元，较年初预算增加10万元、增长7.46%；一般行政管理事务支出169.23万元，较年初预算减少33.86万元、下降16.67%。</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110.56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24.83</w:t>
      </w:r>
      <w:r>
        <w:rPr>
          <w:rFonts w:hint="default" w:ascii="Times New Roman" w:hAnsi="Times New Roman" w:eastAsia="方正仿宋_GBK" w:cs="Times New Roman"/>
          <w:sz w:val="32"/>
          <w:szCs w:val="32"/>
          <w:shd w:val="clear" w:color="auto" w:fill="FFFFFF"/>
        </w:rPr>
        <w:t>%，较年初预算数增加53.33万元，增长93.19%，主要原因是</w:t>
      </w:r>
      <w:r>
        <w:rPr>
          <w:rFonts w:hint="default" w:ascii="Times New Roman" w:hAnsi="Times New Roman" w:eastAsia="方正仿宋_GBK" w:cs="Times New Roman"/>
          <w:sz w:val="32"/>
          <w:szCs w:val="32"/>
        </w:rPr>
        <w:t>机关事业单位基本养老保险缴费支出14.19万元，较年初预算数减少1.45万元、下降9.27%；机关事业单位职业年金支出7.09万元，较年初预算数减少0.73万元、下降 9.34%；其他行政事业单位养老支出32.36万元，与初预算数持平；行政单位离退休1.4万元，与</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初预算数持平；其他社会保障和就业支出55.52万元，是春节走访慰问活动经费，年初不由我们单位编制预算。</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1.54</w:t>
      </w:r>
      <w:r>
        <w:rPr>
          <w:rFonts w:hint="default" w:ascii="Times New Roman" w:hAnsi="Times New Roman" w:eastAsia="方正仿宋_GBK" w:cs="Times New Roman"/>
          <w:sz w:val="32"/>
          <w:szCs w:val="32"/>
          <w:shd w:val="clear" w:color="auto" w:fill="FFFFFF"/>
        </w:rPr>
        <w:t>%，较年初预算数增加0.19万元，增长2.86%，主要原因是</w:t>
      </w:r>
      <w:r>
        <w:rPr>
          <w:rFonts w:hint="eastAsia" w:ascii="Times New Roman" w:hAnsi="Times New Roman" w:eastAsia="方正仿宋_GBK" w:cs="Times New Roman"/>
          <w:sz w:val="32"/>
          <w:szCs w:val="32"/>
          <w:shd w:val="clear" w:color="auto" w:fill="FFFFFF"/>
          <w:lang w:eastAsia="zh-CN"/>
        </w:rPr>
        <w:t>职工医保缴费基数调整，</w:t>
      </w:r>
      <w:r>
        <w:rPr>
          <w:rFonts w:hint="default" w:ascii="Times New Roman" w:hAnsi="Times New Roman" w:eastAsia="方正仿宋_GBK" w:cs="Times New Roman"/>
          <w:sz w:val="32"/>
          <w:szCs w:val="32"/>
        </w:rPr>
        <w:t>行政单位医疗6.82万元，较年初预算数增加0.19万元，增长2.86%。</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住房保障支出14.61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3.28</w:t>
      </w:r>
      <w:r>
        <w:rPr>
          <w:rFonts w:hint="default" w:ascii="Times New Roman" w:hAnsi="Times New Roman" w:eastAsia="方正仿宋_GBK" w:cs="Times New Roman"/>
          <w:sz w:val="32"/>
          <w:szCs w:val="32"/>
          <w:shd w:val="clear" w:color="auto" w:fill="FFFFFF"/>
        </w:rPr>
        <w:t>%，较年初预算数增加1.58万元，增长12.13%，主要原因是</w:t>
      </w:r>
      <w:r>
        <w:rPr>
          <w:rFonts w:hint="eastAsia" w:ascii="Times New Roman" w:hAnsi="Times New Roman" w:eastAsia="方正仿宋_GBK" w:cs="Times New Roman"/>
          <w:sz w:val="32"/>
          <w:szCs w:val="32"/>
          <w:shd w:val="clear" w:color="auto" w:fill="FFFFFF"/>
          <w:lang w:eastAsia="zh-CN"/>
        </w:rPr>
        <w:t>职工住房公积金缴费基数调整，</w:t>
      </w:r>
      <w:r>
        <w:rPr>
          <w:rFonts w:hint="default" w:ascii="Times New Roman" w:hAnsi="Times New Roman" w:eastAsia="方正仿宋_GBK" w:cs="Times New Roman"/>
          <w:sz w:val="32"/>
          <w:szCs w:val="32"/>
          <w:shd w:val="clear" w:color="auto" w:fill="FFFFFF"/>
        </w:rPr>
        <w:t>住房公积金14.61万元，较年初预算数增加1.58万元，增</w:t>
      </w:r>
      <w:r>
        <w:rPr>
          <w:rFonts w:hint="default" w:ascii="Times New Roman" w:hAnsi="Times New Roman" w:eastAsia="方正仿宋_GBK" w:cs="Times New Roman"/>
          <w:sz w:val="32"/>
          <w:szCs w:val="32"/>
        </w:rPr>
        <w:t>长12.13%。</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276.07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254.08</w:t>
      </w:r>
      <w:r>
        <w:rPr>
          <w:rFonts w:hint="default" w:ascii="Times New Roman" w:hAnsi="Times New Roman" w:eastAsia="方正仿宋_GBK" w:cs="Times New Roman"/>
          <w:sz w:val="32"/>
          <w:szCs w:val="32"/>
          <w:shd w:val="clear" w:color="auto" w:fill="FFFFFF"/>
        </w:rPr>
        <w:t>万元，较上年决算数增加15.41万元，增长6.46%，主要原因是</w:t>
      </w:r>
      <w:r>
        <w:rPr>
          <w:rFonts w:hint="default" w:ascii="Times New Roman" w:hAnsi="Times New Roman" w:eastAsia="方正仿宋_GBK" w:cs="Times New Roman"/>
          <w:sz w:val="32"/>
          <w:szCs w:val="32"/>
        </w:rPr>
        <w:t>公务员2021年政策衔接清算资金15.25万元因时间原因未能实现支出，于2023年才予以支付。人员经费用途主要包括基本工资35.15万元，津贴补贴38.14万元，奖金44.69万元，机关事业单位基本养老保险费14.19万元，职业年金缴费7.09万元，职工基本医疗保险缴费6.84万元，其他社会保障缴费0.24万元，住房公积金14.61万元，医疗费1.68万元，对个人和家庭的补助91.45万元等。公用经费21.99万元，较上年决算数减少0.99万元，下降4.31%，公用经费用途主要包括办公费3.94万元，水费0.05万元，电费0.10万元，邮电费2.08万元，差旅费0.17万元，培训费0.05万元，公务接待费0.39万元，工会经费0.44万元，福利费1.09万元，公务用车运行维护费4.73万元，其他交通费6.19万元，其他商品和服务支出2.79万元。</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2023年度无国有资本经营预算财政拨款支出</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5.12</w:t>
      </w:r>
      <w:r>
        <w:rPr>
          <w:rFonts w:hint="default" w:ascii="Times New Roman" w:hAnsi="Times New Roman" w:eastAsia="方正仿宋_GBK" w:cs="Times New Roman"/>
          <w:sz w:val="32"/>
          <w:szCs w:val="32"/>
          <w:shd w:val="clear" w:color="auto" w:fill="FFFFFF"/>
        </w:rPr>
        <w:t>万元，较年初预算数减少2.28万元，下降30.81%，主要原因是</w:t>
      </w:r>
      <w:r>
        <w:rPr>
          <w:rFonts w:hint="default" w:ascii="Times New Roman" w:hAnsi="Times New Roman" w:eastAsia="方正仿宋_GBK" w:cs="Times New Roman"/>
          <w:sz w:val="32"/>
          <w:szCs w:val="32"/>
        </w:rPr>
        <w:t>一是认真贯彻落实中央八项规定精神，从严控制“三公”经费，二是进一步规范因公出国（境）活动，今年未安排人员出国出访。较上年支出数减少23.22万元，下降81.93%，主要原因是上年根据工作需要按程序新购一辆车23.19万元。</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费用支出较年初预算数增加0.00万元，增长0.0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%，较上年支出数增加0.00万元，增长0.0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%，较年初预算数和上年决算数持平的主要原因是进一步规范因公出国（境）活动，今年未安排人员出国出访。</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cs/>
        </w:rPr>
        <w:t> </w:t>
      </w:r>
      <w:r>
        <w:rPr>
          <w:rFonts w:hint="default" w:ascii="Times New Roman" w:hAnsi="Times New Roman" w:eastAsia="方正仿宋_GBK" w:cs="Times New Roman"/>
          <w:sz w:val="32"/>
          <w:szCs w:val="32"/>
        </w:rPr>
        <w:t>公务车购置费0.00万元，费用支出较年初预算数增加0.00万元，增长0.0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%。较上年支出数减少23.19万元，下降100.00%，主要原因是上年根据工作需要按程序新购一辆车。</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4.73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关工委到各乡镇、学校开展活动、机要文件交换、市内因公出行、看望慰问管辖范围内的老干部等工作所需车辆的燃料费、维修费、过桥过路费、保险费等。费用支出较年初预算数减少2.07万元，下降30.44%，主要原因是主要原因是严格落实公车使用规定。较上年支出数减少0.27万元，下降5.40%，主要原因是上年新购车辆，当年车辆维修费相对减少。</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0.39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接待垫江县老干部对文物保护和技能人才队伍建设方面等调研；南川区离退休干部观摩学习我县商贸物流、文化融合等考察调研；忠县老干部调研秀山城市建设、产业发展及乡村振兴实施情况等发生的接待支出。费用支出较年初预算数减少0.21万元，下降35.00%，主要原因是本单位严格按公务接待要求执行。较上年支出数增加0.24万元，增长160.00%，主要原因是今年接待人数比上年略有增加造成公务接待费较上年增加。</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84</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46.18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2.37</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2.49</w:t>
      </w:r>
      <w:r>
        <w:rPr>
          <w:rFonts w:hint="default" w:ascii="Times New Roman" w:hAnsi="Times New Roman" w:eastAsia="方正仿宋_GBK" w:cs="Times New Roman"/>
          <w:sz w:val="32"/>
          <w:szCs w:val="32"/>
          <w:shd w:val="clear" w:color="auto" w:fill="FFFFFF"/>
        </w:rPr>
        <w:t>万元，较上年决算数增加0.03万元，增长1.22%，主要原因是</w:t>
      </w:r>
      <w:r>
        <w:rPr>
          <w:rFonts w:hint="default" w:ascii="Times New Roman" w:hAnsi="Times New Roman" w:eastAsia="方正仿宋_GBK" w:cs="Times New Roman"/>
          <w:sz w:val="32"/>
          <w:szCs w:val="32"/>
        </w:rPr>
        <w:t>关心下一代工作和老年大学教学工作活动增加了会议支出。本年度培训费支出0.05万元，较上年决算数无增减，主要原因是用于购买单位职工教育培训资料支出。</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21.99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2"/>
          <w:sz w:val="32"/>
          <w:szCs w:val="32"/>
        </w:rPr>
        <w:t>办公费3.94万元，水费0.05万元，电费0.10万元，邮电费2.08万元，差旅费0.17万元，培训费0.05万元，公务接待费0.39万元，工会经费0.44万元，福利费1.09万元，公务用车运行维护费4.73万元，其他交通费6.19万元，其他商品和服务支出2.79万元。机关运行经费较上年支出数减少0.99万元，下降4.31%，主要原因是当年无办公设备购置，厉行节约等。</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lang w:eastAsia="zh-CN"/>
        </w:rPr>
        <w:t>五、</w:t>
      </w:r>
      <w:r>
        <w:rPr>
          <w:rStyle w:val="9"/>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7"/>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本单位对6个项目开展了绩效自评，其中，以填报目标自评表形式开展自评6项，涉及资金169.23万元；本单位没有以委托第三方形式开展绩效自评；从评价情况来看：老年大学经费19.46万元，完成预算的97.30%；关心下一代工作经费19.79万元，完成预算的98.95%；节日慰问专项21.54万元，完成预算的100.00%；老干管理专项91.26万元，完成预算的82.96%；老干部健康体检9.70万元，完成预算的83.98%；“中华魂”读书活动经费7.49万元，完成预算的37.45%，主要是由于客观原因，“中华魂”读本尚未印刷出来，导致活动效果不及以前年度好。</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eastAsia" w:ascii="Times New Roman" w:hAnsi="Times New Roman" w:eastAsia="方正仿宋_GBK" w:cs="Times New Roman"/>
          <w:sz w:val="32"/>
          <w:szCs w:val="32"/>
          <w:highlight w:val="none"/>
          <w:lang w:val="en-US" w:eastAsia="zh-CN"/>
        </w:rPr>
      </w:pPr>
    </w:p>
    <w:tbl>
      <w:tblPr>
        <w:tblStyle w:val="10"/>
        <w:tblW w:w="8432" w:type="dxa"/>
        <w:jc w:val="center"/>
        <w:tblInd w:w="225" w:type="dxa"/>
        <w:shd w:val="clear" w:color="auto" w:fill="auto"/>
        <w:tblLayout w:type="fixed"/>
        <w:tblCellMar>
          <w:top w:w="0" w:type="dxa"/>
          <w:left w:w="0" w:type="dxa"/>
          <w:bottom w:w="0" w:type="dxa"/>
          <w:right w:w="0" w:type="dxa"/>
        </w:tblCellMar>
      </w:tblPr>
      <w:tblGrid>
        <w:gridCol w:w="122"/>
        <w:gridCol w:w="318"/>
        <w:gridCol w:w="385"/>
        <w:gridCol w:w="607"/>
        <w:gridCol w:w="416"/>
        <w:gridCol w:w="505"/>
        <w:gridCol w:w="436"/>
        <w:gridCol w:w="518"/>
        <w:gridCol w:w="595"/>
        <w:gridCol w:w="121"/>
        <w:gridCol w:w="470"/>
        <w:gridCol w:w="114"/>
        <w:gridCol w:w="650"/>
        <w:gridCol w:w="55"/>
        <w:gridCol w:w="449"/>
        <w:gridCol w:w="256"/>
        <w:gridCol w:w="222"/>
        <w:gridCol w:w="483"/>
        <w:gridCol w:w="280"/>
        <w:gridCol w:w="440"/>
        <w:gridCol w:w="51"/>
        <w:gridCol w:w="300"/>
        <w:gridCol w:w="491"/>
        <w:gridCol w:w="148"/>
      </w:tblGrid>
      <w:tr>
        <w:tblPrEx>
          <w:shd w:val="clear" w:color="auto" w:fill="auto"/>
          <w:tblLayout w:type="fixed"/>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2023年度部门整体绩效自评表</w:t>
            </w: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主管部门</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秀山土家族苗族自治县老干部活动中心</w:t>
            </w:r>
          </w:p>
        </w:tc>
        <w:tc>
          <w:tcPr>
            <w:tcW w:w="11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部门编码</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22</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自评总分（分）</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99.4</w:t>
            </w:r>
            <w:r>
              <w:rPr>
                <w:rFonts w:hint="default" w:ascii="Times New Roman" w:hAnsi="Times New Roman" w:eastAsia="宋体" w:cs="Times New Roman"/>
                <w:i w:val="0"/>
                <w:color w:val="000000"/>
                <w:kern w:val="0"/>
                <w:sz w:val="22"/>
                <w:szCs w:val="22"/>
                <w:u w:val="none"/>
                <w:lang w:val="en-US" w:eastAsia="zh-CN" w:bidi="ar"/>
              </w:rPr>
              <w:t xml:space="preserve"> </w:t>
            </w:r>
          </w:p>
        </w:tc>
      </w:tr>
      <w:tr>
        <w:tblPrEx>
          <w:shd w:val="clear" w:color="auto" w:fill="auto"/>
          <w:tblLayout w:type="fixed"/>
          <w:tblCellMar>
            <w:top w:w="0" w:type="dxa"/>
            <w:left w:w="0" w:type="dxa"/>
            <w:bottom w:w="0" w:type="dxa"/>
            <w:right w:w="0" w:type="dxa"/>
          </w:tblCellMar>
        </w:tblPrEx>
        <w:trPr>
          <w:gridBefore w:val="1"/>
          <w:wBefore w:w="122" w:type="dxa"/>
          <w:trHeight w:val="6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部门联系人</w:t>
            </w:r>
          </w:p>
        </w:tc>
        <w:tc>
          <w:tcPr>
            <w:tcW w:w="3782"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白晓菊</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联系电话</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eastAsia" w:ascii="Times New Roman" w:hAnsi="Times New Roman" w:eastAsia="宋体" w:cs="Times New Roman"/>
                <w:i w:val="0"/>
                <w:color w:val="000000"/>
                <w:kern w:val="0"/>
                <w:sz w:val="22"/>
                <w:szCs w:val="22"/>
                <w:u w:val="none"/>
                <w:lang w:val="en-US" w:eastAsia="zh-CN" w:bidi="ar"/>
              </w:rPr>
              <w:t>86759</w:t>
            </w:r>
          </w:p>
        </w:tc>
      </w:tr>
      <w:tr>
        <w:tblPrEx>
          <w:tblLayout w:type="fixed"/>
          <w:tblCellMar>
            <w:top w:w="0" w:type="dxa"/>
            <w:left w:w="0" w:type="dxa"/>
            <w:bottom w:w="0" w:type="dxa"/>
            <w:right w:w="0" w:type="dxa"/>
          </w:tblCellMar>
        </w:tblPrEx>
        <w:trPr>
          <w:gridBefore w:val="1"/>
          <w:wBefore w:w="122" w:type="dxa"/>
          <w:trHeight w:val="76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18"/>
                <w:szCs w:val="18"/>
                <w:u w:val="none"/>
              </w:rPr>
            </w:pP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年初预算数</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全年（调整）预算数</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全年执行数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执行率权重</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执行率得分（分）</w:t>
            </w: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年度总金额</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Layout w:type="fixed"/>
          <w:tblCellMar>
            <w:top w:w="0" w:type="dxa"/>
            <w:left w:w="0" w:type="dxa"/>
            <w:bottom w:w="0" w:type="dxa"/>
            <w:right w:w="0" w:type="dxa"/>
          </w:tblCellMar>
        </w:tblPrEx>
        <w:trPr>
          <w:gridBefore w:val="1"/>
          <w:wBefore w:w="122" w:type="dxa"/>
          <w:trHeight w:val="62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其中：财政拨款</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当年</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绩效</w:t>
            </w:r>
            <w:r>
              <w:rPr>
                <w:rFonts w:hint="eastAsia" w:ascii="方正黑体_GBK" w:hAnsi="方正黑体_GBK" w:eastAsia="方正黑体_GBK" w:cs="方正黑体_GBK"/>
                <w:i w:val="0"/>
                <w:color w:val="000000"/>
                <w:kern w:val="0"/>
                <w:sz w:val="20"/>
                <w:szCs w:val="20"/>
                <w:u w:val="none"/>
                <w:lang w:val="en-US" w:eastAsia="zh-CN" w:bidi="ar"/>
              </w:rPr>
              <w:br w:type="textWrapping"/>
            </w:r>
            <w:r>
              <w:rPr>
                <w:rFonts w:hint="eastAsia" w:ascii="方正黑体_GBK" w:hAnsi="方正黑体_GBK" w:eastAsia="方正黑体_GBK" w:cs="方正黑体_GBK"/>
                <w:i w:val="0"/>
                <w:color w:val="000000"/>
                <w:kern w:val="0"/>
                <w:sz w:val="20"/>
                <w:szCs w:val="20"/>
                <w:u w:val="none"/>
                <w:lang w:val="en-US" w:eastAsia="zh-CN" w:bidi="ar"/>
              </w:rPr>
              <w:t>目标</w:t>
            </w: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年初绩效目标</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全年（调整）绩效目标</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gridBefore w:val="1"/>
          <w:wBefore w:w="122" w:type="dxa"/>
          <w:trHeight w:val="1833"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老干部活动中心管理的344名老干部及16名建初人员发放端午、中秋、重阳节日慰问;为离休干部、四大家领导、地管干部开展健康体检;为1名企业离休干部发放生活补贴;为老干部活动中心管理的344名老干部，日常活动及生日、生病、去逝看望等;为老干部活动中心管理的45号文件退休干部发放1200元的医疗门诊补助；每年不低于1次走访、慰问易地居住的离休干部；老干部日常管理开支；企业离休干部医疗单位承担部分.如住院交通、住宿、护理费等；老干部特殊困难帮扶；五个社区老干部工作人员工作经费;老干部服务人员活动经费；老干部门球活动经费等'老年大学的教学活动;关心下一代工作;征订“中华魂”读本为全县各中小学和部分机关单位青年，保障征文和演讲活动。</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全年(调整）完成节日慰问377人次；其中端午节慰问371人、中秋节慰问376人、重阳节慰问385人次；建国初期参加工作的老干部端午、中秋、重阳节慰问指标实际调减至各相关单位；全年实际完成47名前三类老干部的健康体检，其中女性6名，男性41名；全年实际完成1名副处级离休干部月标准3220元，共12个月；全年完成实际管理的老干部382名，日常活动及生日、生病、去逝看望等；全年实际完成328名副处级退休干部医疗门诊发放；慰问易地居住老干部3人次、组织老干部就近参观学习活动7次220人次；全年完成17名教师1400名学员参与老年大学的教学活动；关工委班子成员到基层调研6次，“五老”报告团到学校乡镇机关企业作宣讲报告50场次，受教育人数15300人次。</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实际完成节日慰问377人次；其中端午节慰问371人、中秋节慰问376人、重阳节慰问385人次；建国初期参加工作的老干部端午、中秋、重阳节慰问指标实际调减至各相关单位；全年实际完成47名前三类老干部的健康体检，其中女性6名，男性41名；全年实际完成1名副处级离休干部月标准3220元，共12个月；全年完成实际管理的老干部382名，日常活动及生日、生病、去逝看望等；全年实际完成328名副处级退休干部医疗门诊发放；慰问易地居住老干部3人次、组织老干部就近参观学习活动7次220人次；全年完成17名教师1400名学员参与老年大学的教学活动；关工委班子成员到基层调研6次，“五老”报告团到学校乡镇机关企业作宣讲报告50场次，受教育人数15300人次。</w:t>
            </w:r>
          </w:p>
        </w:tc>
      </w:tr>
      <w:tr>
        <w:tblPrEx>
          <w:shd w:val="clear" w:color="auto" w:fill="auto"/>
          <w:tblLayout w:type="fixed"/>
          <w:tblCellMar>
            <w:top w:w="0" w:type="dxa"/>
            <w:left w:w="0" w:type="dxa"/>
            <w:bottom w:w="0" w:type="dxa"/>
            <w:right w:w="0" w:type="dxa"/>
          </w:tblCellMar>
        </w:tblPrEx>
        <w:trPr>
          <w:gridBefore w:val="1"/>
          <w:wBefore w:w="122" w:type="dxa"/>
          <w:trHeight w:val="10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绩效指标</w:t>
            </w: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指标名称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计量单位</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指标值</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全年完成值</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偏离度（%）</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得分系数（%）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指标权重（分）</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指标得分（分）</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人</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370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513</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38.65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补助合格率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补助按时到位率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人均补助标准</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元</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3730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24.33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补助政策知晓率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gridBefore w:val="1"/>
          <w:wBefore w:w="122" w:type="dxa"/>
          <w:trHeight w:val="48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总体说明</w:t>
            </w:r>
          </w:p>
        </w:tc>
        <w:tc>
          <w:tcPr>
            <w:tcW w:w="7607" w:type="dxa"/>
            <w:gridSpan w:val="2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年度目标均已完成，下一步将持续推进项目实施，切实保障我县老服务工作迈上新台阶。</w:t>
            </w:r>
          </w:p>
        </w:tc>
      </w:tr>
      <w:tr>
        <w:tblPrEx>
          <w:shd w:val="clear" w:color="auto" w:fill="auto"/>
          <w:tblLayout w:type="fixed"/>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p>
        </w:tc>
      </w:tr>
      <w:tr>
        <w:tblPrEx>
          <w:shd w:val="clear" w:color="auto" w:fill="auto"/>
          <w:tblLayout w:type="fixed"/>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2023年度项目支出绩效自评情况表（二级项目）</w:t>
            </w:r>
          </w:p>
        </w:tc>
      </w:tr>
      <w:tr>
        <w:tblPrEx>
          <w:shd w:val="clear" w:color="auto" w:fill="auto"/>
          <w:tblLayout w:type="fixed"/>
          <w:tblCellMar>
            <w:top w:w="0" w:type="dxa"/>
            <w:left w:w="0" w:type="dxa"/>
            <w:bottom w:w="0" w:type="dxa"/>
            <w:right w:w="0" w:type="dxa"/>
          </w:tblCellMar>
        </w:tblPrEx>
        <w:trPr>
          <w:gridAfter w:val="1"/>
          <w:wAfter w:w="148" w:type="dxa"/>
          <w:trHeight w:val="585" w:hRule="atLeast"/>
          <w:jc w:val="center"/>
        </w:trPr>
        <w:tc>
          <w:tcPr>
            <w:tcW w:w="44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9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2591"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7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50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计量单位</w:t>
            </w:r>
          </w:p>
        </w:tc>
        <w:tc>
          <w:tcPr>
            <w:tcW w:w="47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763"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49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节日慰问专项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370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377</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0.06</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0.06</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关心下一代工作经费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sz w:val="18"/>
                <w:szCs w:val="18"/>
                <w:u w:val="none"/>
                <w:lang w:val="en-US" w:eastAsia="zh-CN"/>
              </w:rPr>
              <w:t>50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sz w:val="18"/>
                <w:szCs w:val="18"/>
                <w:u w:val="none"/>
                <w:lang w:val="en-US" w:eastAsia="zh-CN"/>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培训人员合格率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培训计划按期完成</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受教育效果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老年大学经费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老年大学参与人次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1381</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人员合格率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计划按期完成率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关心关爱效果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显著</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left="0" w:leftChars="0" w:firstLine="640" w:firstLineChars="20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w:t>
      </w:r>
      <w:r>
        <w:rPr>
          <w:rFonts w:hint="eastAsia" w:ascii="方正楷体_GBK" w:hAnsi="Times New Roman" w:eastAsia="方正楷体_GBK"/>
          <w:sz w:val="32"/>
          <w:szCs w:val="32"/>
          <w:lang w:eastAsia="zh-CN"/>
        </w:rPr>
        <w:t>单位</w:t>
      </w:r>
      <w:r>
        <w:rPr>
          <w:rFonts w:hint="eastAsia" w:ascii="方正楷体_GBK" w:hAnsi="Times New Roman" w:eastAsia="方正楷体_GBK"/>
          <w:sz w:val="32"/>
          <w:szCs w:val="32"/>
        </w:rPr>
        <w:t>绩效评价情况</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对节日慰问专项开展了绩效评价，涉及财政拨款项目资金21.54万元，评价得分100分，评价等次为优，绩效评价发现了年初预算时符合条件的老干部与实际发放节日慰问费时的老干部不一定完全一致，有一定的增减变动等主要问题，提出了年初编制预算时，与相关部门核实，当年新增符合条件的老干部的相关节日慰问纳入预算等；对老年大学经费开展了绩效评价，涉及财政拨款项目资金19.46万元，评价得分97.96分，评价等次为良，绩效评价发现了实际预算的是20万元，由于年末工作较多，本来预算内资金完全能够用完的，结果余下了0.54万元从老年大学学员费用中支付了，提出了工作再仔细点等下一步工作建议；对关心下一代工作经费开展了绩效评价，涉及财政拨款项目资金19.79万元，评价得分100分，评价等次为优，绩效评价时发现了关心下一代工作经费预算时过于细化，导致部分细化项目资金预算与实际略有差异，提出了年初预算时尽量根据前几年的细化项目编制更加合理的预算。</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（三）财政绩效评价情况</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szCs w:val="32"/>
        </w:rPr>
      </w:pP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财政局未委托第三方对我</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开展绩效评价。</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方正黑体_GBK" w:hAnsi="Times New Roman" w:eastAsia="方正黑体_GBK"/>
          <w:szCs w:val="32"/>
        </w:rPr>
      </w:pPr>
      <w:r>
        <w:rPr>
          <w:rFonts w:hint="eastAsia" w:ascii="方正黑体_GBK" w:hAnsi="Times New Roman" w:eastAsia="方正黑体_GBK"/>
          <w:sz w:val="32"/>
          <w:szCs w:val="32"/>
        </w:rPr>
        <w:t>六、专业名词解释</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80" w:firstLineChars="200"/>
        <w:jc w:val="both"/>
        <w:textAlignment w:val="auto"/>
        <w:outlineLvl w:val="9"/>
        <w:rPr>
          <w:rFonts w:ascii="Times New Roman" w:hAnsi="Times New Roman" w:eastAsia="方正仿宋_GBK"/>
          <w:b w:val="0"/>
          <w:bCs/>
          <w:sz w:val="32"/>
          <w:szCs w:val="32"/>
        </w:rPr>
      </w:pPr>
      <w:r>
        <w:rPr>
          <w:rFonts w:hint="eastAsia" w:ascii="方正仿宋_GBK" w:hAnsi="方正仿宋_GBK" w:eastAsia="方正仿宋_GBK" w:cs="方正仿宋_GBK"/>
          <w:b w:val="0"/>
          <w:bCs/>
          <w:szCs w:val="32"/>
          <w:cs/>
        </w:rPr>
        <w:t> </w:t>
      </w:r>
      <w:r>
        <w:rPr>
          <w:rFonts w:hint="eastAsia" w:ascii="方正楷体_GBK" w:hAnsi="方正楷体_GBK" w:eastAsia="方正楷体_GBK" w:cs="方正楷体_GBK"/>
          <w:b w:val="0"/>
          <w:bCs/>
          <w:sz w:val="32"/>
          <w:szCs w:val="32"/>
        </w:rPr>
        <w:t>（一）财政拨款收入：</w:t>
      </w:r>
      <w:r>
        <w:rPr>
          <w:rFonts w:hint="eastAsia" w:ascii="Times New Roman" w:hAnsi="Times New Roman" w:eastAsia="方正仿宋_GBK"/>
          <w:b w:val="0"/>
          <w:bCs/>
          <w:sz w:val="32"/>
          <w:szCs w:val="32"/>
        </w:rPr>
        <w:t>指本年度从本级财政部门取得的财政拨款，包括一般公共预算财政拨款和政府性基金预算财政拨款。</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（二）其他收入：</w:t>
      </w:r>
      <w:r>
        <w:rPr>
          <w:rFonts w:hint="eastAsia" w:ascii="Times New Roman" w:hAnsi="Times New Roman" w:eastAsia="方正仿宋_GBK"/>
          <w:b w:val="0"/>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（三）年初结转和结余：</w:t>
      </w:r>
      <w:r>
        <w:rPr>
          <w:rFonts w:hint="eastAsia" w:ascii="Times New Roman" w:hAnsi="Times New Roman" w:eastAsia="方正仿宋_GBK"/>
          <w:b w:val="0"/>
          <w:bCs/>
          <w:sz w:val="32"/>
          <w:szCs w:val="32"/>
        </w:rPr>
        <w:t>指单位上年结转本年使用的基本支出结转、项目支出结转和结余、经营结余。</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（四）年末结转和结余：</w:t>
      </w:r>
      <w:r>
        <w:rPr>
          <w:rFonts w:hint="eastAsia" w:ascii="Times New Roman" w:hAnsi="Times New Roman" w:eastAsia="方正仿宋_GBK"/>
          <w:b w:val="0"/>
          <w:bCs/>
          <w:sz w:val="32"/>
          <w:szCs w:val="32"/>
        </w:rPr>
        <w:t>指单位结转下年的基本支出结转、项目支出结转和结余、经营结余。</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（五）基本支出：</w:t>
      </w:r>
      <w:r>
        <w:rPr>
          <w:rFonts w:hint="eastAsia" w:ascii="Times New Roman" w:hAnsi="Times New Roman" w:eastAsia="方正仿宋_GBK"/>
          <w:b w:val="0"/>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（六）项目支出：</w:t>
      </w:r>
      <w:r>
        <w:rPr>
          <w:rFonts w:hint="eastAsia" w:ascii="Times New Roman" w:hAnsi="Times New Roman" w:eastAsia="方正仿宋_GBK"/>
          <w:b w:val="0"/>
          <w:bCs/>
          <w:sz w:val="32"/>
          <w:szCs w:val="32"/>
        </w:rPr>
        <w:t>指在基本支出之外为完成特定行政任务和事业发展目标所发生的支出。</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sz w:val="32"/>
          <w:szCs w:val="32"/>
        </w:rPr>
      </w:pPr>
      <w:r>
        <w:rPr>
          <w:rFonts w:hint="eastAsia" w:ascii="方正楷体_GBK" w:hAnsi="方正楷体_GBK" w:eastAsia="方正楷体_GBK" w:cs="方正楷体_GBK"/>
          <w:b w:val="0"/>
          <w:bCs/>
          <w:sz w:val="32"/>
          <w:szCs w:val="32"/>
        </w:rPr>
        <w:t>（七）“三公”经费：</w:t>
      </w:r>
      <w:r>
        <w:rPr>
          <w:rFonts w:hint="eastAsia" w:ascii="Times New Roman" w:hAnsi="Times New Roman" w:eastAsia="方正仿宋_GBK"/>
          <w:b w:val="0"/>
          <w:bCs/>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val="0"/>
          <w:sz w:val="32"/>
          <w:szCs w:val="32"/>
        </w:rPr>
      </w:pPr>
      <w:r>
        <w:rPr>
          <w:rFonts w:hint="eastAsia" w:ascii="方正楷体_GBK" w:hAnsi="方正楷体_GBK" w:eastAsia="方正楷体_GBK" w:cs="方正楷体_GBK"/>
          <w:b w:val="0"/>
          <w:bCs/>
          <w:sz w:val="32"/>
          <w:szCs w:val="32"/>
        </w:rPr>
        <w:t>（八）机关运行经费：</w:t>
      </w:r>
      <w:r>
        <w:rPr>
          <w:rFonts w:hint="eastAsia" w:ascii="Times New Roman" w:hAnsi="Times New Roman" w:eastAsia="方正仿宋_GBK"/>
          <w:b w:val="0"/>
          <w:bCs/>
          <w:sz w:val="32"/>
          <w:szCs w:val="32"/>
        </w:rPr>
        <w:t>为保障行政单位（含参照公务员法管理的事业单位）运行用于购买货物和服务等的各项公用经费，包括办公及印刷费、邮电费、差旅费、会议费、福利费、日常</w:t>
      </w:r>
      <w:r>
        <w:rPr>
          <w:rFonts w:hint="eastAsia" w:ascii="Times New Roman" w:hAnsi="Times New Roman" w:eastAsia="方正仿宋_GBK"/>
          <w:b w:val="0"/>
          <w:bCs w:val="0"/>
          <w:sz w:val="32"/>
          <w:szCs w:val="32"/>
        </w:rPr>
        <w:t>维护费、专用材料及一般 设备购置费、办公用房水电费、办公用房取暖费、办公用房物业管理费、公务用车运行维护费以及其他费用。</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（九）工资福利支出（支出经济分类科目类级）：</w:t>
      </w:r>
      <w:r>
        <w:rPr>
          <w:rFonts w:hint="eastAsia" w:ascii="Times New Roman" w:hAnsi="Times New Roman" w:eastAsia="方正仿宋_GBK"/>
          <w:b w:val="0"/>
          <w:bCs w:val="0"/>
          <w:sz w:val="32"/>
          <w:szCs w:val="32"/>
        </w:rPr>
        <w:t>反映单位开支的在职职工和编制外长期聘用人员的各类劳动报酬，以及为上述人员缴纳的各项社会保险费等。</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（十）商品和服务支出（支出经济分类科目类级）：</w:t>
      </w:r>
      <w:r>
        <w:rPr>
          <w:rFonts w:hint="eastAsia" w:ascii="Times New Roman" w:hAnsi="Times New Roman" w:eastAsia="方正仿宋_GBK"/>
          <w:b w:val="0"/>
          <w:bCs w:val="0"/>
          <w:sz w:val="32"/>
          <w:szCs w:val="32"/>
        </w:rPr>
        <w:t>反映单位购买商品和服务的支出（不包括用于购置固定资产的支出、战略性和应急储备支出）。</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b w:val="0"/>
          <w:bCs w:val="0"/>
          <w:sz w:val="32"/>
          <w:szCs w:val="32"/>
        </w:rPr>
      </w:pPr>
      <w:r>
        <w:rPr>
          <w:rFonts w:hint="eastAsia" w:ascii="方正楷体_GBK" w:hAnsi="方正楷体_GBK" w:eastAsia="方正楷体_GBK" w:cs="方正楷体_GBK"/>
          <w:b w:val="0"/>
          <w:bCs w:val="0"/>
          <w:sz w:val="32"/>
          <w:szCs w:val="32"/>
        </w:rPr>
        <w:t>（十一）对个人和家庭的补助（支出经济分类科目类级）：</w:t>
      </w:r>
      <w:r>
        <w:rPr>
          <w:rFonts w:hint="eastAsia" w:ascii="Times New Roman" w:hAnsi="Times New Roman" w:eastAsia="方正仿宋_GBK"/>
          <w:b w:val="0"/>
          <w:bCs w:val="0"/>
          <w:sz w:val="32"/>
          <w:szCs w:val="32"/>
        </w:rPr>
        <w:t>反映用于对个人和家庭的补助支出。</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七、决算公开联系方式及信息反馈渠道</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eastAsia="方正仿宋_GBK"/>
          <w:sz w:val="32"/>
          <w:szCs w:val="32"/>
        </w:rPr>
        <w:sectPr>
          <w:footerReference r:id="rId3" w:type="default"/>
          <w:footerReference r:id="rId4" w:type="even"/>
          <w:pgSz w:w="11907" w:h="16839"/>
          <w:pgMar w:top="2098" w:right="1474" w:bottom="1985" w:left="1588" w:header="851" w:footer="1559" w:gutter="0"/>
          <w:cols w:space="720" w:num="1"/>
          <w:docGrid w:type="linesAndChars" w:linePitch="579" w:charSpace="0"/>
        </w:sectPr>
      </w:pPr>
      <w:r>
        <w:rPr>
          <w:rFonts w:hint="eastAsia" w:ascii="Times New Roman" w:hAnsi="Times New Roman" w:eastAsia="方正仿宋_GBK"/>
          <w:sz w:val="32"/>
          <w:szCs w:val="32"/>
        </w:rPr>
        <w:t>联系人：白晓菊，电话：</w:t>
      </w:r>
      <w:r>
        <w:rPr>
          <w:rFonts w:ascii="Times New Roman" w:hAnsi="Times New Roman" w:eastAsia="方正仿宋_GBK"/>
          <w:sz w:val="32"/>
          <w:szCs w:val="32"/>
        </w:rPr>
        <w:t>023—76662574</w:t>
      </w:r>
      <w:r>
        <w:rPr>
          <w:rFonts w:hint="eastAsia" w:ascii="Times New Roman" w:hAnsi="Times New Roman" w:eastAsia="方正仿宋_GBK"/>
          <w:sz w:val="32"/>
          <w:szCs w:val="32"/>
        </w:rPr>
        <w:t>，邮箱：</w:t>
      </w:r>
      <w:r>
        <w:rPr>
          <w:rFonts w:ascii="Times New Roman" w:hAnsi="Times New Roman" w:eastAsia="方正仿宋_GBK"/>
          <w:sz w:val="32"/>
          <w:szCs w:val="32"/>
        </w:rPr>
        <w:t>429001243@qq.com</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重庆市秀山土家族苗族自治县老干部活动中心（本级）</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430.05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313.29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110.56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430.05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pPr w:leftFromText="180" w:rightFromText="180" w:vertAnchor="text" w:horzAnchor="page" w:tblpX="1248" w:tblpY="-1227"/>
        <w:tblOverlap w:val="never"/>
        <w:tblW w:w="15378" w:type="dxa"/>
        <w:tblInd w:w="0" w:type="dxa"/>
        <w:tblLayout w:type="fixed"/>
        <w:tblCellMar>
          <w:top w:w="0" w:type="dxa"/>
          <w:left w:w="0" w:type="dxa"/>
          <w:bottom w:w="0" w:type="dxa"/>
          <w:right w:w="0" w:type="dxa"/>
        </w:tblCellMar>
      </w:tblPr>
      <w:tblGrid>
        <w:gridCol w:w="1702"/>
        <w:gridCol w:w="3566"/>
        <w:gridCol w:w="838"/>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26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重庆市秀山土家族苗族自治县老干部活动中心（本级）</w:t>
            </w:r>
          </w:p>
        </w:tc>
        <w:tc>
          <w:tcPr>
            <w:tcW w:w="8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26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8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26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66"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6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6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6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26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tbl>
      <w:tblPr>
        <w:tblStyle w:val="10"/>
        <w:tblpPr w:leftFromText="180" w:rightFromText="180" w:vertAnchor="text" w:horzAnchor="page" w:tblpX="1116" w:tblpY="-521"/>
        <w:tblOverlap w:val="never"/>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重庆市秀山土家族苗族自治县老干部活动中心（本级）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445.30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276.07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169.23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tbl>
      <w:tblPr>
        <w:tblStyle w:val="10"/>
        <w:tblpPr w:leftFromText="180" w:rightFromText="180" w:vertAnchor="text" w:horzAnchor="page" w:tblpX="1308" w:tblpY="-315"/>
        <w:tblOverlap w:val="never"/>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ind w:left="600" w:hanging="600" w:hangingChars="300"/>
        <w:rPr>
          <w:rFonts w:cs="宋体"/>
          <w:sz w:val="20"/>
          <w:szCs w:val="20"/>
        </w:rPr>
      </w:pPr>
    </w:p>
    <w:p>
      <w:pPr>
        <w:ind w:left="600" w:hanging="600" w:hangingChars="300"/>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1"/>
          <w:szCs w:val="21"/>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445.30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276.07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pPr w:leftFromText="180" w:rightFromText="180" w:vertAnchor="text" w:horzAnchor="page" w:tblpX="1164" w:tblpY="-566"/>
        <w:tblOverlap w:val="never"/>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254.08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054" w:type="dxa"/>
        <w:tblInd w:w="0" w:type="dxa"/>
        <w:tblLayout w:type="fixed"/>
        <w:tblCellMar>
          <w:top w:w="0" w:type="dxa"/>
          <w:left w:w="0" w:type="dxa"/>
          <w:bottom w:w="0" w:type="dxa"/>
          <w:right w:w="0" w:type="dxa"/>
        </w:tblCellMar>
      </w:tblPr>
      <w:tblGrid>
        <w:gridCol w:w="6174"/>
        <w:gridCol w:w="2304"/>
        <w:gridCol w:w="1572"/>
        <w:gridCol w:w="3528"/>
        <w:gridCol w:w="1476"/>
      </w:tblGrid>
      <w:tr>
        <w:tblPrEx>
          <w:tblLayout w:type="fixed"/>
          <w:tblCellMar>
            <w:top w:w="0" w:type="dxa"/>
            <w:left w:w="0" w:type="dxa"/>
            <w:bottom w:w="0" w:type="dxa"/>
            <w:right w:w="0" w:type="dxa"/>
          </w:tblCellMar>
        </w:tblPrEx>
        <w:trPr>
          <w:trHeight w:val="175" w:hRule="atLeast"/>
        </w:trPr>
        <w:tc>
          <w:tcPr>
            <w:tcW w:w="15054"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617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304"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3528"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14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61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重庆市秀山土家族苗族自治县老干部活动中心（本级）</w:t>
            </w:r>
          </w:p>
        </w:tc>
        <w:tc>
          <w:tcPr>
            <w:tcW w:w="230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157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35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14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30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157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4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21.99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5.12</w:t>
            </w: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5.12</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21.99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84</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617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2.49</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617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0.05</w:t>
            </w:r>
            <w:r>
              <w:rPr>
                <w:color w:val="000000"/>
                <w:sz w:val="20"/>
                <w:u w:color="auto"/>
              </w:rPr>
              <w:t xml:space="preserve"> </w:t>
            </w:r>
          </w:p>
        </w:tc>
        <w:tc>
          <w:tcPr>
            <w:tcW w:w="35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4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 2.本套报表金额单位转换时可能存在尾数误差。</w:t>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E766F1"/>
    <w:rsid w:val="01F3521E"/>
    <w:rsid w:val="03B156B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30FC6"/>
    <w:rsid w:val="0B9335CE"/>
    <w:rsid w:val="0BF2311A"/>
    <w:rsid w:val="0C7927C4"/>
    <w:rsid w:val="0C9B098C"/>
    <w:rsid w:val="0D673E11"/>
    <w:rsid w:val="0D675857"/>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300B71"/>
    <w:rsid w:val="2F4F5C2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196A23"/>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303D7"/>
    <w:rsid w:val="3D2757A1"/>
    <w:rsid w:val="3D3D4FC4"/>
    <w:rsid w:val="3DDF3AB1"/>
    <w:rsid w:val="3DED27C0"/>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E0A55"/>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40043C"/>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923C6"/>
    <w:rsid w:val="53DD4D4E"/>
    <w:rsid w:val="53E578CE"/>
    <w:rsid w:val="541330F0"/>
    <w:rsid w:val="541A5B20"/>
    <w:rsid w:val="54272666"/>
    <w:rsid w:val="543B029D"/>
    <w:rsid w:val="54861779"/>
    <w:rsid w:val="552256E1"/>
    <w:rsid w:val="554E5773"/>
    <w:rsid w:val="555A3CBC"/>
    <w:rsid w:val="5582012B"/>
    <w:rsid w:val="558E4E05"/>
    <w:rsid w:val="55BE2E85"/>
    <w:rsid w:val="56530F5D"/>
    <w:rsid w:val="567700D3"/>
    <w:rsid w:val="56FF7E9E"/>
    <w:rsid w:val="578867FC"/>
    <w:rsid w:val="57E86499"/>
    <w:rsid w:val="5842572D"/>
    <w:rsid w:val="5A3B59D6"/>
    <w:rsid w:val="5A8339EC"/>
    <w:rsid w:val="5AD134D8"/>
    <w:rsid w:val="5B0967BF"/>
    <w:rsid w:val="5C263CE4"/>
    <w:rsid w:val="5C5D2777"/>
    <w:rsid w:val="5CF66BF3"/>
    <w:rsid w:val="5D290C69"/>
    <w:rsid w:val="5DCF5507"/>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65907"/>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52F8"/>
    <w:rsid w:val="7B420052"/>
    <w:rsid w:val="7BD06A28"/>
    <w:rsid w:val="7C3A7C0B"/>
    <w:rsid w:val="7C5248E4"/>
    <w:rsid w:val="7C566698"/>
    <w:rsid w:val="7C5866A3"/>
    <w:rsid w:val="7C5E790F"/>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styleId="17">
    <w:name w:val="List Paragraph"/>
    <w:basedOn w:val="1"/>
    <w:qFormat/>
    <w:uiPriority w:val="99"/>
    <w:pPr>
      <w:ind w:firstLine="420" w:firstLineChars="200"/>
    </w:pPr>
    <w:rPr>
      <w:rFonts w:ascii="Calibri" w:hAnsi="Calibri"/>
    </w:rPr>
  </w:style>
  <w:style w:type="character" w:customStyle="1" w:styleId="18">
    <w:name w:val="font61"/>
    <w:basedOn w:val="8"/>
    <w:qFormat/>
    <w:uiPriority w:val="0"/>
    <w:rPr>
      <w:rFonts w:hint="default" w:ascii="Times New Roman" w:hAnsi="Times New Roman" w:cs="Times New Roman"/>
      <w:color w:val="000000"/>
      <w:sz w:val="18"/>
      <w:szCs w:val="18"/>
      <w:u w:val="none"/>
    </w:rPr>
  </w:style>
  <w:style w:type="character" w:customStyle="1" w:styleId="19">
    <w:name w:val="font01"/>
    <w:basedOn w:val="8"/>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9</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2024-11-13T02:32:58Z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