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重庆市秀山土家族苗族自治县卫生健康信息中心2023年度决算公开说明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default" w:ascii="Times New Roman" w:hAnsi="Times New Roman" w:eastAsia="方正小标宋_GBK" w:cs="Times New Roman"/>
          <w:sz w:val="44"/>
          <w:szCs w:val="44"/>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负责拟订卫生健康信息化事业发展中长期规划和标准化组织实施；负责全县卫生健康机构信息资源整合及共享；负责信息化建设项目；牵头数字重庆建设工作；负责HIS、PACS、LIS、公卫、家医、心电系统、全民健康平台等系统数据的日常监管；负责IRS、能力组件、云网资源等编目；负责规范卫生健康信息数据交换的接口标准；负责网络安全保障；负责卫生健康行业统计调查制度建设和管理；负责软件</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正版化工作；指导卫生健康系统卫生专网建设、卫生健康信息资源数据库建设；指导智慧医院、互联网医院建设相关工作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Style w:val="10"/>
          <w:rFonts w:hint="default" w:ascii="Times New Roman" w:hAnsi="Times New Roman" w:eastAsia="方正仿宋_GBK" w:cs="Times New Roman"/>
          <w:b w:val="0"/>
          <w:bCs/>
          <w:sz w:val="32"/>
          <w:szCs w:val="32"/>
          <w:shd w:val="clear" w:color="auto" w:fill="FFFFFF"/>
        </w:rPr>
        <w:t>1.总体情况。</w:t>
      </w:r>
      <w:r>
        <w:rPr>
          <w:rFonts w:hint="default" w:ascii="Times New Roman" w:hAnsi="Times New Roman" w:eastAsia="方正仿宋_GBK" w:cs="Times New Roman"/>
          <w:b w:val="0"/>
          <w:bCs/>
          <w:sz w:val="32"/>
          <w:szCs w:val="32"/>
          <w:shd w:val="clear" w:color="auto" w:fill="FFFFFF"/>
        </w:rPr>
        <w:t>2023年度收入总计71.75万元，支出总计</w:t>
      </w:r>
      <w:r>
        <w:rPr>
          <w:rFonts w:hint="default" w:ascii="Times New Roman" w:hAnsi="Times New Roman" w:eastAsia="方正仿宋_GBK" w:cs="Times New Roman"/>
          <w:b w:val="0"/>
          <w:bCs/>
          <w:sz w:val="32"/>
          <w:szCs w:val="32"/>
        </w:rPr>
        <w:t>71.75</w:t>
      </w:r>
      <w:r>
        <w:rPr>
          <w:rFonts w:hint="default" w:ascii="Times New Roman" w:hAnsi="Times New Roman" w:eastAsia="方正仿宋_GBK" w:cs="Times New Roman"/>
          <w:b w:val="0"/>
          <w:bCs/>
          <w:sz w:val="32"/>
          <w:szCs w:val="32"/>
          <w:shd w:val="clear" w:color="auto" w:fill="FFFFFF"/>
        </w:rPr>
        <w:t>万元。收支较上年决算数增加71.75万元，增长100.00%，主要原因是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2.收入情况。</w:t>
      </w:r>
      <w:r>
        <w:rPr>
          <w:rFonts w:hint="default" w:ascii="Times New Roman" w:hAnsi="Times New Roman" w:eastAsia="方正仿宋_GBK" w:cs="Times New Roman"/>
          <w:b w:val="0"/>
          <w:bCs/>
          <w:sz w:val="32"/>
          <w:szCs w:val="32"/>
          <w:shd w:val="clear" w:color="auto" w:fill="FFFFFF"/>
        </w:rPr>
        <w:t>2023年度收入合计71.75万元，较上年决算数增加71.75万元，增长100.00%，主要原因是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r>
        <w:rPr>
          <w:rFonts w:hint="default" w:ascii="Times New Roman" w:hAnsi="Times New Roman" w:eastAsia="方正仿宋_GBK" w:cs="Times New Roman"/>
          <w:b w:val="0"/>
          <w:bCs/>
          <w:sz w:val="32"/>
          <w:szCs w:val="32"/>
          <w:shd w:val="clear" w:color="auto" w:fill="FFFFFF"/>
        </w:rPr>
        <w:t>其中：财政拨款收入</w:t>
      </w:r>
      <w:r>
        <w:rPr>
          <w:rFonts w:hint="default" w:ascii="Times New Roman" w:hAnsi="Times New Roman" w:eastAsia="方正仿宋_GBK" w:cs="Times New Roman"/>
          <w:b w:val="0"/>
          <w:bCs/>
          <w:sz w:val="32"/>
          <w:szCs w:val="32"/>
        </w:rPr>
        <w:t>71.75</w:t>
      </w:r>
      <w:r>
        <w:rPr>
          <w:rFonts w:hint="default" w:ascii="Times New Roman" w:hAnsi="Times New Roman" w:eastAsia="方正仿宋_GBK" w:cs="Times New Roman"/>
          <w:b w:val="0"/>
          <w:bCs/>
          <w:sz w:val="32"/>
          <w:szCs w:val="32"/>
          <w:shd w:val="clear" w:color="auto" w:fill="FFFFFF"/>
        </w:rPr>
        <w:t>万元，占</w:t>
      </w:r>
      <w:r>
        <w:rPr>
          <w:rFonts w:hint="default" w:ascii="Times New Roman" w:hAnsi="Times New Roman" w:eastAsia="方正仿宋_GBK" w:cs="Times New Roman"/>
          <w:b w:val="0"/>
          <w:bCs/>
          <w:sz w:val="32"/>
          <w:szCs w:val="32"/>
        </w:rPr>
        <w:t>100.00</w:t>
      </w:r>
      <w:r>
        <w:rPr>
          <w:rFonts w:hint="default" w:ascii="Times New Roman" w:hAnsi="Times New Roman" w:eastAsia="方正仿宋_GBK" w:cs="Times New Roman"/>
          <w:b w:val="0"/>
          <w:bCs/>
          <w:sz w:val="32"/>
          <w:szCs w:val="32"/>
          <w:shd w:val="clear" w:color="auto" w:fill="FFFFFF"/>
        </w:rPr>
        <w:t>%；事业收入</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万元，占0.00%；经营收入</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万元，占0.00%；其他收入</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万元，占0.00%。此外，使用非财政拨款结余和专用结余</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万元，年初结转和结余</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3.支出情况。</w:t>
      </w:r>
      <w:r>
        <w:rPr>
          <w:rFonts w:hint="default" w:ascii="Times New Roman" w:hAnsi="Times New Roman" w:eastAsia="方正仿宋_GBK" w:cs="Times New Roman"/>
          <w:b w:val="0"/>
          <w:bCs/>
          <w:sz w:val="32"/>
          <w:szCs w:val="32"/>
          <w:shd w:val="clear" w:color="auto" w:fill="FFFFFF"/>
        </w:rPr>
        <w:t>2023年度支出合计</w:t>
      </w:r>
      <w:r>
        <w:rPr>
          <w:rFonts w:hint="default" w:ascii="Times New Roman" w:hAnsi="Times New Roman" w:eastAsia="方正仿宋_GBK" w:cs="Times New Roman"/>
          <w:b w:val="0"/>
          <w:bCs/>
          <w:sz w:val="32"/>
          <w:szCs w:val="32"/>
        </w:rPr>
        <w:t>71.75</w:t>
      </w:r>
      <w:r>
        <w:rPr>
          <w:rFonts w:hint="default" w:ascii="Times New Roman" w:hAnsi="Times New Roman" w:eastAsia="方正仿宋_GBK" w:cs="Times New Roman"/>
          <w:b w:val="0"/>
          <w:bCs/>
          <w:sz w:val="32"/>
          <w:szCs w:val="32"/>
          <w:shd w:val="clear" w:color="auto" w:fill="FFFFFF"/>
        </w:rPr>
        <w:t>万元，较上年决算数增加71.75万元，增长100.00%，主要原因是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r>
        <w:rPr>
          <w:rFonts w:hint="default" w:ascii="Times New Roman" w:hAnsi="Times New Roman" w:eastAsia="方正仿宋_GBK" w:cs="Times New Roman"/>
          <w:b w:val="0"/>
          <w:bCs/>
          <w:sz w:val="32"/>
          <w:szCs w:val="32"/>
          <w:shd w:val="clear" w:color="auto" w:fill="FFFFFF"/>
        </w:rPr>
        <w:t>其中：基本支出</w:t>
      </w:r>
      <w:r>
        <w:rPr>
          <w:rFonts w:hint="default" w:ascii="Times New Roman" w:hAnsi="Times New Roman" w:eastAsia="方正仿宋_GBK" w:cs="Times New Roman"/>
          <w:b w:val="0"/>
          <w:bCs/>
          <w:sz w:val="32"/>
          <w:szCs w:val="32"/>
        </w:rPr>
        <w:t>71.75</w:t>
      </w:r>
      <w:r>
        <w:rPr>
          <w:rFonts w:hint="default" w:ascii="Times New Roman" w:hAnsi="Times New Roman" w:eastAsia="方正仿宋_GBK" w:cs="Times New Roman"/>
          <w:b w:val="0"/>
          <w:bCs/>
          <w:sz w:val="32"/>
          <w:szCs w:val="32"/>
          <w:shd w:val="clear" w:color="auto" w:fill="FFFFFF"/>
        </w:rPr>
        <w:t>万元，占100.00%；项目支出</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万元，占0.00%；经营支出</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万元，占0.00%。此外，结余分配</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Style w:val="10"/>
          <w:rFonts w:hint="default" w:ascii="Times New Roman" w:hAnsi="Times New Roman" w:eastAsia="方正仿宋_GBK" w:cs="Times New Roman"/>
          <w:b w:val="0"/>
          <w:bCs/>
          <w:sz w:val="32"/>
          <w:szCs w:val="32"/>
          <w:shd w:val="clear" w:color="auto" w:fill="FFFFFF"/>
        </w:rPr>
        <w:t>4.结转结余情况。</w:t>
      </w:r>
      <w:r>
        <w:rPr>
          <w:rFonts w:hint="default" w:ascii="Times New Roman" w:hAnsi="Times New Roman" w:eastAsia="方正仿宋_GBK" w:cs="Times New Roman"/>
          <w:b w:val="0"/>
          <w:bCs/>
          <w:sz w:val="32"/>
          <w:szCs w:val="32"/>
          <w:shd w:val="clear" w:color="auto" w:fill="FFFFFF"/>
        </w:rPr>
        <w:t>2023年度年末结转和结余</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万元，较上年决算数无增减，主要原因是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sz w:val="32"/>
          <w:szCs w:val="32"/>
          <w:shd w:val="clear" w:color="auto" w:fill="FFFFFF"/>
        </w:rPr>
        <w:t>2023年度财政拨款收、支总计71.75万元。与2022年相比，财政拨款收、支总计各增加71.75万元，增长100.00%。主要原因是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Style w:val="10"/>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b w:val="0"/>
          <w:bCs/>
          <w:sz w:val="32"/>
          <w:szCs w:val="32"/>
          <w:shd w:val="clear" w:color="auto" w:fill="FFFFFF"/>
        </w:rPr>
        <w:t>2023年度一般公共预算财政拨款收入71.75万元，较上年决算数增加71.75万元，增长100.00%。主要原因是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r>
        <w:rPr>
          <w:rFonts w:hint="default" w:ascii="Times New Roman" w:hAnsi="Times New Roman" w:eastAsia="方正仿宋_GBK" w:cs="Times New Roman"/>
          <w:b w:val="0"/>
          <w:bCs/>
          <w:sz w:val="32"/>
          <w:szCs w:val="32"/>
          <w:shd w:val="clear" w:color="auto" w:fill="FFFFFF"/>
        </w:rPr>
        <w:t>较年初预算数减少6.09万元，下降7.82%。主要原因是</w:t>
      </w:r>
      <w:r>
        <w:rPr>
          <w:rFonts w:hint="default" w:ascii="Times New Roman" w:hAnsi="Times New Roman" w:eastAsia="方正仿宋_GBK" w:cs="Times New Roman"/>
          <w:b w:val="0"/>
          <w:bCs/>
          <w:sz w:val="32"/>
          <w:szCs w:val="32"/>
          <w:shd w:val="clear" w:color="auto" w:fill="FFFFFF"/>
          <w:lang w:eastAsia="zh-CN"/>
        </w:rPr>
        <w:t>本单位支出取决于财政实际拨款。</w:t>
      </w:r>
      <w:r>
        <w:rPr>
          <w:rFonts w:hint="default" w:ascii="Times New Roman" w:hAnsi="Times New Roman" w:eastAsia="方正仿宋_GBK" w:cs="Times New Roman"/>
          <w:b w:val="0"/>
          <w:bCs/>
          <w:sz w:val="32"/>
          <w:szCs w:val="32"/>
          <w:shd w:val="clear" w:color="auto" w:fill="FFFFFF"/>
        </w:rPr>
        <w:t>此外，年初财政拨款结转和结余0.00万元。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2.支出情况。2023年度一般公共预算财政拨款支出71.75万元，较上年决算数增加71.75万元，增长100.00%。主要原因是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r>
        <w:rPr>
          <w:rFonts w:hint="default" w:ascii="Times New Roman" w:hAnsi="Times New Roman" w:eastAsia="方正仿宋_GBK" w:cs="Times New Roman"/>
          <w:b w:val="0"/>
          <w:bCs/>
          <w:sz w:val="32"/>
          <w:szCs w:val="32"/>
          <w:shd w:val="clear" w:color="auto" w:fill="FFFFFF"/>
        </w:rPr>
        <w:t>较年初预算数减少6.09万元，下降7.82%。主要原因是</w:t>
      </w:r>
      <w:r>
        <w:rPr>
          <w:rFonts w:hint="default" w:ascii="Times New Roman" w:hAnsi="Times New Roman" w:eastAsia="方正仿宋_GBK" w:cs="Times New Roman"/>
          <w:b w:val="0"/>
          <w:bCs/>
          <w:sz w:val="32"/>
          <w:szCs w:val="32"/>
          <w:shd w:val="clear" w:color="auto" w:fill="FFFFFF"/>
          <w:lang w:eastAsia="zh-CN"/>
        </w:rPr>
        <w:t>本单位支出取决于财政实际拨款。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3.结转结余情况。2023年度年末一般公共预算财政拨款结转和结余0.00万元，较上年决算数无增减，主要原因是</w:t>
      </w:r>
      <w:r>
        <w:rPr>
          <w:rFonts w:hint="default" w:ascii="Times New Roman" w:hAnsi="Times New Roman" w:eastAsia="方正仿宋_GBK" w:cs="Times New Roman"/>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highlight w:val="cyan"/>
          <w:shd w:val="clear" w:color="auto" w:fill="FFFFFF"/>
        </w:rPr>
      </w:pPr>
      <w:r>
        <w:rPr>
          <w:rFonts w:hint="default" w:ascii="Times New Roman" w:hAnsi="Times New Roman" w:eastAsia="方正仿宋_GBK" w:cs="Times New Roman"/>
          <w:b w:val="0"/>
          <w:bCs/>
          <w:sz w:val="32"/>
          <w:szCs w:val="32"/>
          <w:shd w:val="clear" w:color="auto" w:fill="FFFFFF"/>
        </w:rPr>
        <w:t>4.比较情况。本单位2023年度一般公共预算财政拨款支出主要用于以下几个方面</w:t>
      </w:r>
      <w:r>
        <w:rPr>
          <w:rFonts w:hint="default" w:ascii="Times New Roman" w:hAnsi="Times New Roman" w:eastAsia="方正仿宋_GBK" w:cs="Times New Roman"/>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1</w:t>
      </w:r>
      <w:r>
        <w:rPr>
          <w:rFonts w:hint="default" w:ascii="Times New Roman" w:hAnsi="Times New Roman" w:eastAsia="方正仿宋_GBK" w:cs="Times New Roman"/>
          <w:b w:val="0"/>
          <w:bCs/>
          <w:sz w:val="32"/>
          <w:szCs w:val="32"/>
          <w:shd w:val="clear" w:color="auto" w:fill="FFFFFF"/>
        </w:rPr>
        <w:t>）社会保障与就业支出10.54万元，占14.69%，较年初预算数无增减，主要原因是</w:t>
      </w:r>
      <w:r>
        <w:rPr>
          <w:rFonts w:hint="default" w:ascii="Times New Roman" w:hAnsi="Times New Roman" w:eastAsia="方正仿宋_GBK" w:cs="Times New Roman"/>
          <w:b w:val="0"/>
          <w:bCs/>
          <w:sz w:val="32"/>
          <w:szCs w:val="32"/>
          <w:shd w:val="clear" w:color="auto" w:fill="FFFFFF"/>
          <w:lang w:eastAsia="zh-CN"/>
        </w:rPr>
        <w:t>社保基数每年有调整，本单位支出取决于财政实际拨款。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）卫生健康支出56.37万元，占78.56%，较年初预算数减少4.85万元，下降7.92%，主要原因是</w:t>
      </w:r>
      <w:r>
        <w:rPr>
          <w:rFonts w:hint="default" w:ascii="Times New Roman" w:hAnsi="Times New Roman" w:eastAsia="方正仿宋_GBK" w:cs="Times New Roman"/>
          <w:b w:val="0"/>
          <w:bCs/>
          <w:sz w:val="32"/>
          <w:szCs w:val="32"/>
          <w:shd w:val="clear" w:color="auto" w:fill="FFFFFF"/>
          <w:lang w:eastAsia="zh-CN"/>
        </w:rPr>
        <w:t>本单位支出取决于财政实际拨款。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）住房保障支出4.84万元，占6.75%，较年初预算数减少1.23万元，下降20.26%，主要原因是</w:t>
      </w:r>
      <w:r>
        <w:rPr>
          <w:rFonts w:hint="default" w:ascii="Times New Roman" w:hAnsi="Times New Roman" w:eastAsia="方正仿宋_GBK" w:cs="Times New Roman"/>
          <w:b w:val="0"/>
          <w:bCs/>
          <w:sz w:val="32"/>
          <w:szCs w:val="32"/>
          <w:shd w:val="clear" w:color="auto" w:fill="FFFFFF"/>
          <w:lang w:eastAsia="zh-CN"/>
        </w:rPr>
        <w:t>本单位支出取决于财政实际拨款。</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rPr>
        <w:t>2023年度一般公共财政拨款基本支出71.75万元。其中：人员经费65.88万元，较上年决算数增加65.88万元，增长</w:t>
      </w:r>
      <w:r>
        <w:rPr>
          <w:rFonts w:hint="default" w:ascii="Times New Roman" w:hAnsi="Times New Roman" w:eastAsia="方正仿宋_GBK" w:cs="Times New Roman"/>
          <w:sz w:val="32"/>
          <w:szCs w:val="32"/>
          <w:shd w:val="clear" w:color="auto" w:fill="FFFFFF"/>
        </w:rPr>
        <w:t>100.00%，主要原因是</w:t>
      </w:r>
      <w:r>
        <w:rPr>
          <w:rFonts w:hint="default" w:ascii="Times New Roman" w:hAnsi="Times New Roman" w:eastAsia="方正仿宋_GBK" w:cs="Times New Roman"/>
          <w:b w:val="0"/>
          <w:bCs/>
          <w:sz w:val="32"/>
          <w:szCs w:val="32"/>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lang w:eastAsia="zh-CN"/>
        </w:rPr>
        <w:t>社会保障、基本工资、绩效工资等。</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5.87</w:t>
      </w:r>
      <w:r>
        <w:rPr>
          <w:rFonts w:hint="default" w:ascii="Times New Roman" w:hAnsi="Times New Roman" w:eastAsia="方正仿宋_GBK" w:cs="Times New Roman"/>
          <w:sz w:val="32"/>
          <w:szCs w:val="32"/>
          <w:shd w:val="clear" w:color="auto" w:fill="FFFFFF"/>
        </w:rPr>
        <w:t>万元，较上年决算数增加5.87万元，增长100.00%，主要原因是</w:t>
      </w:r>
      <w:r>
        <w:rPr>
          <w:rFonts w:hint="default" w:ascii="Times New Roman" w:hAnsi="Times New Roman" w:eastAsia="方正仿宋_GBK" w:cs="Times New Roman"/>
          <w:b w:val="0"/>
          <w:bCs/>
          <w:sz w:val="32"/>
          <w:szCs w:val="32"/>
          <w:lang w:eastAsia="zh-CN"/>
        </w:rPr>
        <w:t>本单位为新增单位，无上年数据对比。</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sz w:val="32"/>
          <w:szCs w:val="32"/>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三、“三公”经费情况说明</w:t>
      </w:r>
    </w:p>
    <w:p>
      <w:pPr>
        <w:pStyle w:val="13"/>
        <w:keepNext w:val="0"/>
        <w:keepLines w:val="0"/>
        <w:pageBreakBefore w:val="0"/>
        <w:widowControl/>
        <w:kinsoku/>
        <w:wordWrap/>
        <w:overflowPunct/>
        <w:topLinePunct w:val="0"/>
        <w:autoSpaceDE w:val="0"/>
        <w:autoSpaceDN/>
        <w:bidi w:val="0"/>
        <w:adjustRightInd/>
        <w:spacing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2023年度“三公”经费支出共计</w:t>
      </w:r>
      <w:r>
        <w:rPr>
          <w:rFonts w:hint="default" w:ascii="Times New Roman" w:hAnsi="Times New Roman" w:eastAsia="方正仿宋_GBK" w:cs="Times New Roman"/>
          <w:sz w:val="32"/>
          <w:szCs w:val="32"/>
        </w:rPr>
        <w:t>0.13</w:t>
      </w:r>
      <w:r>
        <w:rPr>
          <w:rFonts w:hint="default" w:ascii="Times New Roman" w:hAnsi="Times New Roman" w:eastAsia="方正仿宋_GBK" w:cs="Times New Roman"/>
          <w:sz w:val="32"/>
          <w:szCs w:val="32"/>
          <w:shd w:val="clear" w:color="auto" w:fill="FFFFFF"/>
        </w:rPr>
        <w:t>万元，较年初预算数增加0.13万元，增长100.00%，主要原因是</w:t>
      </w:r>
      <w:r>
        <w:rPr>
          <w:rFonts w:hint="default" w:ascii="Times New Roman" w:hAnsi="Times New Roman" w:eastAsia="方正仿宋_GBK" w:cs="Times New Roman"/>
          <w:sz w:val="32"/>
          <w:szCs w:val="32"/>
          <w:lang w:eastAsia="zh-CN"/>
        </w:rPr>
        <w:t>本单位为新增单位，无上年数据对比。</w:t>
      </w:r>
      <w:r>
        <w:rPr>
          <w:rFonts w:hint="default" w:ascii="Times New Roman" w:hAnsi="Times New Roman" w:eastAsia="方正仿宋_GBK" w:cs="Times New Roman"/>
          <w:sz w:val="32"/>
          <w:szCs w:val="32"/>
          <w:shd w:val="clear" w:color="auto" w:fill="FFFFFF"/>
        </w:rPr>
        <w:t>较上年支出数增加0.13万元，增长100.00%，主要原因是</w:t>
      </w:r>
      <w:r>
        <w:rPr>
          <w:rFonts w:hint="default" w:ascii="Times New Roman" w:hAnsi="Times New Roman" w:eastAsia="方正仿宋_GBK" w:cs="Times New Roman"/>
          <w:sz w:val="32"/>
          <w:szCs w:val="32"/>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autoSpaceDE w:val="0"/>
        <w:ind w:firstLine="643"/>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2023年度本单位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本单位因公出国（境）共计0个团组，0人；公务用车购置0辆，公务车保有量为0辆；国内公务接待1批次12人，其中：国内外事接待0批次，0人；国（境）外公务接待0批次，0人。2023年本单位人均接待费104.25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13"/>
        <w:autoSpaceDE w:val="0"/>
        <w:ind w:firstLine="643"/>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因本单位为委属代管单位，财政未保障本单位会议费和培训费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b w:val="0"/>
          <w:bCs/>
          <w:sz w:val="32"/>
          <w:szCs w:val="32"/>
          <w:shd w:val="clear" w:color="auto" w:fill="FFFFFF"/>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3"/>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楷体" w:cs="Times New Roman"/>
          <w:b/>
          <w:bCs/>
          <w:sz w:val="32"/>
          <w:szCs w:val="32"/>
          <w:shd w:val="clear" w:color="auto" w:fill="FFFFFF"/>
        </w:rPr>
      </w:pPr>
      <w:r>
        <w:rPr>
          <w:rFonts w:hint="default" w:ascii="Times New Roman" w:hAnsi="Times New Roman" w:eastAsia="方正仿宋_GBK" w:cs="Times New Roman"/>
          <w:sz w:val="32"/>
          <w:szCs w:val="32"/>
          <w:shd w:val="clear" w:color="auto" w:fill="FFFFFF"/>
        </w:rPr>
        <w:t>2023年度</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黑体" w:cs="Times New Roman"/>
          <w:b w:val="0"/>
          <w:bCs/>
          <w:sz w:val="32"/>
          <w:szCs w:val="32"/>
          <w:shd w:val="clear" w:color="auto" w:fill="FFFFFF"/>
        </w:rPr>
      </w:pPr>
      <w:r>
        <w:rPr>
          <w:rStyle w:val="10"/>
          <w:rFonts w:hint="default" w:ascii="Times New Roman" w:hAnsi="Times New Roman" w:eastAsia="黑体" w:cs="Times New Roman"/>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lang w:eastAsia="zh-CN"/>
        </w:rPr>
        <w:t>本</w:t>
      </w:r>
      <w:r>
        <w:rPr>
          <w:rFonts w:hint="default" w:ascii="Times New Roman" w:hAnsi="Times New Roman" w:eastAsia="方正仿宋_GBK" w:cs="Times New Roman"/>
          <w:b w:val="0"/>
          <w:bCs w:val="0"/>
          <w:sz w:val="32"/>
          <w:szCs w:val="32"/>
          <w:shd w:val="clear" w:color="auto" w:fill="FFFFFF"/>
        </w:rPr>
        <w:t>单位</w:t>
      </w:r>
      <w:r>
        <w:rPr>
          <w:rFonts w:hint="default" w:ascii="Times New Roman" w:hAnsi="Times New Roman" w:eastAsia="方正仿宋_GBK" w:cs="Times New Roman"/>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县</w:t>
      </w:r>
      <w:r>
        <w:rPr>
          <w:rFonts w:hint="default" w:ascii="Times New Roman" w:hAnsi="Times New Roman" w:eastAsia="方正仿宋_GBK" w:cs="Times New Roman"/>
          <w:sz w:val="32"/>
          <w:szCs w:val="32"/>
          <w:shd w:val="clear" w:color="auto" w:fill="FFFFFF"/>
        </w:rPr>
        <w:t>财政局</w:t>
      </w:r>
      <w:r>
        <w:rPr>
          <w:rFonts w:hint="default" w:ascii="Times New Roman" w:hAnsi="Times New Roman" w:eastAsia="方正仿宋_GBK" w:cs="Times New Roman"/>
          <w:sz w:val="32"/>
          <w:szCs w:val="32"/>
          <w:shd w:val="clear" w:color="auto" w:fill="FFFFFF"/>
          <w:lang w:eastAsia="zh-CN"/>
        </w:rPr>
        <w:t>未</w:t>
      </w:r>
      <w:r>
        <w:rPr>
          <w:rFonts w:hint="default" w:ascii="Times New Roman" w:hAnsi="Times New Roman" w:eastAsia="方正仿宋_GBK" w:cs="Times New Roman"/>
          <w:sz w:val="32"/>
          <w:szCs w:val="32"/>
          <w:shd w:val="clear" w:color="auto" w:fill="FFFFFF"/>
        </w:rPr>
        <w:t>委托第三方对</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w:t>
      </w:r>
      <w:r>
        <w:rPr>
          <w:rFonts w:hint="default" w:ascii="Times New Roman" w:hAnsi="Times New Roman" w:eastAsia="方正仿宋_GBK" w:cs="Times New Roman"/>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0"/>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七、决算公开联系方式及信息反馈渠道</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023-76662083</w:t>
      </w:r>
    </w:p>
    <w:p>
      <w:pPr>
        <w:rPr>
          <w:rFonts w:hint="default" w:ascii="Times New Roman" w:hAnsi="Times New Roman" w:cs="Times New Roman"/>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重庆市秀山土家族苗族自治县卫生健康信息中心</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71.75</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10.54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56.37</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71.75</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71.75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71.75</w:t>
            </w:r>
            <w:r>
              <w:rPr>
                <w:rFonts w:hint="default" w:ascii="Times New Roman" w:hAnsi="Times New Roman" w:cs="Times New Roman"/>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71.75</w:t>
            </w:r>
            <w:r>
              <w:rPr>
                <w:rFonts w:hint="default" w:ascii="Times New Roman" w:hAnsi="Times New Roman" w:cs="Times New Roman"/>
                <w:color w:val="000000"/>
                <w:sz w:val="20"/>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sz w:val="20"/>
                <w:u w:color="auto"/>
              </w:rPr>
              <w:t>重庆市秀山土家族苗族自治县卫生健康信息中心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71.75</w:t>
            </w: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71.75</w:t>
            </w: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7.03</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7.03</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3.51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3.51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56.37</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56.37</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53.26</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53.26</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53.26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53.26</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3.11</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3.11</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0"/>
          <w:szCs w:val="20"/>
        </w:rPr>
      </w:pPr>
      <w:r>
        <w:rPr>
          <w:rFonts w:hint="default" w:ascii="Times New Roman" w:hAnsi="Times New Roman" w:cs="Times New Roman"/>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 xml:space="preserve">重庆市秀山土家族苗族自治县卫生健康信息中心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71.75</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71.75</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7.03</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3.51</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3.51</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56.37</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56.37</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53.26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53.26</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53.26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53.26</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3.11</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3.11</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3.11</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3.11</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p>
      <w:pPr>
        <w:rPr>
          <w:rFonts w:hint="default" w:ascii="Times New Roman" w:hAnsi="Times New Roman" w:cs="Times New Roman"/>
          <w:sz w:val="21"/>
          <w:szCs w:val="21"/>
        </w:rPr>
      </w:pPr>
    </w:p>
    <w:tbl>
      <w:tblPr>
        <w:tblStyle w:val="11"/>
        <w:tblW w:w="15378" w:type="dxa"/>
        <w:tblInd w:w="0" w:type="dxa"/>
        <w:tblLayout w:type="fixed"/>
        <w:tblCellMar>
          <w:top w:w="0" w:type="dxa"/>
          <w:left w:w="0" w:type="dxa"/>
          <w:bottom w:w="0" w:type="dxa"/>
          <w:right w:w="0" w:type="dxa"/>
        </w:tblCellMar>
      </w:tblPr>
      <w:tblGrid>
        <w:gridCol w:w="3110"/>
        <w:gridCol w:w="1593"/>
        <w:gridCol w:w="3330"/>
        <w:gridCol w:w="1"/>
        <w:gridCol w:w="1774"/>
        <w:gridCol w:w="1"/>
        <w:gridCol w:w="1774"/>
        <w:gridCol w:w="1774"/>
        <w:gridCol w:w="1"/>
        <w:gridCol w:w="2020"/>
      </w:tblGrid>
      <w:tr>
        <w:tblPrEx>
          <w:tblLayout w:type="fixed"/>
          <w:tblCellMar>
            <w:top w:w="0" w:type="dxa"/>
            <w:left w:w="0" w:type="dxa"/>
            <w:bottom w:w="0" w:type="dxa"/>
            <w:right w:w="0" w:type="dxa"/>
          </w:tblCellMar>
        </w:tblPrEx>
        <w:trPr>
          <w:trHeight w:val="90"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703"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重庆市秀山土家族苗族自治县卫生健康信息中心</w:t>
            </w:r>
          </w:p>
        </w:tc>
        <w:tc>
          <w:tcPr>
            <w:tcW w:w="33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2021" w:type="dxa"/>
            <w:gridSpan w:val="2"/>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703"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5"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2021"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0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675" w:type="dxa"/>
            <w:gridSpan w:val="8"/>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11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9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331"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344" w:type="dxa"/>
            <w:gridSpan w:val="6"/>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11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9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331"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77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77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202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一、一般公共服务支出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二、政府性基金预算财政拨款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二、外交支出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三、国有资本经营预算财政拨款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三、国防支出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四、公共安全支出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五、教育支出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六、科学技术支出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七、文化旅游体育与传媒支出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八、社会保障和就业支出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10.54</w:t>
            </w: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10.54</w:t>
            </w: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九、卫生健康支出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56.37</w:t>
            </w: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56.37</w:t>
            </w: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十、节能环保支出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十一、城乡社区支出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十二、农林水支出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十三、交通运输支出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十四、资源勘探工业信息等支出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十五、商业服务业等支出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十六、金融支出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十七、援助其他地区支出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十八、自然资源海洋气象等支出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十九、住房保障支出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4.84</w:t>
            </w: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4.84</w:t>
            </w: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二十、粮油物资储备支出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二十一、国有资本经营预算支出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二十二、灾害防治及应急管理支出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二十三、其他支出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二十四、债务还本支出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二十五、债务付息支出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二十六、抗疫特别国债安排的支出</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本年收入合计</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本年支出合计</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年初财政拨款结转和结余</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年末财政拨款结转和结余</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一般公共预算财政拨款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政府性基金预算财政拨款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国有资本经营预算财政拨款</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11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3331"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71.75</w:t>
            </w:r>
            <w:r>
              <w:rPr>
                <w:rFonts w:hint="default" w:ascii="Times New Roman" w:hAnsi="Times New Roman" w:cs="Times New Roman"/>
                <w:color w:val="000000"/>
                <w:sz w:val="18"/>
                <w:u w:color="auto"/>
              </w:rPr>
              <w:t xml:space="preserve"> </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重庆市秀山土家族苗族自治县卫生健康信息中心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71.75</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71.75</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10.54</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7.03</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7.03</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3.51</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3.51</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56.37</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56.37</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53.26</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53.26</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53.26</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53.26</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3.11</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3.11</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3.11</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3.11</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4.84</w:t>
            </w:r>
            <w:r>
              <w:rPr>
                <w:rFonts w:hint="default" w:ascii="Times New Roman" w:hAnsi="Times New Roman" w:cs="Times New Roman"/>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4.84</w:t>
            </w:r>
            <w:r>
              <w:rPr>
                <w:rFonts w:hint="default" w:ascii="Times New Roman" w:hAnsi="Times New Roman" w:cs="Times New Roman"/>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重庆市秀山土家族苗族自治县卫生健康信息中心</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65.88</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5.87</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16.24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0.12</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2.50</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0.41</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27.59</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0.24</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7.03</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0.82</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3.51</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2.13</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3.11</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0.09</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0.52</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4.84</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0.96</w:t>
            </w: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0.13</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1.50</w:t>
            </w: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65.88</w:t>
            </w:r>
            <w:r>
              <w:rPr>
                <w:rFonts w:hint="default" w:ascii="Times New Roman" w:hAnsi="Times New Roman" w:cs="Times New Roman"/>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5.87</w:t>
            </w: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重庆市秀山土家族苗族自治县卫生健康信息中心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重庆市秀山土家族苗族自治县卫生健康信息中心</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备注：本表反映单位本年度国有资本经营预算财政拨款支出情况。本单位无国有资本经营收支，故本表无数据。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1"/>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ascii="Times New Roman" w:hAnsi="Times New Roman" w:cs="Times New Roman"/>
                <w:color w:val="000000"/>
                <w:sz w:val="20"/>
                <w:szCs w:val="20"/>
              </w:rPr>
            </w:pPr>
            <w:r>
              <w:rPr>
                <w:rFonts w:hint="default" w:ascii="Times New Roman" w:hAnsi="Times New Roman" w:cs="Times New Roman"/>
                <w:sz w:val="20"/>
                <w:szCs w:val="20"/>
              </w:rPr>
              <w:t>公开单位</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重庆市秀山土家族苗族自治县卫生健康信息中心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0.13</w:t>
            </w: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0.13</w:t>
            </w: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0.13</w:t>
            </w:r>
            <w:r>
              <w:rPr>
                <w:rFonts w:hint="default" w:ascii="Times New Roman" w:hAnsi="Times New Roman" w:cs="Times New Roman"/>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0.13</w:t>
            </w: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0.13</w:t>
            </w: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w:t>
            </w: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w:t>
            </w: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bookmarkStart w:id="0" w:name="_GoBack"/>
      <w:bookmarkEnd w:id="0"/>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5F373C"/>
    <w:rsid w:val="00770383"/>
    <w:rsid w:val="007819D4"/>
    <w:rsid w:val="007B419D"/>
    <w:rsid w:val="009B67B8"/>
    <w:rsid w:val="009D2B67"/>
    <w:rsid w:val="00B03CCD"/>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F836721"/>
    <w:rsid w:val="0FA25D96"/>
    <w:rsid w:val="107B59E5"/>
    <w:rsid w:val="10EC0126"/>
    <w:rsid w:val="10F70B9A"/>
    <w:rsid w:val="111445C7"/>
    <w:rsid w:val="114278C6"/>
    <w:rsid w:val="1158083A"/>
    <w:rsid w:val="11643A4B"/>
    <w:rsid w:val="11E50CE8"/>
    <w:rsid w:val="11ED0F98"/>
    <w:rsid w:val="11F03528"/>
    <w:rsid w:val="12C921C4"/>
    <w:rsid w:val="13871C70"/>
    <w:rsid w:val="13A71CB4"/>
    <w:rsid w:val="13AF1D43"/>
    <w:rsid w:val="13CE1647"/>
    <w:rsid w:val="13FD55AB"/>
    <w:rsid w:val="14200702"/>
    <w:rsid w:val="14F44540"/>
    <w:rsid w:val="163A6CEE"/>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1A72D7"/>
    <w:rsid w:val="26396DF4"/>
    <w:rsid w:val="27167136"/>
    <w:rsid w:val="271B442C"/>
    <w:rsid w:val="27B23302"/>
    <w:rsid w:val="29310A5F"/>
    <w:rsid w:val="29C37A35"/>
    <w:rsid w:val="2A076083"/>
    <w:rsid w:val="2A73162E"/>
    <w:rsid w:val="2B167953"/>
    <w:rsid w:val="2B200583"/>
    <w:rsid w:val="2B8209DE"/>
    <w:rsid w:val="2C636760"/>
    <w:rsid w:val="2C6762A3"/>
    <w:rsid w:val="2FCA4B37"/>
    <w:rsid w:val="2FE029D7"/>
    <w:rsid w:val="2FF06E00"/>
    <w:rsid w:val="30586FEC"/>
    <w:rsid w:val="315F0B22"/>
    <w:rsid w:val="31D84415"/>
    <w:rsid w:val="32285F6F"/>
    <w:rsid w:val="32770556"/>
    <w:rsid w:val="329C0913"/>
    <w:rsid w:val="32AA0460"/>
    <w:rsid w:val="3337290D"/>
    <w:rsid w:val="335A4377"/>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192E08"/>
    <w:rsid w:val="3B36794F"/>
    <w:rsid w:val="3B6F6EE0"/>
    <w:rsid w:val="3C566AD6"/>
    <w:rsid w:val="3C594871"/>
    <w:rsid w:val="3C6A5B02"/>
    <w:rsid w:val="3D2757A1"/>
    <w:rsid w:val="3D3D4FC4"/>
    <w:rsid w:val="3DDF3AB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A5A44"/>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191238E"/>
    <w:rsid w:val="61CF5156"/>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7FC0F29"/>
    <w:rsid w:val="781926BC"/>
    <w:rsid w:val="796D60A4"/>
    <w:rsid w:val="79A031D5"/>
    <w:rsid w:val="7A1525F7"/>
    <w:rsid w:val="7B420052"/>
    <w:rsid w:val="7BD06A28"/>
    <w:rsid w:val="7C3A7C0B"/>
    <w:rsid w:val="7C5248E4"/>
    <w:rsid w:val="7C566698"/>
    <w:rsid w:val="7C5866A3"/>
    <w:rsid w:val="7D7406BB"/>
    <w:rsid w:val="7DE94331"/>
    <w:rsid w:val="7E141957"/>
    <w:rsid w:val="7F446A19"/>
    <w:rsid w:val="7F544A56"/>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0</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2024-09-23T05:24:24Z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