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jc w:val="center"/>
        <w:textAlignment w:val="auto"/>
        <w:outlineLvl w:val="9"/>
        <w:rPr>
          <w:rFonts w:hint="default" w:ascii="Times New Roman" w:hAnsi="Times New Roman" w:eastAsia="方正小标宋_GBK" w:cs="Times New Roman"/>
          <w:b w:val="0"/>
          <w:bCs w:val="0"/>
          <w:color w:val="000000" w:themeColor="text1"/>
          <w:spacing w:val="-11"/>
          <w:sz w:val="44"/>
          <w:szCs w:val="44"/>
          <w14:textFill>
            <w14:solidFill>
              <w14:schemeClr w14:val="tx1"/>
            </w14:solidFill>
          </w14:textFill>
        </w:rPr>
      </w:pPr>
      <w:r>
        <w:rPr>
          <w:rFonts w:hint="eastAsia" w:ascii="Times New Roman" w:hAnsi="Times New Roman" w:eastAsia="方正小标宋_GBK" w:cs="Times New Roman"/>
          <w:b w:val="0"/>
          <w:bCs w:val="0"/>
          <w:color w:val="000000" w:themeColor="text1"/>
          <w:spacing w:val="-11"/>
          <w:sz w:val="44"/>
          <w:szCs w:val="44"/>
          <w:lang w:eastAsia="zh-CN"/>
          <w14:textFill>
            <w14:solidFill>
              <w14:schemeClr w14:val="tx1"/>
            </w14:solidFill>
          </w14:textFill>
        </w:rPr>
        <w:t>重庆市</w:t>
      </w:r>
      <w:bookmarkStart w:id="0" w:name="_GoBack"/>
      <w:bookmarkEnd w:id="0"/>
      <w:r>
        <w:rPr>
          <w:rFonts w:hint="default" w:ascii="Times New Roman" w:hAnsi="Times New Roman" w:eastAsia="方正小标宋_GBK" w:cs="Times New Roman"/>
          <w:b w:val="0"/>
          <w:bCs w:val="0"/>
          <w:color w:val="000000" w:themeColor="text1"/>
          <w:spacing w:val="-11"/>
          <w:sz w:val="44"/>
          <w:szCs w:val="44"/>
          <w14:textFill>
            <w14:solidFill>
              <w14:schemeClr w14:val="tx1"/>
            </w14:solidFill>
          </w14:textFill>
        </w:rPr>
        <w:t>秀山土家族苗族自治县梅江镇中心卫生院</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jc w:val="center"/>
        <w:textAlignment w:val="auto"/>
        <w:outlineLvl w:val="9"/>
        <w:rPr>
          <w:rFonts w:hint="default" w:ascii="Times New Roman" w:hAnsi="Times New Roman" w:eastAsia="方正小标宋_GBK" w:cs="Times New Roman"/>
          <w:b w:val="0"/>
          <w:bCs w:val="0"/>
          <w:color w:val="000000" w:themeColor="text1"/>
          <w:sz w:val="44"/>
          <w:szCs w:val="44"/>
          <w:shd w:val="clear" w:color="auto" w:fill="FFFFFF"/>
          <w14:textFill>
            <w14:solidFill>
              <w14:schemeClr w14:val="tx1"/>
            </w14:solidFill>
          </w14:textFill>
        </w:rPr>
      </w:pPr>
      <w:r>
        <w:rPr>
          <w:rFonts w:hint="default" w:ascii="Times New Roman" w:hAnsi="Times New Roman" w:eastAsia="方正小标宋_GBK" w:cs="Times New Roman"/>
          <w:b w:val="0"/>
          <w:bCs w:val="0"/>
          <w:color w:val="000000" w:themeColor="text1"/>
          <w:sz w:val="44"/>
          <w:szCs w:val="44"/>
          <w:shd w:val="clear" w:color="auto" w:fill="FFFFFF"/>
          <w14:textFill>
            <w14:solidFill>
              <w14:schemeClr w14:val="tx1"/>
            </w14:solidFill>
          </w14:textFill>
        </w:rPr>
        <w:t>2023年度决算公开说明</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880" w:firstLineChars="200"/>
        <w:jc w:val="center"/>
        <w:textAlignment w:val="auto"/>
        <w:outlineLvl w:val="9"/>
        <w:rPr>
          <w:rFonts w:hint="default" w:ascii="Times New Roman" w:hAnsi="Times New Roman" w:eastAsia="方正小标宋_GBK" w:cs="Times New Roman"/>
          <w:b w:val="0"/>
          <w:bCs w:val="0"/>
          <w:color w:val="000000" w:themeColor="text1"/>
          <w:sz w:val="44"/>
          <w:szCs w:val="44"/>
          <w:shd w:val="clear" w:color="auto" w:fill="FFFFFF"/>
          <w14:textFill>
            <w14:solidFill>
              <w14:schemeClr w14:val="tx1"/>
            </w14:solidFill>
          </w14:textFill>
        </w:rPr>
      </w:pP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9"/>
        <w:rPr>
          <w:rFonts w:hint="eastAsia" w:ascii="方正黑体_GBK" w:hAnsi="方正黑体_GBK" w:eastAsia="方正黑体_GBK" w:cs="方正黑体_GBK"/>
          <w:b w:val="0"/>
          <w:bCs w:val="0"/>
          <w:color w:val="000000" w:themeColor="text1"/>
          <w:sz w:val="32"/>
          <w:szCs w:val="32"/>
          <w14:textFill>
            <w14:solidFill>
              <w14:schemeClr w14:val="tx1"/>
            </w14:solidFill>
          </w14:textFill>
        </w:rPr>
      </w:pPr>
      <w:r>
        <w:rPr>
          <w:rStyle w:val="11"/>
          <w:rFonts w:hint="eastAsia" w:ascii="方正黑体_GBK" w:hAnsi="方正黑体_GBK" w:eastAsia="方正黑体_GBK" w:cs="方正黑体_GBK"/>
          <w:b w:val="0"/>
          <w:bCs w:val="0"/>
          <w:color w:val="000000" w:themeColor="text1"/>
          <w:sz w:val="32"/>
          <w:szCs w:val="32"/>
          <w:shd w:val="clear" w:color="auto" w:fill="FFFFFF"/>
          <w14:textFill>
            <w14:solidFill>
              <w14:schemeClr w14:val="tx1"/>
            </w14:solidFill>
          </w14:textFill>
        </w:rPr>
        <w:t>一、单位基本情况</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9"/>
        <w:rPr>
          <w:rStyle w:val="11"/>
          <w:rFonts w:hint="eastAsia" w:ascii="方正楷体_GBK" w:hAnsi="方正楷体_GBK" w:eastAsia="方正楷体_GBK" w:cs="方正楷体_GBK"/>
          <w:b w:val="0"/>
          <w:bCs w:val="0"/>
          <w:color w:val="000000" w:themeColor="text1"/>
          <w:sz w:val="32"/>
          <w:szCs w:val="32"/>
          <w:shd w:val="clear" w:color="auto" w:fill="FFFFFF"/>
          <w14:textFill>
            <w14:solidFill>
              <w14:schemeClr w14:val="tx1"/>
            </w14:solidFill>
          </w14:textFill>
        </w:rPr>
      </w:pPr>
      <w:r>
        <w:rPr>
          <w:rStyle w:val="11"/>
          <w:rFonts w:hint="eastAsia" w:ascii="方正楷体_GBK" w:hAnsi="方正楷体_GBK" w:eastAsia="方正楷体_GBK" w:cs="方正楷体_GBK"/>
          <w:b w:val="0"/>
          <w:bCs w:val="0"/>
          <w:color w:val="000000" w:themeColor="text1"/>
          <w:sz w:val="32"/>
          <w:szCs w:val="32"/>
          <w:shd w:val="clear" w:color="auto" w:fill="FFFFFF"/>
          <w14:textFill>
            <w14:solidFill>
              <w14:schemeClr w14:val="tx1"/>
            </w14:solidFill>
          </w14:textFill>
        </w:rPr>
        <w:t>（一）职能职责</w:t>
      </w:r>
    </w:p>
    <w:p>
      <w:pPr>
        <w:pStyle w:val="16"/>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shd w:val="clear" w:fill="FFFFFF"/>
          <w14:textFill>
            <w14:solidFill>
              <w14:schemeClr w14:val="tx1"/>
            </w14:solidFill>
          </w14:textFill>
        </w:rPr>
      </w:pPr>
      <w:r>
        <w:rPr>
          <w:rFonts w:hint="default" w:ascii="Times New Roman" w:hAnsi="Times New Roman" w:eastAsia="方正仿宋_GBK" w:cs="Times New Roman"/>
          <w:b w:val="0"/>
          <w:bCs w:val="0"/>
          <w:color w:val="000000" w:themeColor="text1"/>
          <w:kern w:val="0"/>
          <w:sz w:val="32"/>
          <w:szCs w:val="32"/>
          <w:shd w:val="clear" w:fill="FFFFFF"/>
          <w14:textFill>
            <w14:solidFill>
              <w14:schemeClr w14:val="tx1"/>
            </w14:solidFill>
          </w14:textFill>
        </w:rPr>
        <w:t>本单位属基层医疗卫生机构，为非营利性医疗机构，应当为居民提供基本医疗和基本公共卫生服务。基层医疗卫生机构应当使用与其能力相适应的技术、设备和药物，按照规范诊疗程序开展常见病、多发病的诊疗和部分疾病的康复、护理，提供中医药诊疗、双向转诊、现场急诊急救等医疗服务。本单位为中心乡镇卫生院，应当履行以下公共卫生职责：</w:t>
      </w:r>
    </w:p>
    <w:p>
      <w:pPr>
        <w:pStyle w:val="16"/>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shd w:val="clear" w:fill="FFFFFF"/>
          <w14:textFill>
            <w14:solidFill>
              <w14:schemeClr w14:val="tx1"/>
            </w14:solidFill>
          </w14:textFill>
        </w:rPr>
      </w:pPr>
      <w:r>
        <w:rPr>
          <w:rFonts w:hint="default" w:ascii="Times New Roman" w:hAnsi="Times New Roman" w:eastAsia="方正仿宋_GBK" w:cs="Times New Roman"/>
          <w:b w:val="0"/>
          <w:bCs w:val="0"/>
          <w:color w:val="000000" w:themeColor="text1"/>
          <w:kern w:val="0"/>
          <w:sz w:val="32"/>
          <w:szCs w:val="32"/>
          <w:shd w:val="clear" w:fill="FFFFFF"/>
          <w14:textFill>
            <w14:solidFill>
              <w14:schemeClr w14:val="tx1"/>
            </w14:solidFill>
          </w14:textFill>
        </w:rPr>
        <w:t>1.根据国家和本市规定收集、报送辖区内卫生健康信息，建立和管理居民健康档案，提出改进辖区公共卫生状况的建议；</w:t>
      </w:r>
    </w:p>
    <w:p>
      <w:pPr>
        <w:pStyle w:val="16"/>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shd w:val="clear" w:fill="FFFFFF"/>
          <w14:textFill>
            <w14:solidFill>
              <w14:schemeClr w14:val="tx1"/>
            </w14:solidFill>
          </w14:textFill>
        </w:rPr>
      </w:pPr>
      <w:r>
        <w:rPr>
          <w:rFonts w:hint="default" w:ascii="Times New Roman" w:hAnsi="Times New Roman" w:eastAsia="方正仿宋_GBK" w:cs="Times New Roman"/>
          <w:b w:val="0"/>
          <w:bCs w:val="0"/>
          <w:color w:val="000000" w:themeColor="text1"/>
          <w:kern w:val="0"/>
          <w:sz w:val="32"/>
          <w:szCs w:val="32"/>
          <w:shd w:val="clear" w:fill="FFFFFF"/>
          <w14:textFill>
            <w14:solidFill>
              <w14:schemeClr w14:val="tx1"/>
            </w14:solidFill>
          </w14:textFill>
        </w:rPr>
        <w:t>2.开展健康教育，普及健康知识；</w:t>
      </w:r>
    </w:p>
    <w:p>
      <w:pPr>
        <w:pStyle w:val="16"/>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shd w:val="clear" w:fill="FFFFFF"/>
          <w14:textFill>
            <w14:solidFill>
              <w14:schemeClr w14:val="tx1"/>
            </w14:solidFill>
          </w14:textFill>
        </w:rPr>
      </w:pPr>
      <w:r>
        <w:rPr>
          <w:rFonts w:hint="default" w:ascii="Times New Roman" w:hAnsi="Times New Roman" w:eastAsia="方正仿宋_GBK" w:cs="Times New Roman"/>
          <w:b w:val="0"/>
          <w:bCs w:val="0"/>
          <w:color w:val="000000" w:themeColor="text1"/>
          <w:kern w:val="0"/>
          <w:sz w:val="32"/>
          <w:szCs w:val="32"/>
          <w:shd w:val="clear" w:fill="FFFFFF"/>
          <w14:textFill>
            <w14:solidFill>
              <w14:schemeClr w14:val="tx1"/>
            </w14:solidFill>
          </w14:textFill>
        </w:rPr>
        <w:t>3.协助开展传染病以及地方病、寄生虫病的预防控制，配合开展爱国卫生工作；</w:t>
      </w:r>
    </w:p>
    <w:p>
      <w:pPr>
        <w:pStyle w:val="16"/>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shd w:val="clear" w:fill="FFFFFF"/>
          <w14:textFill>
            <w14:solidFill>
              <w14:schemeClr w14:val="tx1"/>
            </w14:solidFill>
          </w14:textFill>
        </w:rPr>
      </w:pPr>
      <w:r>
        <w:rPr>
          <w:rFonts w:hint="default" w:ascii="Times New Roman" w:hAnsi="Times New Roman" w:eastAsia="方正仿宋_GBK" w:cs="Times New Roman"/>
          <w:b w:val="0"/>
          <w:bCs w:val="0"/>
          <w:color w:val="000000" w:themeColor="text1"/>
          <w:kern w:val="0"/>
          <w:sz w:val="32"/>
          <w:szCs w:val="32"/>
          <w:shd w:val="clear" w:fill="FFFFFF"/>
          <w14:textFill>
            <w14:solidFill>
              <w14:schemeClr w14:val="tx1"/>
            </w14:solidFill>
          </w14:textFill>
        </w:rPr>
        <w:t>4.做好高危人群、重点慢性病患者的筛查和病例管理；</w:t>
      </w:r>
    </w:p>
    <w:p>
      <w:pPr>
        <w:pStyle w:val="16"/>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shd w:val="clear" w:fill="FFFFFF"/>
          <w14:textFill>
            <w14:solidFill>
              <w14:schemeClr w14:val="tx1"/>
            </w14:solidFill>
          </w14:textFill>
        </w:rPr>
      </w:pPr>
      <w:r>
        <w:rPr>
          <w:rFonts w:hint="default" w:ascii="Times New Roman" w:hAnsi="Times New Roman" w:eastAsia="方正仿宋_GBK" w:cs="Times New Roman"/>
          <w:b w:val="0"/>
          <w:bCs w:val="0"/>
          <w:color w:val="000000" w:themeColor="text1"/>
          <w:kern w:val="0"/>
          <w:sz w:val="32"/>
          <w:szCs w:val="32"/>
          <w:shd w:val="clear" w:fill="FFFFFF"/>
          <w14:textFill>
            <w14:solidFill>
              <w14:schemeClr w14:val="tx1"/>
            </w14:solidFill>
          </w14:textFill>
        </w:rPr>
        <w:t>5.提供心理健康指导服务，实施精神病社区管理；</w:t>
      </w:r>
    </w:p>
    <w:p>
      <w:pPr>
        <w:pStyle w:val="16"/>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shd w:val="clear" w:fill="FFFFFF"/>
          <w14:textFill>
            <w14:solidFill>
              <w14:schemeClr w14:val="tx1"/>
            </w14:solidFill>
          </w14:textFill>
        </w:rPr>
      </w:pPr>
      <w:r>
        <w:rPr>
          <w:rFonts w:hint="default" w:ascii="Times New Roman" w:hAnsi="Times New Roman" w:eastAsia="方正仿宋_GBK" w:cs="Times New Roman"/>
          <w:b w:val="0"/>
          <w:bCs w:val="0"/>
          <w:color w:val="000000" w:themeColor="text1"/>
          <w:kern w:val="0"/>
          <w:sz w:val="32"/>
          <w:szCs w:val="32"/>
          <w:shd w:val="clear" w:fill="FFFFFF"/>
          <w14:textFill>
            <w14:solidFill>
              <w14:schemeClr w14:val="tx1"/>
            </w14:solidFill>
          </w14:textFill>
        </w:rPr>
        <w:t>6.为妇女、儿童、老年人、残疾人等重点人群提供保健和康复服务；</w:t>
      </w:r>
    </w:p>
    <w:p>
      <w:pPr>
        <w:pStyle w:val="16"/>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shd w:val="clear" w:fill="FFFFFF"/>
          <w14:textFill>
            <w14:solidFill>
              <w14:schemeClr w14:val="tx1"/>
            </w14:solidFill>
          </w14:textFill>
        </w:rPr>
      </w:pPr>
      <w:r>
        <w:rPr>
          <w:rFonts w:hint="default" w:ascii="Times New Roman" w:hAnsi="Times New Roman" w:eastAsia="方正仿宋_GBK" w:cs="Times New Roman"/>
          <w:b w:val="0"/>
          <w:bCs w:val="0"/>
          <w:color w:val="000000" w:themeColor="text1"/>
          <w:kern w:val="0"/>
          <w:sz w:val="32"/>
          <w:szCs w:val="32"/>
          <w:shd w:val="clear" w:fill="FFFFFF"/>
          <w14:textFill>
            <w14:solidFill>
              <w14:schemeClr w14:val="tx1"/>
            </w14:solidFill>
          </w14:textFill>
        </w:rPr>
        <w:t>7.提供计划生育技术服务，协助处置辖区内突发公共卫生事件等；</w:t>
      </w:r>
    </w:p>
    <w:p>
      <w:pPr>
        <w:pStyle w:val="16"/>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shd w:val="clear" w:fill="FFFFFF"/>
          <w:lang w:eastAsia="zh-CN"/>
          <w14:textFill>
            <w14:solidFill>
              <w14:schemeClr w14:val="tx1"/>
            </w14:solidFill>
          </w14:textFill>
        </w:rPr>
      </w:pPr>
      <w:r>
        <w:rPr>
          <w:rFonts w:hint="default" w:ascii="Times New Roman" w:hAnsi="Times New Roman" w:eastAsia="方正仿宋_GBK" w:cs="Times New Roman"/>
          <w:b w:val="0"/>
          <w:bCs w:val="0"/>
          <w:color w:val="000000" w:themeColor="text1"/>
          <w:kern w:val="0"/>
          <w:sz w:val="32"/>
          <w:szCs w:val="32"/>
          <w:shd w:val="clear" w:fill="FFFFFF"/>
          <w14:textFill>
            <w14:solidFill>
              <w14:schemeClr w14:val="tx1"/>
            </w14:solidFill>
          </w14:textFill>
        </w:rPr>
        <w:t>8.按要求提供其他公共卫生服务</w:t>
      </w:r>
      <w:r>
        <w:rPr>
          <w:rFonts w:hint="default" w:ascii="Times New Roman" w:hAnsi="Times New Roman" w:eastAsia="方正仿宋_GBK" w:cs="Times New Roman"/>
          <w:b w:val="0"/>
          <w:bCs w:val="0"/>
          <w:color w:val="000000" w:themeColor="text1"/>
          <w:kern w:val="0"/>
          <w:sz w:val="32"/>
          <w:szCs w:val="32"/>
          <w:shd w:val="clear" w:fill="FFFFFF"/>
          <w:lang w:eastAsia="zh-CN"/>
          <w14:textFill>
            <w14:solidFill>
              <w14:schemeClr w14:val="tx1"/>
            </w14:solidFill>
          </w14:textFill>
        </w:rPr>
        <w:t>。</w:t>
      </w:r>
    </w:p>
    <w:p>
      <w:pPr>
        <w:pStyle w:val="16"/>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shd w:val="clear" w:fill="FFFFFF"/>
          <w:lang w:eastAsia="zh-CN"/>
          <w14:textFill>
            <w14:solidFill>
              <w14:schemeClr w14:val="tx1"/>
            </w14:solidFill>
          </w14:textFill>
        </w:rPr>
      </w:pPr>
      <w:r>
        <w:rPr>
          <w:rStyle w:val="11"/>
          <w:rFonts w:hint="eastAsia" w:ascii="方正楷体_GBK" w:hAnsi="方正楷体_GBK" w:eastAsia="方正楷体_GBK" w:cs="方正楷体_GBK"/>
          <w:b w:val="0"/>
          <w:bCs w:val="0"/>
          <w:color w:val="000000" w:themeColor="text1"/>
          <w:sz w:val="32"/>
          <w:szCs w:val="32"/>
          <w:shd w:val="clear" w:color="auto" w:fill="FFFFFF"/>
          <w14:textFill>
            <w14:solidFill>
              <w14:schemeClr w14:val="tx1"/>
            </w14:solidFill>
          </w14:textFill>
        </w:rPr>
        <w:t>（二）机构设置</w:t>
      </w:r>
    </w:p>
    <w:p>
      <w:pPr>
        <w:pStyle w:val="16"/>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shd w:val="clear" w:fill="FFFFFF"/>
          <w:lang w:eastAsia="zh-CN"/>
          <w14:textFill>
            <w14:solidFill>
              <w14:schemeClr w14:val="tx1"/>
            </w14:solidFill>
          </w14:textFill>
        </w:rPr>
      </w:pPr>
      <w:r>
        <w:rPr>
          <w:rFonts w:hint="default" w:ascii="Times New Roman" w:hAnsi="Times New Roman" w:eastAsia="方正仿宋_GBK" w:cs="Times New Roman"/>
          <w:b w:val="0"/>
          <w:bCs w:val="0"/>
          <w:color w:val="000000" w:themeColor="text1"/>
          <w:kern w:val="0"/>
          <w:sz w:val="32"/>
          <w:szCs w:val="32"/>
          <w:shd w:val="clear" w:fill="FFFFFF"/>
          <w:lang w:val="en-US" w:eastAsia="zh-CN"/>
          <w14:textFill>
            <w14:solidFill>
              <w14:schemeClr w14:val="tx1"/>
            </w14:solidFill>
          </w14:textFill>
        </w:rPr>
        <w:t>1.</w:t>
      </w:r>
      <w:r>
        <w:rPr>
          <w:rFonts w:hint="default" w:ascii="Times New Roman" w:hAnsi="Times New Roman" w:eastAsia="方正仿宋_GBK" w:cs="Times New Roman"/>
          <w:b w:val="0"/>
          <w:bCs w:val="0"/>
          <w:color w:val="000000" w:themeColor="text1"/>
          <w:kern w:val="0"/>
          <w:sz w:val="32"/>
          <w:szCs w:val="32"/>
          <w:shd w:val="clear" w:fill="FFFFFF"/>
          <w:lang w:eastAsia="zh-CN"/>
          <w14:textFill>
            <w14:solidFill>
              <w14:schemeClr w14:val="tx1"/>
            </w14:solidFill>
          </w14:textFill>
        </w:rPr>
        <w:t>科室设置</w:t>
      </w:r>
    </w:p>
    <w:p>
      <w:pPr>
        <w:pStyle w:val="16"/>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shd w:val="clear" w:fill="FFFFFF"/>
          <w:lang w:eastAsia="zh-CN"/>
          <w14:textFill>
            <w14:solidFill>
              <w14:schemeClr w14:val="tx1"/>
            </w14:solidFill>
          </w14:textFill>
        </w:rPr>
      </w:pPr>
      <w:r>
        <w:rPr>
          <w:rFonts w:hint="eastAsia" w:ascii="Times New Roman" w:hAnsi="Times New Roman" w:eastAsia="方正仿宋_GBK" w:cs="Times New Roman"/>
          <w:b w:val="0"/>
          <w:bCs w:val="0"/>
          <w:color w:val="000000" w:themeColor="text1"/>
          <w:kern w:val="0"/>
          <w:sz w:val="32"/>
          <w:szCs w:val="32"/>
          <w:shd w:val="clear" w:fill="FFFFFF"/>
          <w:lang w:eastAsia="zh-CN"/>
          <w14:textFill>
            <w14:solidFill>
              <w14:schemeClr w14:val="tx1"/>
            </w14:solidFill>
          </w14:textFill>
        </w:rPr>
        <w:t>（</w:t>
      </w:r>
      <w:r>
        <w:rPr>
          <w:rFonts w:hint="eastAsia" w:ascii="Times New Roman" w:hAnsi="Times New Roman" w:eastAsia="方正仿宋_GBK" w:cs="Times New Roman"/>
          <w:b w:val="0"/>
          <w:bCs w:val="0"/>
          <w:color w:val="000000" w:themeColor="text1"/>
          <w:kern w:val="0"/>
          <w:sz w:val="32"/>
          <w:szCs w:val="32"/>
          <w:shd w:val="clear" w:fill="FFFFFF"/>
          <w:lang w:val="en-US" w:eastAsia="zh-CN"/>
          <w14:textFill>
            <w14:solidFill>
              <w14:schemeClr w14:val="tx1"/>
            </w14:solidFill>
          </w14:textFill>
        </w:rPr>
        <w:t>1</w:t>
      </w:r>
      <w:r>
        <w:rPr>
          <w:rFonts w:hint="eastAsia" w:ascii="Times New Roman" w:hAnsi="Times New Roman" w:eastAsia="方正仿宋_GBK" w:cs="Times New Roman"/>
          <w:b w:val="0"/>
          <w:bCs w:val="0"/>
          <w:color w:val="000000" w:themeColor="text1"/>
          <w:kern w:val="0"/>
          <w:sz w:val="32"/>
          <w:szCs w:val="32"/>
          <w:shd w:val="clear" w:fill="FFFFFF"/>
          <w:lang w:eastAsia="zh-CN"/>
          <w14:textFill>
            <w14:solidFill>
              <w14:schemeClr w14:val="tx1"/>
            </w14:solidFill>
          </w14:textFill>
        </w:rPr>
        <w:t>）</w:t>
      </w:r>
      <w:r>
        <w:rPr>
          <w:rFonts w:hint="default" w:ascii="Times New Roman" w:hAnsi="Times New Roman" w:eastAsia="方正仿宋_GBK" w:cs="Times New Roman"/>
          <w:b w:val="0"/>
          <w:bCs w:val="0"/>
          <w:color w:val="000000" w:themeColor="text1"/>
          <w:kern w:val="0"/>
          <w:sz w:val="32"/>
          <w:szCs w:val="32"/>
          <w:shd w:val="clear" w:fill="FFFFFF"/>
          <w:lang w:eastAsia="zh-CN"/>
          <w14:textFill>
            <w14:solidFill>
              <w14:schemeClr w14:val="tx1"/>
            </w14:solidFill>
          </w14:textFill>
        </w:rPr>
        <w:t>临床科室</w:t>
      </w:r>
    </w:p>
    <w:p>
      <w:pPr>
        <w:pStyle w:val="16"/>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shd w:val="clear" w:fill="FFFFFF"/>
          <w:lang w:eastAsia="zh-CN"/>
          <w14:textFill>
            <w14:solidFill>
              <w14:schemeClr w14:val="tx1"/>
            </w14:solidFill>
          </w14:textFill>
        </w:rPr>
      </w:pPr>
      <w:r>
        <w:rPr>
          <w:rFonts w:hint="default" w:ascii="Times New Roman" w:hAnsi="Times New Roman" w:eastAsia="方正仿宋_GBK" w:cs="Times New Roman"/>
          <w:b w:val="0"/>
          <w:bCs w:val="0"/>
          <w:color w:val="000000" w:themeColor="text1"/>
          <w:kern w:val="0"/>
          <w:sz w:val="32"/>
          <w:szCs w:val="32"/>
          <w:shd w:val="clear" w:fill="FFFFFF"/>
          <w:lang w:eastAsia="zh-CN"/>
          <w14:textFill>
            <w14:solidFill>
              <w14:schemeClr w14:val="tx1"/>
            </w14:solidFill>
          </w14:textFill>
        </w:rPr>
        <w:t>门急诊部：急诊科、全科门诊、内科门诊、儿科门诊、外科门诊、妇产科门诊、中医科门诊、康复门诊、五官科门诊、</w:t>
      </w:r>
      <w:r>
        <w:rPr>
          <w:rFonts w:hint="default" w:ascii="Times New Roman" w:hAnsi="Times New Roman" w:eastAsia="方正仿宋_GBK" w:cs="Times New Roman"/>
          <w:b w:val="0"/>
          <w:bCs w:val="0"/>
          <w:color w:val="000000" w:themeColor="text1"/>
          <w:kern w:val="0"/>
          <w:sz w:val="32"/>
          <w:szCs w:val="32"/>
          <w:shd w:val="clear" w:fill="FFFFFF"/>
          <w:lang w:val="en-US" w:eastAsia="zh-CN"/>
          <w14:textFill>
            <w14:solidFill>
              <w14:schemeClr w14:val="tx1"/>
            </w14:solidFill>
          </w14:textFill>
        </w:rPr>
        <w:t>口腔科</w:t>
      </w:r>
      <w:r>
        <w:rPr>
          <w:rFonts w:hint="default" w:ascii="Times New Roman" w:hAnsi="Times New Roman" w:eastAsia="方正仿宋_GBK" w:cs="Times New Roman"/>
          <w:b w:val="0"/>
          <w:bCs w:val="0"/>
          <w:color w:val="000000" w:themeColor="text1"/>
          <w:kern w:val="0"/>
          <w:sz w:val="32"/>
          <w:szCs w:val="32"/>
          <w:shd w:val="clear" w:fill="FFFFFF"/>
          <w:lang w:eastAsia="zh-CN"/>
          <w14:textFill>
            <w14:solidFill>
              <w14:schemeClr w14:val="tx1"/>
            </w14:solidFill>
          </w14:textFill>
        </w:rPr>
        <w:t>门诊</w:t>
      </w:r>
      <w:r>
        <w:rPr>
          <w:rFonts w:hint="default" w:ascii="Times New Roman" w:hAnsi="Times New Roman" w:eastAsia="方正仿宋_GBK" w:cs="Times New Roman"/>
          <w:b w:val="0"/>
          <w:bCs w:val="0"/>
          <w:color w:val="000000" w:themeColor="text1"/>
          <w:kern w:val="0"/>
          <w:sz w:val="32"/>
          <w:szCs w:val="32"/>
          <w:shd w:val="clear" w:fill="FFFFFF"/>
          <w:lang w:val="en-US" w:eastAsia="zh-CN"/>
          <w14:textFill>
            <w14:solidFill>
              <w14:schemeClr w14:val="tx1"/>
            </w14:solidFill>
          </w14:textFill>
        </w:rPr>
        <w:t>、</w:t>
      </w:r>
      <w:r>
        <w:rPr>
          <w:rFonts w:hint="default" w:ascii="Times New Roman" w:hAnsi="Times New Roman" w:eastAsia="方正仿宋_GBK" w:cs="Times New Roman"/>
          <w:b w:val="0"/>
          <w:bCs w:val="0"/>
          <w:color w:val="000000" w:themeColor="text1"/>
          <w:kern w:val="0"/>
          <w:sz w:val="32"/>
          <w:szCs w:val="32"/>
          <w:shd w:val="clear" w:fill="FFFFFF"/>
          <w:lang w:eastAsia="zh-CN"/>
          <w14:textFill>
            <w14:solidFill>
              <w14:schemeClr w14:val="tx1"/>
            </w14:solidFill>
          </w14:textFill>
        </w:rPr>
        <w:t>发热诊室、肠道门诊、心理健康咨询室。</w:t>
      </w:r>
    </w:p>
    <w:p>
      <w:pPr>
        <w:pStyle w:val="16"/>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shd w:val="clear" w:fill="FFFFFF"/>
          <w:lang w:eastAsia="zh-CN"/>
          <w14:textFill>
            <w14:solidFill>
              <w14:schemeClr w14:val="tx1"/>
            </w14:solidFill>
          </w14:textFill>
        </w:rPr>
      </w:pPr>
      <w:r>
        <w:rPr>
          <w:rFonts w:hint="default" w:ascii="Times New Roman" w:hAnsi="Times New Roman" w:eastAsia="方正仿宋_GBK" w:cs="Times New Roman"/>
          <w:b w:val="0"/>
          <w:bCs w:val="0"/>
          <w:color w:val="000000" w:themeColor="text1"/>
          <w:kern w:val="0"/>
          <w:sz w:val="32"/>
          <w:szCs w:val="32"/>
          <w:shd w:val="clear" w:fill="FFFFFF"/>
          <w:lang w:eastAsia="zh-CN"/>
          <w14:textFill>
            <w14:solidFill>
              <w14:schemeClr w14:val="tx1"/>
            </w14:solidFill>
          </w14:textFill>
        </w:rPr>
        <w:t>住院部：内</w:t>
      </w:r>
      <w:r>
        <w:rPr>
          <w:rFonts w:hint="default" w:ascii="Times New Roman" w:hAnsi="Times New Roman" w:eastAsia="方正仿宋_GBK" w:cs="Times New Roman"/>
          <w:b w:val="0"/>
          <w:bCs w:val="0"/>
          <w:color w:val="000000" w:themeColor="text1"/>
          <w:kern w:val="0"/>
          <w:sz w:val="32"/>
          <w:szCs w:val="32"/>
          <w:shd w:val="clear" w:fill="FFFFFF"/>
          <w:lang w:val="en-US" w:eastAsia="zh-CN"/>
          <w14:textFill>
            <w14:solidFill>
              <w14:schemeClr w14:val="tx1"/>
            </w14:solidFill>
          </w14:textFill>
        </w:rPr>
        <w:t>/</w:t>
      </w:r>
      <w:r>
        <w:rPr>
          <w:rFonts w:hint="default" w:ascii="Times New Roman" w:hAnsi="Times New Roman" w:eastAsia="方正仿宋_GBK" w:cs="Times New Roman"/>
          <w:b w:val="0"/>
          <w:bCs w:val="0"/>
          <w:color w:val="000000" w:themeColor="text1"/>
          <w:kern w:val="0"/>
          <w:sz w:val="32"/>
          <w:szCs w:val="32"/>
          <w:shd w:val="clear" w:fill="FFFFFF"/>
          <w:lang w:eastAsia="zh-CN"/>
          <w14:textFill>
            <w14:solidFill>
              <w14:schemeClr w14:val="tx1"/>
            </w14:solidFill>
          </w14:textFill>
        </w:rPr>
        <w:t>儿科、外</w:t>
      </w:r>
      <w:r>
        <w:rPr>
          <w:rFonts w:hint="default" w:ascii="Times New Roman" w:hAnsi="Times New Roman" w:eastAsia="方正仿宋_GBK" w:cs="Times New Roman"/>
          <w:b w:val="0"/>
          <w:bCs w:val="0"/>
          <w:color w:val="000000" w:themeColor="text1"/>
          <w:kern w:val="0"/>
          <w:sz w:val="32"/>
          <w:szCs w:val="32"/>
          <w:shd w:val="clear" w:fill="FFFFFF"/>
          <w:lang w:val="en-US" w:eastAsia="zh-CN"/>
          <w14:textFill>
            <w14:solidFill>
              <w14:schemeClr w14:val="tx1"/>
            </w14:solidFill>
          </w14:textFill>
        </w:rPr>
        <w:t>/</w:t>
      </w:r>
      <w:r>
        <w:rPr>
          <w:rFonts w:hint="default" w:ascii="Times New Roman" w:hAnsi="Times New Roman" w:eastAsia="方正仿宋_GBK" w:cs="Times New Roman"/>
          <w:b w:val="0"/>
          <w:bCs w:val="0"/>
          <w:color w:val="000000" w:themeColor="text1"/>
          <w:kern w:val="0"/>
          <w:sz w:val="32"/>
          <w:szCs w:val="32"/>
          <w:shd w:val="clear" w:fill="FFFFFF"/>
          <w:lang w:eastAsia="zh-CN"/>
          <w14:textFill>
            <w14:solidFill>
              <w14:schemeClr w14:val="tx1"/>
            </w14:solidFill>
          </w14:textFill>
        </w:rPr>
        <w:t>妇产科、中医</w:t>
      </w:r>
      <w:r>
        <w:rPr>
          <w:rFonts w:hint="default" w:ascii="Times New Roman" w:hAnsi="Times New Roman" w:eastAsia="方正仿宋_GBK" w:cs="Times New Roman"/>
          <w:b w:val="0"/>
          <w:bCs w:val="0"/>
          <w:color w:val="000000" w:themeColor="text1"/>
          <w:kern w:val="0"/>
          <w:sz w:val="32"/>
          <w:szCs w:val="32"/>
          <w:shd w:val="clear" w:fill="FFFFFF"/>
          <w:lang w:val="en-US" w:eastAsia="zh-CN"/>
          <w14:textFill>
            <w14:solidFill>
              <w14:schemeClr w14:val="tx1"/>
            </w14:solidFill>
          </w14:textFill>
        </w:rPr>
        <w:t>/</w:t>
      </w:r>
      <w:r>
        <w:rPr>
          <w:rFonts w:hint="default" w:ascii="Times New Roman" w:hAnsi="Times New Roman" w:eastAsia="方正仿宋_GBK" w:cs="Times New Roman"/>
          <w:b w:val="0"/>
          <w:bCs w:val="0"/>
          <w:color w:val="000000" w:themeColor="text1"/>
          <w:kern w:val="0"/>
          <w:sz w:val="32"/>
          <w:szCs w:val="32"/>
          <w:shd w:val="clear" w:fill="FFFFFF"/>
          <w:lang w:eastAsia="zh-CN"/>
          <w14:textFill>
            <w14:solidFill>
              <w14:schemeClr w14:val="tx1"/>
            </w14:solidFill>
          </w14:textFill>
        </w:rPr>
        <w:t>康复科、手术麻醉科。</w:t>
      </w:r>
    </w:p>
    <w:p>
      <w:pPr>
        <w:pStyle w:val="16"/>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shd w:val="clear" w:fill="FFFFFF"/>
          <w:lang w:eastAsia="zh-CN"/>
          <w14:textFill>
            <w14:solidFill>
              <w14:schemeClr w14:val="tx1"/>
            </w14:solidFill>
          </w14:textFill>
        </w:rPr>
      </w:pPr>
      <w:r>
        <w:rPr>
          <w:rFonts w:hint="eastAsia" w:ascii="Times New Roman" w:hAnsi="Times New Roman" w:eastAsia="方正仿宋_GBK" w:cs="Times New Roman"/>
          <w:b w:val="0"/>
          <w:bCs w:val="0"/>
          <w:color w:val="000000" w:themeColor="text1"/>
          <w:kern w:val="0"/>
          <w:sz w:val="32"/>
          <w:szCs w:val="32"/>
          <w:shd w:val="clear" w:fill="FFFFFF"/>
          <w:lang w:eastAsia="zh-CN"/>
          <w14:textFill>
            <w14:solidFill>
              <w14:schemeClr w14:val="tx1"/>
            </w14:solidFill>
          </w14:textFill>
        </w:rPr>
        <w:t>（</w:t>
      </w:r>
      <w:r>
        <w:rPr>
          <w:rFonts w:hint="eastAsia" w:ascii="Times New Roman" w:hAnsi="Times New Roman" w:eastAsia="方正仿宋_GBK" w:cs="Times New Roman"/>
          <w:b w:val="0"/>
          <w:bCs w:val="0"/>
          <w:color w:val="000000" w:themeColor="text1"/>
          <w:kern w:val="0"/>
          <w:sz w:val="32"/>
          <w:szCs w:val="32"/>
          <w:shd w:val="clear" w:fill="FFFFFF"/>
          <w:lang w:val="en-US" w:eastAsia="zh-CN"/>
          <w14:textFill>
            <w14:solidFill>
              <w14:schemeClr w14:val="tx1"/>
            </w14:solidFill>
          </w14:textFill>
        </w:rPr>
        <w:t>2</w:t>
      </w:r>
      <w:r>
        <w:rPr>
          <w:rFonts w:hint="eastAsia" w:ascii="Times New Roman" w:hAnsi="Times New Roman" w:eastAsia="方正仿宋_GBK" w:cs="Times New Roman"/>
          <w:b w:val="0"/>
          <w:bCs w:val="0"/>
          <w:color w:val="000000" w:themeColor="text1"/>
          <w:kern w:val="0"/>
          <w:sz w:val="32"/>
          <w:szCs w:val="32"/>
          <w:shd w:val="clear" w:fill="FFFFFF"/>
          <w:lang w:eastAsia="zh-CN"/>
          <w14:textFill>
            <w14:solidFill>
              <w14:schemeClr w14:val="tx1"/>
            </w14:solidFill>
          </w14:textFill>
        </w:rPr>
        <w:t>）</w:t>
      </w:r>
      <w:r>
        <w:rPr>
          <w:rFonts w:hint="default" w:ascii="Times New Roman" w:hAnsi="Times New Roman" w:eastAsia="方正仿宋_GBK" w:cs="Times New Roman"/>
          <w:b w:val="0"/>
          <w:bCs w:val="0"/>
          <w:color w:val="000000" w:themeColor="text1"/>
          <w:kern w:val="0"/>
          <w:sz w:val="32"/>
          <w:szCs w:val="32"/>
          <w:shd w:val="clear" w:fill="FFFFFF"/>
          <w:lang w:eastAsia="zh-CN"/>
          <w14:textFill>
            <w14:solidFill>
              <w14:schemeClr w14:val="tx1"/>
            </w14:solidFill>
          </w14:textFill>
        </w:rPr>
        <w:t>医技科室</w:t>
      </w:r>
    </w:p>
    <w:p>
      <w:pPr>
        <w:pStyle w:val="16"/>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shd w:val="clear" w:fill="FFFFFF"/>
          <w:lang w:eastAsia="zh-CN"/>
          <w14:textFill>
            <w14:solidFill>
              <w14:schemeClr w14:val="tx1"/>
            </w14:solidFill>
          </w14:textFill>
        </w:rPr>
      </w:pPr>
      <w:r>
        <w:rPr>
          <w:rFonts w:hint="default" w:ascii="Times New Roman" w:hAnsi="Times New Roman" w:eastAsia="方正仿宋_GBK" w:cs="Times New Roman"/>
          <w:b w:val="0"/>
          <w:bCs w:val="0"/>
          <w:color w:val="000000" w:themeColor="text1"/>
          <w:kern w:val="0"/>
          <w:sz w:val="32"/>
          <w:szCs w:val="32"/>
          <w:shd w:val="clear" w:fill="FFFFFF"/>
          <w:lang w:eastAsia="zh-CN"/>
          <w14:textFill>
            <w14:solidFill>
              <w14:schemeClr w14:val="tx1"/>
            </w14:solidFill>
          </w14:textFill>
        </w:rPr>
        <w:t>检验科、放射科、心电超声科、</w:t>
      </w:r>
      <w:r>
        <w:rPr>
          <w:rFonts w:hint="default" w:ascii="Times New Roman" w:hAnsi="Times New Roman" w:eastAsia="方正仿宋_GBK" w:cs="Times New Roman"/>
          <w:b w:val="0"/>
          <w:bCs w:val="0"/>
          <w:color w:val="000000" w:themeColor="text1"/>
          <w:kern w:val="0"/>
          <w:sz w:val="32"/>
          <w:szCs w:val="32"/>
          <w:shd w:val="clear" w:fill="FFFFFF"/>
          <w:lang w:val="en-US" w:eastAsia="zh-CN"/>
          <w14:textFill>
            <w14:solidFill>
              <w14:schemeClr w14:val="tx1"/>
            </w14:solidFill>
          </w14:textFill>
        </w:rPr>
        <w:t>肺功能室</w:t>
      </w:r>
      <w:r>
        <w:rPr>
          <w:rFonts w:hint="default" w:ascii="Times New Roman" w:hAnsi="Times New Roman" w:eastAsia="方正仿宋_GBK" w:cs="Times New Roman"/>
          <w:b w:val="0"/>
          <w:bCs w:val="0"/>
          <w:color w:val="000000" w:themeColor="text1"/>
          <w:kern w:val="0"/>
          <w:sz w:val="32"/>
          <w:szCs w:val="32"/>
          <w:shd w:val="clear" w:fill="FFFFFF"/>
          <w:lang w:eastAsia="zh-CN"/>
          <w14:textFill>
            <w14:solidFill>
              <w14:schemeClr w14:val="tx1"/>
            </w14:solidFill>
          </w14:textFill>
        </w:rPr>
        <w:t>。</w:t>
      </w:r>
    </w:p>
    <w:p>
      <w:pPr>
        <w:pStyle w:val="16"/>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shd w:val="clear" w:fill="FFFFFF"/>
          <w:lang w:eastAsia="zh-CN"/>
          <w14:textFill>
            <w14:solidFill>
              <w14:schemeClr w14:val="tx1"/>
            </w14:solidFill>
          </w14:textFill>
        </w:rPr>
      </w:pPr>
      <w:r>
        <w:rPr>
          <w:rFonts w:hint="eastAsia" w:ascii="Times New Roman" w:hAnsi="Times New Roman" w:eastAsia="方正仿宋_GBK" w:cs="Times New Roman"/>
          <w:b w:val="0"/>
          <w:bCs w:val="0"/>
          <w:color w:val="000000" w:themeColor="text1"/>
          <w:kern w:val="0"/>
          <w:sz w:val="32"/>
          <w:szCs w:val="32"/>
          <w:shd w:val="clear" w:fill="FFFFFF"/>
          <w:lang w:eastAsia="zh-CN"/>
          <w14:textFill>
            <w14:solidFill>
              <w14:schemeClr w14:val="tx1"/>
            </w14:solidFill>
          </w14:textFill>
        </w:rPr>
        <w:t>（</w:t>
      </w:r>
      <w:r>
        <w:rPr>
          <w:rFonts w:hint="eastAsia" w:ascii="Times New Roman" w:hAnsi="Times New Roman" w:eastAsia="方正仿宋_GBK" w:cs="Times New Roman"/>
          <w:b w:val="0"/>
          <w:bCs w:val="0"/>
          <w:color w:val="000000" w:themeColor="text1"/>
          <w:kern w:val="0"/>
          <w:sz w:val="32"/>
          <w:szCs w:val="32"/>
          <w:shd w:val="clear" w:fill="FFFFFF"/>
          <w:lang w:val="en-US" w:eastAsia="zh-CN"/>
          <w14:textFill>
            <w14:solidFill>
              <w14:schemeClr w14:val="tx1"/>
            </w14:solidFill>
          </w14:textFill>
        </w:rPr>
        <w:t>3</w:t>
      </w:r>
      <w:r>
        <w:rPr>
          <w:rFonts w:hint="eastAsia" w:ascii="Times New Roman" w:hAnsi="Times New Roman" w:eastAsia="方正仿宋_GBK" w:cs="Times New Roman"/>
          <w:b w:val="0"/>
          <w:bCs w:val="0"/>
          <w:color w:val="000000" w:themeColor="text1"/>
          <w:kern w:val="0"/>
          <w:sz w:val="32"/>
          <w:szCs w:val="32"/>
          <w:shd w:val="clear" w:fill="FFFFFF"/>
          <w:lang w:eastAsia="zh-CN"/>
          <w14:textFill>
            <w14:solidFill>
              <w14:schemeClr w14:val="tx1"/>
            </w14:solidFill>
          </w14:textFill>
        </w:rPr>
        <w:t>）</w:t>
      </w:r>
      <w:r>
        <w:rPr>
          <w:rFonts w:hint="default" w:ascii="Times New Roman" w:hAnsi="Times New Roman" w:eastAsia="方正仿宋_GBK" w:cs="Times New Roman"/>
          <w:b w:val="0"/>
          <w:bCs w:val="0"/>
          <w:color w:val="000000" w:themeColor="text1"/>
          <w:kern w:val="0"/>
          <w:sz w:val="32"/>
          <w:szCs w:val="32"/>
          <w:shd w:val="clear" w:fill="FFFFFF"/>
          <w:lang w:eastAsia="zh-CN"/>
          <w14:textFill>
            <w14:solidFill>
              <w14:schemeClr w14:val="tx1"/>
            </w14:solidFill>
          </w14:textFill>
        </w:rPr>
        <w:t>职能科室</w:t>
      </w:r>
    </w:p>
    <w:p>
      <w:pPr>
        <w:pStyle w:val="16"/>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shd w:val="clear" w:fill="FFFFFF"/>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kern w:val="0"/>
          <w:sz w:val="32"/>
          <w:szCs w:val="32"/>
          <w:shd w:val="clear" w:fill="FFFFFF"/>
          <w:lang w:eastAsia="zh-CN"/>
          <w14:textFill>
            <w14:solidFill>
              <w14:schemeClr w14:val="tx1"/>
            </w14:solidFill>
          </w14:textFill>
        </w:rPr>
        <w:t>党政办、医务科、病案管理科、护理部、院感科、药剂科（西药房、中药房）、财务科（</w:t>
      </w:r>
      <w:r>
        <w:rPr>
          <w:rFonts w:hint="default" w:ascii="Times New Roman" w:hAnsi="Times New Roman" w:eastAsia="方正仿宋_GBK" w:cs="Times New Roman"/>
          <w:b w:val="0"/>
          <w:bCs w:val="0"/>
          <w:color w:val="000000" w:themeColor="text1"/>
          <w:kern w:val="0"/>
          <w:sz w:val="32"/>
          <w:szCs w:val="32"/>
          <w:shd w:val="clear" w:fill="FFFFFF"/>
          <w:lang w:val="en-US" w:eastAsia="zh-CN"/>
          <w14:textFill>
            <w14:solidFill>
              <w14:schemeClr w14:val="tx1"/>
            </w14:solidFill>
          </w14:textFill>
        </w:rPr>
        <w:t>收费室</w:t>
      </w:r>
      <w:r>
        <w:rPr>
          <w:rFonts w:hint="default" w:ascii="Times New Roman" w:hAnsi="Times New Roman" w:eastAsia="方正仿宋_GBK" w:cs="Times New Roman"/>
          <w:b w:val="0"/>
          <w:bCs w:val="0"/>
          <w:color w:val="000000" w:themeColor="text1"/>
          <w:kern w:val="0"/>
          <w:sz w:val="32"/>
          <w:szCs w:val="32"/>
          <w:shd w:val="clear" w:fill="FFFFFF"/>
          <w:lang w:eastAsia="zh-CN"/>
          <w14:textFill>
            <w14:solidFill>
              <w14:schemeClr w14:val="tx1"/>
            </w14:solidFill>
          </w14:textFill>
        </w:rPr>
        <w:t>）、信息科、总务设备科、质管办、人事科、医保办、公共卫生健康管理科（居民健康科、预防保健科）、乡村一体化管理办。</w:t>
      </w:r>
    </w:p>
    <w:p>
      <w:pPr>
        <w:pStyle w:val="16"/>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shd w:val="clear" w:fill="FFFFFF"/>
          <w:lang w:eastAsia="zh-CN"/>
          <w14:textFill>
            <w14:solidFill>
              <w14:schemeClr w14:val="tx1"/>
            </w14:solidFill>
          </w14:textFill>
        </w:rPr>
      </w:pPr>
      <w:r>
        <w:rPr>
          <w:rFonts w:hint="eastAsia" w:ascii="Times New Roman" w:hAnsi="Times New Roman" w:eastAsia="方正仿宋_GBK" w:cs="Times New Roman"/>
          <w:b w:val="0"/>
          <w:bCs w:val="0"/>
          <w:color w:val="000000" w:themeColor="text1"/>
          <w:kern w:val="0"/>
          <w:sz w:val="32"/>
          <w:szCs w:val="32"/>
          <w:shd w:val="clear" w:fill="FFFFFF"/>
          <w:lang w:val="en-US" w:eastAsia="zh-CN"/>
          <w14:textFill>
            <w14:solidFill>
              <w14:schemeClr w14:val="tx1"/>
            </w14:solidFill>
          </w14:textFill>
        </w:rPr>
        <w:t>2.</w:t>
      </w:r>
      <w:r>
        <w:rPr>
          <w:rFonts w:hint="default" w:ascii="Times New Roman" w:hAnsi="Times New Roman" w:eastAsia="方正仿宋_GBK" w:cs="Times New Roman"/>
          <w:b w:val="0"/>
          <w:bCs w:val="0"/>
          <w:color w:val="000000" w:themeColor="text1"/>
          <w:kern w:val="0"/>
          <w:sz w:val="32"/>
          <w:szCs w:val="32"/>
          <w:shd w:val="clear" w:fill="FFFFFF"/>
          <w:lang w:eastAsia="zh-CN"/>
          <w14:textFill>
            <w14:solidFill>
              <w14:schemeClr w14:val="tx1"/>
            </w14:solidFill>
          </w14:textFill>
        </w:rPr>
        <w:t>科室职责</w:t>
      </w:r>
    </w:p>
    <w:p>
      <w:pPr>
        <w:pStyle w:val="16"/>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shd w:val="clear" w:fill="FFFFFF"/>
          <w:lang w:eastAsia="zh-CN"/>
          <w14:textFill>
            <w14:solidFill>
              <w14:schemeClr w14:val="tx1"/>
            </w14:solidFill>
          </w14:textFill>
        </w:rPr>
      </w:pPr>
      <w:r>
        <w:rPr>
          <w:rFonts w:hint="eastAsia" w:ascii="Times New Roman" w:hAnsi="Times New Roman" w:eastAsia="方正仿宋_GBK" w:cs="Times New Roman"/>
          <w:b w:val="0"/>
          <w:bCs w:val="0"/>
          <w:color w:val="000000" w:themeColor="text1"/>
          <w:kern w:val="0"/>
          <w:sz w:val="32"/>
          <w:szCs w:val="32"/>
          <w:shd w:val="clear" w:fill="FFFFFF"/>
          <w:lang w:eastAsia="zh-CN"/>
          <w14:textFill>
            <w14:solidFill>
              <w14:schemeClr w14:val="tx1"/>
            </w14:solidFill>
          </w14:textFill>
        </w:rPr>
        <w:t>（</w:t>
      </w:r>
      <w:r>
        <w:rPr>
          <w:rFonts w:hint="eastAsia" w:ascii="Times New Roman" w:hAnsi="Times New Roman" w:eastAsia="方正仿宋_GBK" w:cs="Times New Roman"/>
          <w:b w:val="0"/>
          <w:bCs w:val="0"/>
          <w:color w:val="000000" w:themeColor="text1"/>
          <w:kern w:val="0"/>
          <w:sz w:val="32"/>
          <w:szCs w:val="32"/>
          <w:shd w:val="clear" w:fill="FFFFFF"/>
          <w:lang w:val="en-US" w:eastAsia="zh-CN"/>
          <w14:textFill>
            <w14:solidFill>
              <w14:schemeClr w14:val="tx1"/>
            </w14:solidFill>
          </w14:textFill>
        </w:rPr>
        <w:t>1</w:t>
      </w:r>
      <w:r>
        <w:rPr>
          <w:rFonts w:hint="eastAsia" w:ascii="Times New Roman" w:hAnsi="Times New Roman" w:eastAsia="方正仿宋_GBK" w:cs="Times New Roman"/>
          <w:b w:val="0"/>
          <w:bCs w:val="0"/>
          <w:color w:val="000000" w:themeColor="text1"/>
          <w:kern w:val="0"/>
          <w:sz w:val="32"/>
          <w:szCs w:val="32"/>
          <w:shd w:val="clear" w:fill="FFFFFF"/>
          <w:lang w:eastAsia="zh-CN"/>
          <w14:textFill>
            <w14:solidFill>
              <w14:schemeClr w14:val="tx1"/>
            </w14:solidFill>
          </w14:textFill>
        </w:rPr>
        <w:t>）</w:t>
      </w:r>
      <w:r>
        <w:rPr>
          <w:rFonts w:hint="default" w:ascii="Times New Roman" w:hAnsi="Times New Roman" w:eastAsia="方正仿宋_GBK" w:cs="Times New Roman"/>
          <w:b w:val="0"/>
          <w:bCs w:val="0"/>
          <w:color w:val="000000" w:themeColor="text1"/>
          <w:kern w:val="0"/>
          <w:sz w:val="32"/>
          <w:szCs w:val="32"/>
          <w:shd w:val="clear" w:fill="FFFFFF"/>
          <w:lang w:eastAsia="zh-CN"/>
          <w14:textFill>
            <w14:solidFill>
              <w14:schemeClr w14:val="tx1"/>
            </w14:solidFill>
          </w14:textFill>
        </w:rPr>
        <w:t xml:space="preserve">临床科室职责：承担医院诊疗业务和医疗服务职能，直接提供接收、诊断、治疗等服务，为辖区居民提供高效、便捷、安全就医服务。 </w:t>
      </w:r>
    </w:p>
    <w:p>
      <w:pPr>
        <w:pStyle w:val="16"/>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shd w:val="clear" w:fill="FFFFFF"/>
          <w:lang w:val="en-US" w:eastAsia="zh-CN"/>
          <w14:textFill>
            <w14:solidFill>
              <w14:schemeClr w14:val="tx1"/>
            </w14:solidFill>
          </w14:textFill>
        </w:rPr>
      </w:pPr>
      <w:r>
        <w:rPr>
          <w:rFonts w:hint="eastAsia" w:ascii="Times New Roman" w:hAnsi="Times New Roman" w:eastAsia="方正仿宋_GBK" w:cs="Times New Roman"/>
          <w:b w:val="0"/>
          <w:bCs w:val="0"/>
          <w:color w:val="000000" w:themeColor="text1"/>
          <w:kern w:val="0"/>
          <w:sz w:val="32"/>
          <w:szCs w:val="32"/>
          <w:shd w:val="clear" w:fill="FFFFFF"/>
          <w:lang w:eastAsia="zh-CN"/>
          <w14:textFill>
            <w14:solidFill>
              <w14:schemeClr w14:val="tx1"/>
            </w14:solidFill>
          </w14:textFill>
        </w:rPr>
        <w:t>（</w:t>
      </w:r>
      <w:r>
        <w:rPr>
          <w:rFonts w:hint="eastAsia" w:ascii="Times New Roman" w:hAnsi="Times New Roman" w:eastAsia="方正仿宋_GBK" w:cs="Times New Roman"/>
          <w:b w:val="0"/>
          <w:bCs w:val="0"/>
          <w:color w:val="000000" w:themeColor="text1"/>
          <w:kern w:val="0"/>
          <w:sz w:val="32"/>
          <w:szCs w:val="32"/>
          <w:shd w:val="clear" w:fill="FFFFFF"/>
          <w:lang w:val="en-US" w:eastAsia="zh-CN"/>
          <w14:textFill>
            <w14:solidFill>
              <w14:schemeClr w14:val="tx1"/>
            </w14:solidFill>
          </w14:textFill>
        </w:rPr>
        <w:t>2</w:t>
      </w:r>
      <w:r>
        <w:rPr>
          <w:rFonts w:hint="eastAsia" w:ascii="Times New Roman" w:hAnsi="Times New Roman" w:eastAsia="方正仿宋_GBK" w:cs="Times New Roman"/>
          <w:b w:val="0"/>
          <w:bCs w:val="0"/>
          <w:color w:val="000000" w:themeColor="text1"/>
          <w:kern w:val="0"/>
          <w:sz w:val="32"/>
          <w:szCs w:val="32"/>
          <w:shd w:val="clear" w:fill="FFFFFF"/>
          <w:lang w:eastAsia="zh-CN"/>
          <w14:textFill>
            <w14:solidFill>
              <w14:schemeClr w14:val="tx1"/>
            </w14:solidFill>
          </w14:textFill>
        </w:rPr>
        <w:t>）</w:t>
      </w:r>
      <w:r>
        <w:rPr>
          <w:rFonts w:hint="default" w:ascii="Times New Roman" w:hAnsi="Times New Roman" w:eastAsia="方正仿宋_GBK" w:cs="Times New Roman"/>
          <w:b w:val="0"/>
          <w:bCs w:val="0"/>
          <w:color w:val="000000" w:themeColor="text1"/>
          <w:kern w:val="0"/>
          <w:sz w:val="32"/>
          <w:szCs w:val="32"/>
          <w:shd w:val="clear" w:fill="FFFFFF"/>
          <w:lang w:val="en-US" w:eastAsia="zh-CN"/>
          <w14:textFill>
            <w14:solidFill>
              <w14:schemeClr w14:val="tx1"/>
            </w14:solidFill>
          </w14:textFill>
        </w:rPr>
        <w:t>医技科室职责：协助临床科室开展</w:t>
      </w:r>
      <w:r>
        <w:rPr>
          <w:rFonts w:hint="default" w:ascii="Times New Roman" w:hAnsi="Times New Roman" w:eastAsia="方正仿宋_GBK" w:cs="Times New Roman"/>
          <w:b w:val="0"/>
          <w:bCs w:val="0"/>
          <w:color w:val="000000" w:themeColor="text1"/>
          <w:kern w:val="0"/>
          <w:sz w:val="32"/>
          <w:szCs w:val="32"/>
          <w:shd w:val="clear" w:fill="FFFFFF"/>
          <w:lang w:eastAsia="zh-CN"/>
          <w14:textFill>
            <w14:solidFill>
              <w14:schemeClr w14:val="tx1"/>
            </w14:solidFill>
          </w14:textFill>
        </w:rPr>
        <w:t>诊疗业务，为辖区居民提</w:t>
      </w:r>
      <w:r>
        <w:rPr>
          <w:rFonts w:hint="default" w:ascii="Times New Roman" w:hAnsi="Times New Roman" w:eastAsia="方正仿宋_GBK" w:cs="Times New Roman"/>
          <w:b w:val="0"/>
          <w:bCs w:val="0"/>
          <w:color w:val="000000" w:themeColor="text1"/>
          <w:kern w:val="0"/>
          <w:sz w:val="32"/>
          <w:szCs w:val="32"/>
          <w:shd w:val="clear" w:fill="FFFFFF"/>
          <w:lang w:val="en-US" w:eastAsia="zh-CN"/>
          <w14:textFill>
            <w14:solidFill>
              <w14:schemeClr w14:val="tx1"/>
            </w14:solidFill>
          </w14:textFill>
        </w:rPr>
        <w:t>供检验检查服务工作。</w:t>
      </w:r>
    </w:p>
    <w:p>
      <w:pPr>
        <w:pStyle w:val="16"/>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shd w:val="clear" w:fill="FFFFFF"/>
          <w:lang w:val="en-US" w:eastAsia="zh-CN"/>
          <w14:textFill>
            <w14:solidFill>
              <w14:schemeClr w14:val="tx1"/>
            </w14:solidFill>
          </w14:textFill>
        </w:rPr>
      </w:pPr>
      <w:r>
        <w:rPr>
          <w:rFonts w:hint="eastAsia" w:ascii="Times New Roman" w:hAnsi="Times New Roman" w:eastAsia="方正仿宋_GBK" w:cs="Times New Roman"/>
          <w:b w:val="0"/>
          <w:bCs w:val="0"/>
          <w:color w:val="000000" w:themeColor="text1"/>
          <w:kern w:val="0"/>
          <w:sz w:val="32"/>
          <w:szCs w:val="32"/>
          <w:shd w:val="clear" w:fill="FFFFFF"/>
          <w:lang w:eastAsia="zh-CN"/>
          <w14:textFill>
            <w14:solidFill>
              <w14:schemeClr w14:val="tx1"/>
            </w14:solidFill>
          </w14:textFill>
        </w:rPr>
        <w:t>（</w:t>
      </w:r>
      <w:r>
        <w:rPr>
          <w:rFonts w:hint="eastAsia" w:ascii="Times New Roman" w:hAnsi="Times New Roman" w:eastAsia="方正仿宋_GBK" w:cs="Times New Roman"/>
          <w:b w:val="0"/>
          <w:bCs w:val="0"/>
          <w:color w:val="000000" w:themeColor="text1"/>
          <w:kern w:val="0"/>
          <w:sz w:val="32"/>
          <w:szCs w:val="32"/>
          <w:shd w:val="clear" w:fill="FFFFFF"/>
          <w:lang w:val="en-US" w:eastAsia="zh-CN"/>
          <w14:textFill>
            <w14:solidFill>
              <w14:schemeClr w14:val="tx1"/>
            </w14:solidFill>
          </w14:textFill>
        </w:rPr>
        <w:t>3</w:t>
      </w:r>
      <w:r>
        <w:rPr>
          <w:rFonts w:hint="eastAsia" w:ascii="Times New Roman" w:hAnsi="Times New Roman" w:eastAsia="方正仿宋_GBK" w:cs="Times New Roman"/>
          <w:b w:val="0"/>
          <w:bCs w:val="0"/>
          <w:color w:val="000000" w:themeColor="text1"/>
          <w:kern w:val="0"/>
          <w:sz w:val="32"/>
          <w:szCs w:val="32"/>
          <w:shd w:val="clear" w:fill="FFFFFF"/>
          <w:lang w:eastAsia="zh-CN"/>
          <w14:textFill>
            <w14:solidFill>
              <w14:schemeClr w14:val="tx1"/>
            </w14:solidFill>
          </w14:textFill>
        </w:rPr>
        <w:t>）</w:t>
      </w:r>
      <w:r>
        <w:rPr>
          <w:rFonts w:hint="default" w:ascii="Times New Roman" w:hAnsi="Times New Roman" w:eastAsia="方正仿宋_GBK" w:cs="Times New Roman"/>
          <w:b w:val="0"/>
          <w:bCs w:val="0"/>
          <w:color w:val="000000" w:themeColor="text1"/>
          <w:kern w:val="0"/>
          <w:sz w:val="32"/>
          <w:szCs w:val="32"/>
          <w:shd w:val="clear" w:fill="FFFFFF"/>
          <w:lang w:val="en-US" w:eastAsia="zh-CN"/>
          <w14:textFill>
            <w14:solidFill>
              <w14:schemeClr w14:val="tx1"/>
            </w14:solidFill>
          </w14:textFill>
        </w:rPr>
        <w:t>职能科室职责：为全院职工提供后勤保障，开展医疗业务上的督导、检查、考核等工作。</w:t>
      </w:r>
      <w:r>
        <w:rPr>
          <w:rFonts w:hint="default" w:ascii="Times New Roman" w:hAnsi="Times New Roman" w:eastAsia="方正仿宋_GBK" w:cs="Times New Roman"/>
          <w:b w:val="0"/>
          <w:bCs w:val="0"/>
          <w:color w:val="000000" w:themeColor="text1"/>
          <w:kern w:val="0"/>
          <w:sz w:val="32"/>
          <w:szCs w:val="32"/>
          <w:shd w:val="clear" w:fill="FFFFFF"/>
          <w:lang w:eastAsia="zh-CN"/>
          <w14:textFill>
            <w14:solidFill>
              <w14:schemeClr w14:val="tx1"/>
            </w14:solidFill>
          </w14:textFill>
        </w:rPr>
        <w:t>公共卫生健康管理为辖区居民提供基本公共卫生服务。</w:t>
      </w:r>
    </w:p>
    <w:p>
      <w:pPr>
        <w:pStyle w:val="9"/>
        <w:keepNext w:val="0"/>
        <w:keepLines w:val="0"/>
        <w:pageBreakBefore w:val="0"/>
        <w:widowControl/>
        <w:kinsoku/>
        <w:wordWrap/>
        <w:overflowPunct/>
        <w:topLinePunct w:val="0"/>
        <w:autoSpaceDN/>
        <w:bidi w:val="0"/>
        <w:adjustRightInd/>
        <w:snapToGrid/>
        <w:spacing w:before="0" w:beforeAutospacing="0" w:after="0" w:afterAutospacing="0" w:line="560" w:lineRule="exact"/>
        <w:ind w:firstLine="640" w:firstLineChars="200"/>
        <w:jc w:val="left"/>
        <w:textAlignment w:val="auto"/>
        <w:outlineLvl w:val="9"/>
        <w:rPr>
          <w:rStyle w:val="11"/>
          <w:rFonts w:hint="default" w:ascii="方正黑体_GBK" w:hAnsi="方正黑体_GBK" w:eastAsia="方正黑体_GBK" w:cs="方正黑体_GBK"/>
          <w:b w:val="0"/>
          <w:bCs w:val="0"/>
          <w:color w:val="000000" w:themeColor="text1"/>
          <w:sz w:val="32"/>
          <w:szCs w:val="32"/>
          <w:shd w:val="clear" w:color="auto" w:fill="FFFFFF"/>
          <w14:textFill>
            <w14:solidFill>
              <w14:schemeClr w14:val="tx1"/>
            </w14:solidFill>
          </w14:textFill>
        </w:rPr>
      </w:pPr>
      <w:r>
        <w:rPr>
          <w:rStyle w:val="11"/>
          <w:rFonts w:hint="default" w:ascii="方正黑体_GBK" w:hAnsi="方正黑体_GBK" w:eastAsia="方正黑体_GBK" w:cs="方正黑体_GBK"/>
          <w:b w:val="0"/>
          <w:bCs w:val="0"/>
          <w:color w:val="000000" w:themeColor="text1"/>
          <w:sz w:val="32"/>
          <w:szCs w:val="32"/>
          <w:shd w:val="clear" w:color="auto" w:fill="FFFFFF"/>
          <w14:textFill>
            <w14:solidFill>
              <w14:schemeClr w14:val="tx1"/>
            </w14:solidFill>
          </w14:textFill>
        </w:rPr>
        <w:t>二、单位决算情况说明</w:t>
      </w:r>
    </w:p>
    <w:p>
      <w:pPr>
        <w:pStyle w:val="15"/>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textAlignment w:val="auto"/>
        <w:outlineLvl w:val="9"/>
        <w:rPr>
          <w:rFonts w:hint="eastAsia" w:ascii="方正楷体_GBK" w:hAnsi="方正楷体_GBK" w:eastAsia="方正楷体_GBK" w:cs="方正楷体_GBK"/>
          <w:b w:val="0"/>
          <w:bCs w:val="0"/>
          <w:color w:val="000000" w:themeColor="text1"/>
          <w:sz w:val="32"/>
          <w:szCs w:val="32"/>
          <w:shd w:val="clear" w:color="auto" w:fill="FFFFFF"/>
          <w:lang w:eastAsia="zh-CN"/>
          <w14:textFill>
            <w14:solidFill>
              <w14:schemeClr w14:val="tx1"/>
            </w14:solidFill>
          </w14:textFill>
        </w:rPr>
      </w:pPr>
      <w:r>
        <w:rPr>
          <w:rFonts w:hint="eastAsia" w:ascii="方正楷体_GBK" w:hAnsi="方正楷体_GBK" w:eastAsia="方正楷体_GBK" w:cs="方正楷体_GBK"/>
          <w:b w:val="0"/>
          <w:bCs w:val="0"/>
          <w:color w:val="000000" w:themeColor="text1"/>
          <w:sz w:val="32"/>
          <w:szCs w:val="32"/>
          <w:shd w:val="clear" w:color="auto" w:fill="FFFFFF"/>
          <w14:textFill>
            <w14:solidFill>
              <w14:schemeClr w14:val="tx1"/>
            </w14:solidFill>
          </w14:textFill>
        </w:rPr>
        <w:t>（一）收入支出决算总体情况说明</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000000" w:themeColor="text1"/>
          <w:sz w:val="32"/>
          <w:szCs w:val="32"/>
          <w:shd w:val="clear" w:color="auto" w:fill="FFFFFF"/>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1.总体情况。2023年度收入总计3817.30万元，支出总计3817.30万元。收支较上年决算数减少658.84万元，下降14.72%，主要原因是</w:t>
      </w:r>
      <w:r>
        <w:rPr>
          <w:rFonts w:hint="default" w:ascii="Times New Roman" w:hAnsi="Times New Roman" w:eastAsia="方正仿宋_GBK" w:cs="Times New Roman"/>
          <w:b w:val="0"/>
          <w:bCs w:val="0"/>
          <w:color w:val="000000" w:themeColor="text1"/>
          <w:sz w:val="32"/>
          <w:szCs w:val="32"/>
          <w:shd w:val="clear" w:color="auto" w:fill="FFFFFF"/>
          <w:lang w:eastAsia="zh-CN"/>
          <w14:textFill>
            <w14:solidFill>
              <w14:schemeClr w14:val="tx1"/>
            </w14:solidFill>
          </w14:textFill>
        </w:rPr>
        <w:t>迁建项目拨款</w:t>
      </w:r>
      <w:r>
        <w:rPr>
          <w:rFonts w:hint="default" w:ascii="Times New Roman" w:hAnsi="Times New Roman" w:eastAsia="方正仿宋_GBK" w:cs="Times New Roman"/>
          <w:b w:val="0"/>
          <w:bCs w:val="0"/>
          <w:color w:val="000000" w:themeColor="text1"/>
          <w:sz w:val="32"/>
          <w:szCs w:val="32"/>
          <w:shd w:val="clear" w:color="auto" w:fill="FFFFFF"/>
          <w:lang w:val="en-US" w:eastAsia="zh-CN"/>
          <w14:textFill>
            <w14:solidFill>
              <w14:schemeClr w14:val="tx1"/>
            </w14:solidFill>
          </w14:textFill>
        </w:rPr>
        <w:t>2023年比上年减少1049万元，总体收支呈现减少趋势，实则上是上升状态。</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2.收入情况。2023年度收入合计2383.16万元，较上年决算数增加353.02万元，增长17.39%，主要原因是</w:t>
      </w:r>
      <w:r>
        <w:rPr>
          <w:rFonts w:hint="default" w:ascii="Times New Roman" w:hAnsi="Times New Roman" w:eastAsia="方正仿宋_GBK" w:cs="Times New Roman"/>
          <w:b w:val="0"/>
          <w:bCs w:val="0"/>
          <w:color w:val="000000" w:themeColor="text1"/>
          <w:sz w:val="32"/>
          <w:szCs w:val="32"/>
          <w:shd w:val="clear" w:color="auto" w:fill="FFFFFF"/>
          <w:lang w:eastAsia="zh-CN"/>
          <w14:textFill>
            <w14:solidFill>
              <w14:schemeClr w14:val="tx1"/>
            </w14:solidFill>
          </w14:textFill>
        </w:rPr>
        <w:t>财政拨款收入增加</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。其中：财政拨款收入</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1022.66</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万元，占</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42.91</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%；事业收入</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1221.09</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万元，占51.24%；其他收入</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139.41</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万元，占5.85%。此外，年初结转和结余</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1434.15</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万元。</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3.支出情况。2023年度支出合计3752.88万元，较上年决算数减少686.28万元，下降15.46%，主要原因是项目支出减少，其中：基本支出2324.18万元，占61.93%；项目支出1428.70万元，占38.07%。</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4.结转结余情况。2023年度年末结转和结余64.43万元，较上年决算数增加27.45万元，增长74.23%，主要原因是2022年绩效未支出导致结余增加。</w:t>
      </w:r>
    </w:p>
    <w:p>
      <w:pPr>
        <w:pStyle w:val="15"/>
        <w:keepNext w:val="0"/>
        <w:keepLines w:val="0"/>
        <w:pageBreakBefore w:val="0"/>
        <w:widowControl/>
        <w:kinsoku/>
        <w:wordWrap/>
        <w:overflowPunct/>
        <w:topLinePunct w:val="0"/>
        <w:autoSpaceDE w:val="0"/>
        <w:autoSpaceDN/>
        <w:bidi w:val="0"/>
        <w:adjustRightInd/>
        <w:spacing w:beforeAutospacing="0" w:afterAutospacing="0" w:line="560" w:lineRule="exact"/>
        <w:ind w:firstLine="640" w:firstLineChars="200"/>
        <w:textAlignment w:val="auto"/>
        <w:outlineLvl w:val="9"/>
        <w:rPr>
          <w:rFonts w:hint="eastAsia" w:ascii="方正楷体_GBK" w:hAnsi="方正楷体_GBK" w:eastAsia="方正楷体_GBK" w:cs="方正楷体_GBK"/>
          <w:b w:val="0"/>
          <w:bCs w:val="0"/>
          <w:color w:val="000000" w:themeColor="text1"/>
          <w:sz w:val="32"/>
          <w:szCs w:val="32"/>
          <w:shd w:val="clear" w:color="auto" w:fill="FFFFFF"/>
          <w14:textFill>
            <w14:solidFill>
              <w14:schemeClr w14:val="tx1"/>
            </w14:solidFill>
          </w14:textFill>
        </w:rPr>
      </w:pPr>
      <w:r>
        <w:rPr>
          <w:rFonts w:hint="eastAsia" w:ascii="方正楷体_GBK" w:hAnsi="方正楷体_GBK" w:eastAsia="方正楷体_GBK" w:cs="方正楷体_GBK"/>
          <w:b w:val="0"/>
          <w:bCs w:val="0"/>
          <w:color w:val="000000" w:themeColor="text1"/>
          <w:sz w:val="32"/>
          <w:szCs w:val="32"/>
          <w:shd w:val="clear" w:color="auto" w:fill="FFFFFF"/>
          <w14:textFill>
            <w14:solidFill>
              <w14:schemeClr w14:val="tx1"/>
            </w14:solidFill>
          </w14:textFill>
        </w:rPr>
        <w:t>（二）财政拨款收入支出决算总体情况说明</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2023年度财政拨款收、支总计2419.82万元。与2022年相比，财政拨款收、支总计各减少892.85万元，下降26.95%。主要原因是</w:t>
      </w:r>
      <w:r>
        <w:rPr>
          <w:rFonts w:hint="default" w:ascii="Times New Roman" w:hAnsi="Times New Roman" w:eastAsia="方正仿宋_GBK" w:cs="Times New Roman"/>
          <w:b w:val="0"/>
          <w:bCs w:val="0"/>
          <w:color w:val="000000" w:themeColor="text1"/>
          <w:sz w:val="32"/>
          <w:szCs w:val="32"/>
          <w:shd w:val="clear" w:color="auto" w:fill="FFFFFF"/>
          <w:lang w:val="en-US" w:eastAsia="zh-CN"/>
          <w14:textFill>
            <w14:solidFill>
              <w14:schemeClr w14:val="tx1"/>
            </w14:solidFill>
          </w14:textFill>
        </w:rPr>
        <w:t>项目资金减少</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w:t>
      </w:r>
    </w:p>
    <w:p>
      <w:pPr>
        <w:pStyle w:val="15"/>
        <w:keepNext w:val="0"/>
        <w:keepLines w:val="0"/>
        <w:pageBreakBefore w:val="0"/>
        <w:widowControl/>
        <w:kinsoku/>
        <w:wordWrap/>
        <w:overflowPunct/>
        <w:topLinePunct w:val="0"/>
        <w:autoSpaceDE w:val="0"/>
        <w:autoSpaceDN/>
        <w:bidi w:val="0"/>
        <w:adjustRightInd/>
        <w:spacing w:beforeAutospacing="0" w:afterAutospacing="0" w:line="560" w:lineRule="exact"/>
        <w:ind w:firstLine="640" w:firstLineChars="200"/>
        <w:textAlignment w:val="auto"/>
        <w:outlineLvl w:val="9"/>
        <w:rPr>
          <w:rFonts w:hint="eastAsia" w:ascii="方正楷体_GBK" w:hAnsi="方正楷体_GBK" w:eastAsia="方正楷体_GBK" w:cs="方正楷体_GBK"/>
          <w:b w:val="0"/>
          <w:bCs w:val="0"/>
          <w:color w:val="000000" w:themeColor="text1"/>
          <w:sz w:val="32"/>
          <w:szCs w:val="32"/>
          <w:shd w:val="clear" w:color="auto" w:fill="FFFFFF"/>
          <w14:textFill>
            <w14:solidFill>
              <w14:schemeClr w14:val="tx1"/>
            </w14:solidFill>
          </w14:textFill>
        </w:rPr>
      </w:pPr>
      <w:r>
        <w:rPr>
          <w:rFonts w:hint="eastAsia" w:ascii="方正楷体_GBK" w:hAnsi="方正楷体_GBK" w:eastAsia="方正楷体_GBK" w:cs="方正楷体_GBK"/>
          <w:b w:val="0"/>
          <w:bCs w:val="0"/>
          <w:color w:val="000000" w:themeColor="text1"/>
          <w:sz w:val="32"/>
          <w:szCs w:val="32"/>
          <w:shd w:val="clear" w:color="auto" w:fill="FFFFFF"/>
          <w14:textFill>
            <w14:solidFill>
              <w14:schemeClr w14:val="tx1"/>
            </w14:solidFill>
          </w14:textFill>
        </w:rPr>
        <w:t>（三）一般公共预算财政拨款收入支出决算情况说明</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pPr>
      <w:r>
        <w:rPr>
          <w:rStyle w:val="11"/>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1.收入情况。</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2023年度一般公共预算财政拨款收入</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1022.66</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万元，较上年决算数增加155.99万元，增长18.00%。主要原因是</w:t>
      </w:r>
      <w:r>
        <w:rPr>
          <w:rFonts w:hint="default" w:ascii="Times New Roman" w:hAnsi="Times New Roman" w:eastAsia="方正仿宋_GBK" w:cs="Times New Roman"/>
          <w:b w:val="0"/>
          <w:bCs w:val="0"/>
          <w:color w:val="000000" w:themeColor="text1"/>
          <w:sz w:val="32"/>
          <w:szCs w:val="32"/>
          <w:shd w:val="clear" w:color="auto" w:fill="FFFFFF"/>
          <w:lang w:val="en-US" w:eastAsia="zh-CN"/>
          <w14:textFill>
            <w14:solidFill>
              <w14:schemeClr w14:val="tx1"/>
            </w14:solidFill>
          </w14:textFill>
        </w:rPr>
        <w:t>2023年在编人员增加了,相应的财政拨款收入也增加</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。较年初预算数增加369.90万元，增长56.67%。主要原因是</w:t>
      </w:r>
      <w:r>
        <w:rPr>
          <w:rFonts w:hint="default" w:ascii="Times New Roman" w:hAnsi="Times New Roman" w:eastAsia="方正仿宋_GBK" w:cs="Times New Roman"/>
          <w:b w:val="0"/>
          <w:bCs w:val="0"/>
          <w:color w:val="000000" w:themeColor="text1"/>
          <w:sz w:val="32"/>
          <w:szCs w:val="32"/>
          <w:shd w:val="clear" w:color="auto" w:fill="FFFFFF"/>
          <w:lang w:val="en-US" w:eastAsia="zh-CN"/>
          <w14:textFill>
            <w14:solidFill>
              <w14:schemeClr w14:val="tx1"/>
            </w14:solidFill>
          </w14:textFill>
        </w:rPr>
        <w:t>2023年在编人员增加了,相应的财政拨款收入也增加</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000000" w:themeColor="text1"/>
          <w:sz w:val="32"/>
          <w:szCs w:val="32"/>
          <w14:textFill>
            <w14:solidFill>
              <w14:schemeClr w14:val="tx1"/>
            </w14:solidFill>
          </w14:textFill>
        </w:rPr>
      </w:pPr>
      <w:r>
        <w:rPr>
          <w:rStyle w:val="11"/>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2.支出情况。</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2023年度一般公共预算财政拨款支出</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974.24</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万元，较上年决算数增加107.57万元，增长12.41%。主要原因是</w:t>
      </w:r>
      <w:r>
        <w:rPr>
          <w:rFonts w:hint="default" w:ascii="Times New Roman" w:hAnsi="Times New Roman" w:eastAsia="方正仿宋_GBK" w:cs="Times New Roman"/>
          <w:b w:val="0"/>
          <w:bCs w:val="0"/>
          <w:color w:val="000000" w:themeColor="text1"/>
          <w:sz w:val="32"/>
          <w:szCs w:val="32"/>
          <w:shd w:val="clear" w:color="auto" w:fill="FFFFFF"/>
          <w:lang w:val="en-US" w:eastAsia="zh-CN"/>
          <w14:textFill>
            <w14:solidFill>
              <w14:schemeClr w14:val="tx1"/>
            </w14:solidFill>
          </w14:textFill>
        </w:rPr>
        <w:t>人员经费增加</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w:t>
      </w:r>
      <w:r>
        <w:rPr>
          <w:rFonts w:hint="default" w:ascii="Times New Roman" w:hAnsi="Times New Roman" w:eastAsia="方正仿宋_GBK" w:cs="Times New Roman"/>
          <w:b w:val="0"/>
          <w:bCs w:val="0"/>
          <w:color w:val="000000" w:themeColor="text1"/>
          <w:sz w:val="32"/>
          <w:szCs w:val="32"/>
          <w:shd w:val="clear" w:color="auto" w:fill="FFFFFF"/>
          <w:lang w:val="en-US" w:eastAsia="zh-CN"/>
          <w14:textFill>
            <w14:solidFill>
              <w14:schemeClr w14:val="tx1"/>
            </w14:solidFill>
          </w14:textFill>
        </w:rPr>
        <w:t>相应的支出也增加</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。较年初预算数增加321.48万元，增长49.25%。主要原因是</w:t>
      </w:r>
      <w:r>
        <w:rPr>
          <w:rFonts w:hint="default" w:ascii="Times New Roman" w:hAnsi="Times New Roman" w:eastAsia="方正仿宋_GBK" w:cs="Times New Roman"/>
          <w:b w:val="0"/>
          <w:bCs w:val="0"/>
          <w:color w:val="000000" w:themeColor="text1"/>
          <w:sz w:val="32"/>
          <w:szCs w:val="32"/>
          <w:shd w:val="clear" w:color="auto" w:fill="FFFFFF"/>
          <w:lang w:val="en-US" w:eastAsia="zh-CN"/>
          <w14:textFill>
            <w14:solidFill>
              <w14:schemeClr w14:val="tx1"/>
            </w14:solidFill>
          </w14:textFill>
        </w:rPr>
        <w:t>编制年初预算时,未把新进人员经费算入在内</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pPr>
      <w:r>
        <w:rPr>
          <w:rStyle w:val="11"/>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3.结转结余情况。</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2023年度年末一般公共预算财政拨款结转和结余</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48.42</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万元，较上年决算数增加48.42万元，增长100.00%，主要原因是</w:t>
      </w:r>
      <w:r>
        <w:rPr>
          <w:rFonts w:hint="default" w:ascii="Times New Roman" w:hAnsi="Times New Roman" w:eastAsia="方正仿宋_GBK" w:cs="Times New Roman"/>
          <w:b w:val="0"/>
          <w:bCs w:val="0"/>
          <w:color w:val="000000" w:themeColor="text1"/>
          <w:sz w:val="32"/>
          <w:szCs w:val="32"/>
          <w:shd w:val="clear" w:color="auto" w:fill="FFFFFF"/>
          <w:lang w:val="en-US" w:eastAsia="zh-CN"/>
          <w14:textFill>
            <w14:solidFill>
              <w14:schemeClr w14:val="tx1"/>
            </w14:solidFill>
          </w14:textFill>
        </w:rPr>
        <w:t>此笔费用为2022年清算绩效</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000000" w:themeColor="text1"/>
          <w:sz w:val="32"/>
          <w:szCs w:val="32"/>
          <w:highlight w:val="cyan"/>
          <w:shd w:val="clear" w:color="auto" w:fill="FFFFFF"/>
          <w14:textFill>
            <w14:solidFill>
              <w14:schemeClr w14:val="tx1"/>
            </w14:solidFill>
          </w14:textFill>
        </w:rPr>
      </w:pPr>
      <w:r>
        <w:rPr>
          <w:rStyle w:val="11"/>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4.比较情况。</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本单位2023年度一般公共预算财政拨款支出主要用于以下几个方面：</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（1）社会保障与就业支出</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90.72</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万元，占</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9.31</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%，较年初预算数减少24.88万元，下降21.52%，主要原因是</w:t>
      </w:r>
      <w:r>
        <w:rPr>
          <w:rFonts w:hint="default" w:ascii="Times New Roman" w:hAnsi="Times New Roman" w:eastAsia="方正仿宋_GBK" w:cs="Times New Roman"/>
          <w:b w:val="0"/>
          <w:bCs w:val="0"/>
          <w:color w:val="000000" w:themeColor="text1"/>
          <w:kern w:val="0"/>
          <w:sz w:val="32"/>
          <w:szCs w:val="32"/>
          <w:shd w:val="clear" w:fill="FFFFFF"/>
          <w14:textFill>
            <w14:solidFill>
              <w14:schemeClr w14:val="tx1"/>
            </w14:solidFill>
          </w14:textFill>
        </w:rPr>
        <w:t>根据单位情况预估核算，实际财政拨款收入由财政根据资金分配情况统一安排拨款</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（2）卫生健康支出</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854.26</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万元，占</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87.68</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%，较年初预算数增加365.49万元，增长74.78%，主要原因是</w:t>
      </w:r>
      <w:r>
        <w:rPr>
          <w:rFonts w:hint="default" w:ascii="Times New Roman" w:hAnsi="Times New Roman" w:eastAsia="方正仿宋_GBK" w:cs="Times New Roman"/>
          <w:b w:val="0"/>
          <w:bCs w:val="0"/>
          <w:color w:val="000000" w:themeColor="text1"/>
          <w:kern w:val="0"/>
          <w:sz w:val="32"/>
          <w:szCs w:val="32"/>
          <w:shd w:val="clear" w:fill="FFFFFF"/>
          <w14:textFill>
            <w14:solidFill>
              <w14:schemeClr w14:val="tx1"/>
            </w14:solidFill>
          </w14:textFill>
        </w:rPr>
        <w:t>根据单位情况预估核算，</w:t>
      </w:r>
      <w:r>
        <w:rPr>
          <w:rFonts w:hint="default" w:ascii="Times New Roman" w:hAnsi="Times New Roman" w:eastAsia="方正仿宋_GBK" w:cs="Times New Roman"/>
          <w:b w:val="0"/>
          <w:bCs w:val="0"/>
          <w:color w:val="000000" w:themeColor="text1"/>
          <w:kern w:val="0"/>
          <w:sz w:val="32"/>
          <w:szCs w:val="32"/>
          <w:shd w:val="clear" w:fill="FFFFFF"/>
          <w:lang w:eastAsia="zh-CN"/>
          <w14:textFill>
            <w14:solidFill>
              <w14:schemeClr w14:val="tx1"/>
            </w14:solidFill>
          </w14:textFill>
        </w:rPr>
        <w:t>未把不能纳入迁建项目开支的费用预算进去</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textAlignment w:val="auto"/>
        <w:outlineLvl w:val="9"/>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（3）</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住房保障支出29.26</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万元，占</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3.00</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%，较年初预算数减少19.13万元，下降39.53%，主要原因是</w:t>
      </w:r>
      <w:r>
        <w:rPr>
          <w:rFonts w:hint="default" w:ascii="Times New Roman" w:hAnsi="Times New Roman" w:eastAsia="方正仿宋_GBK" w:cs="Times New Roman"/>
          <w:b w:val="0"/>
          <w:bCs w:val="0"/>
          <w:color w:val="000000" w:themeColor="text1"/>
          <w:kern w:val="0"/>
          <w:sz w:val="32"/>
          <w:szCs w:val="32"/>
          <w:shd w:val="clear" w:fill="FFFFFF"/>
          <w14:textFill>
            <w14:solidFill>
              <w14:schemeClr w14:val="tx1"/>
            </w14:solidFill>
          </w14:textFill>
        </w:rPr>
        <w:t>根据单位情况预估核算，实际财政拨款收入由财政根据资金分配情况统一安排拨款</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w:t>
      </w:r>
    </w:p>
    <w:p>
      <w:pPr>
        <w:pStyle w:val="15"/>
        <w:keepNext w:val="0"/>
        <w:keepLines w:val="0"/>
        <w:pageBreakBefore w:val="0"/>
        <w:widowControl/>
        <w:kinsoku/>
        <w:wordWrap/>
        <w:overflowPunct/>
        <w:topLinePunct w:val="0"/>
        <w:autoSpaceDE w:val="0"/>
        <w:autoSpaceDN/>
        <w:bidi w:val="0"/>
        <w:adjustRightInd/>
        <w:spacing w:beforeAutospacing="0" w:afterAutospacing="0" w:line="560" w:lineRule="exact"/>
        <w:ind w:firstLine="640" w:firstLineChars="200"/>
        <w:textAlignment w:val="auto"/>
        <w:outlineLvl w:val="9"/>
        <w:rPr>
          <w:rFonts w:hint="default" w:ascii="方正楷体_GBK" w:hAnsi="方正楷体_GBK" w:eastAsia="方正楷体_GBK" w:cs="方正楷体_GBK"/>
          <w:b w:val="0"/>
          <w:bCs w:val="0"/>
          <w:color w:val="000000" w:themeColor="text1"/>
          <w:sz w:val="32"/>
          <w:szCs w:val="32"/>
          <w:shd w:val="clear" w:color="auto" w:fill="FFFFFF"/>
          <w14:textFill>
            <w14:solidFill>
              <w14:schemeClr w14:val="tx1"/>
            </w14:solidFill>
          </w14:textFill>
        </w:rPr>
      </w:pPr>
      <w:r>
        <w:rPr>
          <w:rFonts w:hint="default" w:ascii="方正楷体_GBK" w:hAnsi="方正楷体_GBK" w:eastAsia="方正楷体_GBK" w:cs="方正楷体_GBK"/>
          <w:b w:val="0"/>
          <w:bCs w:val="0"/>
          <w:color w:val="000000" w:themeColor="text1"/>
          <w:sz w:val="32"/>
          <w:szCs w:val="32"/>
          <w:shd w:val="clear" w:color="auto" w:fill="FFFFFF"/>
          <w14:textFill>
            <w14:solidFill>
              <w14:schemeClr w14:val="tx1"/>
            </w14:solidFill>
          </w14:textFill>
        </w:rPr>
        <w:t>（四）一般公共预算财政拨款基本支出决算情况说明</w:t>
      </w:r>
    </w:p>
    <w:p>
      <w:pPr>
        <w:pStyle w:val="16"/>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2023年度一般公共财政拨款基本支出</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942.71</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万元。其中：人员经费</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863.16</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万元，较上年决算数增加120.36万元，增长16.20%，主要原因是</w:t>
      </w:r>
      <w:r>
        <w:rPr>
          <w:rFonts w:hint="default" w:ascii="Times New Roman" w:hAnsi="Times New Roman" w:eastAsia="方正仿宋_GBK" w:cs="Times New Roman"/>
          <w:b w:val="0"/>
          <w:bCs w:val="0"/>
          <w:color w:val="000000" w:themeColor="text1"/>
          <w:sz w:val="32"/>
          <w:szCs w:val="32"/>
          <w:shd w:val="clear" w:color="auto" w:fill="FFFFFF"/>
          <w:lang w:eastAsia="zh-CN"/>
          <w14:textFill>
            <w14:solidFill>
              <w14:schemeClr w14:val="tx1"/>
            </w14:solidFill>
          </w14:textFill>
        </w:rPr>
        <w:t>在编人员数增加，导致人员经费增加</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。人员经费用途主要包括</w:t>
      </w:r>
      <w:r>
        <w:rPr>
          <w:rFonts w:hint="default" w:ascii="Times New Roman" w:hAnsi="Times New Roman" w:eastAsia="方正仿宋_GBK" w:cs="Times New Roman"/>
          <w:b w:val="0"/>
          <w:bCs w:val="0"/>
          <w:color w:val="000000" w:themeColor="text1"/>
          <w:kern w:val="0"/>
          <w:sz w:val="32"/>
          <w:szCs w:val="32"/>
          <w:shd w:val="clear" w:fill="FFFFFF"/>
          <w14:textFill>
            <w14:solidFill>
              <w14:schemeClr w14:val="tx1"/>
            </w14:solidFill>
          </w14:textFill>
        </w:rPr>
        <w:t>人员社会保障、工资、绩效、津补贴支出等</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。公用经费</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79.55</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万元，较上年决算数减少44.32万元，下降35.78%，主要原因是</w:t>
      </w:r>
      <w:r>
        <w:rPr>
          <w:rFonts w:hint="default" w:ascii="Times New Roman" w:hAnsi="Times New Roman" w:eastAsia="方正仿宋_GBK" w:cs="Times New Roman"/>
          <w:b w:val="0"/>
          <w:bCs w:val="0"/>
          <w:color w:val="000000" w:themeColor="text1"/>
          <w:kern w:val="0"/>
          <w:sz w:val="32"/>
          <w:szCs w:val="32"/>
          <w:shd w:val="clear" w:fill="FFFFFF"/>
          <w14:textFill>
            <w14:solidFill>
              <w14:schemeClr w14:val="tx1"/>
            </w14:solidFill>
          </w14:textFill>
        </w:rPr>
        <w:t>合理控制了成本，减少了办公费等的支出</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。公用经费用途主要包括</w:t>
      </w:r>
      <w:r>
        <w:rPr>
          <w:rFonts w:hint="default" w:ascii="Times New Roman" w:hAnsi="Times New Roman" w:eastAsia="方正仿宋_GBK" w:cs="Times New Roman"/>
          <w:b w:val="0"/>
          <w:bCs w:val="0"/>
          <w:color w:val="000000" w:themeColor="text1"/>
          <w:kern w:val="0"/>
          <w:sz w:val="32"/>
          <w:szCs w:val="32"/>
          <w:shd w:val="clear" w:fill="FFFFFF"/>
          <w14:textFill>
            <w14:solidFill>
              <w14:schemeClr w14:val="tx1"/>
            </w14:solidFill>
          </w14:textFill>
        </w:rPr>
        <w:t>办公费、水电费、培训费等。</w:t>
      </w:r>
    </w:p>
    <w:p>
      <w:pPr>
        <w:pStyle w:val="15"/>
        <w:keepNext w:val="0"/>
        <w:keepLines w:val="0"/>
        <w:pageBreakBefore w:val="0"/>
        <w:widowControl/>
        <w:kinsoku/>
        <w:wordWrap/>
        <w:overflowPunct/>
        <w:topLinePunct w:val="0"/>
        <w:autoSpaceDE w:val="0"/>
        <w:autoSpaceDN/>
        <w:bidi w:val="0"/>
        <w:adjustRightInd/>
        <w:spacing w:beforeAutospacing="0" w:afterAutospacing="0" w:line="560" w:lineRule="exact"/>
        <w:ind w:firstLine="640" w:firstLineChars="200"/>
        <w:textAlignment w:val="auto"/>
        <w:outlineLvl w:val="9"/>
        <w:rPr>
          <w:rFonts w:hint="default" w:ascii="方正楷体_GBK" w:hAnsi="方正楷体_GBK" w:eastAsia="方正楷体_GBK" w:cs="方正楷体_GBK"/>
          <w:b w:val="0"/>
          <w:bCs w:val="0"/>
          <w:color w:val="000000" w:themeColor="text1"/>
          <w:sz w:val="32"/>
          <w:szCs w:val="32"/>
          <w:shd w:val="clear" w:color="auto" w:fill="FFFFFF"/>
          <w14:textFill>
            <w14:solidFill>
              <w14:schemeClr w14:val="tx1"/>
            </w14:solidFill>
          </w14:textFill>
        </w:rPr>
      </w:pPr>
      <w:r>
        <w:rPr>
          <w:rFonts w:hint="default" w:ascii="方正楷体_GBK" w:hAnsi="方正楷体_GBK" w:eastAsia="方正楷体_GBK" w:cs="方正楷体_GBK"/>
          <w:b w:val="0"/>
          <w:bCs w:val="0"/>
          <w:color w:val="000000" w:themeColor="text1"/>
          <w:sz w:val="32"/>
          <w:szCs w:val="32"/>
          <w:shd w:val="clear" w:color="auto" w:fill="FFFFFF"/>
          <w14:textFill>
            <w14:solidFill>
              <w14:schemeClr w14:val="tx1"/>
            </w14:solidFill>
          </w14:textFill>
        </w:rPr>
        <w:t>（五）政府性基金预算收支决算情况说明</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2023年度政府性基金预算财政拨款年初结转结余</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1397.16</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万元，年末结转结余</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0.00</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万元。本年收入</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0.00</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万元。本年支出</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1397.16</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万元，较上年决算数减少1048.84万元，下降42.88%，主要原因是</w:t>
      </w:r>
      <w:r>
        <w:rPr>
          <w:rFonts w:hint="default" w:ascii="Times New Roman" w:hAnsi="Times New Roman" w:eastAsia="方正仿宋_GBK" w:cs="Times New Roman"/>
          <w:b w:val="0"/>
          <w:bCs w:val="0"/>
          <w:color w:val="000000" w:themeColor="text1"/>
          <w:kern w:val="0"/>
          <w:sz w:val="32"/>
          <w:szCs w:val="32"/>
          <w:shd w:val="clear" w:fill="FFFFFF"/>
          <w14:textFill>
            <w14:solidFill>
              <w14:schemeClr w14:val="tx1"/>
            </w14:solidFill>
          </w14:textFill>
        </w:rPr>
        <w:t>项目</w:t>
      </w:r>
      <w:r>
        <w:rPr>
          <w:rFonts w:hint="default" w:ascii="Times New Roman" w:hAnsi="Times New Roman" w:eastAsia="方正仿宋_GBK" w:cs="Times New Roman"/>
          <w:b w:val="0"/>
          <w:bCs w:val="0"/>
          <w:color w:val="000000" w:themeColor="text1"/>
          <w:kern w:val="0"/>
          <w:sz w:val="32"/>
          <w:szCs w:val="32"/>
          <w:shd w:val="clear" w:fill="FFFFFF"/>
          <w:lang w:eastAsia="zh-CN"/>
          <w14:textFill>
            <w14:solidFill>
              <w14:schemeClr w14:val="tx1"/>
            </w14:solidFill>
          </w14:textFill>
        </w:rPr>
        <w:t>资金</w:t>
      </w:r>
      <w:r>
        <w:rPr>
          <w:rFonts w:hint="default" w:ascii="Times New Roman" w:hAnsi="Times New Roman" w:eastAsia="方正仿宋_GBK" w:cs="Times New Roman"/>
          <w:b w:val="0"/>
          <w:bCs w:val="0"/>
          <w:color w:val="000000" w:themeColor="text1"/>
          <w:kern w:val="0"/>
          <w:sz w:val="32"/>
          <w:szCs w:val="32"/>
          <w:shd w:val="clear" w:fill="FFFFFF"/>
          <w14:textFill>
            <w14:solidFill>
              <w14:schemeClr w14:val="tx1"/>
            </w14:solidFill>
          </w14:textFill>
        </w:rPr>
        <w:t>支出</w:t>
      </w:r>
      <w:r>
        <w:rPr>
          <w:rFonts w:hint="default" w:ascii="Times New Roman" w:hAnsi="Times New Roman" w:eastAsia="方正仿宋_GBK" w:cs="Times New Roman"/>
          <w:b w:val="0"/>
          <w:bCs w:val="0"/>
          <w:color w:val="000000" w:themeColor="text1"/>
          <w:kern w:val="0"/>
          <w:sz w:val="32"/>
          <w:szCs w:val="32"/>
          <w:shd w:val="clear" w:fill="FFFFFF"/>
          <w:lang w:eastAsia="zh-CN"/>
          <w14:textFill>
            <w14:solidFill>
              <w14:schemeClr w14:val="tx1"/>
            </w14:solidFill>
          </w14:textFill>
        </w:rPr>
        <w:t>减少</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w:t>
      </w:r>
    </w:p>
    <w:p>
      <w:pPr>
        <w:pStyle w:val="15"/>
        <w:keepNext w:val="0"/>
        <w:keepLines w:val="0"/>
        <w:pageBreakBefore w:val="0"/>
        <w:widowControl/>
        <w:kinsoku/>
        <w:wordWrap/>
        <w:overflowPunct/>
        <w:topLinePunct w:val="0"/>
        <w:autoSpaceDE w:val="0"/>
        <w:autoSpaceDN/>
        <w:bidi w:val="0"/>
        <w:adjustRightInd/>
        <w:spacing w:beforeAutospacing="0" w:afterAutospacing="0" w:line="560" w:lineRule="exact"/>
        <w:ind w:firstLine="640" w:firstLineChars="200"/>
        <w:textAlignment w:val="auto"/>
        <w:outlineLvl w:val="9"/>
        <w:rPr>
          <w:rFonts w:hint="default" w:ascii="方正楷体_GBK" w:hAnsi="方正楷体_GBK" w:eastAsia="方正楷体_GBK" w:cs="方正楷体_GBK"/>
          <w:b w:val="0"/>
          <w:bCs w:val="0"/>
          <w:color w:val="000000" w:themeColor="text1"/>
          <w:sz w:val="32"/>
          <w:szCs w:val="32"/>
          <w:shd w:val="clear" w:color="auto" w:fill="FFFFFF"/>
          <w14:textFill>
            <w14:solidFill>
              <w14:schemeClr w14:val="tx1"/>
            </w14:solidFill>
          </w14:textFill>
        </w:rPr>
      </w:pPr>
      <w:r>
        <w:rPr>
          <w:rFonts w:hint="default" w:ascii="方正楷体_GBK" w:hAnsi="方正楷体_GBK" w:eastAsia="方正楷体_GBK" w:cs="方正楷体_GBK"/>
          <w:b w:val="0"/>
          <w:bCs w:val="0"/>
          <w:color w:val="000000" w:themeColor="text1"/>
          <w:sz w:val="32"/>
          <w:szCs w:val="32"/>
          <w:shd w:val="clear" w:color="auto" w:fill="FFFFFF"/>
          <w14:textFill>
            <w14:solidFill>
              <w14:schemeClr w14:val="tx1"/>
            </w14:solidFill>
          </w14:textFill>
        </w:rPr>
        <w:t>（六）国有资本经营预算财政拨款支出决算情况说明</w:t>
      </w:r>
    </w:p>
    <w:p>
      <w:pPr>
        <w:pStyle w:val="16"/>
        <w:keepNext w:val="0"/>
        <w:keepLines w:val="0"/>
        <w:pageBreakBefore w:val="0"/>
        <w:widowControl/>
        <w:suppressLineNumbers w:val="0"/>
        <w:kinsoku/>
        <w:wordWrap/>
        <w:overflowPunct/>
        <w:topLinePunct w:val="0"/>
        <w:autoSpaceDE w:val="0"/>
        <w:autoSpaceDN/>
        <w:bidi w:val="0"/>
        <w:adjustRightInd/>
        <w:spacing w:before="0" w:beforeAutospacing="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shd w:val="clear" w:fill="FFFFFF"/>
          <w14:textFill>
            <w14:solidFill>
              <w14:schemeClr w14:val="tx1"/>
            </w14:solidFill>
          </w14:textFill>
        </w:rPr>
      </w:pPr>
      <w:r>
        <w:rPr>
          <w:rFonts w:hint="default" w:ascii="Times New Roman" w:hAnsi="Times New Roman" w:eastAsia="方正仿宋_GBK" w:cs="Times New Roman"/>
          <w:b w:val="0"/>
          <w:bCs w:val="0"/>
          <w:color w:val="000000" w:themeColor="text1"/>
          <w:kern w:val="0"/>
          <w:sz w:val="32"/>
          <w:szCs w:val="32"/>
          <w:shd w:val="clear" w:fill="FFFFFF"/>
          <w14:textFill>
            <w14:solidFill>
              <w14:schemeClr w14:val="tx1"/>
            </w14:solidFill>
          </w14:textFill>
        </w:rPr>
        <w:t>本单位202</w:t>
      </w:r>
      <w:r>
        <w:rPr>
          <w:rFonts w:hint="eastAsia" w:ascii="Times New Roman" w:hAnsi="Times New Roman" w:eastAsia="方正仿宋_GBK" w:cs="Times New Roman"/>
          <w:b w:val="0"/>
          <w:bCs w:val="0"/>
          <w:color w:val="000000" w:themeColor="text1"/>
          <w:kern w:val="0"/>
          <w:sz w:val="32"/>
          <w:szCs w:val="32"/>
          <w:shd w:val="clear" w:fill="FFFFFF"/>
          <w:lang w:val="en-US" w:eastAsia="zh-CN"/>
          <w14:textFill>
            <w14:solidFill>
              <w14:schemeClr w14:val="tx1"/>
            </w14:solidFill>
          </w14:textFill>
        </w:rPr>
        <w:t>3</w:t>
      </w:r>
      <w:r>
        <w:rPr>
          <w:rFonts w:hint="default" w:ascii="Times New Roman" w:hAnsi="Times New Roman" w:eastAsia="方正仿宋_GBK" w:cs="Times New Roman"/>
          <w:b w:val="0"/>
          <w:bCs w:val="0"/>
          <w:color w:val="000000" w:themeColor="text1"/>
          <w:kern w:val="0"/>
          <w:sz w:val="32"/>
          <w:szCs w:val="32"/>
          <w:shd w:val="clear" w:fill="FFFFFF"/>
          <w14:textFill>
            <w14:solidFill>
              <w14:schemeClr w14:val="tx1"/>
            </w14:solidFill>
          </w14:textFill>
        </w:rPr>
        <w:t>年度无国有资本经营预算财政拨款支出。</w:t>
      </w:r>
    </w:p>
    <w:p>
      <w:pPr>
        <w:pStyle w:val="9"/>
        <w:keepNext w:val="0"/>
        <w:keepLines w:val="0"/>
        <w:pageBreakBefore w:val="0"/>
        <w:widowControl/>
        <w:kinsoku/>
        <w:wordWrap/>
        <w:overflowPunct/>
        <w:topLinePunct w:val="0"/>
        <w:autoSpaceDN/>
        <w:bidi w:val="0"/>
        <w:adjustRightInd/>
        <w:snapToGrid/>
        <w:spacing w:before="0" w:beforeAutospacing="0" w:after="0" w:afterAutospacing="0" w:line="560" w:lineRule="exact"/>
        <w:ind w:firstLine="640" w:firstLineChars="200"/>
        <w:jc w:val="left"/>
        <w:textAlignment w:val="auto"/>
        <w:outlineLvl w:val="9"/>
        <w:rPr>
          <w:rStyle w:val="11"/>
          <w:rFonts w:hint="default" w:ascii="方正黑体_GBK" w:hAnsi="方正黑体_GBK" w:eastAsia="方正黑体_GBK" w:cs="方正黑体_GBK"/>
          <w:b w:val="0"/>
          <w:bCs w:val="0"/>
          <w:color w:val="000000" w:themeColor="text1"/>
          <w:sz w:val="32"/>
          <w:szCs w:val="32"/>
          <w:shd w:val="clear" w:color="auto" w:fill="FFFFFF"/>
          <w14:textFill>
            <w14:solidFill>
              <w14:schemeClr w14:val="tx1"/>
            </w14:solidFill>
          </w14:textFill>
        </w:rPr>
      </w:pPr>
      <w:r>
        <w:rPr>
          <w:rStyle w:val="11"/>
          <w:rFonts w:hint="default" w:ascii="方正黑体_GBK" w:hAnsi="方正黑体_GBK" w:eastAsia="方正黑体_GBK" w:cs="方正黑体_GBK"/>
          <w:b w:val="0"/>
          <w:bCs w:val="0"/>
          <w:color w:val="000000" w:themeColor="text1"/>
          <w:sz w:val="32"/>
          <w:szCs w:val="32"/>
          <w:shd w:val="clear" w:color="auto" w:fill="FFFFFF"/>
          <w14:textFill>
            <w14:solidFill>
              <w14:schemeClr w14:val="tx1"/>
            </w14:solidFill>
          </w14:textFill>
        </w:rPr>
        <w:t>三、“三公”经费情况说明</w:t>
      </w:r>
    </w:p>
    <w:p>
      <w:pPr>
        <w:pStyle w:val="15"/>
        <w:keepNext w:val="0"/>
        <w:keepLines w:val="0"/>
        <w:pageBreakBefore w:val="0"/>
        <w:widowControl/>
        <w:kinsoku/>
        <w:wordWrap/>
        <w:overflowPunct/>
        <w:topLinePunct w:val="0"/>
        <w:autoSpaceDE w:val="0"/>
        <w:autoSpaceDN/>
        <w:bidi w:val="0"/>
        <w:adjustRightInd/>
        <w:spacing w:beforeAutospacing="0" w:afterAutospacing="0" w:line="560" w:lineRule="exact"/>
        <w:ind w:firstLine="640" w:firstLineChars="200"/>
        <w:textAlignment w:val="auto"/>
        <w:outlineLvl w:val="9"/>
        <w:rPr>
          <w:rFonts w:hint="default" w:ascii="方正楷体_GBK" w:hAnsi="方正楷体_GBK" w:eastAsia="方正楷体_GBK" w:cs="方正楷体_GBK"/>
          <w:b w:val="0"/>
          <w:bCs w:val="0"/>
          <w:color w:val="000000" w:themeColor="text1"/>
          <w:sz w:val="32"/>
          <w:szCs w:val="32"/>
          <w:shd w:val="clear" w:color="auto" w:fill="FFFFFF"/>
          <w14:textFill>
            <w14:solidFill>
              <w14:schemeClr w14:val="tx1"/>
            </w14:solidFill>
          </w14:textFill>
        </w:rPr>
      </w:pPr>
      <w:r>
        <w:rPr>
          <w:rFonts w:hint="default" w:ascii="方正楷体_GBK" w:hAnsi="方正楷体_GBK" w:eastAsia="方正楷体_GBK" w:cs="方正楷体_GBK"/>
          <w:b w:val="0"/>
          <w:bCs w:val="0"/>
          <w:color w:val="000000" w:themeColor="text1"/>
          <w:sz w:val="32"/>
          <w:szCs w:val="32"/>
          <w:shd w:val="clear" w:color="auto" w:fill="FFFFFF"/>
          <w14:textFill>
            <w14:solidFill>
              <w14:schemeClr w14:val="tx1"/>
            </w14:solidFill>
          </w14:textFill>
        </w:rPr>
        <w:t>（一）“三公”经费支出总体情况说明</w:t>
      </w:r>
    </w:p>
    <w:p>
      <w:pPr>
        <w:pStyle w:val="16"/>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shd w:val="clear" w:fill="FFFFFF"/>
          <w14:textFill>
            <w14:solidFill>
              <w14:schemeClr w14:val="tx1"/>
            </w14:solidFill>
          </w14:textFill>
        </w:rPr>
      </w:pPr>
      <w:r>
        <w:rPr>
          <w:rFonts w:hint="default" w:ascii="Times New Roman" w:hAnsi="Times New Roman" w:eastAsia="方正仿宋_GBK" w:cs="Times New Roman"/>
          <w:b w:val="0"/>
          <w:bCs w:val="0"/>
          <w:color w:val="000000" w:themeColor="text1"/>
          <w:kern w:val="0"/>
          <w:sz w:val="32"/>
          <w:szCs w:val="32"/>
          <w:shd w:val="clear" w:fill="FFFFFF"/>
          <w14:textFill>
            <w14:solidFill>
              <w14:schemeClr w14:val="tx1"/>
            </w14:solidFill>
          </w14:textFill>
        </w:rPr>
        <w:t>本单位为差额拨款单位，财政未保障本单位“三公”经费。</w:t>
      </w:r>
    </w:p>
    <w:p>
      <w:pPr>
        <w:pStyle w:val="15"/>
        <w:keepNext w:val="0"/>
        <w:keepLines w:val="0"/>
        <w:pageBreakBefore w:val="0"/>
        <w:widowControl/>
        <w:kinsoku/>
        <w:wordWrap/>
        <w:overflowPunct/>
        <w:topLinePunct w:val="0"/>
        <w:autoSpaceDE w:val="0"/>
        <w:autoSpaceDN/>
        <w:bidi w:val="0"/>
        <w:adjustRightInd/>
        <w:spacing w:beforeAutospacing="0" w:afterAutospacing="0" w:line="560" w:lineRule="exact"/>
        <w:ind w:firstLine="640" w:firstLineChars="200"/>
        <w:textAlignment w:val="auto"/>
        <w:outlineLvl w:val="9"/>
        <w:rPr>
          <w:rFonts w:hint="default" w:ascii="方正楷体_GBK" w:hAnsi="方正楷体_GBK" w:eastAsia="方正楷体_GBK" w:cs="方正楷体_GBK"/>
          <w:b w:val="0"/>
          <w:bCs w:val="0"/>
          <w:color w:val="000000" w:themeColor="text1"/>
          <w:sz w:val="32"/>
          <w:szCs w:val="32"/>
          <w:shd w:val="clear" w:color="auto" w:fill="FFFFFF"/>
          <w14:textFill>
            <w14:solidFill>
              <w14:schemeClr w14:val="tx1"/>
            </w14:solidFill>
          </w14:textFill>
        </w:rPr>
      </w:pPr>
      <w:r>
        <w:rPr>
          <w:rFonts w:hint="default" w:ascii="方正楷体_GBK" w:hAnsi="方正楷体_GBK" w:eastAsia="方正楷体_GBK" w:cs="方正楷体_GBK"/>
          <w:b w:val="0"/>
          <w:bCs w:val="0"/>
          <w:color w:val="000000" w:themeColor="text1"/>
          <w:sz w:val="32"/>
          <w:szCs w:val="32"/>
          <w:shd w:val="clear" w:color="auto" w:fill="FFFFFF"/>
          <w14:textFill>
            <w14:solidFill>
              <w14:schemeClr w14:val="tx1"/>
            </w14:solidFill>
          </w14:textFill>
        </w:rPr>
        <w:t>（二）“三公”经费分项支出情况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w:t>
      </w:r>
      <w:r>
        <w:rPr>
          <w:rFonts w:ascii="Times New Roman" w:hAnsi="Times New Roman" w:eastAsia="方正仿宋_GBK" w:cs="方正仿宋_GBK"/>
          <w:sz w:val="32"/>
          <w:szCs w:val="32"/>
          <w:shd w:val="clear" w:color="auto" w:fill="FFFFFF"/>
        </w:rPr>
        <w:t>因公出国（境）费用</w:t>
      </w:r>
      <w:r>
        <w:rPr>
          <w:rFonts w:hint="eastAsia" w:ascii="Times New Roman" w:hAnsi="Times New Roman" w:eastAsia="方正仿宋_GBK" w:cs="方正仿宋_GBK"/>
          <w:sz w:val="32"/>
          <w:szCs w:val="32"/>
          <w:shd w:val="clear" w:color="auto" w:fill="FFFFFF"/>
          <w:lang w:eastAsia="zh-CN"/>
        </w:rPr>
        <w:t>，</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无公务车购置费，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sz w:val="32"/>
          <w:szCs w:val="32"/>
          <w:shd w:val="clear" w:color="auto" w:fill="FFFFFF"/>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无公务车运行维护费，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4"/>
        <w:keepNext w:val="0"/>
        <w:keepLines w:val="0"/>
        <w:pageBreakBefore w:val="0"/>
        <w:widowControl/>
        <w:kinsoku/>
        <w:wordWrap/>
        <w:overflowPunct/>
        <w:topLinePunct w:val="0"/>
        <w:autoSpaceDE/>
        <w:autoSpaceDN/>
        <w:bidi w:val="0"/>
        <w:adjustRightInd/>
        <w:snapToGrid/>
        <w:spacing w:after="0" w:line="560" w:lineRule="exact"/>
        <w:ind w:left="0" w:firstLine="640" w:firstLineChars="200"/>
        <w:jc w:val="both"/>
        <w:textAlignment w:val="auto"/>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无公务接待费，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15"/>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textAlignment w:val="auto"/>
        <w:outlineLvl w:val="9"/>
        <w:rPr>
          <w:rFonts w:hint="default" w:ascii="方正楷体_GBK" w:hAnsi="方正楷体_GBK" w:eastAsia="方正楷体_GBK" w:cs="方正楷体_GBK"/>
          <w:b w:val="0"/>
          <w:bCs w:val="0"/>
          <w:color w:val="000000" w:themeColor="text1"/>
          <w:sz w:val="32"/>
          <w:szCs w:val="32"/>
          <w:shd w:val="clear" w:color="auto" w:fill="FFFFFF"/>
          <w14:textFill>
            <w14:solidFill>
              <w14:schemeClr w14:val="tx1"/>
            </w14:solidFill>
          </w14:textFill>
        </w:rPr>
      </w:pPr>
      <w:r>
        <w:rPr>
          <w:rFonts w:hint="default" w:ascii="方正楷体_GBK" w:hAnsi="方正楷体_GBK" w:eastAsia="方正楷体_GBK" w:cs="方正楷体_GBK"/>
          <w:b w:val="0"/>
          <w:bCs w:val="0"/>
          <w:color w:val="000000" w:themeColor="text1"/>
          <w:sz w:val="32"/>
          <w:szCs w:val="32"/>
          <w:shd w:val="clear" w:color="auto" w:fill="FFFFFF"/>
          <w14:textFill>
            <w14:solidFill>
              <w14:schemeClr w14:val="tx1"/>
            </w14:solidFill>
          </w14:textFill>
        </w:rPr>
        <w:t>（三）“三公”经费实物量情况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2023年度本单位因公出国（境）共计</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0</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个团组，</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0</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人；公务用车购置</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0</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辆，公务车保有量为</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0</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辆；国内公务接待</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0</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批次</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0</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人，其中：国内外事接待</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0</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批次，</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0</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人；国（境）外公务接待</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0</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批次，</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0</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人。2023年本单位人均接待费</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0</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元，车均购置费</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0</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万元，车均维护费</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0</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万元。</w:t>
      </w:r>
    </w:p>
    <w:p>
      <w:pPr>
        <w:pStyle w:val="9"/>
        <w:keepNext w:val="0"/>
        <w:keepLines w:val="0"/>
        <w:pageBreakBefore w:val="0"/>
        <w:widowControl/>
        <w:kinsoku/>
        <w:wordWrap/>
        <w:overflowPunct/>
        <w:topLinePunct w:val="0"/>
        <w:autoSpaceDN/>
        <w:bidi w:val="0"/>
        <w:adjustRightInd/>
        <w:snapToGrid/>
        <w:spacing w:before="0" w:beforeAutospacing="0" w:after="0" w:afterAutospacing="0" w:line="560" w:lineRule="exact"/>
        <w:ind w:firstLine="640" w:firstLineChars="200"/>
        <w:jc w:val="left"/>
        <w:textAlignment w:val="auto"/>
        <w:outlineLvl w:val="9"/>
        <w:rPr>
          <w:rStyle w:val="11"/>
          <w:rFonts w:hint="default" w:ascii="方正黑体_GBK" w:hAnsi="方正黑体_GBK" w:eastAsia="方正黑体_GBK" w:cs="方正黑体_GBK"/>
          <w:b w:val="0"/>
          <w:bCs w:val="0"/>
          <w:color w:val="000000" w:themeColor="text1"/>
          <w:sz w:val="32"/>
          <w:szCs w:val="32"/>
          <w:shd w:val="clear" w:color="auto" w:fill="FFFFFF"/>
          <w14:textFill>
            <w14:solidFill>
              <w14:schemeClr w14:val="tx1"/>
            </w14:solidFill>
          </w14:textFill>
        </w:rPr>
      </w:pPr>
      <w:r>
        <w:rPr>
          <w:rStyle w:val="11"/>
          <w:rFonts w:hint="default" w:ascii="方正黑体_GBK" w:hAnsi="方正黑体_GBK" w:eastAsia="方正黑体_GBK" w:cs="方正黑体_GBK"/>
          <w:b w:val="0"/>
          <w:bCs w:val="0"/>
          <w:color w:val="000000" w:themeColor="text1"/>
          <w:sz w:val="32"/>
          <w:szCs w:val="32"/>
          <w:shd w:val="clear" w:color="auto" w:fill="FFFFFF"/>
          <w14:textFill>
            <w14:solidFill>
              <w14:schemeClr w14:val="tx1"/>
            </w14:solidFill>
          </w14:textFill>
        </w:rPr>
        <w:t>四、其他需要说明的事项</w:t>
      </w:r>
    </w:p>
    <w:p>
      <w:pPr>
        <w:pStyle w:val="15"/>
        <w:keepNext w:val="0"/>
        <w:keepLines w:val="0"/>
        <w:pageBreakBefore w:val="0"/>
        <w:widowControl/>
        <w:kinsoku/>
        <w:wordWrap/>
        <w:overflowPunct/>
        <w:topLinePunct w:val="0"/>
        <w:autoSpaceDE w:val="0"/>
        <w:autoSpaceDN/>
        <w:bidi w:val="0"/>
        <w:adjustRightInd/>
        <w:spacing w:beforeAutospacing="0" w:afterAutospacing="0" w:line="560" w:lineRule="exact"/>
        <w:ind w:firstLine="640" w:firstLineChars="200"/>
        <w:textAlignment w:val="auto"/>
        <w:outlineLvl w:val="9"/>
        <w:rPr>
          <w:rFonts w:hint="default" w:ascii="Times New Roman" w:hAnsi="Times New Roman" w:eastAsia="楷体" w:cs="Times New Roman"/>
          <w:b w:val="0"/>
          <w:bCs w:val="0"/>
          <w:color w:val="000000" w:themeColor="text1"/>
          <w:sz w:val="32"/>
          <w:szCs w:val="32"/>
          <w:shd w:val="clear" w:color="auto" w:fill="FFFFFF"/>
          <w14:textFill>
            <w14:solidFill>
              <w14:schemeClr w14:val="tx1"/>
            </w14:solidFill>
          </w14:textFill>
        </w:rPr>
      </w:pPr>
      <w:r>
        <w:rPr>
          <w:rFonts w:hint="default" w:ascii="方正楷体_GBK" w:hAnsi="方正楷体_GBK" w:eastAsia="方正楷体_GBK" w:cs="方正楷体_GBK"/>
          <w:b w:val="0"/>
          <w:bCs w:val="0"/>
          <w:color w:val="000000" w:themeColor="text1"/>
          <w:sz w:val="32"/>
          <w:szCs w:val="32"/>
          <w:shd w:val="clear" w:color="auto" w:fill="FFFFFF"/>
          <w14:textFill>
            <w14:solidFill>
              <w14:schemeClr w14:val="tx1"/>
            </w14:solidFill>
          </w14:textFill>
        </w:rPr>
        <w:t>（一）财政拨款会议费和培训费情况说明</w:t>
      </w:r>
    </w:p>
    <w:p>
      <w:pPr>
        <w:pStyle w:val="16"/>
        <w:keepNext w:val="0"/>
        <w:keepLines w:val="0"/>
        <w:pageBreakBefore w:val="0"/>
        <w:widowControl/>
        <w:suppressLineNumbers w:val="0"/>
        <w:kinsoku/>
        <w:wordWrap/>
        <w:overflowPunct/>
        <w:topLinePunct w:val="0"/>
        <w:autoSpaceDE w:val="0"/>
        <w:autoSpaceDN/>
        <w:bidi w:val="0"/>
        <w:adjustRightInd/>
        <w:spacing w:before="0" w:beforeAutospacing="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kern w:val="0"/>
          <w:sz w:val="32"/>
          <w:szCs w:val="32"/>
          <w:shd w:val="clear" w:fill="FFFFFF"/>
          <w14:textFill>
            <w14:solidFill>
              <w14:schemeClr w14:val="tx1"/>
            </w14:solidFill>
          </w14:textFill>
        </w:rPr>
        <w:t>本单位为差额拨款单位，财政未保障本单位会议费和培训费。</w:t>
      </w:r>
    </w:p>
    <w:p>
      <w:pPr>
        <w:pStyle w:val="15"/>
        <w:keepNext w:val="0"/>
        <w:keepLines w:val="0"/>
        <w:pageBreakBefore w:val="0"/>
        <w:widowControl/>
        <w:kinsoku/>
        <w:wordWrap/>
        <w:overflowPunct/>
        <w:topLinePunct w:val="0"/>
        <w:autoSpaceDE w:val="0"/>
        <w:autoSpaceDN/>
        <w:bidi w:val="0"/>
        <w:adjustRightInd/>
        <w:spacing w:beforeAutospacing="0" w:afterAutospacing="0" w:line="560" w:lineRule="exact"/>
        <w:ind w:firstLine="640" w:firstLineChars="200"/>
        <w:textAlignment w:val="auto"/>
        <w:outlineLvl w:val="9"/>
        <w:rPr>
          <w:rFonts w:hint="default" w:ascii="方正楷体_GBK" w:hAnsi="方正楷体_GBK" w:eastAsia="方正楷体_GBK" w:cs="方正楷体_GBK"/>
          <w:b w:val="0"/>
          <w:bCs w:val="0"/>
          <w:color w:val="000000" w:themeColor="text1"/>
          <w:sz w:val="32"/>
          <w:szCs w:val="32"/>
          <w:shd w:val="clear" w:color="auto" w:fill="FFFFFF"/>
          <w14:textFill>
            <w14:solidFill>
              <w14:schemeClr w14:val="tx1"/>
            </w14:solidFill>
          </w14:textFill>
        </w:rPr>
      </w:pPr>
      <w:r>
        <w:rPr>
          <w:rFonts w:hint="default" w:ascii="方正楷体_GBK" w:hAnsi="方正楷体_GBK" w:eastAsia="方正楷体_GBK" w:cs="方正楷体_GBK"/>
          <w:b w:val="0"/>
          <w:bCs w:val="0"/>
          <w:color w:val="000000" w:themeColor="text1"/>
          <w:sz w:val="32"/>
          <w:szCs w:val="32"/>
          <w:shd w:val="clear" w:color="auto" w:fill="FFFFFF"/>
          <w14:textFill>
            <w14:solidFill>
              <w14:schemeClr w14:val="tx1"/>
            </w14:solidFill>
          </w14:textFill>
        </w:rPr>
        <w:t>（二）机关运行经费情况说明</w:t>
      </w:r>
    </w:p>
    <w:p>
      <w:pPr>
        <w:pStyle w:val="16"/>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shd w:val="clear" w:fill="FFFFFF"/>
          <w14:textFill>
            <w14:solidFill>
              <w14:schemeClr w14:val="tx1"/>
            </w14:solidFill>
          </w14:textFill>
        </w:rPr>
      </w:pPr>
      <w:r>
        <w:rPr>
          <w:rFonts w:hint="default" w:ascii="Times New Roman" w:hAnsi="Times New Roman" w:eastAsia="方正仿宋_GBK" w:cs="Times New Roman"/>
          <w:b w:val="0"/>
          <w:bCs w:val="0"/>
          <w:color w:val="000000" w:themeColor="text1"/>
          <w:kern w:val="0"/>
          <w:sz w:val="32"/>
          <w:szCs w:val="32"/>
          <w:shd w:val="clear" w:fill="FFFFFF"/>
          <w14:textFill>
            <w14:solidFill>
              <w14:schemeClr w14:val="tx1"/>
            </w14:solidFill>
          </w14:textFill>
        </w:rPr>
        <w:t>按照部门决算列报口径，因本单位为差额拨款事业单位不在机关运行经费统计范围之内。</w:t>
      </w:r>
    </w:p>
    <w:p>
      <w:pPr>
        <w:pStyle w:val="15"/>
        <w:keepNext w:val="0"/>
        <w:keepLines w:val="0"/>
        <w:pageBreakBefore w:val="0"/>
        <w:widowControl/>
        <w:kinsoku/>
        <w:wordWrap/>
        <w:overflowPunct/>
        <w:topLinePunct w:val="0"/>
        <w:autoSpaceDE w:val="0"/>
        <w:autoSpaceDN/>
        <w:bidi w:val="0"/>
        <w:adjustRightInd/>
        <w:spacing w:beforeAutospacing="0" w:afterAutospacing="0" w:line="560" w:lineRule="exact"/>
        <w:ind w:firstLine="640" w:firstLineChars="200"/>
        <w:textAlignment w:val="auto"/>
        <w:outlineLvl w:val="9"/>
        <w:rPr>
          <w:rFonts w:hint="default" w:ascii="方正楷体_GBK" w:hAnsi="方正楷体_GBK" w:eastAsia="方正楷体_GBK" w:cs="方正楷体_GBK"/>
          <w:b w:val="0"/>
          <w:bCs w:val="0"/>
          <w:color w:val="000000" w:themeColor="text1"/>
          <w:sz w:val="32"/>
          <w:szCs w:val="32"/>
          <w:shd w:val="clear" w:color="auto" w:fill="FFFFFF"/>
          <w14:textFill>
            <w14:solidFill>
              <w14:schemeClr w14:val="tx1"/>
            </w14:solidFill>
          </w14:textFill>
        </w:rPr>
      </w:pPr>
      <w:r>
        <w:rPr>
          <w:rFonts w:hint="default" w:ascii="方正楷体_GBK" w:hAnsi="方正楷体_GBK" w:eastAsia="方正楷体_GBK" w:cs="方正楷体_GBK"/>
          <w:b w:val="0"/>
          <w:bCs w:val="0"/>
          <w:color w:val="000000" w:themeColor="text1"/>
          <w:sz w:val="32"/>
          <w:szCs w:val="32"/>
          <w:shd w:val="clear" w:color="auto" w:fill="FFFFFF"/>
          <w14:textFill>
            <w14:solidFill>
              <w14:schemeClr w14:val="tx1"/>
            </w14:solidFill>
          </w14:textFill>
        </w:rPr>
        <w:t>（三）国有资产占用情况说明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截至2023年12月31日，本单位共有车辆</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3</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辆，其中，副部（省）级及以上领导用车</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0</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辆、主要负责人用车</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0</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辆、机要通信用车</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0</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辆、应急保障用车</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0</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辆、执法执勤用车</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0</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辆，特种专业技术用车</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3</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辆，离退休干部用车</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0</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辆。单价100万元（含）以上专用设备</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0</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台（套）。</w:t>
      </w:r>
    </w:p>
    <w:p>
      <w:pPr>
        <w:pStyle w:val="15"/>
        <w:keepNext w:val="0"/>
        <w:keepLines w:val="0"/>
        <w:pageBreakBefore w:val="0"/>
        <w:widowControl/>
        <w:kinsoku/>
        <w:wordWrap/>
        <w:overflowPunct/>
        <w:topLinePunct w:val="0"/>
        <w:autoSpaceDE w:val="0"/>
        <w:autoSpaceDN/>
        <w:bidi w:val="0"/>
        <w:adjustRightInd/>
        <w:spacing w:beforeAutospacing="0" w:afterAutospacing="0" w:line="560" w:lineRule="exact"/>
        <w:ind w:firstLine="640" w:firstLineChars="200"/>
        <w:textAlignment w:val="auto"/>
        <w:outlineLvl w:val="9"/>
        <w:rPr>
          <w:rFonts w:hint="default" w:ascii="方正楷体_GBK" w:hAnsi="方正楷体_GBK" w:eastAsia="方正楷体_GBK" w:cs="方正楷体_GBK"/>
          <w:b w:val="0"/>
          <w:bCs w:val="0"/>
          <w:color w:val="000000" w:themeColor="text1"/>
          <w:sz w:val="32"/>
          <w:szCs w:val="32"/>
          <w:shd w:val="clear" w:color="auto" w:fill="FFFFFF"/>
          <w14:textFill>
            <w14:solidFill>
              <w14:schemeClr w14:val="tx1"/>
            </w14:solidFill>
          </w14:textFill>
        </w:rPr>
      </w:pPr>
      <w:r>
        <w:rPr>
          <w:rFonts w:hint="default" w:ascii="方正楷体_GBK" w:hAnsi="方正楷体_GBK" w:eastAsia="方正楷体_GBK" w:cs="方正楷体_GBK"/>
          <w:b w:val="0"/>
          <w:bCs w:val="0"/>
          <w:color w:val="000000" w:themeColor="text1"/>
          <w:sz w:val="32"/>
          <w:szCs w:val="32"/>
          <w:shd w:val="clear" w:color="auto" w:fill="FFFFFF"/>
          <w14:textFill>
            <w14:solidFill>
              <w14:schemeClr w14:val="tx1"/>
            </w14:solidFill>
          </w14:textFill>
        </w:rPr>
        <w:t>（四）政府采购支出情况说明</w:t>
      </w:r>
    </w:p>
    <w:p>
      <w:pPr>
        <w:pStyle w:val="16"/>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shd w:val="clear" w:fill="FFFFFF"/>
          <w14:textFill>
            <w14:solidFill>
              <w14:schemeClr w14:val="tx1"/>
            </w14:solidFill>
          </w14:textFill>
        </w:rPr>
      </w:pPr>
      <w:r>
        <w:rPr>
          <w:rFonts w:hint="default" w:ascii="Times New Roman" w:hAnsi="Times New Roman" w:eastAsia="方正仿宋_GBK" w:cs="Times New Roman"/>
          <w:b w:val="0"/>
          <w:bCs w:val="0"/>
          <w:color w:val="000000" w:themeColor="text1"/>
          <w:kern w:val="0"/>
          <w:sz w:val="32"/>
          <w:szCs w:val="32"/>
          <w:shd w:val="clear" w:fill="FFFFFF"/>
          <w14:textFill>
            <w14:solidFill>
              <w14:schemeClr w14:val="tx1"/>
            </w14:solidFill>
          </w14:textFill>
        </w:rPr>
        <w:t>202</w:t>
      </w:r>
      <w:r>
        <w:rPr>
          <w:rFonts w:hint="default" w:ascii="Times New Roman" w:hAnsi="Times New Roman" w:eastAsia="方正仿宋_GBK" w:cs="Times New Roman"/>
          <w:b w:val="0"/>
          <w:bCs w:val="0"/>
          <w:color w:val="000000" w:themeColor="text1"/>
          <w:kern w:val="0"/>
          <w:sz w:val="32"/>
          <w:szCs w:val="32"/>
          <w:shd w:val="clear" w:fill="FFFFFF"/>
          <w:lang w:val="en-US" w:eastAsia="zh-CN"/>
          <w14:textFill>
            <w14:solidFill>
              <w14:schemeClr w14:val="tx1"/>
            </w14:solidFill>
          </w14:textFill>
        </w:rPr>
        <w:t>3</w:t>
      </w:r>
      <w:r>
        <w:rPr>
          <w:rFonts w:hint="default" w:ascii="Times New Roman" w:hAnsi="Times New Roman" w:eastAsia="方正仿宋_GBK" w:cs="Times New Roman"/>
          <w:b w:val="0"/>
          <w:bCs w:val="0"/>
          <w:color w:val="000000" w:themeColor="text1"/>
          <w:kern w:val="0"/>
          <w:sz w:val="32"/>
          <w:szCs w:val="32"/>
          <w:shd w:val="clear" w:fill="FFFFFF"/>
          <w14:textFill>
            <w14:solidFill>
              <w14:schemeClr w14:val="tx1"/>
            </w14:solidFill>
          </w14:textFill>
        </w:rPr>
        <w:t>年度本单位未发生政府采购事项，无相关经费支出。</w:t>
      </w:r>
    </w:p>
    <w:p>
      <w:pPr>
        <w:pStyle w:val="9"/>
        <w:keepNext w:val="0"/>
        <w:keepLines w:val="0"/>
        <w:pageBreakBefore w:val="0"/>
        <w:widowControl/>
        <w:kinsoku/>
        <w:wordWrap/>
        <w:overflowPunct/>
        <w:topLinePunct w:val="0"/>
        <w:autoSpaceDN/>
        <w:bidi w:val="0"/>
        <w:adjustRightInd/>
        <w:snapToGrid/>
        <w:spacing w:before="0" w:beforeAutospacing="0" w:after="0" w:afterAutospacing="0" w:line="560" w:lineRule="exact"/>
        <w:ind w:firstLine="640" w:firstLineChars="200"/>
        <w:jc w:val="left"/>
        <w:textAlignment w:val="auto"/>
        <w:outlineLvl w:val="9"/>
        <w:rPr>
          <w:rStyle w:val="11"/>
          <w:rFonts w:hint="default" w:ascii="方正黑体_GBK" w:hAnsi="方正黑体_GBK" w:eastAsia="方正黑体_GBK" w:cs="方正黑体_GBK"/>
          <w:b w:val="0"/>
          <w:bCs w:val="0"/>
          <w:color w:val="000000" w:themeColor="text1"/>
          <w:sz w:val="32"/>
          <w:szCs w:val="32"/>
          <w:shd w:val="clear" w:color="auto" w:fill="FFFFFF"/>
          <w14:textFill>
            <w14:solidFill>
              <w14:schemeClr w14:val="tx1"/>
            </w14:solidFill>
          </w14:textFill>
        </w:rPr>
      </w:pPr>
      <w:r>
        <w:rPr>
          <w:rStyle w:val="11"/>
          <w:rFonts w:hint="eastAsia" w:ascii="方正黑体_GBK" w:hAnsi="方正黑体_GBK" w:eastAsia="方正黑体_GBK" w:cs="方正黑体_GBK"/>
          <w:b w:val="0"/>
          <w:bCs w:val="0"/>
          <w:color w:val="000000" w:themeColor="text1"/>
          <w:sz w:val="32"/>
          <w:szCs w:val="32"/>
          <w:shd w:val="clear" w:color="auto" w:fill="FFFFFF"/>
          <w:lang w:eastAsia="zh-CN"/>
          <w14:textFill>
            <w14:solidFill>
              <w14:schemeClr w14:val="tx1"/>
            </w14:solidFill>
          </w14:textFill>
        </w:rPr>
        <w:t>五、</w:t>
      </w:r>
      <w:r>
        <w:rPr>
          <w:rStyle w:val="11"/>
          <w:rFonts w:hint="default" w:ascii="方正黑体_GBK" w:hAnsi="方正黑体_GBK" w:eastAsia="方正黑体_GBK" w:cs="方正黑体_GBK"/>
          <w:b w:val="0"/>
          <w:bCs w:val="0"/>
          <w:color w:val="000000" w:themeColor="text1"/>
          <w:sz w:val="32"/>
          <w:szCs w:val="32"/>
          <w:shd w:val="clear" w:color="auto" w:fill="FFFFFF"/>
          <w14:textFill>
            <w14:solidFill>
              <w14:schemeClr w14:val="tx1"/>
            </w14:solidFill>
          </w14:textFill>
        </w:rPr>
        <w:t>预算绩效管理情况说明</w:t>
      </w:r>
    </w:p>
    <w:p>
      <w:pPr>
        <w:pStyle w:val="15"/>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textAlignment w:val="auto"/>
        <w:outlineLvl w:val="9"/>
        <w:rPr>
          <w:rFonts w:hint="default" w:ascii="方正楷体_GBK" w:hAnsi="方正楷体_GBK" w:eastAsia="方正楷体_GBK" w:cs="方正楷体_GBK"/>
          <w:b w:val="0"/>
          <w:bCs w:val="0"/>
          <w:color w:val="000000" w:themeColor="text1"/>
          <w:sz w:val="32"/>
          <w:szCs w:val="32"/>
          <w:shd w:val="clear" w:color="auto" w:fill="FFFFFF"/>
          <w14:textFill>
            <w14:solidFill>
              <w14:schemeClr w14:val="tx1"/>
            </w14:solidFill>
          </w14:textFill>
        </w:rPr>
      </w:pPr>
      <w:r>
        <w:rPr>
          <w:rFonts w:hint="default" w:ascii="方正楷体_GBK" w:hAnsi="方正楷体_GBK" w:eastAsia="方正楷体_GBK" w:cs="方正楷体_GBK"/>
          <w:b w:val="0"/>
          <w:bCs w:val="0"/>
          <w:color w:val="000000" w:themeColor="text1"/>
          <w:sz w:val="32"/>
          <w:szCs w:val="32"/>
          <w:shd w:val="clear" w:color="auto" w:fill="FFFFFF"/>
          <w14:textFill>
            <w14:solidFill>
              <w14:schemeClr w14:val="tx1"/>
            </w14:solidFill>
          </w14:textFill>
        </w:rPr>
        <w:t>（一）单位自评情况</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r>
        <w:rPr>
          <w:rFonts w:hint="eastAsia" w:ascii="Times New Roman" w:hAnsi="Times New Roman" w:eastAsia="方正仿宋_GBK" w:cs="方正仿宋_GBK"/>
          <w:b w:val="0"/>
          <w:bCs w:val="0"/>
          <w:sz w:val="32"/>
          <w:szCs w:val="32"/>
          <w:shd w:val="clear" w:color="auto" w:fill="FFFFFF"/>
          <w:lang w:eastAsia="zh-CN"/>
        </w:rPr>
        <w:t>本单位为秀山土家族苗族自治县卫生健康委员会二级预算单位，由主管部门统一开展项目支出绩效自评。</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val="en-US" w:eastAsia="zh-CN"/>
        </w:rPr>
      </w:pPr>
    </w:p>
    <w:tbl>
      <w:tblPr>
        <w:tblStyle w:val="12"/>
        <w:tblpPr w:leftFromText="180" w:rightFromText="180" w:vertAnchor="text" w:horzAnchor="page" w:tblpX="1947" w:tblpY="137"/>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PrEx>
        <w:trPr>
          <w:trHeight w:val="1490" w:hRule="atLeast"/>
        </w:trPr>
        <w:tc>
          <w:tcPr>
            <w:tcW w:w="8400" w:type="dxa"/>
            <w:gridSpan w:val="11"/>
            <w:shd w:val="clear" w:color="auto" w:fill="auto"/>
            <w:vAlign w:val="center"/>
          </w:tcPr>
          <w:p>
            <w:pPr>
              <w:keepNext w:val="0"/>
              <w:keepLines w:val="0"/>
              <w:widowControl/>
              <w:suppressLineNumbers w:val="0"/>
              <w:ind w:firstLine="1280" w:firstLineChars="400"/>
              <w:jc w:val="both"/>
              <w:textAlignment w:val="center"/>
              <w:rPr>
                <w:rFonts w:hint="eastAsia" w:ascii="方正小标宋_GBK" w:hAnsi="方正小标宋_GBK" w:eastAsia="方正小标宋_GBK" w:cs="方正小标宋_GBK"/>
                <w:b w:val="0"/>
                <w:bCs/>
                <w:i w:val="0"/>
                <w:color w:val="auto"/>
                <w:kern w:val="0"/>
                <w:sz w:val="32"/>
                <w:szCs w:val="32"/>
                <w:highlight w:val="none"/>
                <w:u w:val="none"/>
                <w:lang w:val="en-US" w:eastAsia="zh-CN" w:bidi="ar"/>
              </w:rPr>
            </w:pPr>
            <w:r>
              <w:rPr>
                <w:rFonts w:hint="eastAsia" w:ascii="方正小标宋_GBK" w:hAnsi="方正小标宋_GBK" w:eastAsia="方正小标宋_GBK" w:cs="方正小标宋_GBK"/>
                <w:b w:val="0"/>
                <w:bCs/>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eastAsia" w:ascii="宋体" w:hAnsi="宋体" w:eastAsia="宋体" w:cs="宋体"/>
                <w:b/>
                <w:i w:val="0"/>
                <w:color w:val="auto"/>
                <w:sz w:val="32"/>
                <w:szCs w:val="32"/>
                <w:highlight w:val="none"/>
                <w:u w:val="none"/>
              </w:rPr>
            </w:pPr>
            <w:r>
              <w:rPr>
                <w:rFonts w:hint="eastAsia" w:ascii="方正小标宋_GBK" w:hAnsi="方正小标宋_GBK" w:eastAsia="方正小标宋_GBK" w:cs="方正小标宋_GBK"/>
                <w:b w:val="0"/>
                <w:bCs/>
                <w:i w:val="0"/>
                <w:color w:val="auto"/>
                <w:kern w:val="0"/>
                <w:sz w:val="32"/>
                <w:szCs w:val="32"/>
                <w:highlight w:val="none"/>
                <w:u w:val="none"/>
                <w:lang w:val="en-US" w:eastAsia="zh-CN" w:bidi="ar"/>
              </w:rPr>
              <w:t>2023年度项目支出绩效自评情况表（二级项目）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基本公共卫生服务县级配套</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资金拨付及时率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居民健康水平</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定性</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持续提高</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全部完成</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bl>
    <w:p>
      <w:pPr>
        <w:pStyle w:val="15"/>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二）</w:t>
      </w:r>
      <w:r>
        <w:rPr>
          <w:rFonts w:hint="default" w:ascii="方正楷体_GBK" w:hAnsi="方正楷体_GBK" w:eastAsia="方正楷体_GBK" w:cs="方正楷体_GBK"/>
          <w:b w:val="0"/>
          <w:bCs w:val="0"/>
          <w:sz w:val="32"/>
          <w:szCs w:val="32"/>
          <w:shd w:val="clear" w:color="auto" w:fill="FFFFFF"/>
        </w:rPr>
        <w:t>单位绩效评价情况</w:t>
      </w:r>
    </w:p>
    <w:p>
      <w:pPr>
        <w:pStyle w:val="15"/>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highlight w:val="none"/>
          <w:shd w:val="clear" w:color="auto" w:fill="FFFFFF"/>
        </w:rPr>
      </w:pP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未组织开展绩效评价。</w:t>
      </w:r>
    </w:p>
    <w:p>
      <w:pPr>
        <w:pStyle w:val="15"/>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三）</w:t>
      </w:r>
      <w:r>
        <w:rPr>
          <w:rFonts w:hint="default" w:ascii="方正楷体_GBK" w:hAnsi="方正楷体_GBK" w:eastAsia="方正楷体_GBK" w:cs="方正楷体_GBK"/>
          <w:b w:val="0"/>
          <w:bCs w:val="0"/>
          <w:sz w:val="32"/>
          <w:szCs w:val="32"/>
          <w:shd w:val="clear" w:color="auto" w:fill="FFFFFF"/>
        </w:rPr>
        <w:t>财政绩效评价情况</w:t>
      </w:r>
    </w:p>
    <w:p>
      <w:pPr>
        <w:pStyle w:val="21"/>
        <w:keepNext w:val="0"/>
        <w:keepLines w:val="0"/>
        <w:pageBreakBefore w:val="0"/>
        <w:widowControl w:val="0"/>
        <w:tabs>
          <w:tab w:val="center" w:pos="4153"/>
          <w:tab w:val="left" w:pos="7275"/>
        </w:tabs>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lang w:eastAsia="zh-CN"/>
          <w14:textFill>
            <w14:solidFill>
              <w14:schemeClr w14:val="tx1"/>
            </w14:solidFill>
          </w14:textFill>
        </w:rPr>
      </w:pPr>
      <w:r>
        <w:rPr>
          <w:rFonts w:hint="eastAsia" w:ascii="Times New Roman" w:hAnsi="Times New Roman" w:eastAsia="方正仿宋_GBK" w:cs="Times New Roman"/>
          <w:b w:val="0"/>
          <w:bCs w:val="0"/>
          <w:kern w:val="0"/>
          <w:sz w:val="32"/>
          <w:szCs w:val="32"/>
          <w:lang w:val="en-US" w:eastAsia="zh-CN" w:bidi="ar-SA"/>
        </w:rPr>
        <w:t>县</w:t>
      </w:r>
      <w:r>
        <w:rPr>
          <w:rFonts w:hint="default" w:ascii="Times New Roman" w:hAnsi="Times New Roman" w:eastAsia="方正仿宋_GBK" w:cs="Times New Roman"/>
          <w:b w:val="0"/>
          <w:bCs w:val="0"/>
          <w:kern w:val="0"/>
          <w:sz w:val="32"/>
          <w:szCs w:val="32"/>
          <w:lang w:val="en-US" w:eastAsia="zh-CN" w:bidi="ar-SA"/>
        </w:rPr>
        <w:t>财政局未委托第三方对</w:t>
      </w: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开展绩效评价。</w:t>
      </w:r>
    </w:p>
    <w:p>
      <w:pPr>
        <w:pStyle w:val="9"/>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9"/>
        <w:rPr>
          <w:rFonts w:hint="default" w:ascii="Times New Roman" w:hAnsi="Times New Roman" w:eastAsia="方正仿宋_GBK" w:cs="Times New Roman"/>
          <w:b w:val="0"/>
          <w:bCs w:val="0"/>
          <w:color w:val="000000" w:themeColor="text1"/>
          <w:sz w:val="32"/>
          <w:szCs w:val="32"/>
          <w14:textFill>
            <w14:solidFill>
              <w14:schemeClr w14:val="tx1"/>
            </w14:solidFill>
          </w14:textFill>
        </w:rPr>
      </w:pPr>
      <w:r>
        <w:rPr>
          <w:rStyle w:val="11"/>
          <w:rFonts w:hint="default" w:ascii="方正黑体_GBK" w:hAnsi="方正黑体_GBK" w:eastAsia="方正黑体_GBK" w:cs="方正黑体_GBK"/>
          <w:b w:val="0"/>
          <w:bCs w:val="0"/>
          <w:color w:val="000000" w:themeColor="text1"/>
          <w:sz w:val="32"/>
          <w:szCs w:val="32"/>
          <w:shd w:val="clear" w:color="auto" w:fill="FFFFFF"/>
          <w:lang w:eastAsia="zh-CN"/>
          <w14:textFill>
            <w14:solidFill>
              <w14:schemeClr w14:val="tx1"/>
            </w14:solidFill>
          </w14:textFill>
        </w:rPr>
        <w:t>专业名词解释</w:t>
      </w:r>
    </w:p>
    <w:p>
      <w:pPr>
        <w:pStyle w:val="9"/>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9"/>
        <w:rPr>
          <w:rFonts w:hint="default" w:ascii="Times New Roman" w:hAnsi="Times New Roman" w:eastAsia="方正仿宋_GBK" w:cs="Times New Roman"/>
          <w:b w:val="0"/>
          <w:bCs w:val="0"/>
          <w:color w:val="000000" w:themeColor="text1"/>
          <w:sz w:val="32"/>
          <w:szCs w:val="32"/>
          <w14:textFill>
            <w14:solidFill>
              <w14:schemeClr w14:val="tx1"/>
            </w14:solidFill>
          </w14:textFill>
        </w:rPr>
      </w:pPr>
      <w:r>
        <w:rPr>
          <w:rFonts w:hint="default" w:ascii="Times New Roman" w:hAnsi="Times New Roman" w:eastAsia="楷体" w:cs="Times New Roman"/>
          <w:b w:val="0"/>
          <w:bCs w:val="0"/>
          <w:color w:val="000000" w:themeColor="text1"/>
          <w:sz w:val="32"/>
          <w:szCs w:val="32"/>
          <w:shd w:val="clear" w:color="auto" w:fill="FFFFFF"/>
          <w14:textFill>
            <w14:solidFill>
              <w14:schemeClr w14:val="tx1"/>
            </w14:solidFill>
          </w14:textFill>
        </w:rPr>
        <w:t>（一）财政拨款收入：</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指本年度从本级财政部门取得的财政拨款，包括一般公共预算财政拨款和政府性基金预算财政拨款。</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000000" w:themeColor="text1"/>
          <w:sz w:val="32"/>
          <w:szCs w:val="32"/>
          <w14:textFill>
            <w14:solidFill>
              <w14:schemeClr w14:val="tx1"/>
            </w14:solidFill>
          </w14:textFill>
        </w:rPr>
      </w:pPr>
      <w:r>
        <w:rPr>
          <w:rStyle w:val="11"/>
          <w:rFonts w:hint="default" w:ascii="Times New Roman" w:hAnsi="Times New Roman" w:eastAsia="楷体" w:cs="Times New Roman"/>
          <w:b w:val="0"/>
          <w:bCs w:val="0"/>
          <w:color w:val="000000" w:themeColor="text1"/>
          <w:sz w:val="32"/>
          <w:szCs w:val="32"/>
          <w:shd w:val="clear" w:color="auto" w:fill="FFFFFF"/>
          <w14:textFill>
            <w14:solidFill>
              <w14:schemeClr w14:val="tx1"/>
            </w14:solidFill>
          </w14:textFill>
        </w:rPr>
        <w:t>（二）事业收入</w:t>
      </w:r>
      <w:r>
        <w:rPr>
          <w:rFonts w:hint="default" w:ascii="Times New Roman" w:hAnsi="Times New Roman" w:eastAsia="楷体" w:cs="Times New Roman"/>
          <w:b w:val="0"/>
          <w:bCs w:val="0"/>
          <w:color w:val="000000" w:themeColor="text1"/>
          <w:sz w:val="32"/>
          <w:szCs w:val="32"/>
          <w:shd w:val="clear" w:color="auto" w:fill="FFFFFF"/>
          <w14:textFill>
            <w14:solidFill>
              <w14:schemeClr w14:val="tx1"/>
            </w14:solidFill>
          </w14:textFill>
        </w:rPr>
        <w:t>：</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指事业单位开展专业业务活动及其辅助活动取得的现金流入；事业单位收到的财政专户实际核拨的教育收费等资金在此反映。</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000000" w:themeColor="text1"/>
          <w:sz w:val="32"/>
          <w:szCs w:val="32"/>
          <w14:textFill>
            <w14:solidFill>
              <w14:schemeClr w14:val="tx1"/>
            </w14:solidFill>
          </w14:textFill>
        </w:rPr>
      </w:pPr>
      <w:r>
        <w:rPr>
          <w:rStyle w:val="11"/>
          <w:rFonts w:hint="default" w:ascii="Times New Roman" w:hAnsi="Times New Roman" w:eastAsia="楷体" w:cs="Times New Roman"/>
          <w:b w:val="0"/>
          <w:bCs w:val="0"/>
          <w:color w:val="000000" w:themeColor="text1"/>
          <w:sz w:val="32"/>
          <w:szCs w:val="32"/>
          <w:shd w:val="clear" w:color="auto" w:fill="FFFFFF"/>
          <w14:textFill>
            <w14:solidFill>
              <w14:schemeClr w14:val="tx1"/>
            </w14:solidFill>
          </w14:textFill>
        </w:rPr>
        <w:t>（三）经营收入</w:t>
      </w:r>
      <w:r>
        <w:rPr>
          <w:rFonts w:hint="default" w:ascii="Times New Roman" w:hAnsi="Times New Roman" w:eastAsia="楷体" w:cs="Times New Roman"/>
          <w:b w:val="0"/>
          <w:bCs w:val="0"/>
          <w:color w:val="000000" w:themeColor="text1"/>
          <w:sz w:val="32"/>
          <w:szCs w:val="32"/>
          <w:shd w:val="clear" w:color="auto" w:fill="FFFFFF"/>
          <w14:textFill>
            <w14:solidFill>
              <w14:schemeClr w14:val="tx1"/>
            </w14:solidFill>
          </w14:textFill>
        </w:rPr>
        <w:t>：</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指事业单位在专业业务活动及其辅助活动之外开展非独立核算经营活动取得的现金流入。</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000000" w:themeColor="text1"/>
          <w:sz w:val="32"/>
          <w:szCs w:val="32"/>
          <w14:textFill>
            <w14:solidFill>
              <w14:schemeClr w14:val="tx1"/>
            </w14:solidFill>
          </w14:textFill>
        </w:rPr>
      </w:pPr>
      <w:r>
        <w:rPr>
          <w:rStyle w:val="11"/>
          <w:rFonts w:hint="default" w:ascii="Times New Roman" w:hAnsi="Times New Roman" w:eastAsia="楷体" w:cs="Times New Roman"/>
          <w:b w:val="0"/>
          <w:bCs w:val="0"/>
          <w:color w:val="000000" w:themeColor="text1"/>
          <w:sz w:val="32"/>
          <w:szCs w:val="32"/>
          <w:shd w:val="clear" w:color="auto" w:fill="FFFFFF"/>
          <w14:textFill>
            <w14:solidFill>
              <w14:schemeClr w14:val="tx1"/>
            </w14:solidFill>
          </w14:textFill>
        </w:rPr>
        <w:t>（四）其他收入</w:t>
      </w:r>
      <w:r>
        <w:rPr>
          <w:rFonts w:hint="default" w:ascii="Times New Roman" w:hAnsi="Times New Roman" w:eastAsia="楷体" w:cs="Times New Roman"/>
          <w:b w:val="0"/>
          <w:bCs w:val="0"/>
          <w:color w:val="000000" w:themeColor="text1"/>
          <w:sz w:val="32"/>
          <w:szCs w:val="32"/>
          <w:shd w:val="clear" w:color="auto" w:fill="FFFFFF"/>
          <w14:textFill>
            <w14:solidFill>
              <w14:schemeClr w14:val="tx1"/>
            </w14:solidFill>
          </w14:textFill>
        </w:rPr>
        <w:t>：</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000000" w:themeColor="text1"/>
          <w:sz w:val="32"/>
          <w:szCs w:val="32"/>
          <w14:textFill>
            <w14:solidFill>
              <w14:schemeClr w14:val="tx1"/>
            </w14:solidFill>
          </w14:textFill>
        </w:rPr>
      </w:pPr>
      <w:r>
        <w:rPr>
          <w:rStyle w:val="11"/>
          <w:rFonts w:hint="default" w:ascii="Times New Roman" w:hAnsi="Times New Roman" w:eastAsia="楷体" w:cs="Times New Roman"/>
          <w:b w:val="0"/>
          <w:bCs w:val="0"/>
          <w:color w:val="000000" w:themeColor="text1"/>
          <w:sz w:val="32"/>
          <w:szCs w:val="32"/>
          <w:shd w:val="clear" w:color="auto" w:fill="FFFFFF"/>
          <w14:textFill>
            <w14:solidFill>
              <w14:schemeClr w14:val="tx1"/>
            </w14:solidFill>
          </w14:textFill>
        </w:rPr>
        <w:t>（五）使用非财政拨款结余</w:t>
      </w:r>
      <w:r>
        <w:rPr>
          <w:rFonts w:hint="default" w:ascii="Times New Roman" w:hAnsi="Times New Roman" w:eastAsia="楷体" w:cs="Times New Roman"/>
          <w:b w:val="0"/>
          <w:bCs w:val="0"/>
          <w:color w:val="000000" w:themeColor="text1"/>
          <w:sz w:val="32"/>
          <w:szCs w:val="32"/>
          <w:shd w:val="clear" w:color="auto" w:fill="FFFFFF"/>
          <w14:textFill>
            <w14:solidFill>
              <w14:schemeClr w14:val="tx1"/>
            </w14:solidFill>
          </w14:textFill>
        </w:rPr>
        <w:t>：</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指单位在当年的“财政拨款收入”、“事业收入”、“经营收入”、“其他收入”等不足以安排当年支出的情况下，使用以前年度积累的非财政拨款结余弥补本年度收支缺口的资金。</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000000" w:themeColor="text1"/>
          <w:sz w:val="32"/>
          <w:szCs w:val="32"/>
          <w14:textFill>
            <w14:solidFill>
              <w14:schemeClr w14:val="tx1"/>
            </w14:solidFill>
          </w14:textFill>
        </w:rPr>
      </w:pPr>
      <w:r>
        <w:rPr>
          <w:rStyle w:val="11"/>
          <w:rFonts w:hint="default" w:ascii="Times New Roman" w:hAnsi="Times New Roman" w:eastAsia="楷体" w:cs="Times New Roman"/>
          <w:b w:val="0"/>
          <w:bCs w:val="0"/>
          <w:color w:val="000000" w:themeColor="text1"/>
          <w:sz w:val="32"/>
          <w:szCs w:val="32"/>
          <w:shd w:val="clear" w:color="auto" w:fill="FFFFFF"/>
          <w14:textFill>
            <w14:solidFill>
              <w14:schemeClr w14:val="tx1"/>
            </w14:solidFill>
          </w14:textFill>
        </w:rPr>
        <w:t>（六）年初结转和结余</w:t>
      </w:r>
      <w:r>
        <w:rPr>
          <w:rFonts w:hint="default" w:ascii="Times New Roman" w:hAnsi="Times New Roman" w:eastAsia="楷体" w:cs="Times New Roman"/>
          <w:b w:val="0"/>
          <w:bCs w:val="0"/>
          <w:color w:val="000000" w:themeColor="text1"/>
          <w:sz w:val="32"/>
          <w:szCs w:val="32"/>
          <w:shd w:val="clear" w:color="auto" w:fill="FFFFFF"/>
          <w14:textFill>
            <w14:solidFill>
              <w14:schemeClr w14:val="tx1"/>
            </w14:solidFill>
          </w14:textFill>
        </w:rPr>
        <w:t>：</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指单位上年结转本年使用的基本支出结转、项目支出结转和结余、经营结余。</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000000" w:themeColor="text1"/>
          <w:sz w:val="32"/>
          <w:szCs w:val="32"/>
          <w14:textFill>
            <w14:solidFill>
              <w14:schemeClr w14:val="tx1"/>
            </w14:solidFill>
          </w14:textFill>
        </w:rPr>
      </w:pPr>
      <w:r>
        <w:rPr>
          <w:rStyle w:val="11"/>
          <w:rFonts w:hint="default" w:ascii="Times New Roman" w:hAnsi="Times New Roman" w:eastAsia="楷体" w:cs="Times New Roman"/>
          <w:b w:val="0"/>
          <w:bCs w:val="0"/>
          <w:color w:val="000000" w:themeColor="text1"/>
          <w:sz w:val="32"/>
          <w:szCs w:val="32"/>
          <w:shd w:val="clear" w:color="auto" w:fill="FFFFFF"/>
          <w14:textFill>
            <w14:solidFill>
              <w14:schemeClr w14:val="tx1"/>
            </w14:solidFill>
          </w14:textFill>
        </w:rPr>
        <w:t>（七）结余分配</w:t>
      </w:r>
      <w:r>
        <w:rPr>
          <w:rFonts w:hint="default" w:ascii="Times New Roman" w:hAnsi="Times New Roman" w:eastAsia="楷体" w:cs="Times New Roman"/>
          <w:b w:val="0"/>
          <w:bCs w:val="0"/>
          <w:color w:val="000000" w:themeColor="text1"/>
          <w:sz w:val="32"/>
          <w:szCs w:val="32"/>
          <w:shd w:val="clear" w:color="auto" w:fill="FFFFFF"/>
          <w14:textFill>
            <w14:solidFill>
              <w14:schemeClr w14:val="tx1"/>
            </w14:solidFill>
          </w14:textFill>
        </w:rPr>
        <w:t>：</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指单位按照国家有关规定，缴纳所得税、提取专用基金、转入非财政拨款结余等当年结余的分配情况。</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000000" w:themeColor="text1"/>
          <w:sz w:val="32"/>
          <w:szCs w:val="32"/>
          <w14:textFill>
            <w14:solidFill>
              <w14:schemeClr w14:val="tx1"/>
            </w14:solidFill>
          </w14:textFill>
        </w:rPr>
      </w:pPr>
      <w:r>
        <w:rPr>
          <w:rStyle w:val="11"/>
          <w:rFonts w:hint="default" w:ascii="Times New Roman" w:hAnsi="Times New Roman" w:eastAsia="楷体" w:cs="Times New Roman"/>
          <w:b w:val="0"/>
          <w:bCs w:val="0"/>
          <w:color w:val="000000" w:themeColor="text1"/>
          <w:sz w:val="32"/>
          <w:szCs w:val="32"/>
          <w:shd w:val="clear" w:color="auto" w:fill="FFFFFF"/>
          <w14:textFill>
            <w14:solidFill>
              <w14:schemeClr w14:val="tx1"/>
            </w14:solidFill>
          </w14:textFill>
        </w:rPr>
        <w:t>（八）年末结转和结余</w:t>
      </w:r>
      <w:r>
        <w:rPr>
          <w:rFonts w:hint="default" w:ascii="Times New Roman" w:hAnsi="Times New Roman" w:eastAsia="楷体" w:cs="Times New Roman"/>
          <w:b w:val="0"/>
          <w:bCs w:val="0"/>
          <w:color w:val="000000" w:themeColor="text1"/>
          <w:sz w:val="32"/>
          <w:szCs w:val="32"/>
          <w:shd w:val="clear" w:color="auto" w:fill="FFFFFF"/>
          <w14:textFill>
            <w14:solidFill>
              <w14:schemeClr w14:val="tx1"/>
            </w14:solidFill>
          </w14:textFill>
        </w:rPr>
        <w:t>：</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指单位结转下年的基本支出结转、项目支出结转和结余、经营结余。</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000000" w:themeColor="text1"/>
          <w:sz w:val="32"/>
          <w:szCs w:val="32"/>
          <w14:textFill>
            <w14:solidFill>
              <w14:schemeClr w14:val="tx1"/>
            </w14:solidFill>
          </w14:textFill>
        </w:rPr>
      </w:pPr>
      <w:r>
        <w:rPr>
          <w:rStyle w:val="11"/>
          <w:rFonts w:hint="default" w:ascii="Times New Roman" w:hAnsi="Times New Roman" w:eastAsia="楷体" w:cs="Times New Roman"/>
          <w:b w:val="0"/>
          <w:bCs w:val="0"/>
          <w:color w:val="000000" w:themeColor="text1"/>
          <w:sz w:val="32"/>
          <w:szCs w:val="32"/>
          <w:shd w:val="clear" w:color="auto" w:fill="FFFFFF"/>
          <w14:textFill>
            <w14:solidFill>
              <w14:schemeClr w14:val="tx1"/>
            </w14:solidFill>
          </w14:textFill>
        </w:rPr>
        <w:t>（九）基本支出</w:t>
      </w:r>
      <w:r>
        <w:rPr>
          <w:rFonts w:hint="default" w:ascii="Times New Roman" w:hAnsi="Times New Roman" w:eastAsia="楷体" w:cs="Times New Roman"/>
          <w:b w:val="0"/>
          <w:bCs w:val="0"/>
          <w:color w:val="000000" w:themeColor="text1"/>
          <w:sz w:val="32"/>
          <w:szCs w:val="32"/>
          <w:shd w:val="clear" w:color="auto" w:fill="FFFFFF"/>
          <w14:textFill>
            <w14:solidFill>
              <w14:schemeClr w14:val="tx1"/>
            </w14:solidFill>
          </w14:textFill>
        </w:rPr>
        <w:t>：</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000000" w:themeColor="text1"/>
          <w:sz w:val="32"/>
          <w:szCs w:val="32"/>
          <w14:textFill>
            <w14:solidFill>
              <w14:schemeClr w14:val="tx1"/>
            </w14:solidFill>
          </w14:textFill>
        </w:rPr>
      </w:pPr>
      <w:r>
        <w:rPr>
          <w:rStyle w:val="11"/>
          <w:rFonts w:hint="default" w:ascii="Times New Roman" w:hAnsi="Times New Roman" w:eastAsia="楷体" w:cs="Times New Roman"/>
          <w:b w:val="0"/>
          <w:bCs w:val="0"/>
          <w:color w:val="000000" w:themeColor="text1"/>
          <w:sz w:val="32"/>
          <w:szCs w:val="32"/>
          <w:shd w:val="clear" w:color="auto" w:fill="FFFFFF"/>
          <w14:textFill>
            <w14:solidFill>
              <w14:schemeClr w14:val="tx1"/>
            </w14:solidFill>
          </w14:textFill>
        </w:rPr>
        <w:t>（十）项目支出</w:t>
      </w:r>
      <w:r>
        <w:rPr>
          <w:rFonts w:hint="default" w:ascii="Times New Roman" w:hAnsi="Times New Roman" w:eastAsia="楷体" w:cs="Times New Roman"/>
          <w:b w:val="0"/>
          <w:bCs w:val="0"/>
          <w:color w:val="000000" w:themeColor="text1"/>
          <w:sz w:val="32"/>
          <w:szCs w:val="32"/>
          <w:shd w:val="clear" w:color="auto" w:fill="FFFFFF"/>
          <w14:textFill>
            <w14:solidFill>
              <w14:schemeClr w14:val="tx1"/>
            </w14:solidFill>
          </w14:textFill>
        </w:rPr>
        <w:t>：</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指在基本支出之外为完成特定行政任务和事业发展目标所发生的支出。</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000000" w:themeColor="text1"/>
          <w:sz w:val="32"/>
          <w:szCs w:val="32"/>
          <w14:textFill>
            <w14:solidFill>
              <w14:schemeClr w14:val="tx1"/>
            </w14:solidFill>
          </w14:textFill>
        </w:rPr>
      </w:pPr>
      <w:r>
        <w:rPr>
          <w:rStyle w:val="11"/>
          <w:rFonts w:hint="default" w:ascii="Times New Roman" w:hAnsi="Times New Roman" w:eastAsia="楷体" w:cs="Times New Roman"/>
          <w:b w:val="0"/>
          <w:bCs w:val="0"/>
          <w:color w:val="000000" w:themeColor="text1"/>
          <w:sz w:val="32"/>
          <w:szCs w:val="32"/>
          <w:shd w:val="clear" w:color="auto" w:fill="FFFFFF"/>
          <w14:textFill>
            <w14:solidFill>
              <w14:schemeClr w14:val="tx1"/>
            </w14:solidFill>
          </w14:textFill>
        </w:rPr>
        <w:t>（十一）经营支出</w:t>
      </w:r>
      <w:r>
        <w:rPr>
          <w:rFonts w:hint="default" w:ascii="Times New Roman" w:hAnsi="Times New Roman" w:eastAsia="楷体" w:cs="Times New Roman"/>
          <w:b w:val="0"/>
          <w:bCs w:val="0"/>
          <w:color w:val="000000" w:themeColor="text1"/>
          <w:sz w:val="32"/>
          <w:szCs w:val="32"/>
          <w:shd w:val="clear" w:color="auto" w:fill="FFFFFF"/>
          <w14:textFill>
            <w14:solidFill>
              <w14:schemeClr w14:val="tx1"/>
            </w14:solidFill>
          </w14:textFill>
        </w:rPr>
        <w:t>：</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指事业单位在专业业务活动及其辅助活动之外开展非独立核算经营活动发生的支出。</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000000" w:themeColor="text1"/>
          <w:sz w:val="32"/>
          <w:szCs w:val="32"/>
          <w14:textFill>
            <w14:solidFill>
              <w14:schemeClr w14:val="tx1"/>
            </w14:solidFill>
          </w14:textFill>
        </w:rPr>
      </w:pPr>
      <w:r>
        <w:rPr>
          <w:rStyle w:val="11"/>
          <w:rFonts w:hint="default" w:ascii="Times New Roman" w:hAnsi="Times New Roman" w:eastAsia="楷体" w:cs="Times New Roman"/>
          <w:b w:val="0"/>
          <w:bCs w:val="0"/>
          <w:color w:val="000000" w:themeColor="text1"/>
          <w:sz w:val="32"/>
          <w:szCs w:val="32"/>
          <w:shd w:val="clear" w:color="auto" w:fill="FFFFFF"/>
          <w14:textFill>
            <w14:solidFill>
              <w14:schemeClr w14:val="tx1"/>
            </w14:solidFill>
          </w14:textFill>
        </w:rPr>
        <w:t>（十二）“三公”经费</w:t>
      </w:r>
      <w:r>
        <w:rPr>
          <w:rFonts w:hint="default" w:ascii="Times New Roman" w:hAnsi="Times New Roman" w:eastAsia="楷体" w:cs="Times New Roman"/>
          <w:b w:val="0"/>
          <w:bCs w:val="0"/>
          <w:color w:val="000000" w:themeColor="text1"/>
          <w:sz w:val="32"/>
          <w:szCs w:val="32"/>
          <w:shd w:val="clear" w:color="auto" w:fill="FFFFFF"/>
          <w14:textFill>
            <w14:solidFill>
              <w14:schemeClr w14:val="tx1"/>
            </w14:solidFill>
          </w14:textFill>
        </w:rPr>
        <w:t>：</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000000" w:themeColor="text1"/>
          <w:sz w:val="32"/>
          <w:szCs w:val="32"/>
          <w14:textFill>
            <w14:solidFill>
              <w14:schemeClr w14:val="tx1"/>
            </w14:solidFill>
          </w14:textFill>
        </w:rPr>
      </w:pPr>
      <w:r>
        <w:rPr>
          <w:rStyle w:val="11"/>
          <w:rFonts w:hint="default" w:ascii="Times New Roman" w:hAnsi="Times New Roman" w:eastAsia="楷体" w:cs="Times New Roman"/>
          <w:b w:val="0"/>
          <w:bCs w:val="0"/>
          <w:color w:val="000000" w:themeColor="text1"/>
          <w:sz w:val="32"/>
          <w:szCs w:val="32"/>
          <w:shd w:val="clear" w:color="auto" w:fill="FFFFFF"/>
          <w14:textFill>
            <w14:solidFill>
              <w14:schemeClr w14:val="tx1"/>
            </w14:solidFill>
          </w14:textFill>
        </w:rPr>
        <w:t>（十三）机关运行经费</w:t>
      </w:r>
      <w:r>
        <w:rPr>
          <w:rFonts w:hint="default" w:ascii="Times New Roman" w:hAnsi="Times New Roman" w:eastAsia="楷体" w:cs="Times New Roman"/>
          <w:b w:val="0"/>
          <w:bCs w:val="0"/>
          <w:color w:val="000000" w:themeColor="text1"/>
          <w:sz w:val="32"/>
          <w:szCs w:val="32"/>
          <w:shd w:val="clear" w:color="auto" w:fill="FFFFFF"/>
          <w14:textFill>
            <w14:solidFill>
              <w14:schemeClr w14:val="tx1"/>
            </w14:solidFill>
          </w14:textFill>
        </w:rPr>
        <w:t>：</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000000" w:themeColor="text1"/>
          <w:sz w:val="32"/>
          <w:szCs w:val="32"/>
          <w14:textFill>
            <w14:solidFill>
              <w14:schemeClr w14:val="tx1"/>
            </w14:solidFill>
          </w14:textFill>
        </w:rPr>
      </w:pPr>
      <w:r>
        <w:rPr>
          <w:rStyle w:val="11"/>
          <w:rFonts w:hint="default" w:ascii="Times New Roman" w:hAnsi="Times New Roman" w:eastAsia="楷体" w:cs="Times New Roman"/>
          <w:b w:val="0"/>
          <w:bCs w:val="0"/>
          <w:color w:val="000000" w:themeColor="text1"/>
          <w:sz w:val="32"/>
          <w:szCs w:val="32"/>
          <w:shd w:val="clear" w:color="auto" w:fill="FFFFFF"/>
          <w14:textFill>
            <w14:solidFill>
              <w14:schemeClr w14:val="tx1"/>
            </w14:solidFill>
          </w14:textFill>
        </w:rPr>
        <w:t>（十四）工资福利支出（支出经济分类科目类级）</w:t>
      </w:r>
      <w:r>
        <w:rPr>
          <w:rFonts w:hint="default" w:ascii="Times New Roman" w:hAnsi="Times New Roman" w:eastAsia="楷体" w:cs="Times New Roman"/>
          <w:b w:val="0"/>
          <w:bCs w:val="0"/>
          <w:color w:val="000000" w:themeColor="text1"/>
          <w:sz w:val="32"/>
          <w:szCs w:val="32"/>
          <w:shd w:val="clear" w:color="auto" w:fill="FFFFFF"/>
          <w14:textFill>
            <w14:solidFill>
              <w14:schemeClr w14:val="tx1"/>
            </w14:solidFill>
          </w14:textFill>
        </w:rPr>
        <w:t>：</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反映单位开支的在职职工和编制外长期聘用人员的各类劳动报酬，以及为上述人员缴纳的各项社会保险费等。</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000000" w:themeColor="text1"/>
          <w:sz w:val="32"/>
          <w:szCs w:val="32"/>
          <w14:textFill>
            <w14:solidFill>
              <w14:schemeClr w14:val="tx1"/>
            </w14:solidFill>
          </w14:textFill>
        </w:rPr>
      </w:pPr>
      <w:r>
        <w:rPr>
          <w:rStyle w:val="11"/>
          <w:rFonts w:hint="default" w:ascii="Times New Roman" w:hAnsi="Times New Roman" w:eastAsia="楷体" w:cs="Times New Roman"/>
          <w:b w:val="0"/>
          <w:bCs w:val="0"/>
          <w:color w:val="000000" w:themeColor="text1"/>
          <w:sz w:val="32"/>
          <w:szCs w:val="32"/>
          <w:shd w:val="clear" w:color="auto" w:fill="FFFFFF"/>
          <w14:textFill>
            <w14:solidFill>
              <w14:schemeClr w14:val="tx1"/>
            </w14:solidFill>
          </w14:textFill>
        </w:rPr>
        <w:t>（十五）商品和服务支出（支出经济分类科目类级）</w:t>
      </w:r>
      <w:r>
        <w:rPr>
          <w:rFonts w:hint="default" w:ascii="Times New Roman" w:hAnsi="Times New Roman" w:eastAsia="楷体" w:cs="Times New Roman"/>
          <w:b w:val="0"/>
          <w:bCs w:val="0"/>
          <w:color w:val="000000" w:themeColor="text1"/>
          <w:sz w:val="32"/>
          <w:szCs w:val="32"/>
          <w:shd w:val="clear" w:color="auto" w:fill="FFFFFF"/>
          <w14:textFill>
            <w14:solidFill>
              <w14:schemeClr w14:val="tx1"/>
            </w14:solidFill>
          </w14:textFill>
        </w:rPr>
        <w:t>：</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反映单位购买商品和服务的支出（不包括用于购置固定资产的支出、战略性和应急储备支出）。</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000000" w:themeColor="text1"/>
          <w:sz w:val="32"/>
          <w:szCs w:val="32"/>
          <w14:textFill>
            <w14:solidFill>
              <w14:schemeClr w14:val="tx1"/>
            </w14:solidFill>
          </w14:textFill>
        </w:rPr>
      </w:pPr>
      <w:r>
        <w:rPr>
          <w:rStyle w:val="11"/>
          <w:rFonts w:hint="default" w:ascii="Times New Roman" w:hAnsi="Times New Roman" w:eastAsia="楷体" w:cs="Times New Roman"/>
          <w:b w:val="0"/>
          <w:bCs w:val="0"/>
          <w:color w:val="000000" w:themeColor="text1"/>
          <w:sz w:val="32"/>
          <w:szCs w:val="32"/>
          <w:shd w:val="clear" w:color="auto" w:fill="FFFFFF"/>
          <w14:textFill>
            <w14:solidFill>
              <w14:schemeClr w14:val="tx1"/>
            </w14:solidFill>
          </w14:textFill>
        </w:rPr>
        <w:t>（十六）对个人和家庭的补助（支出经济分类科目类级）</w:t>
      </w:r>
      <w:r>
        <w:rPr>
          <w:rFonts w:hint="default" w:ascii="Times New Roman" w:hAnsi="Times New Roman" w:eastAsia="楷体" w:cs="Times New Roman"/>
          <w:b w:val="0"/>
          <w:bCs w:val="0"/>
          <w:color w:val="000000" w:themeColor="text1"/>
          <w:sz w:val="32"/>
          <w:szCs w:val="32"/>
          <w:shd w:val="clear" w:color="auto" w:fill="FFFFFF"/>
          <w14:textFill>
            <w14:solidFill>
              <w14:schemeClr w14:val="tx1"/>
            </w14:solidFill>
          </w14:textFill>
        </w:rPr>
        <w:t>：</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反映用于对个人和家庭的补助支出。</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000000" w:themeColor="text1"/>
          <w:sz w:val="32"/>
          <w:szCs w:val="32"/>
          <w14:textFill>
            <w14:solidFill>
              <w14:schemeClr w14:val="tx1"/>
            </w14:solidFill>
          </w14:textFill>
        </w:rPr>
      </w:pPr>
      <w:r>
        <w:rPr>
          <w:rStyle w:val="11"/>
          <w:rFonts w:hint="default" w:ascii="Times New Roman" w:hAnsi="Times New Roman" w:eastAsia="楷体" w:cs="Times New Roman"/>
          <w:b w:val="0"/>
          <w:bCs w:val="0"/>
          <w:color w:val="000000" w:themeColor="text1"/>
          <w:sz w:val="32"/>
          <w:szCs w:val="32"/>
          <w:shd w:val="clear" w:color="auto" w:fill="FFFFFF"/>
          <w14:textFill>
            <w14:solidFill>
              <w14:schemeClr w14:val="tx1"/>
            </w14:solidFill>
          </w14:textFill>
        </w:rPr>
        <w:t>（十七）其他资本性支出（支出经济分类科目类级）</w:t>
      </w:r>
      <w:r>
        <w:rPr>
          <w:rFonts w:hint="default" w:ascii="Times New Roman" w:hAnsi="Times New Roman" w:eastAsia="楷体" w:cs="Times New Roman"/>
          <w:b w:val="0"/>
          <w:bCs w:val="0"/>
          <w:color w:val="000000" w:themeColor="text1"/>
          <w:sz w:val="32"/>
          <w:szCs w:val="32"/>
          <w:shd w:val="clear" w:color="auto" w:fill="FFFFFF"/>
          <w14:textFill>
            <w14:solidFill>
              <w14:schemeClr w14:val="tx1"/>
            </w14:solidFill>
          </w14:textFill>
        </w:rPr>
        <w:t>：</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反映非各级发展与改革部门集中安排的用于购置固定资产、战略性和应急性储备、土地和无形资产，以及构建基础设施、大型修缮和财政支持企业更新改造所发生的支出。</w:t>
      </w:r>
    </w:p>
    <w:p>
      <w:pPr>
        <w:pStyle w:val="9"/>
        <w:keepNext w:val="0"/>
        <w:keepLines w:val="0"/>
        <w:pageBreakBefore w:val="0"/>
        <w:widowControl/>
        <w:kinsoku/>
        <w:wordWrap/>
        <w:overflowPunct/>
        <w:topLinePunct w:val="0"/>
        <w:autoSpaceDN/>
        <w:bidi w:val="0"/>
        <w:adjustRightInd/>
        <w:snapToGrid/>
        <w:spacing w:before="0" w:beforeAutospacing="0" w:after="0" w:afterAutospacing="0" w:line="560" w:lineRule="exact"/>
        <w:ind w:firstLine="640" w:firstLineChars="200"/>
        <w:jc w:val="left"/>
        <w:textAlignment w:val="auto"/>
        <w:outlineLvl w:val="9"/>
        <w:rPr>
          <w:rStyle w:val="11"/>
          <w:rFonts w:hint="default" w:ascii="方正黑体_GBK" w:hAnsi="方正黑体_GBK" w:eastAsia="方正黑体_GBK" w:cs="方正黑体_GBK"/>
          <w:b w:val="0"/>
          <w:bCs w:val="0"/>
          <w:color w:val="000000" w:themeColor="text1"/>
          <w:sz w:val="32"/>
          <w:szCs w:val="32"/>
          <w:shd w:val="clear" w:color="auto" w:fill="FFFFFF"/>
          <w:lang w:eastAsia="zh-CN"/>
          <w14:textFill>
            <w14:solidFill>
              <w14:schemeClr w14:val="tx1"/>
            </w14:solidFill>
          </w14:textFill>
        </w:rPr>
      </w:pPr>
      <w:r>
        <w:rPr>
          <w:rStyle w:val="11"/>
          <w:rFonts w:hint="default" w:ascii="方正黑体_GBK" w:hAnsi="方正黑体_GBK" w:eastAsia="方正黑体_GBK" w:cs="方正黑体_GBK"/>
          <w:b w:val="0"/>
          <w:bCs w:val="0"/>
          <w:color w:val="000000" w:themeColor="text1"/>
          <w:sz w:val="32"/>
          <w:szCs w:val="32"/>
          <w:shd w:val="clear" w:color="auto" w:fill="FFFFFF"/>
          <w:lang w:eastAsia="zh-CN"/>
          <w14:textFill>
            <w14:solidFill>
              <w14:schemeClr w14:val="tx1"/>
            </w14:solidFill>
          </w14:textFill>
        </w:rPr>
        <w:t>七、决算公开联系方式及信息反馈渠道</w:t>
      </w:r>
    </w:p>
    <w:p>
      <w:pPr>
        <w:pStyle w:val="16"/>
        <w:keepNext w:val="0"/>
        <w:keepLines w:val="0"/>
        <w:pageBreakBefore w:val="0"/>
        <w:widowControl/>
        <w:suppressLineNumbers w:val="0"/>
        <w:kinsoku/>
        <w:wordWrap/>
        <w:overflowPunct/>
        <w:topLinePunct w:val="0"/>
        <w:autoSpaceDE w:val="0"/>
        <w:autoSpaceDN/>
        <w:bidi w:val="0"/>
        <w:adjustRightInd/>
        <w:spacing w:before="0" w:beforeAutospacing="0" w:after="0" w:afterAutospacing="0" w:line="560" w:lineRule="exact"/>
        <w:ind w:left="0" w:firstLine="640" w:firstLineChars="200"/>
        <w:jc w:val="both"/>
        <w:textAlignment w:val="auto"/>
        <w:rPr>
          <w:rFonts w:hint="default" w:ascii="Times New Roman" w:hAnsi="Times New Roman" w:eastAsia="方正仿宋_GBK" w:cs="Times New Roman"/>
          <w:b w:val="0"/>
          <w:bCs w:val="0"/>
          <w:color w:val="000000" w:themeColor="text1"/>
          <w:kern w:val="0"/>
          <w:sz w:val="32"/>
          <w:szCs w:val="32"/>
          <w:shd w:val="clear" w:fill="FFFFFF"/>
          <w14:textFill>
            <w14:solidFill>
              <w14:schemeClr w14:val="tx1"/>
            </w14:solidFill>
          </w14:textFill>
        </w:rPr>
      </w:pPr>
      <w:r>
        <w:rPr>
          <w:rFonts w:hint="default" w:ascii="Times New Roman" w:hAnsi="Times New Roman" w:eastAsia="方正仿宋_GBK" w:cs="Times New Roman"/>
          <w:b w:val="0"/>
          <w:bCs w:val="0"/>
          <w:color w:val="000000" w:themeColor="text1"/>
          <w:kern w:val="0"/>
          <w:sz w:val="32"/>
          <w:szCs w:val="32"/>
          <w:shd w:val="clear" w:fill="FFFFFF"/>
          <w14:textFill>
            <w14:solidFill>
              <w14:schemeClr w14:val="tx1"/>
            </w14:solidFill>
          </w14:textFill>
        </w:rPr>
        <w:t>本单位决算公开信息反馈和联系方式：</w:t>
      </w:r>
    </w:p>
    <w:p>
      <w:pPr>
        <w:pStyle w:val="16"/>
        <w:keepNext w:val="0"/>
        <w:keepLines w:val="0"/>
        <w:pageBreakBefore w:val="0"/>
        <w:widowControl/>
        <w:suppressLineNumbers w:val="0"/>
        <w:kinsoku/>
        <w:wordWrap/>
        <w:overflowPunct/>
        <w:topLinePunct w:val="0"/>
        <w:autoSpaceDE w:val="0"/>
        <w:autoSpaceDN/>
        <w:bidi w:val="0"/>
        <w:adjustRightInd/>
        <w:spacing w:before="0" w:beforeAutospacing="0" w:after="0" w:afterAutospacing="0" w:line="560" w:lineRule="exact"/>
        <w:ind w:left="0" w:firstLine="640" w:firstLineChars="200"/>
        <w:jc w:val="both"/>
        <w:textAlignment w:val="auto"/>
        <w:rPr>
          <w:rFonts w:hint="eastAsia" w:ascii="Times New Roman" w:hAnsi="Times New Roman" w:eastAsia="方正仿宋_GBK" w:cs="Times New Roman"/>
          <w:b w:val="0"/>
          <w:bCs w:val="0"/>
          <w:color w:val="000000" w:themeColor="text1"/>
          <w:kern w:val="0"/>
          <w:sz w:val="32"/>
          <w:szCs w:val="32"/>
          <w:shd w:val="clear" w:fill="FFFFFF"/>
          <w:lang w:eastAsia="zh-CN"/>
          <w14:textFill>
            <w14:solidFill>
              <w14:schemeClr w14:val="tx1"/>
            </w14:solidFill>
          </w14:textFill>
        </w:rPr>
      </w:pPr>
      <w:r>
        <w:rPr>
          <w:rFonts w:hint="default" w:ascii="Times New Roman" w:hAnsi="Times New Roman" w:eastAsia="方正仿宋_GBK" w:cs="Times New Roman"/>
          <w:b w:val="0"/>
          <w:bCs w:val="0"/>
          <w:color w:val="000000" w:themeColor="text1"/>
          <w:kern w:val="0"/>
          <w:sz w:val="32"/>
          <w:szCs w:val="32"/>
          <w:shd w:val="clear" w:fill="FFFFFF"/>
          <w14:textFill>
            <w14:solidFill>
              <w14:schemeClr w14:val="tx1"/>
            </w14:solidFill>
          </w14:textFill>
        </w:rPr>
        <w:t>吴思   023-76627088</w:t>
      </w:r>
      <w:r>
        <w:rPr>
          <w:rFonts w:hint="eastAsia" w:ascii="Times New Roman" w:hAnsi="Times New Roman" w:eastAsia="方正仿宋_GBK" w:cs="Times New Roman"/>
          <w:b w:val="0"/>
          <w:bCs w:val="0"/>
          <w:color w:val="000000" w:themeColor="text1"/>
          <w:kern w:val="0"/>
          <w:sz w:val="32"/>
          <w:szCs w:val="32"/>
          <w:shd w:val="clear" w:fill="FFFFFF"/>
          <w:lang w:eastAsia="zh-CN"/>
          <w14:textFill>
            <w14:solidFill>
              <w14:schemeClr w14:val="tx1"/>
            </w14:solidFill>
          </w14:textFill>
        </w:rPr>
        <w:t>。</w:t>
      </w:r>
    </w:p>
    <w:p>
      <w:pPr>
        <w:pStyle w:val="16"/>
        <w:keepNext w:val="0"/>
        <w:keepLines w:val="0"/>
        <w:pageBreakBefore w:val="0"/>
        <w:widowControl/>
        <w:suppressLineNumbers w:val="0"/>
        <w:kinsoku/>
        <w:wordWrap/>
        <w:overflowPunct/>
        <w:topLinePunct w:val="0"/>
        <w:autoSpaceDE w:val="0"/>
        <w:autoSpaceDN/>
        <w:bidi w:val="0"/>
        <w:adjustRightInd/>
        <w:spacing w:before="0" w:beforeAutospacing="0" w:after="0" w:afterAutospacing="0" w:line="560" w:lineRule="exact"/>
        <w:ind w:left="0" w:firstLine="640" w:firstLineChars="200"/>
        <w:jc w:val="both"/>
        <w:textAlignment w:val="auto"/>
        <w:rPr>
          <w:rFonts w:hint="default" w:ascii="Times New Roman" w:hAnsi="Times New Roman" w:eastAsia="方正仿宋_GBK" w:cs="Times New Roman"/>
          <w:b w:val="0"/>
          <w:bCs w:val="0"/>
          <w:color w:val="000000" w:themeColor="text1"/>
          <w:kern w:val="0"/>
          <w:sz w:val="32"/>
          <w:szCs w:val="32"/>
          <w:shd w:val="clear" w:fill="FFFFFF"/>
          <w14:textFill>
            <w14:solidFill>
              <w14:schemeClr w14:val="tx1"/>
            </w14:solidFill>
          </w14:textFill>
        </w:rPr>
        <w:sectPr>
          <w:headerReference r:id="rId3" w:type="default"/>
          <w:footerReference r:id="rId4" w:type="default"/>
          <w:pgSz w:w="11917" w:h="16838"/>
          <w:pgMar w:top="2154" w:right="1531" w:bottom="1984" w:left="1587" w:header="850" w:footer="992" w:gutter="0"/>
          <w:pgNumType w:fmt="numberInDash"/>
          <w:cols w:space="0" w:num="1"/>
          <w:rtlGutter w:val="0"/>
          <w:docGrid w:type="lines" w:linePitch="334" w:charSpace="0"/>
        </w:sectPr>
      </w:pPr>
    </w:p>
    <w:tbl>
      <w:tblPr>
        <w:tblStyle w:val="12"/>
        <w:tblW w:w="12743" w:type="dxa"/>
        <w:tblInd w:w="0" w:type="dxa"/>
        <w:tblLayout w:type="fixed"/>
        <w:tblCellMar>
          <w:top w:w="0" w:type="dxa"/>
          <w:left w:w="0" w:type="dxa"/>
          <w:bottom w:w="0" w:type="dxa"/>
          <w:right w:w="0" w:type="dxa"/>
        </w:tblCellMar>
      </w:tblPr>
      <w:tblGrid>
        <w:gridCol w:w="5230"/>
        <w:gridCol w:w="1342"/>
        <w:gridCol w:w="3651"/>
        <w:gridCol w:w="2520"/>
      </w:tblGrid>
      <w:tr>
        <w:tblPrEx>
          <w:tblLayout w:type="fixed"/>
          <w:tblCellMar>
            <w:top w:w="0" w:type="dxa"/>
            <w:left w:w="0" w:type="dxa"/>
            <w:bottom w:w="0" w:type="dxa"/>
            <w:right w:w="0" w:type="dxa"/>
          </w:tblCellMar>
        </w:tblPrEx>
        <w:trPr>
          <w:trHeight w:val="232" w:hRule="atLeast"/>
        </w:trPr>
        <w:tc>
          <w:tcPr>
            <w:tcW w:w="12743"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523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1342"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3651"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2520"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公开01表</w:t>
            </w:r>
          </w:p>
        </w:tc>
      </w:tr>
      <w:tr>
        <w:tblPrEx>
          <w:tblLayout w:type="fixed"/>
          <w:tblCellMar>
            <w:top w:w="0" w:type="dxa"/>
            <w:left w:w="0" w:type="dxa"/>
            <w:bottom w:w="0" w:type="dxa"/>
            <w:right w:w="0" w:type="dxa"/>
          </w:tblCellMar>
        </w:tblPrEx>
        <w:trPr>
          <w:trHeight w:val="232" w:hRule="atLeast"/>
        </w:trPr>
        <w:tc>
          <w:tcPr>
            <w:tcW w:w="5230" w:type="dxa"/>
            <w:tcBorders>
              <w:top w:val="nil"/>
              <w:left w:val="nil"/>
              <w:bottom w:val="nil"/>
              <w:right w:val="nil"/>
            </w:tcBorders>
            <w:shd w:val="clear" w:color="auto" w:fill="auto"/>
            <w:tcMar>
              <w:top w:w="15" w:type="dxa"/>
              <w:left w:w="15" w:type="dxa"/>
              <w:right w:w="15" w:type="dxa"/>
            </w:tcMar>
            <w:vAlign w:val="bottom"/>
          </w:tcPr>
          <w:p>
            <w:pPr>
              <w:spacing w:line="280" w:lineRule="exact"/>
              <w:textAlignment w:val="bottom"/>
              <w:rPr>
                <w:rFonts w:hint="default" w:cs="宋体"/>
                <w:color w:val="000000"/>
                <w:sz w:val="20"/>
                <w:szCs w:val="20"/>
              </w:rPr>
            </w:pPr>
            <w:r>
              <w:rPr>
                <w:rFonts w:cs="宋体"/>
                <w:sz w:val="20"/>
                <w:szCs w:val="20"/>
              </w:rPr>
              <w:t>公开单位：</w:t>
            </w:r>
            <w:r>
              <w:rPr>
                <w:sz w:val="20"/>
                <w:u w:color="auto"/>
              </w:rPr>
              <w:t>重庆市秀山土家族苗族自治县梅江镇中心卫生院</w:t>
            </w:r>
          </w:p>
        </w:tc>
        <w:tc>
          <w:tcPr>
            <w:tcW w:w="1342"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2"/>
                <w:szCs w:val="22"/>
              </w:rPr>
            </w:pPr>
          </w:p>
        </w:tc>
        <w:tc>
          <w:tcPr>
            <w:tcW w:w="3651"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2520"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657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6171" w:type="dxa"/>
            <w:gridSpan w:val="2"/>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1342"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365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252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一、一般公共预算财政拨款收入</w:t>
            </w:r>
          </w:p>
        </w:tc>
        <w:tc>
          <w:tcPr>
            <w:tcW w:w="13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1,022.66</w:t>
            </w:r>
            <w:r>
              <w:rPr>
                <w:color w:val="000000"/>
                <w:sz w:val="20"/>
                <w:u w:color="auto"/>
              </w:rPr>
              <w:t xml:space="preserve"> </w:t>
            </w:r>
          </w:p>
        </w:tc>
        <w:tc>
          <w:tcPr>
            <w:tcW w:w="365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一、一般公共服务支出</w:t>
            </w:r>
          </w:p>
        </w:tc>
        <w:tc>
          <w:tcPr>
            <w:tcW w:w="25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二、政府性基金预算财政拨款收入</w:t>
            </w:r>
          </w:p>
        </w:tc>
        <w:tc>
          <w:tcPr>
            <w:tcW w:w="13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365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二、外交支出</w:t>
            </w:r>
          </w:p>
        </w:tc>
        <w:tc>
          <w:tcPr>
            <w:tcW w:w="25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三、国有资本经营预算财政拨款收入</w:t>
            </w:r>
          </w:p>
        </w:tc>
        <w:tc>
          <w:tcPr>
            <w:tcW w:w="13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365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三、国防支出</w:t>
            </w:r>
          </w:p>
        </w:tc>
        <w:tc>
          <w:tcPr>
            <w:tcW w:w="25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四、上级补助收入</w:t>
            </w:r>
          </w:p>
        </w:tc>
        <w:tc>
          <w:tcPr>
            <w:tcW w:w="13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365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四、公共安全支出</w:t>
            </w:r>
          </w:p>
        </w:tc>
        <w:tc>
          <w:tcPr>
            <w:tcW w:w="25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五、事业收入</w:t>
            </w:r>
          </w:p>
        </w:tc>
        <w:tc>
          <w:tcPr>
            <w:tcW w:w="13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1,221.09</w:t>
            </w:r>
            <w:r>
              <w:rPr>
                <w:color w:val="000000"/>
                <w:sz w:val="20"/>
                <w:u w:color="auto"/>
              </w:rPr>
              <w:t xml:space="preserve"> </w:t>
            </w:r>
          </w:p>
        </w:tc>
        <w:tc>
          <w:tcPr>
            <w:tcW w:w="365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五、教育支出</w:t>
            </w:r>
          </w:p>
        </w:tc>
        <w:tc>
          <w:tcPr>
            <w:tcW w:w="25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六、经营收入</w:t>
            </w:r>
          </w:p>
        </w:tc>
        <w:tc>
          <w:tcPr>
            <w:tcW w:w="13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365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六、科学技术支出</w:t>
            </w:r>
          </w:p>
        </w:tc>
        <w:tc>
          <w:tcPr>
            <w:tcW w:w="25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七、附属单位上缴收入</w:t>
            </w:r>
          </w:p>
        </w:tc>
        <w:tc>
          <w:tcPr>
            <w:tcW w:w="13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365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七、文化旅游体育与传媒支出</w:t>
            </w:r>
          </w:p>
        </w:tc>
        <w:tc>
          <w:tcPr>
            <w:tcW w:w="25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八、其他收入</w:t>
            </w:r>
          </w:p>
        </w:tc>
        <w:tc>
          <w:tcPr>
            <w:tcW w:w="1342" w:type="dxa"/>
            <w:tcBorders>
              <w:top w:val="nil"/>
              <w:left w:val="nil"/>
              <w:bottom w:val="nil"/>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139.41</w:t>
            </w:r>
            <w:r>
              <w:rPr>
                <w:color w:val="000000"/>
                <w:sz w:val="20"/>
                <w:u w:color="auto"/>
              </w:rPr>
              <w:t xml:space="preserve"> </w:t>
            </w:r>
          </w:p>
        </w:tc>
        <w:tc>
          <w:tcPr>
            <w:tcW w:w="365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八、社会保障和就业支出</w:t>
            </w:r>
          </w:p>
        </w:tc>
        <w:tc>
          <w:tcPr>
            <w:tcW w:w="25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90.72</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3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365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九、卫生健康支出</w:t>
            </w:r>
          </w:p>
        </w:tc>
        <w:tc>
          <w:tcPr>
            <w:tcW w:w="25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2,235.73</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3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365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十、节能环保支出</w:t>
            </w:r>
          </w:p>
        </w:tc>
        <w:tc>
          <w:tcPr>
            <w:tcW w:w="25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3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365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十一、城乡社区支出</w:t>
            </w:r>
          </w:p>
        </w:tc>
        <w:tc>
          <w:tcPr>
            <w:tcW w:w="25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3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365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十二、农林水支出</w:t>
            </w:r>
          </w:p>
        </w:tc>
        <w:tc>
          <w:tcPr>
            <w:tcW w:w="25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3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365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十三、交通运输支出</w:t>
            </w:r>
          </w:p>
        </w:tc>
        <w:tc>
          <w:tcPr>
            <w:tcW w:w="25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3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365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十四、资源勘探工业信息等支出</w:t>
            </w:r>
          </w:p>
        </w:tc>
        <w:tc>
          <w:tcPr>
            <w:tcW w:w="25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3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365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十五、商业服务业等支出</w:t>
            </w:r>
          </w:p>
        </w:tc>
        <w:tc>
          <w:tcPr>
            <w:tcW w:w="25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3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365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十六、金融支出</w:t>
            </w:r>
          </w:p>
        </w:tc>
        <w:tc>
          <w:tcPr>
            <w:tcW w:w="25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3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365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十七、援助其他地区支出</w:t>
            </w:r>
          </w:p>
        </w:tc>
        <w:tc>
          <w:tcPr>
            <w:tcW w:w="25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3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365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十八、自然资源海洋气象等支出</w:t>
            </w:r>
          </w:p>
        </w:tc>
        <w:tc>
          <w:tcPr>
            <w:tcW w:w="25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3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365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十九、住房保障支出</w:t>
            </w:r>
          </w:p>
        </w:tc>
        <w:tc>
          <w:tcPr>
            <w:tcW w:w="25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29.26</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3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365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二十、粮油物资储备支出</w:t>
            </w:r>
          </w:p>
        </w:tc>
        <w:tc>
          <w:tcPr>
            <w:tcW w:w="25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3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365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二十一、国有资本经营预算支出</w:t>
            </w:r>
          </w:p>
        </w:tc>
        <w:tc>
          <w:tcPr>
            <w:tcW w:w="25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3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365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二十二、灾害防治及应急管理支出</w:t>
            </w:r>
          </w:p>
        </w:tc>
        <w:tc>
          <w:tcPr>
            <w:tcW w:w="25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3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365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二十三、其他支出</w:t>
            </w:r>
          </w:p>
        </w:tc>
        <w:tc>
          <w:tcPr>
            <w:tcW w:w="25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1,397.16</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rPr>
                <w:rFonts w:hint="default" w:cs="宋体"/>
                <w:b/>
                <w:color w:val="000000"/>
                <w:sz w:val="20"/>
                <w:szCs w:val="20"/>
              </w:rPr>
            </w:pPr>
          </w:p>
        </w:tc>
        <w:tc>
          <w:tcPr>
            <w:tcW w:w="13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365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二十四、债务还本支出</w:t>
            </w:r>
          </w:p>
        </w:tc>
        <w:tc>
          <w:tcPr>
            <w:tcW w:w="25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3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365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二十五、债务付息支出</w:t>
            </w:r>
          </w:p>
        </w:tc>
        <w:tc>
          <w:tcPr>
            <w:tcW w:w="25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3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365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二十六、抗疫特别国债安排的支出</w:t>
            </w:r>
          </w:p>
        </w:tc>
        <w:tc>
          <w:tcPr>
            <w:tcW w:w="25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本年收入合计</w:t>
            </w:r>
          </w:p>
        </w:tc>
        <w:tc>
          <w:tcPr>
            <w:tcW w:w="13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2,383.16</w:t>
            </w:r>
            <w:r>
              <w:rPr>
                <w:color w:val="000000"/>
                <w:sz w:val="20"/>
                <w:u w:color="auto"/>
              </w:rPr>
              <w:t xml:space="preserve"> </w:t>
            </w:r>
          </w:p>
        </w:tc>
        <w:tc>
          <w:tcPr>
            <w:tcW w:w="365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本年支出合计</w:t>
            </w:r>
          </w:p>
        </w:tc>
        <w:tc>
          <w:tcPr>
            <w:tcW w:w="25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3,752.88</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使用非财政拨款结余和专用结余</w:t>
            </w:r>
          </w:p>
        </w:tc>
        <w:tc>
          <w:tcPr>
            <w:tcW w:w="13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365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结余分配</w:t>
            </w:r>
          </w:p>
        </w:tc>
        <w:tc>
          <w:tcPr>
            <w:tcW w:w="25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年初结转和结余</w:t>
            </w:r>
          </w:p>
        </w:tc>
        <w:tc>
          <w:tcPr>
            <w:tcW w:w="13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1,434.15</w:t>
            </w:r>
            <w:r>
              <w:rPr>
                <w:color w:val="000000"/>
                <w:sz w:val="20"/>
                <w:u w:color="auto"/>
              </w:rPr>
              <w:t xml:space="preserve"> </w:t>
            </w:r>
          </w:p>
        </w:tc>
        <w:tc>
          <w:tcPr>
            <w:tcW w:w="365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年末结转和结余</w:t>
            </w:r>
          </w:p>
        </w:tc>
        <w:tc>
          <w:tcPr>
            <w:tcW w:w="2520"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64.43</w:t>
            </w:r>
            <w:r>
              <w:rPr>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13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3,817.30</w:t>
            </w:r>
            <w:r>
              <w:rPr>
                <w:color w:val="000000"/>
                <w:sz w:val="20"/>
                <w:u w:color="auto"/>
              </w:rPr>
              <w:t xml:space="preserve"> </w:t>
            </w:r>
          </w:p>
        </w:tc>
        <w:tc>
          <w:tcPr>
            <w:tcW w:w="3651" w:type="dxa"/>
            <w:tcBorders>
              <w:top w:val="nil"/>
              <w:left w:val="nil"/>
              <w:bottom w:val="single" w:color="000000"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25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3,817.30</w:t>
            </w:r>
            <w:r>
              <w:rPr>
                <w:color w:val="000000"/>
                <w:sz w:val="20"/>
                <w:u w:color="auto"/>
              </w:rPr>
              <w:t xml:space="preserve"> </w:t>
            </w:r>
          </w:p>
        </w:tc>
      </w:tr>
    </w:tbl>
    <w:p>
      <w:pPr>
        <w:spacing w:line="240" w:lineRule="exact"/>
        <w:rPr>
          <w:rFonts w:cs="宋体"/>
          <w:sz w:val="20"/>
          <w:szCs w:val="20"/>
        </w:rPr>
      </w:pPr>
      <w:r>
        <w:rPr>
          <w:rFonts w:cs="宋体"/>
          <w:sz w:val="20"/>
          <w:szCs w:val="20"/>
        </w:rPr>
        <w:t>备注：1.本表反映单位本年度的总收支和年末结转结余情况。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p>
    <w:p>
      <w:pPr>
        <w:spacing w:line="240" w:lineRule="exact"/>
        <w:rPr>
          <w:rFonts w:cs="宋体"/>
          <w:sz w:val="20"/>
          <w:szCs w:val="20"/>
        </w:rPr>
      </w:pPr>
    </w:p>
    <w:p>
      <w:pPr>
        <w:spacing w:line="240" w:lineRule="exact"/>
        <w:rPr>
          <w:rFonts w:cs="宋体"/>
          <w:sz w:val="20"/>
          <w:szCs w:val="20"/>
        </w:rPr>
      </w:pPr>
    </w:p>
    <w:p>
      <w:pPr>
        <w:spacing w:line="240" w:lineRule="exact"/>
        <w:rPr>
          <w:rFonts w:cs="宋体"/>
          <w:sz w:val="20"/>
          <w:szCs w:val="20"/>
        </w:rPr>
      </w:pPr>
    </w:p>
    <w:p>
      <w:pPr>
        <w:spacing w:line="240" w:lineRule="exact"/>
        <w:rPr>
          <w:rFonts w:cs="宋体"/>
          <w:sz w:val="20"/>
          <w:szCs w:val="20"/>
        </w:rPr>
      </w:pPr>
    </w:p>
    <w:p>
      <w:pPr>
        <w:spacing w:line="240" w:lineRule="exact"/>
        <w:rPr>
          <w:rFonts w:cs="宋体"/>
          <w:sz w:val="20"/>
          <w:szCs w:val="20"/>
        </w:rPr>
      </w:pPr>
    </w:p>
    <w:p>
      <w:pPr>
        <w:spacing w:line="240" w:lineRule="exact"/>
        <w:rPr>
          <w:rFonts w:cs="宋体"/>
          <w:sz w:val="20"/>
          <w:szCs w:val="20"/>
        </w:rPr>
      </w:pPr>
    </w:p>
    <w:p>
      <w:pPr>
        <w:spacing w:line="240" w:lineRule="exact"/>
        <w:rPr>
          <w:rFonts w:cs="宋体"/>
          <w:sz w:val="20"/>
          <w:szCs w:val="20"/>
        </w:rPr>
      </w:pPr>
    </w:p>
    <w:p>
      <w:pPr>
        <w:spacing w:line="240" w:lineRule="exact"/>
        <w:rPr>
          <w:rFonts w:cs="宋体"/>
          <w:sz w:val="20"/>
          <w:szCs w:val="20"/>
        </w:rPr>
      </w:pPr>
    </w:p>
    <w:p>
      <w:pPr>
        <w:spacing w:line="240" w:lineRule="exact"/>
        <w:rPr>
          <w:rFonts w:cs="宋体"/>
          <w:sz w:val="20"/>
          <w:szCs w:val="20"/>
        </w:rPr>
      </w:pPr>
    </w:p>
    <w:p>
      <w:pPr>
        <w:spacing w:line="240" w:lineRule="exact"/>
        <w:rPr>
          <w:rFonts w:cs="宋体"/>
          <w:sz w:val="20"/>
          <w:szCs w:val="20"/>
        </w:rPr>
      </w:pPr>
    </w:p>
    <w:p>
      <w:pPr>
        <w:spacing w:line="240" w:lineRule="exact"/>
        <w:rPr>
          <w:rFonts w:cs="宋体"/>
          <w:sz w:val="20"/>
          <w:szCs w:val="20"/>
        </w:rPr>
      </w:pPr>
    </w:p>
    <w:p>
      <w:pPr>
        <w:spacing w:line="240" w:lineRule="exact"/>
        <w:rPr>
          <w:rFonts w:cs="宋体"/>
          <w:sz w:val="20"/>
          <w:szCs w:val="20"/>
        </w:rPr>
      </w:pPr>
    </w:p>
    <w:p>
      <w:pPr>
        <w:spacing w:line="240" w:lineRule="exact"/>
        <w:rPr>
          <w:rFonts w:cs="宋体"/>
          <w:sz w:val="20"/>
          <w:szCs w:val="20"/>
        </w:rPr>
      </w:pPr>
    </w:p>
    <w:p>
      <w:pPr>
        <w:spacing w:line="240" w:lineRule="exact"/>
        <w:rPr>
          <w:rFonts w:cs="宋体"/>
          <w:sz w:val="20"/>
          <w:szCs w:val="20"/>
        </w:rPr>
      </w:pPr>
    </w:p>
    <w:p>
      <w:pPr>
        <w:spacing w:line="240" w:lineRule="exact"/>
        <w:rPr>
          <w:rFonts w:cs="宋体"/>
          <w:sz w:val="20"/>
          <w:szCs w:val="20"/>
        </w:rPr>
      </w:pPr>
    </w:p>
    <w:p>
      <w:pPr>
        <w:spacing w:line="240" w:lineRule="exact"/>
        <w:rPr>
          <w:rFonts w:cs="宋体"/>
          <w:sz w:val="20"/>
          <w:szCs w:val="20"/>
        </w:rPr>
      </w:pPr>
    </w:p>
    <w:p>
      <w:pPr>
        <w:spacing w:line="240" w:lineRule="exact"/>
        <w:rPr>
          <w:rFonts w:cs="宋体"/>
          <w:sz w:val="20"/>
          <w:szCs w:val="20"/>
        </w:rPr>
      </w:pPr>
    </w:p>
    <w:p>
      <w:pPr>
        <w:spacing w:line="240" w:lineRule="exact"/>
        <w:rPr>
          <w:rFonts w:cs="宋体"/>
          <w:sz w:val="20"/>
          <w:szCs w:val="20"/>
        </w:rPr>
      </w:pPr>
    </w:p>
    <w:p>
      <w:pPr>
        <w:spacing w:line="240" w:lineRule="exact"/>
        <w:rPr>
          <w:rFonts w:cs="宋体"/>
          <w:sz w:val="20"/>
          <w:szCs w:val="20"/>
        </w:rPr>
      </w:pPr>
    </w:p>
    <w:p>
      <w:pPr>
        <w:spacing w:line="240" w:lineRule="exact"/>
        <w:rPr>
          <w:rFonts w:cs="宋体"/>
          <w:sz w:val="20"/>
          <w:szCs w:val="20"/>
        </w:rPr>
      </w:pPr>
    </w:p>
    <w:p>
      <w:pPr>
        <w:spacing w:line="240" w:lineRule="exact"/>
        <w:rPr>
          <w:rFonts w:cs="宋体"/>
          <w:sz w:val="20"/>
          <w:szCs w:val="20"/>
        </w:rPr>
      </w:pPr>
    </w:p>
    <w:p>
      <w:pPr>
        <w:spacing w:line="240" w:lineRule="exact"/>
        <w:rPr>
          <w:rFonts w:cs="宋体"/>
          <w:sz w:val="20"/>
          <w:szCs w:val="20"/>
        </w:rPr>
      </w:pPr>
    </w:p>
    <w:p>
      <w:pPr>
        <w:spacing w:line="240" w:lineRule="exact"/>
        <w:rPr>
          <w:rFonts w:cs="宋体"/>
          <w:sz w:val="20"/>
          <w:szCs w:val="20"/>
        </w:rPr>
      </w:pPr>
    </w:p>
    <w:p>
      <w:pPr>
        <w:spacing w:line="240" w:lineRule="exact"/>
        <w:rPr>
          <w:rFonts w:cs="宋体"/>
          <w:sz w:val="20"/>
          <w:szCs w:val="20"/>
        </w:rPr>
      </w:pPr>
    </w:p>
    <w:p>
      <w:pPr>
        <w:spacing w:line="240" w:lineRule="exact"/>
        <w:rPr>
          <w:rFonts w:cs="宋体"/>
          <w:sz w:val="20"/>
          <w:szCs w:val="20"/>
        </w:rPr>
      </w:pPr>
    </w:p>
    <w:p>
      <w:pPr>
        <w:spacing w:line="240" w:lineRule="exact"/>
        <w:rPr>
          <w:rFonts w:cs="宋体"/>
          <w:sz w:val="20"/>
          <w:szCs w:val="20"/>
        </w:rPr>
      </w:pPr>
    </w:p>
    <w:p>
      <w:pPr>
        <w:spacing w:line="240" w:lineRule="exact"/>
        <w:rPr>
          <w:rFonts w:hint="default" w:cs="宋体"/>
          <w:sz w:val="20"/>
          <w:szCs w:val="20"/>
        </w:rPr>
      </w:pPr>
      <w:r>
        <w:rPr>
          <w:rFonts w:cs="宋体"/>
          <w:sz w:val="20"/>
          <w:szCs w:val="20"/>
        </w:rPr>
        <w:br w:type="textWrapping"/>
      </w:r>
    </w:p>
    <w:tbl>
      <w:tblPr>
        <w:tblStyle w:val="12"/>
        <w:tblW w:w="12731" w:type="dxa"/>
        <w:tblInd w:w="0" w:type="dxa"/>
        <w:tblLayout w:type="fixed"/>
        <w:tblCellMar>
          <w:top w:w="0" w:type="dxa"/>
          <w:left w:w="0" w:type="dxa"/>
          <w:bottom w:w="0" w:type="dxa"/>
          <w:right w:w="0" w:type="dxa"/>
        </w:tblCellMar>
      </w:tblPr>
      <w:tblGrid>
        <w:gridCol w:w="1409"/>
        <w:gridCol w:w="2625"/>
        <w:gridCol w:w="1021"/>
        <w:gridCol w:w="1021"/>
        <w:gridCol w:w="1021"/>
        <w:gridCol w:w="1021"/>
        <w:gridCol w:w="1131"/>
        <w:gridCol w:w="1082"/>
        <w:gridCol w:w="1191"/>
        <w:gridCol w:w="1209"/>
      </w:tblGrid>
      <w:tr>
        <w:tblPrEx>
          <w:tblLayout w:type="fixed"/>
          <w:tblCellMar>
            <w:top w:w="0" w:type="dxa"/>
            <w:left w:w="0" w:type="dxa"/>
            <w:bottom w:w="0" w:type="dxa"/>
            <w:right w:w="0" w:type="dxa"/>
          </w:tblCellMar>
        </w:tblPrEx>
        <w:trPr>
          <w:trHeight w:val="641" w:hRule="atLeast"/>
        </w:trPr>
        <w:tc>
          <w:tcPr>
            <w:tcW w:w="12731"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4034"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sz w:val="20"/>
                <w:u w:color="auto"/>
              </w:rPr>
              <w:t>重庆市秀山土家族苗族自治县梅江镇中心卫生院</w:t>
            </w:r>
          </w:p>
        </w:tc>
        <w:tc>
          <w:tcPr>
            <w:tcW w:w="102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02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02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02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13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08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19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09"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公开02表</w:t>
            </w:r>
          </w:p>
        </w:tc>
      </w:tr>
      <w:tr>
        <w:tblPrEx>
          <w:tblLayout w:type="fixed"/>
          <w:tblCellMar>
            <w:top w:w="0" w:type="dxa"/>
            <w:left w:w="0" w:type="dxa"/>
            <w:bottom w:w="0" w:type="dxa"/>
            <w:right w:w="0" w:type="dxa"/>
          </w:tblCellMar>
        </w:tblPrEx>
        <w:trPr>
          <w:trHeight w:val="328" w:hRule="atLeast"/>
        </w:trPr>
        <w:tc>
          <w:tcPr>
            <w:tcW w:w="4034"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02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02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02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02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13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08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19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09"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31" w:hRule="atLeast"/>
        </w:trPr>
        <w:tc>
          <w:tcPr>
            <w:tcW w:w="4034" w:type="dxa"/>
            <w:gridSpan w:val="2"/>
            <w:tcBorders>
              <w:top w:val="single" w:color="000000" w:sz="4" w:space="0"/>
              <w:left w:val="single" w:color="000000" w:sz="4" w:space="0"/>
              <w:bottom w:val="single" w:color="000000" w:sz="4" w:space="0"/>
              <w:right w:val="nil"/>
            </w:tcBorders>
            <w:shd w:val="clear" w:color="auto" w:fill="D0CECE"/>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2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本年收入合计</w:t>
            </w:r>
          </w:p>
        </w:tc>
        <w:tc>
          <w:tcPr>
            <w:tcW w:w="102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财政拨款收入</w:t>
            </w:r>
          </w:p>
        </w:tc>
        <w:tc>
          <w:tcPr>
            <w:tcW w:w="102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上级补助收入</w:t>
            </w:r>
          </w:p>
        </w:tc>
        <w:tc>
          <w:tcPr>
            <w:tcW w:w="2152"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事业收入</w:t>
            </w:r>
          </w:p>
        </w:tc>
        <w:tc>
          <w:tcPr>
            <w:tcW w:w="1082"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经营收入</w:t>
            </w:r>
          </w:p>
        </w:tc>
        <w:tc>
          <w:tcPr>
            <w:tcW w:w="119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附属单位上缴收入</w:t>
            </w:r>
          </w:p>
        </w:tc>
        <w:tc>
          <w:tcPr>
            <w:tcW w:w="120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409"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2625"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02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02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小计</w:t>
            </w:r>
          </w:p>
        </w:tc>
        <w:tc>
          <w:tcPr>
            <w:tcW w:w="113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其中：教育收费</w:t>
            </w:r>
          </w:p>
        </w:tc>
        <w:tc>
          <w:tcPr>
            <w:tcW w:w="108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19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0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409"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262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13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08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19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0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409"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262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13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08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19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0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409"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262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13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08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19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0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403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02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2,383.16</w:t>
            </w:r>
            <w:r>
              <w:rPr>
                <w:b/>
                <w:color w:val="000000"/>
                <w:sz w:val="20"/>
                <w:u w:color="auto"/>
              </w:rPr>
              <w:t xml:space="preserve"> </w:t>
            </w:r>
          </w:p>
        </w:tc>
        <w:tc>
          <w:tcPr>
            <w:tcW w:w="102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1,022.66</w:t>
            </w:r>
            <w:r>
              <w:rPr>
                <w:b/>
                <w:color w:val="000000"/>
                <w:sz w:val="20"/>
                <w:u w:color="auto"/>
              </w:rPr>
              <w:t xml:space="preserve"> </w:t>
            </w:r>
          </w:p>
        </w:tc>
        <w:tc>
          <w:tcPr>
            <w:tcW w:w="102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02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1,221.09</w:t>
            </w:r>
            <w:r>
              <w:rPr>
                <w:b/>
                <w:color w:val="000000"/>
                <w:sz w:val="20"/>
                <w:u w:color="auto"/>
              </w:rPr>
              <w:t xml:space="preserve"> </w:t>
            </w:r>
          </w:p>
        </w:tc>
        <w:tc>
          <w:tcPr>
            <w:tcW w:w="113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08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19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2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139.41</w:t>
            </w:r>
            <w:r>
              <w:rPr>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0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262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90.72</w:t>
            </w:r>
            <w:r>
              <w:rPr>
                <w:b/>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90.72</w:t>
            </w:r>
            <w:r>
              <w:rPr>
                <w:b/>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0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262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90.72</w:t>
            </w:r>
            <w:r>
              <w:rPr>
                <w:b/>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90.72</w:t>
            </w:r>
            <w:r>
              <w:rPr>
                <w:b/>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0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262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3.53</w:t>
            </w:r>
            <w:r>
              <w:rPr>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3.53</w:t>
            </w:r>
            <w:r>
              <w:rPr>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0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262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38.83</w:t>
            </w:r>
            <w:r>
              <w:rPr>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38.83</w:t>
            </w:r>
            <w:r>
              <w:rPr>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0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262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19.38</w:t>
            </w:r>
            <w:r>
              <w:rPr>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19.38</w:t>
            </w:r>
            <w:r>
              <w:rPr>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0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2080599</w:t>
            </w:r>
          </w:p>
        </w:tc>
        <w:tc>
          <w:tcPr>
            <w:tcW w:w="262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其他行政事业单位养老支出</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28.98</w:t>
            </w:r>
            <w:r>
              <w:rPr>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28.98</w:t>
            </w:r>
            <w:r>
              <w:rPr>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0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262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2,263.18</w:t>
            </w:r>
            <w:r>
              <w:rPr>
                <w:b/>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902.68</w:t>
            </w:r>
            <w:r>
              <w:rPr>
                <w:b/>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1,221.09</w:t>
            </w:r>
            <w:r>
              <w:rPr>
                <w:b/>
                <w:color w:val="000000"/>
                <w:sz w:val="20"/>
                <w:u w:color="auto"/>
              </w:rPr>
              <w:t xml:space="preserve"> </w:t>
            </w:r>
          </w:p>
        </w:tc>
        <w:tc>
          <w:tcPr>
            <w:tcW w:w="11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139.41</w:t>
            </w:r>
            <w:r>
              <w:rPr>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0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262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2.25</w:t>
            </w:r>
            <w:r>
              <w:rPr>
                <w:b/>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2.25</w:t>
            </w:r>
            <w:r>
              <w:rPr>
                <w:b/>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0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262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2.25</w:t>
            </w:r>
            <w:r>
              <w:rPr>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2.25</w:t>
            </w:r>
            <w:r>
              <w:rPr>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0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262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1,906.97</w:t>
            </w:r>
            <w:r>
              <w:rPr>
                <w:b/>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546.48</w:t>
            </w:r>
            <w:r>
              <w:rPr>
                <w:b/>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1,221.09</w:t>
            </w:r>
            <w:r>
              <w:rPr>
                <w:b/>
                <w:color w:val="000000"/>
                <w:sz w:val="20"/>
                <w:u w:color="auto"/>
              </w:rPr>
              <w:t xml:space="preserve"> </w:t>
            </w:r>
          </w:p>
        </w:tc>
        <w:tc>
          <w:tcPr>
            <w:tcW w:w="11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139.41</w:t>
            </w:r>
            <w:r>
              <w:rPr>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0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262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1,906.97</w:t>
            </w:r>
            <w:r>
              <w:rPr>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546.48</w:t>
            </w:r>
            <w:r>
              <w:rPr>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1,221.09</w:t>
            </w:r>
            <w:r>
              <w:rPr>
                <w:color w:val="000000"/>
                <w:sz w:val="20"/>
                <w:u w:color="auto"/>
              </w:rPr>
              <w:t xml:space="preserve"> </w:t>
            </w:r>
          </w:p>
        </w:tc>
        <w:tc>
          <w:tcPr>
            <w:tcW w:w="11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139.41</w:t>
            </w: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0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262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329.00</w:t>
            </w:r>
            <w:r>
              <w:rPr>
                <w:b/>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329.00</w:t>
            </w:r>
            <w:r>
              <w:rPr>
                <w:b/>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0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262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297.46</w:t>
            </w:r>
            <w:r>
              <w:rPr>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297.46</w:t>
            </w:r>
            <w:r>
              <w:rPr>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0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262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突发公共卫生事件应急处理</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31.54</w:t>
            </w:r>
            <w:r>
              <w:rPr>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31.54</w:t>
            </w:r>
            <w:r>
              <w:rPr>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0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262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24.27</w:t>
            </w:r>
            <w:r>
              <w:rPr>
                <w:b/>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24.27</w:t>
            </w:r>
            <w:r>
              <w:rPr>
                <w:b/>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0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262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24.27</w:t>
            </w:r>
            <w:r>
              <w:rPr>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24.27</w:t>
            </w:r>
            <w:r>
              <w:rPr>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0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21099</w:t>
            </w:r>
          </w:p>
        </w:tc>
        <w:tc>
          <w:tcPr>
            <w:tcW w:w="262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其他卫生健康支出</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0.68</w:t>
            </w:r>
            <w:r>
              <w:rPr>
                <w:b/>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0.68</w:t>
            </w:r>
            <w:r>
              <w:rPr>
                <w:b/>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0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2109999</w:t>
            </w:r>
          </w:p>
        </w:tc>
        <w:tc>
          <w:tcPr>
            <w:tcW w:w="262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其他卫生健康支出</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0.68</w:t>
            </w:r>
            <w:r>
              <w:rPr>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0.68</w:t>
            </w:r>
            <w:r>
              <w:rPr>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0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262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29.26</w:t>
            </w:r>
            <w:r>
              <w:rPr>
                <w:b/>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29.26</w:t>
            </w:r>
            <w:r>
              <w:rPr>
                <w:b/>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0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262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29.26</w:t>
            </w:r>
            <w:r>
              <w:rPr>
                <w:b/>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29.26</w:t>
            </w:r>
            <w:r>
              <w:rPr>
                <w:b/>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0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262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29.26</w:t>
            </w:r>
            <w:r>
              <w:rPr>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29.26</w:t>
            </w:r>
            <w:r>
              <w:rPr>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bl>
    <w:p>
      <w:pPr>
        <w:ind w:left="600" w:hanging="600" w:hangingChars="300"/>
        <w:rPr>
          <w:rFonts w:hint="default" w:cs="宋体"/>
          <w:sz w:val="20"/>
          <w:szCs w:val="20"/>
        </w:rPr>
      </w:pPr>
      <w:r>
        <w:rPr>
          <w:rFonts w:cs="宋体"/>
          <w:sz w:val="20"/>
          <w:szCs w:val="20"/>
        </w:rPr>
        <w:t>备注：1.本表反映单位本年度取得的各项收入情况。</w:t>
      </w:r>
      <w:r>
        <w:rPr>
          <w:rFonts w:cs="宋体"/>
          <w:sz w:val="20"/>
          <w:szCs w:val="20"/>
        </w:rPr>
        <w:br w:type="textWrapping"/>
      </w:r>
      <w:r>
        <w:rPr>
          <w:rFonts w:cs="宋体"/>
          <w:sz w:val="20"/>
          <w:szCs w:val="20"/>
        </w:rPr>
        <w:t>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0"/>
          <w:szCs w:val="20"/>
        </w:rPr>
      </w:pPr>
      <w:r>
        <w:rPr>
          <w:rFonts w:cs="宋体"/>
          <w:sz w:val="20"/>
          <w:szCs w:val="20"/>
        </w:rPr>
        <w:br w:type="page"/>
      </w:r>
    </w:p>
    <w:tbl>
      <w:tblPr>
        <w:tblStyle w:val="12"/>
        <w:tblW w:w="12730" w:type="dxa"/>
        <w:tblInd w:w="0" w:type="dxa"/>
        <w:tblLayout w:type="fixed"/>
        <w:tblCellMar>
          <w:top w:w="0" w:type="dxa"/>
          <w:left w:w="0" w:type="dxa"/>
          <w:bottom w:w="0" w:type="dxa"/>
          <w:right w:w="0" w:type="dxa"/>
        </w:tblCellMar>
      </w:tblPr>
      <w:tblGrid>
        <w:gridCol w:w="1637"/>
        <w:gridCol w:w="4630"/>
        <w:gridCol w:w="1075"/>
        <w:gridCol w:w="1075"/>
        <w:gridCol w:w="1075"/>
        <w:gridCol w:w="1062"/>
        <w:gridCol w:w="1062"/>
        <w:gridCol w:w="1114"/>
      </w:tblGrid>
      <w:tr>
        <w:tblPrEx>
          <w:tblLayout w:type="fixed"/>
          <w:tblCellMar>
            <w:top w:w="0" w:type="dxa"/>
            <w:left w:w="0" w:type="dxa"/>
            <w:bottom w:w="0" w:type="dxa"/>
            <w:right w:w="0" w:type="dxa"/>
          </w:tblCellMar>
        </w:tblPrEx>
        <w:trPr>
          <w:trHeight w:val="654" w:hRule="atLeast"/>
        </w:trPr>
        <w:tc>
          <w:tcPr>
            <w:tcW w:w="12730"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6267"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 xml:space="preserve">重庆市秀山土家族苗族自治县梅江镇中心卫生院 </w:t>
            </w:r>
          </w:p>
        </w:tc>
        <w:tc>
          <w:tcPr>
            <w:tcW w:w="107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07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07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06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06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11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公开03表</w:t>
            </w:r>
          </w:p>
        </w:tc>
      </w:tr>
      <w:tr>
        <w:tblPrEx>
          <w:tblLayout w:type="fixed"/>
          <w:tblCellMar>
            <w:top w:w="0" w:type="dxa"/>
            <w:left w:w="0" w:type="dxa"/>
            <w:bottom w:w="0" w:type="dxa"/>
            <w:right w:w="0" w:type="dxa"/>
          </w:tblCellMar>
        </w:tblPrEx>
        <w:trPr>
          <w:trHeight w:val="342" w:hRule="atLeast"/>
        </w:trPr>
        <w:tc>
          <w:tcPr>
            <w:tcW w:w="6267"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07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07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07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06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06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11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62" w:hRule="atLeast"/>
        </w:trPr>
        <w:tc>
          <w:tcPr>
            <w:tcW w:w="6267"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7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本年支出合计</w:t>
            </w:r>
          </w:p>
        </w:tc>
        <w:tc>
          <w:tcPr>
            <w:tcW w:w="107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07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062"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062"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11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637"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4630"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07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07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07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06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06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11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4630"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07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07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07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06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06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11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4630"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07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07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07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06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06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11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4630"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07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07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07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06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06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11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62" w:hRule="atLeast"/>
        </w:trPr>
        <w:tc>
          <w:tcPr>
            <w:tcW w:w="6267"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3,752.88</w:t>
            </w:r>
            <w:r>
              <w:rPr>
                <w:b/>
                <w:color w:val="000000"/>
                <w:sz w:val="20"/>
                <w:u w:color="auto"/>
              </w:rPr>
              <w:t xml:space="preserve"> </w:t>
            </w:r>
          </w:p>
        </w:tc>
        <w:tc>
          <w:tcPr>
            <w:tcW w:w="1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2,324.18</w:t>
            </w:r>
            <w:r>
              <w:rPr>
                <w:b/>
                <w:color w:val="000000"/>
                <w:sz w:val="20"/>
                <w:u w:color="auto"/>
              </w:rPr>
              <w:t xml:space="preserve"> </w:t>
            </w:r>
          </w:p>
        </w:tc>
        <w:tc>
          <w:tcPr>
            <w:tcW w:w="1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1,428.70</w:t>
            </w:r>
            <w:r>
              <w:rPr>
                <w:b/>
                <w:color w:val="000000"/>
                <w:sz w:val="20"/>
                <w:u w:color="auto"/>
              </w:rPr>
              <w:t xml:space="preserve"> </w:t>
            </w:r>
          </w:p>
        </w:tc>
        <w:tc>
          <w:tcPr>
            <w:tcW w:w="10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0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11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90.72</w:t>
            </w:r>
            <w:r>
              <w:rPr>
                <w:b/>
                <w:color w:val="000000"/>
                <w:sz w:val="20"/>
                <w:u w:color="auto"/>
              </w:rPr>
              <w:t xml:space="preserve"> </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90.72</w:t>
            </w:r>
            <w:r>
              <w:rPr>
                <w:b/>
                <w:color w:val="000000"/>
                <w:sz w:val="20"/>
                <w:u w:color="auto"/>
              </w:rPr>
              <w:t xml:space="preserve"> </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90.72</w:t>
            </w:r>
            <w:r>
              <w:rPr>
                <w:b/>
                <w:color w:val="000000"/>
                <w:sz w:val="20"/>
                <w:u w:color="auto"/>
              </w:rPr>
              <w:t xml:space="preserve"> </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90.72</w:t>
            </w:r>
            <w:r>
              <w:rPr>
                <w:b/>
                <w:color w:val="000000"/>
                <w:sz w:val="20"/>
                <w:u w:color="auto"/>
              </w:rPr>
              <w:t xml:space="preserve"> </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3.53</w:t>
            </w:r>
            <w:r>
              <w:rPr>
                <w:color w:val="000000"/>
                <w:sz w:val="20"/>
                <w:u w:color="auto"/>
              </w:rPr>
              <w:t xml:space="preserve"> </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3.53</w:t>
            </w:r>
            <w:r>
              <w:rPr>
                <w:color w:val="000000"/>
                <w:sz w:val="20"/>
                <w:u w:color="auto"/>
              </w:rPr>
              <w:t xml:space="preserve"> </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38.83</w:t>
            </w:r>
            <w:r>
              <w:rPr>
                <w:color w:val="000000"/>
                <w:sz w:val="20"/>
                <w:u w:color="auto"/>
              </w:rPr>
              <w:t xml:space="preserve"> </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38.83</w:t>
            </w:r>
            <w:r>
              <w:rPr>
                <w:color w:val="000000"/>
                <w:sz w:val="20"/>
                <w:u w:color="auto"/>
              </w:rPr>
              <w:t xml:space="preserve"> </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19.38</w:t>
            </w:r>
            <w:r>
              <w:rPr>
                <w:color w:val="000000"/>
                <w:sz w:val="20"/>
                <w:u w:color="auto"/>
              </w:rPr>
              <w:t xml:space="preserve"> </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19.38</w:t>
            </w:r>
            <w:r>
              <w:rPr>
                <w:color w:val="000000"/>
                <w:sz w:val="20"/>
                <w:u w:color="auto"/>
              </w:rPr>
              <w:t xml:space="preserve"> </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2080599</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其他行政事业单位养老支出</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28.98</w:t>
            </w:r>
            <w:r>
              <w:rPr>
                <w:color w:val="000000"/>
                <w:sz w:val="20"/>
                <w:u w:color="auto"/>
              </w:rPr>
              <w:t xml:space="preserve"> </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28.98</w:t>
            </w:r>
            <w:r>
              <w:rPr>
                <w:color w:val="000000"/>
                <w:sz w:val="20"/>
                <w:u w:color="auto"/>
              </w:rPr>
              <w:t xml:space="preserve"> </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2,235.73</w:t>
            </w:r>
            <w:r>
              <w:rPr>
                <w:b/>
                <w:color w:val="000000"/>
                <w:sz w:val="20"/>
                <w:u w:color="auto"/>
              </w:rPr>
              <w:t xml:space="preserve"> </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2,204.20</w:t>
            </w:r>
            <w:r>
              <w:rPr>
                <w:b/>
                <w:color w:val="000000"/>
                <w:sz w:val="20"/>
                <w:u w:color="auto"/>
              </w:rPr>
              <w:t xml:space="preserve"> </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31.54</w:t>
            </w:r>
            <w:r>
              <w:rPr>
                <w:b/>
                <w:color w:val="000000"/>
                <w:sz w:val="20"/>
                <w:u w:color="auto"/>
              </w:rPr>
              <w:t xml:space="preserve">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2.25</w:t>
            </w:r>
            <w:r>
              <w:rPr>
                <w:b/>
                <w:color w:val="000000"/>
                <w:sz w:val="20"/>
                <w:u w:color="auto"/>
              </w:rPr>
              <w:t xml:space="preserve"> </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2.25</w:t>
            </w:r>
            <w:r>
              <w:rPr>
                <w:b/>
                <w:color w:val="000000"/>
                <w:sz w:val="20"/>
                <w:u w:color="auto"/>
              </w:rPr>
              <w:t xml:space="preserve"> </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2.25</w:t>
            </w:r>
            <w:r>
              <w:rPr>
                <w:color w:val="000000"/>
                <w:sz w:val="20"/>
                <w:u w:color="auto"/>
              </w:rPr>
              <w:t xml:space="preserve"> </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2.25</w:t>
            </w:r>
            <w:r>
              <w:rPr>
                <w:color w:val="000000"/>
                <w:sz w:val="20"/>
                <w:u w:color="auto"/>
              </w:rPr>
              <w:t xml:space="preserve"> </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1,879.53</w:t>
            </w:r>
            <w:r>
              <w:rPr>
                <w:b/>
                <w:color w:val="000000"/>
                <w:sz w:val="20"/>
                <w:u w:color="auto"/>
              </w:rPr>
              <w:t xml:space="preserve"> </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1,879.53</w:t>
            </w:r>
            <w:r>
              <w:rPr>
                <w:b/>
                <w:color w:val="000000"/>
                <w:sz w:val="20"/>
                <w:u w:color="auto"/>
              </w:rPr>
              <w:t xml:space="preserve"> </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1,879.53</w:t>
            </w:r>
            <w:r>
              <w:rPr>
                <w:color w:val="000000"/>
                <w:sz w:val="20"/>
                <w:u w:color="auto"/>
              </w:rPr>
              <w:t xml:space="preserve"> </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1,879.53</w:t>
            </w:r>
            <w:r>
              <w:rPr>
                <w:color w:val="000000"/>
                <w:sz w:val="20"/>
                <w:u w:color="auto"/>
              </w:rPr>
              <w:t xml:space="preserve"> </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329.00</w:t>
            </w:r>
            <w:r>
              <w:rPr>
                <w:b/>
                <w:color w:val="000000"/>
                <w:sz w:val="20"/>
                <w:u w:color="auto"/>
              </w:rPr>
              <w:t xml:space="preserve"> </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297.46</w:t>
            </w:r>
            <w:r>
              <w:rPr>
                <w:b/>
                <w:color w:val="000000"/>
                <w:sz w:val="20"/>
                <w:u w:color="auto"/>
              </w:rPr>
              <w:t xml:space="preserve"> </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31.54</w:t>
            </w:r>
            <w:r>
              <w:rPr>
                <w:b/>
                <w:color w:val="000000"/>
                <w:sz w:val="20"/>
                <w:u w:color="auto"/>
              </w:rPr>
              <w:t xml:space="preserve">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297.46</w:t>
            </w:r>
            <w:r>
              <w:rPr>
                <w:color w:val="000000"/>
                <w:sz w:val="20"/>
                <w:u w:color="auto"/>
              </w:rPr>
              <w:t xml:space="preserve"> </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297.46</w:t>
            </w:r>
            <w:r>
              <w:rPr>
                <w:color w:val="000000"/>
                <w:sz w:val="20"/>
                <w:u w:color="auto"/>
              </w:rPr>
              <w:t xml:space="preserve"> </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突发公共卫生事件应急处理</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31.54</w:t>
            </w:r>
            <w:r>
              <w:rPr>
                <w:color w:val="000000"/>
                <w:sz w:val="20"/>
                <w:u w:color="auto"/>
              </w:rPr>
              <w:t xml:space="preserve"> </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31.54</w:t>
            </w:r>
            <w:r>
              <w:rPr>
                <w:color w:val="000000"/>
                <w:sz w:val="20"/>
                <w:u w:color="auto"/>
              </w:rPr>
              <w:t xml:space="preserve">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24.27</w:t>
            </w:r>
            <w:r>
              <w:rPr>
                <w:b/>
                <w:color w:val="000000"/>
                <w:sz w:val="20"/>
                <w:u w:color="auto"/>
              </w:rPr>
              <w:t xml:space="preserve"> </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24.27</w:t>
            </w:r>
            <w:r>
              <w:rPr>
                <w:b/>
                <w:color w:val="000000"/>
                <w:sz w:val="20"/>
                <w:u w:color="auto"/>
              </w:rPr>
              <w:t xml:space="preserve"> </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24.27</w:t>
            </w:r>
            <w:r>
              <w:rPr>
                <w:color w:val="000000"/>
                <w:sz w:val="20"/>
                <w:u w:color="auto"/>
              </w:rPr>
              <w:t xml:space="preserve"> </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24.27</w:t>
            </w:r>
            <w:r>
              <w:rPr>
                <w:color w:val="000000"/>
                <w:sz w:val="20"/>
                <w:u w:color="auto"/>
              </w:rPr>
              <w:t xml:space="preserve"> </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21099</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其他卫生健康支出</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0.68</w:t>
            </w:r>
            <w:r>
              <w:rPr>
                <w:b/>
                <w:color w:val="000000"/>
                <w:sz w:val="20"/>
                <w:u w:color="auto"/>
              </w:rPr>
              <w:t xml:space="preserve"> </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0.68</w:t>
            </w:r>
            <w:r>
              <w:rPr>
                <w:b/>
                <w:color w:val="000000"/>
                <w:sz w:val="20"/>
                <w:u w:color="auto"/>
              </w:rPr>
              <w:t xml:space="preserve"> </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2109999</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其他卫生健康支出</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0.68</w:t>
            </w:r>
            <w:r>
              <w:rPr>
                <w:color w:val="000000"/>
                <w:sz w:val="20"/>
                <w:u w:color="auto"/>
              </w:rPr>
              <w:t xml:space="preserve"> </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0.68</w:t>
            </w:r>
            <w:r>
              <w:rPr>
                <w:color w:val="000000"/>
                <w:sz w:val="20"/>
                <w:u w:color="auto"/>
              </w:rPr>
              <w:t xml:space="preserve"> </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29.26</w:t>
            </w:r>
            <w:r>
              <w:rPr>
                <w:b/>
                <w:color w:val="000000"/>
                <w:sz w:val="20"/>
                <w:u w:color="auto"/>
              </w:rPr>
              <w:t xml:space="preserve"> </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29.26</w:t>
            </w:r>
            <w:r>
              <w:rPr>
                <w:b/>
                <w:color w:val="000000"/>
                <w:sz w:val="20"/>
                <w:u w:color="auto"/>
              </w:rPr>
              <w:t xml:space="preserve"> </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29.26</w:t>
            </w:r>
            <w:r>
              <w:rPr>
                <w:b/>
                <w:color w:val="000000"/>
                <w:sz w:val="20"/>
                <w:u w:color="auto"/>
              </w:rPr>
              <w:t xml:space="preserve"> </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29.26</w:t>
            </w:r>
            <w:r>
              <w:rPr>
                <w:b/>
                <w:color w:val="000000"/>
                <w:sz w:val="20"/>
                <w:u w:color="auto"/>
              </w:rPr>
              <w:t xml:space="preserve"> </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29.26</w:t>
            </w:r>
            <w:r>
              <w:rPr>
                <w:color w:val="000000"/>
                <w:sz w:val="20"/>
                <w:u w:color="auto"/>
              </w:rPr>
              <w:t xml:space="preserve"> </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29.26</w:t>
            </w:r>
            <w:r>
              <w:rPr>
                <w:color w:val="000000"/>
                <w:sz w:val="20"/>
                <w:u w:color="auto"/>
              </w:rPr>
              <w:t xml:space="preserve"> </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229</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其他支出</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1,397.16</w:t>
            </w:r>
            <w:r>
              <w:rPr>
                <w:b/>
                <w:color w:val="000000"/>
                <w:sz w:val="20"/>
                <w:u w:color="auto"/>
              </w:rPr>
              <w:t xml:space="preserve"> </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1,397.16</w:t>
            </w:r>
            <w:r>
              <w:rPr>
                <w:b/>
                <w:color w:val="000000"/>
                <w:sz w:val="20"/>
                <w:u w:color="auto"/>
              </w:rPr>
              <w:t xml:space="preserve">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22904</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其他政府性基金及对应专项债务收入安排的支出</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1,397.16</w:t>
            </w:r>
            <w:r>
              <w:rPr>
                <w:b/>
                <w:color w:val="000000"/>
                <w:sz w:val="20"/>
                <w:u w:color="auto"/>
              </w:rPr>
              <w:t xml:space="preserve"> </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1,397.16</w:t>
            </w:r>
            <w:r>
              <w:rPr>
                <w:b/>
                <w:color w:val="000000"/>
                <w:sz w:val="20"/>
                <w:u w:color="auto"/>
              </w:rPr>
              <w:t xml:space="preserve">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2290402</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其他地方自行试点项目收益专项债券收入安排的支出</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1,397.16</w:t>
            </w:r>
            <w:r>
              <w:rPr>
                <w:color w:val="000000"/>
                <w:sz w:val="20"/>
                <w:u w:color="auto"/>
              </w:rPr>
              <w:t xml:space="preserve"> </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1,397.16</w:t>
            </w:r>
            <w:r>
              <w:rPr>
                <w:color w:val="000000"/>
                <w:sz w:val="20"/>
                <w:u w:color="auto"/>
              </w:rPr>
              <w:t xml:space="preserve">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0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bl>
    <w:p>
      <w:pPr>
        <w:rPr>
          <w:rFonts w:hint="default" w:cs="宋体"/>
          <w:sz w:val="20"/>
          <w:szCs w:val="20"/>
        </w:rPr>
      </w:pPr>
      <w:r>
        <w:rPr>
          <w:rFonts w:cs="宋体"/>
          <w:sz w:val="20"/>
          <w:szCs w:val="20"/>
        </w:rPr>
        <w:t>备注：1.本表反映单位本年度各项支出情况。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p>
      <w:pPr>
        <w:rPr>
          <w:rFonts w:hint="default" w:cs="宋体"/>
          <w:sz w:val="21"/>
          <w:szCs w:val="21"/>
        </w:rPr>
      </w:pPr>
    </w:p>
    <w:tbl>
      <w:tblPr>
        <w:tblStyle w:val="12"/>
        <w:tblW w:w="12620" w:type="dxa"/>
        <w:tblInd w:w="0" w:type="dxa"/>
        <w:tblLayout w:type="fixed"/>
        <w:tblCellMar>
          <w:top w:w="0" w:type="dxa"/>
          <w:left w:w="0" w:type="dxa"/>
          <w:bottom w:w="0" w:type="dxa"/>
          <w:right w:w="0" w:type="dxa"/>
        </w:tblCellMar>
      </w:tblPr>
      <w:tblGrid>
        <w:gridCol w:w="3647"/>
        <w:gridCol w:w="1869"/>
        <w:gridCol w:w="2825"/>
        <w:gridCol w:w="1019"/>
        <w:gridCol w:w="1020"/>
        <w:gridCol w:w="1019"/>
        <w:gridCol w:w="1221"/>
      </w:tblGrid>
      <w:tr>
        <w:tblPrEx>
          <w:tblLayout w:type="fixed"/>
          <w:tblCellMar>
            <w:top w:w="0" w:type="dxa"/>
            <w:left w:w="0" w:type="dxa"/>
            <w:bottom w:w="0" w:type="dxa"/>
            <w:right w:w="0" w:type="dxa"/>
          </w:tblCellMar>
        </w:tblPrEx>
        <w:trPr>
          <w:trHeight w:val="90" w:hRule="atLeast"/>
        </w:trPr>
        <w:tc>
          <w:tcPr>
            <w:tcW w:w="12620"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5516" w:type="dxa"/>
            <w:gridSpan w:val="2"/>
            <w:vMerge w:val="restart"/>
            <w:tcBorders>
              <w:top w:val="nil"/>
              <w:left w:val="nil"/>
              <w:right w:val="nil"/>
            </w:tcBorders>
            <w:shd w:val="clear" w:color="auto" w:fill="auto"/>
            <w:tcMar>
              <w:top w:w="15" w:type="dxa"/>
              <w:left w:w="15" w:type="dxa"/>
              <w:right w:w="15" w:type="dxa"/>
            </w:tcMar>
            <w:vAlign w:val="bottom"/>
          </w:tcPr>
          <w:p>
            <w:pPr>
              <w:spacing w:line="240" w:lineRule="exact"/>
              <w:rPr>
                <w:rFonts w:hint="default" w:cs="宋体"/>
                <w:color w:val="000000"/>
                <w:sz w:val="18"/>
                <w:szCs w:val="18"/>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重庆市秀山土家族苗族自治县梅江镇中心卫生院</w:t>
            </w:r>
          </w:p>
        </w:tc>
        <w:tc>
          <w:tcPr>
            <w:tcW w:w="282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01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02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01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221"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公开04表</w:t>
            </w:r>
          </w:p>
        </w:tc>
      </w:tr>
      <w:tr>
        <w:tblPrEx>
          <w:tblLayout w:type="fixed"/>
          <w:tblCellMar>
            <w:top w:w="0" w:type="dxa"/>
            <w:left w:w="0" w:type="dxa"/>
            <w:bottom w:w="0" w:type="dxa"/>
            <w:right w:w="0" w:type="dxa"/>
          </w:tblCellMar>
        </w:tblPrEx>
        <w:trPr>
          <w:trHeight w:val="90" w:hRule="atLeast"/>
        </w:trPr>
        <w:tc>
          <w:tcPr>
            <w:tcW w:w="5516" w:type="dxa"/>
            <w:gridSpan w:val="2"/>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282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01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02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01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22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551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7104" w:type="dxa"/>
            <w:gridSpan w:val="5"/>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364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86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282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4279" w:type="dxa"/>
            <w:gridSpan w:val="4"/>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36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86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282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0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02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01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22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36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一、一般公共预算财政拨款</w:t>
            </w:r>
          </w:p>
        </w:tc>
        <w:tc>
          <w:tcPr>
            <w:tcW w:w="18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1,022.66</w:t>
            </w:r>
            <w:r>
              <w:rPr>
                <w:color w:val="000000"/>
                <w:sz w:val="18"/>
                <w:u w:color="auto"/>
              </w:rPr>
              <w:t xml:space="preserve"> </w:t>
            </w:r>
          </w:p>
        </w:tc>
        <w:tc>
          <w:tcPr>
            <w:tcW w:w="28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一、一般公共服务支出</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6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二、政府性基金预算财政拨款</w:t>
            </w:r>
          </w:p>
        </w:tc>
        <w:tc>
          <w:tcPr>
            <w:tcW w:w="18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8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二、外交支出</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6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三、国有资本经营预算财政拨款</w:t>
            </w:r>
          </w:p>
        </w:tc>
        <w:tc>
          <w:tcPr>
            <w:tcW w:w="18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8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三、国防支出</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6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28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四、公共安全支出</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6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28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五、教育支出</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6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28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六、科学技术支出</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6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28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七、文化旅游体育与传媒支出</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6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28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八、社会保障和就业支出</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90.72</w:t>
            </w:r>
            <w:r>
              <w:rPr>
                <w:color w:val="000000"/>
                <w:sz w:val="18"/>
                <w:u w:color="auto"/>
              </w:rPr>
              <w:t xml:space="preserve"> </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90.72</w:t>
            </w:r>
            <w:r>
              <w:rPr>
                <w:color w:val="000000"/>
                <w:sz w:val="18"/>
                <w:u w:color="auto"/>
              </w:rPr>
              <w:t xml:space="preserve"> </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6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28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九、卫生健康支出</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854.26</w:t>
            </w:r>
            <w:r>
              <w:rPr>
                <w:color w:val="000000"/>
                <w:sz w:val="18"/>
                <w:u w:color="auto"/>
              </w:rPr>
              <w:t xml:space="preserve"> </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854.26</w:t>
            </w:r>
            <w:r>
              <w:rPr>
                <w:color w:val="000000"/>
                <w:sz w:val="18"/>
                <w:u w:color="auto"/>
              </w:rPr>
              <w:t xml:space="preserve"> </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6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28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十、节能环保支出</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6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28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十一、城乡社区支出</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6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28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十二、农林水支出</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6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28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十三、交通运输支出</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6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28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十四、资源勘探工业信息等支出</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6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28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十五、商业服务业等支出</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6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28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十六、金融支出</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6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28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十七、援助其他地区支出</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6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28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十八、自然资源海洋气象等支出</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6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28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十九、住房保障支出</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29.26</w:t>
            </w:r>
            <w:r>
              <w:rPr>
                <w:color w:val="000000"/>
                <w:sz w:val="18"/>
                <w:u w:color="auto"/>
              </w:rPr>
              <w:t xml:space="preserve"> </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29.26</w:t>
            </w:r>
            <w:r>
              <w:rPr>
                <w:color w:val="000000"/>
                <w:sz w:val="18"/>
                <w:u w:color="auto"/>
              </w:rPr>
              <w:t xml:space="preserve"> </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6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28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二十、粮油物资储备支出</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6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28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二十一、国有资本经营预算支出</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6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28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二十二、灾害防治及应急管理支出</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6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28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二十三、其他支出</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1,397.16</w:t>
            </w:r>
            <w:r>
              <w:rPr>
                <w:color w:val="000000"/>
                <w:sz w:val="18"/>
                <w:u w:color="auto"/>
              </w:rPr>
              <w:t xml:space="preserve"> </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1,397.16</w:t>
            </w:r>
            <w:r>
              <w:rPr>
                <w:color w:val="000000"/>
                <w:sz w:val="18"/>
                <w:u w:color="auto"/>
              </w:rPr>
              <w:t xml:space="preserve"> </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647"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8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28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二十四、债务还本支出</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647"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8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28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二十五、债务付息支出</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647"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8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28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二十六、抗疫特别国债安排的支出</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6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本年收入合计</w:t>
            </w:r>
          </w:p>
        </w:tc>
        <w:tc>
          <w:tcPr>
            <w:tcW w:w="18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1,022.66</w:t>
            </w:r>
            <w:r>
              <w:rPr>
                <w:color w:val="000000"/>
                <w:sz w:val="18"/>
                <w:u w:color="auto"/>
              </w:rPr>
              <w:t xml:space="preserve"> </w:t>
            </w:r>
          </w:p>
        </w:tc>
        <w:tc>
          <w:tcPr>
            <w:tcW w:w="28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本年支出合计</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2,371.41</w:t>
            </w:r>
            <w:r>
              <w:rPr>
                <w:color w:val="000000"/>
                <w:sz w:val="18"/>
                <w:u w:color="auto"/>
              </w:rPr>
              <w:t xml:space="preserve"> </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974.24</w:t>
            </w:r>
            <w:r>
              <w:rPr>
                <w:color w:val="000000"/>
                <w:sz w:val="18"/>
                <w:u w:color="auto"/>
              </w:rPr>
              <w:t xml:space="preserve"> </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1,397.16</w:t>
            </w:r>
            <w:r>
              <w:rPr>
                <w:color w:val="000000"/>
                <w:sz w:val="18"/>
                <w:u w:color="auto"/>
              </w:rPr>
              <w:t xml:space="preserve"> </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6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年初财政拨款结转和结余</w:t>
            </w:r>
          </w:p>
        </w:tc>
        <w:tc>
          <w:tcPr>
            <w:tcW w:w="18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1,397.16</w:t>
            </w:r>
            <w:r>
              <w:rPr>
                <w:color w:val="000000"/>
                <w:sz w:val="18"/>
                <w:u w:color="auto"/>
              </w:rPr>
              <w:t xml:space="preserve"> </w:t>
            </w:r>
          </w:p>
        </w:tc>
        <w:tc>
          <w:tcPr>
            <w:tcW w:w="28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年末财政拨款结转和结余</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48.42</w:t>
            </w:r>
            <w:r>
              <w:rPr>
                <w:color w:val="000000"/>
                <w:sz w:val="18"/>
                <w:u w:color="auto"/>
              </w:rPr>
              <w:t xml:space="preserve"> </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48.42</w:t>
            </w:r>
            <w:r>
              <w:rPr>
                <w:color w:val="000000"/>
                <w:sz w:val="18"/>
                <w:u w:color="auto"/>
              </w:rPr>
              <w:t xml:space="preserve"> </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6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一般公共预算财政拨款</w:t>
            </w:r>
          </w:p>
        </w:tc>
        <w:tc>
          <w:tcPr>
            <w:tcW w:w="18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825"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36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政府性基金预算财政拨款</w:t>
            </w:r>
          </w:p>
        </w:tc>
        <w:tc>
          <w:tcPr>
            <w:tcW w:w="18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1,397.16</w:t>
            </w:r>
            <w:r>
              <w:rPr>
                <w:color w:val="000000"/>
                <w:sz w:val="18"/>
                <w:u w:color="auto"/>
              </w:rPr>
              <w:t xml:space="preserve"> </w:t>
            </w:r>
          </w:p>
        </w:tc>
        <w:tc>
          <w:tcPr>
            <w:tcW w:w="28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36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国有资本经营预算财政拨款</w:t>
            </w:r>
          </w:p>
        </w:tc>
        <w:tc>
          <w:tcPr>
            <w:tcW w:w="18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8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36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8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2,419.82</w:t>
            </w:r>
            <w:r>
              <w:rPr>
                <w:color w:val="000000"/>
                <w:sz w:val="18"/>
                <w:u w:color="auto"/>
              </w:rPr>
              <w:t xml:space="preserve"> </w:t>
            </w:r>
          </w:p>
        </w:tc>
        <w:tc>
          <w:tcPr>
            <w:tcW w:w="28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2,419.82</w:t>
            </w:r>
            <w:r>
              <w:rPr>
                <w:color w:val="000000"/>
                <w:sz w:val="18"/>
                <w:u w:color="auto"/>
              </w:rPr>
              <w:t xml:space="preserve"> </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1,022.66</w:t>
            </w:r>
            <w:r>
              <w:rPr>
                <w:color w:val="000000"/>
                <w:sz w:val="18"/>
                <w:u w:color="auto"/>
              </w:rPr>
              <w:t xml:space="preserve"> </w:t>
            </w:r>
          </w:p>
        </w:tc>
        <w:tc>
          <w:tcPr>
            <w:tcW w:w="10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1,397.16</w:t>
            </w:r>
            <w:r>
              <w:rPr>
                <w:color w:val="000000"/>
                <w:sz w:val="18"/>
                <w:u w:color="auto"/>
              </w:rPr>
              <w:t xml:space="preserve"> </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bl>
    <w:p>
      <w:pPr>
        <w:spacing w:line="240" w:lineRule="exact"/>
        <w:rPr>
          <w:rFonts w:hint="default" w:cs="宋体"/>
          <w:sz w:val="20"/>
          <w:szCs w:val="20"/>
        </w:rPr>
      </w:pPr>
      <w:r>
        <w:rPr>
          <w:rFonts w:cs="宋体"/>
          <w:sz w:val="20"/>
          <w:szCs w:val="20"/>
        </w:rPr>
        <w:t>备注：1.本表反映单位本年度一般公共预算财政拨款、政府性基金预算财政拨款及国有资本经营预算财政拨款的总收支和年末结转结余情况。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2"/>
        <w:tblW w:w="12730" w:type="dxa"/>
        <w:tblInd w:w="0" w:type="dxa"/>
        <w:tblLayout w:type="fixed"/>
        <w:tblCellMar>
          <w:top w:w="0" w:type="dxa"/>
          <w:left w:w="0" w:type="dxa"/>
          <w:bottom w:w="0" w:type="dxa"/>
          <w:right w:w="0" w:type="dxa"/>
        </w:tblCellMar>
      </w:tblPr>
      <w:tblGrid>
        <w:gridCol w:w="1831"/>
        <w:gridCol w:w="3499"/>
        <w:gridCol w:w="2462"/>
        <w:gridCol w:w="2462"/>
        <w:gridCol w:w="2476"/>
      </w:tblGrid>
      <w:tr>
        <w:tblPrEx>
          <w:tblLayout w:type="fixed"/>
          <w:tblCellMar>
            <w:top w:w="0" w:type="dxa"/>
            <w:left w:w="0" w:type="dxa"/>
            <w:bottom w:w="0" w:type="dxa"/>
            <w:right w:w="0" w:type="dxa"/>
          </w:tblCellMar>
        </w:tblPrEx>
        <w:trPr>
          <w:trHeight w:val="510" w:hRule="atLeast"/>
        </w:trPr>
        <w:tc>
          <w:tcPr>
            <w:tcW w:w="12730"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5330"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重庆市秀山土家族苗族自治县梅江镇中心卫生院</w:t>
            </w:r>
          </w:p>
        </w:tc>
        <w:tc>
          <w:tcPr>
            <w:tcW w:w="246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246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247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公开05表</w:t>
            </w:r>
          </w:p>
        </w:tc>
      </w:tr>
      <w:tr>
        <w:tblPrEx>
          <w:tblLayout w:type="fixed"/>
          <w:tblCellMar>
            <w:top w:w="0" w:type="dxa"/>
            <w:left w:w="0" w:type="dxa"/>
            <w:bottom w:w="0" w:type="dxa"/>
            <w:right w:w="0" w:type="dxa"/>
          </w:tblCellMar>
        </w:tblPrEx>
        <w:trPr>
          <w:trHeight w:val="285" w:hRule="atLeast"/>
        </w:trPr>
        <w:tc>
          <w:tcPr>
            <w:tcW w:w="5330"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246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246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247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08" w:hRule="atLeast"/>
        </w:trPr>
        <w:tc>
          <w:tcPr>
            <w:tcW w:w="5330"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7400"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831"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49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246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246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247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831"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9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246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246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247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5" w:hRule="atLeast"/>
        </w:trPr>
        <w:tc>
          <w:tcPr>
            <w:tcW w:w="1831"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9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246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246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247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08" w:hRule="atLeast"/>
        </w:trPr>
        <w:tc>
          <w:tcPr>
            <w:tcW w:w="5330"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24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974.24</w:t>
            </w:r>
            <w:r>
              <w:rPr>
                <w:b/>
                <w:color w:val="000000"/>
                <w:sz w:val="20"/>
                <w:u w:color="auto"/>
              </w:rPr>
              <w:t xml:space="preserve"> </w:t>
            </w:r>
          </w:p>
        </w:tc>
        <w:tc>
          <w:tcPr>
            <w:tcW w:w="24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942.71</w:t>
            </w:r>
            <w:r>
              <w:rPr>
                <w:b/>
                <w:color w:val="000000"/>
                <w:sz w:val="20"/>
                <w:u w:color="auto"/>
              </w:rPr>
              <w:t xml:space="preserve"> </w:t>
            </w:r>
          </w:p>
        </w:tc>
        <w:tc>
          <w:tcPr>
            <w:tcW w:w="247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31.54</w:t>
            </w:r>
            <w:r>
              <w:rPr>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3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4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24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90.72</w:t>
            </w:r>
            <w:r>
              <w:rPr>
                <w:b/>
                <w:color w:val="000000"/>
                <w:sz w:val="20"/>
                <w:u w:color="auto"/>
              </w:rPr>
              <w:t xml:space="preserve"> </w:t>
            </w:r>
          </w:p>
        </w:tc>
        <w:tc>
          <w:tcPr>
            <w:tcW w:w="24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90.72</w:t>
            </w:r>
            <w:r>
              <w:rPr>
                <w:b/>
                <w:color w:val="000000"/>
                <w:sz w:val="20"/>
                <w:u w:color="auto"/>
              </w:rPr>
              <w:t xml:space="preserve"> </w:t>
            </w:r>
          </w:p>
        </w:tc>
        <w:tc>
          <w:tcPr>
            <w:tcW w:w="247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3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4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24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90.72</w:t>
            </w:r>
            <w:r>
              <w:rPr>
                <w:b/>
                <w:color w:val="000000"/>
                <w:sz w:val="20"/>
                <w:u w:color="auto"/>
              </w:rPr>
              <w:t xml:space="preserve"> </w:t>
            </w:r>
          </w:p>
        </w:tc>
        <w:tc>
          <w:tcPr>
            <w:tcW w:w="24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90.72</w:t>
            </w:r>
            <w:r>
              <w:rPr>
                <w:b/>
                <w:color w:val="000000"/>
                <w:sz w:val="20"/>
                <w:u w:color="auto"/>
              </w:rPr>
              <w:t xml:space="preserve"> </w:t>
            </w:r>
          </w:p>
        </w:tc>
        <w:tc>
          <w:tcPr>
            <w:tcW w:w="247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3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4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24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3.53</w:t>
            </w:r>
            <w:r>
              <w:rPr>
                <w:color w:val="000000"/>
                <w:sz w:val="20"/>
                <w:u w:color="auto"/>
              </w:rPr>
              <w:t xml:space="preserve"> </w:t>
            </w:r>
          </w:p>
        </w:tc>
        <w:tc>
          <w:tcPr>
            <w:tcW w:w="24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3.53</w:t>
            </w:r>
            <w:r>
              <w:rPr>
                <w:color w:val="000000"/>
                <w:sz w:val="20"/>
                <w:u w:color="auto"/>
              </w:rPr>
              <w:t xml:space="preserve"> </w:t>
            </w:r>
          </w:p>
        </w:tc>
        <w:tc>
          <w:tcPr>
            <w:tcW w:w="247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3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4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24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38.83</w:t>
            </w:r>
            <w:r>
              <w:rPr>
                <w:color w:val="000000"/>
                <w:sz w:val="20"/>
                <w:u w:color="auto"/>
              </w:rPr>
              <w:t xml:space="preserve"> </w:t>
            </w:r>
          </w:p>
        </w:tc>
        <w:tc>
          <w:tcPr>
            <w:tcW w:w="24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38.83</w:t>
            </w:r>
            <w:r>
              <w:rPr>
                <w:color w:val="000000"/>
                <w:sz w:val="20"/>
                <w:u w:color="auto"/>
              </w:rPr>
              <w:t xml:space="preserve"> </w:t>
            </w:r>
          </w:p>
        </w:tc>
        <w:tc>
          <w:tcPr>
            <w:tcW w:w="247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3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4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24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19.38</w:t>
            </w:r>
            <w:r>
              <w:rPr>
                <w:color w:val="000000"/>
                <w:sz w:val="20"/>
                <w:u w:color="auto"/>
              </w:rPr>
              <w:t xml:space="preserve"> </w:t>
            </w:r>
          </w:p>
        </w:tc>
        <w:tc>
          <w:tcPr>
            <w:tcW w:w="24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19.38</w:t>
            </w:r>
            <w:r>
              <w:rPr>
                <w:color w:val="000000"/>
                <w:sz w:val="20"/>
                <w:u w:color="auto"/>
              </w:rPr>
              <w:t xml:space="preserve"> </w:t>
            </w:r>
          </w:p>
        </w:tc>
        <w:tc>
          <w:tcPr>
            <w:tcW w:w="247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3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2080599</w:t>
            </w:r>
          </w:p>
        </w:tc>
        <w:tc>
          <w:tcPr>
            <w:tcW w:w="34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其他行政事业单位养老支出</w:t>
            </w:r>
          </w:p>
        </w:tc>
        <w:tc>
          <w:tcPr>
            <w:tcW w:w="24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28.98</w:t>
            </w:r>
            <w:r>
              <w:rPr>
                <w:color w:val="000000"/>
                <w:sz w:val="20"/>
                <w:u w:color="auto"/>
              </w:rPr>
              <w:t xml:space="preserve"> </w:t>
            </w:r>
          </w:p>
        </w:tc>
        <w:tc>
          <w:tcPr>
            <w:tcW w:w="24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28.98</w:t>
            </w:r>
            <w:r>
              <w:rPr>
                <w:color w:val="000000"/>
                <w:sz w:val="20"/>
                <w:u w:color="auto"/>
              </w:rPr>
              <w:t xml:space="preserve"> </w:t>
            </w:r>
          </w:p>
        </w:tc>
        <w:tc>
          <w:tcPr>
            <w:tcW w:w="247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3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4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24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854.26</w:t>
            </w:r>
            <w:r>
              <w:rPr>
                <w:b/>
                <w:color w:val="000000"/>
                <w:sz w:val="20"/>
                <w:u w:color="auto"/>
              </w:rPr>
              <w:t xml:space="preserve"> </w:t>
            </w:r>
          </w:p>
        </w:tc>
        <w:tc>
          <w:tcPr>
            <w:tcW w:w="24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822.73</w:t>
            </w:r>
            <w:r>
              <w:rPr>
                <w:b/>
                <w:color w:val="000000"/>
                <w:sz w:val="20"/>
                <w:u w:color="auto"/>
              </w:rPr>
              <w:t xml:space="preserve"> </w:t>
            </w:r>
          </w:p>
        </w:tc>
        <w:tc>
          <w:tcPr>
            <w:tcW w:w="247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31.54</w:t>
            </w:r>
            <w:r>
              <w:rPr>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3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4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24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2.25</w:t>
            </w:r>
            <w:r>
              <w:rPr>
                <w:b/>
                <w:color w:val="000000"/>
                <w:sz w:val="20"/>
                <w:u w:color="auto"/>
              </w:rPr>
              <w:t xml:space="preserve"> </w:t>
            </w:r>
          </w:p>
        </w:tc>
        <w:tc>
          <w:tcPr>
            <w:tcW w:w="24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2.25</w:t>
            </w:r>
            <w:r>
              <w:rPr>
                <w:b/>
                <w:color w:val="000000"/>
                <w:sz w:val="20"/>
                <w:u w:color="auto"/>
              </w:rPr>
              <w:t xml:space="preserve"> </w:t>
            </w:r>
          </w:p>
        </w:tc>
        <w:tc>
          <w:tcPr>
            <w:tcW w:w="247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3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4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24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2.25</w:t>
            </w:r>
            <w:r>
              <w:rPr>
                <w:color w:val="000000"/>
                <w:sz w:val="20"/>
                <w:u w:color="auto"/>
              </w:rPr>
              <w:t xml:space="preserve"> </w:t>
            </w:r>
          </w:p>
        </w:tc>
        <w:tc>
          <w:tcPr>
            <w:tcW w:w="24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2.25</w:t>
            </w:r>
            <w:r>
              <w:rPr>
                <w:color w:val="000000"/>
                <w:sz w:val="20"/>
                <w:u w:color="auto"/>
              </w:rPr>
              <w:t xml:space="preserve"> </w:t>
            </w:r>
          </w:p>
        </w:tc>
        <w:tc>
          <w:tcPr>
            <w:tcW w:w="247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3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4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24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498.06</w:t>
            </w:r>
            <w:r>
              <w:rPr>
                <w:b/>
                <w:color w:val="000000"/>
                <w:sz w:val="20"/>
                <w:u w:color="auto"/>
              </w:rPr>
              <w:t xml:space="preserve"> </w:t>
            </w:r>
          </w:p>
        </w:tc>
        <w:tc>
          <w:tcPr>
            <w:tcW w:w="24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498.06</w:t>
            </w:r>
            <w:r>
              <w:rPr>
                <w:b/>
                <w:color w:val="000000"/>
                <w:sz w:val="20"/>
                <w:u w:color="auto"/>
              </w:rPr>
              <w:t xml:space="preserve"> </w:t>
            </w:r>
          </w:p>
        </w:tc>
        <w:tc>
          <w:tcPr>
            <w:tcW w:w="247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3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4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24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498.06</w:t>
            </w:r>
            <w:r>
              <w:rPr>
                <w:color w:val="000000"/>
                <w:sz w:val="20"/>
                <w:u w:color="auto"/>
              </w:rPr>
              <w:t xml:space="preserve"> </w:t>
            </w:r>
          </w:p>
        </w:tc>
        <w:tc>
          <w:tcPr>
            <w:tcW w:w="24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498.06</w:t>
            </w:r>
            <w:r>
              <w:rPr>
                <w:color w:val="000000"/>
                <w:sz w:val="20"/>
                <w:u w:color="auto"/>
              </w:rPr>
              <w:t xml:space="preserve"> </w:t>
            </w:r>
          </w:p>
        </w:tc>
        <w:tc>
          <w:tcPr>
            <w:tcW w:w="247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3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4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24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329.00</w:t>
            </w:r>
            <w:r>
              <w:rPr>
                <w:b/>
                <w:color w:val="000000"/>
                <w:sz w:val="20"/>
                <w:u w:color="auto"/>
              </w:rPr>
              <w:t xml:space="preserve"> </w:t>
            </w:r>
          </w:p>
        </w:tc>
        <w:tc>
          <w:tcPr>
            <w:tcW w:w="24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297.46</w:t>
            </w:r>
            <w:r>
              <w:rPr>
                <w:b/>
                <w:color w:val="000000"/>
                <w:sz w:val="20"/>
                <w:u w:color="auto"/>
              </w:rPr>
              <w:t xml:space="preserve"> </w:t>
            </w:r>
          </w:p>
        </w:tc>
        <w:tc>
          <w:tcPr>
            <w:tcW w:w="247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31.54</w:t>
            </w:r>
            <w:r>
              <w:rPr>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3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4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24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297.46</w:t>
            </w:r>
            <w:r>
              <w:rPr>
                <w:color w:val="000000"/>
                <w:sz w:val="20"/>
                <w:u w:color="auto"/>
              </w:rPr>
              <w:t xml:space="preserve"> </w:t>
            </w:r>
          </w:p>
        </w:tc>
        <w:tc>
          <w:tcPr>
            <w:tcW w:w="24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297.46</w:t>
            </w:r>
            <w:r>
              <w:rPr>
                <w:color w:val="000000"/>
                <w:sz w:val="20"/>
                <w:u w:color="auto"/>
              </w:rPr>
              <w:t xml:space="preserve"> </w:t>
            </w:r>
          </w:p>
        </w:tc>
        <w:tc>
          <w:tcPr>
            <w:tcW w:w="247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3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4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突发公共卫生事件应急处理</w:t>
            </w:r>
          </w:p>
        </w:tc>
        <w:tc>
          <w:tcPr>
            <w:tcW w:w="24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31.54</w:t>
            </w:r>
            <w:r>
              <w:rPr>
                <w:color w:val="000000"/>
                <w:sz w:val="20"/>
                <w:u w:color="auto"/>
              </w:rPr>
              <w:t xml:space="preserve"> </w:t>
            </w:r>
          </w:p>
        </w:tc>
        <w:tc>
          <w:tcPr>
            <w:tcW w:w="24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c>
          <w:tcPr>
            <w:tcW w:w="247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31.54</w:t>
            </w: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3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4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24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24.27</w:t>
            </w:r>
            <w:r>
              <w:rPr>
                <w:b/>
                <w:color w:val="000000"/>
                <w:sz w:val="20"/>
                <w:u w:color="auto"/>
              </w:rPr>
              <w:t xml:space="preserve"> </w:t>
            </w:r>
          </w:p>
        </w:tc>
        <w:tc>
          <w:tcPr>
            <w:tcW w:w="24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24.27</w:t>
            </w:r>
            <w:r>
              <w:rPr>
                <w:b/>
                <w:color w:val="000000"/>
                <w:sz w:val="20"/>
                <w:u w:color="auto"/>
              </w:rPr>
              <w:t xml:space="preserve"> </w:t>
            </w:r>
          </w:p>
        </w:tc>
        <w:tc>
          <w:tcPr>
            <w:tcW w:w="247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3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4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24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24.27</w:t>
            </w:r>
            <w:r>
              <w:rPr>
                <w:color w:val="000000"/>
                <w:sz w:val="20"/>
                <w:u w:color="auto"/>
              </w:rPr>
              <w:t xml:space="preserve"> </w:t>
            </w:r>
          </w:p>
        </w:tc>
        <w:tc>
          <w:tcPr>
            <w:tcW w:w="24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24.27</w:t>
            </w:r>
            <w:r>
              <w:rPr>
                <w:color w:val="000000"/>
                <w:sz w:val="20"/>
                <w:u w:color="auto"/>
              </w:rPr>
              <w:t xml:space="preserve"> </w:t>
            </w:r>
          </w:p>
        </w:tc>
        <w:tc>
          <w:tcPr>
            <w:tcW w:w="247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3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21099</w:t>
            </w:r>
          </w:p>
        </w:tc>
        <w:tc>
          <w:tcPr>
            <w:tcW w:w="34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其他卫生健康支出</w:t>
            </w:r>
          </w:p>
        </w:tc>
        <w:tc>
          <w:tcPr>
            <w:tcW w:w="24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0.68</w:t>
            </w:r>
            <w:r>
              <w:rPr>
                <w:b/>
                <w:color w:val="000000"/>
                <w:sz w:val="20"/>
                <w:u w:color="auto"/>
              </w:rPr>
              <w:t xml:space="preserve"> </w:t>
            </w:r>
          </w:p>
        </w:tc>
        <w:tc>
          <w:tcPr>
            <w:tcW w:w="24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0.68</w:t>
            </w:r>
            <w:r>
              <w:rPr>
                <w:b/>
                <w:color w:val="000000"/>
                <w:sz w:val="20"/>
                <w:u w:color="auto"/>
              </w:rPr>
              <w:t xml:space="preserve"> </w:t>
            </w:r>
          </w:p>
        </w:tc>
        <w:tc>
          <w:tcPr>
            <w:tcW w:w="247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3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2109999</w:t>
            </w:r>
          </w:p>
        </w:tc>
        <w:tc>
          <w:tcPr>
            <w:tcW w:w="34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其他卫生健康支出</w:t>
            </w:r>
          </w:p>
        </w:tc>
        <w:tc>
          <w:tcPr>
            <w:tcW w:w="24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0.68</w:t>
            </w:r>
            <w:r>
              <w:rPr>
                <w:color w:val="000000"/>
                <w:sz w:val="20"/>
                <w:u w:color="auto"/>
              </w:rPr>
              <w:t xml:space="preserve"> </w:t>
            </w:r>
          </w:p>
        </w:tc>
        <w:tc>
          <w:tcPr>
            <w:tcW w:w="24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0.68</w:t>
            </w:r>
            <w:r>
              <w:rPr>
                <w:color w:val="000000"/>
                <w:sz w:val="20"/>
                <w:u w:color="auto"/>
              </w:rPr>
              <w:t xml:space="preserve"> </w:t>
            </w:r>
          </w:p>
        </w:tc>
        <w:tc>
          <w:tcPr>
            <w:tcW w:w="247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3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4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24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29.26</w:t>
            </w:r>
            <w:r>
              <w:rPr>
                <w:b/>
                <w:color w:val="000000"/>
                <w:sz w:val="20"/>
                <w:u w:color="auto"/>
              </w:rPr>
              <w:t xml:space="preserve"> </w:t>
            </w:r>
          </w:p>
        </w:tc>
        <w:tc>
          <w:tcPr>
            <w:tcW w:w="24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29.26</w:t>
            </w:r>
            <w:r>
              <w:rPr>
                <w:b/>
                <w:color w:val="000000"/>
                <w:sz w:val="20"/>
                <w:u w:color="auto"/>
              </w:rPr>
              <w:t xml:space="preserve"> </w:t>
            </w:r>
          </w:p>
        </w:tc>
        <w:tc>
          <w:tcPr>
            <w:tcW w:w="247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3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4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24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29.26</w:t>
            </w:r>
            <w:r>
              <w:rPr>
                <w:b/>
                <w:color w:val="000000"/>
                <w:sz w:val="20"/>
                <w:u w:color="auto"/>
              </w:rPr>
              <w:t xml:space="preserve"> </w:t>
            </w:r>
          </w:p>
        </w:tc>
        <w:tc>
          <w:tcPr>
            <w:tcW w:w="24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29.26</w:t>
            </w:r>
            <w:r>
              <w:rPr>
                <w:b/>
                <w:color w:val="000000"/>
                <w:sz w:val="20"/>
                <w:u w:color="auto"/>
              </w:rPr>
              <w:t xml:space="preserve"> </w:t>
            </w:r>
          </w:p>
        </w:tc>
        <w:tc>
          <w:tcPr>
            <w:tcW w:w="247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3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4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24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29.26</w:t>
            </w:r>
            <w:r>
              <w:rPr>
                <w:color w:val="000000"/>
                <w:sz w:val="20"/>
                <w:u w:color="auto"/>
              </w:rPr>
              <w:t xml:space="preserve"> </w:t>
            </w:r>
          </w:p>
        </w:tc>
        <w:tc>
          <w:tcPr>
            <w:tcW w:w="24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29.26</w:t>
            </w:r>
            <w:r>
              <w:rPr>
                <w:color w:val="000000"/>
                <w:sz w:val="20"/>
                <w:u w:color="auto"/>
              </w:rPr>
              <w:t xml:space="preserve"> </w:t>
            </w:r>
          </w:p>
        </w:tc>
        <w:tc>
          <w:tcPr>
            <w:tcW w:w="247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bl>
    <w:p>
      <w:pPr>
        <w:rPr>
          <w:rFonts w:hint="default" w:cs="宋体"/>
          <w:sz w:val="21"/>
          <w:szCs w:val="21"/>
        </w:rPr>
      </w:pPr>
      <w:r>
        <w:rPr>
          <w:rFonts w:cs="宋体"/>
          <w:sz w:val="20"/>
          <w:szCs w:val="20"/>
        </w:rPr>
        <w:t>备注：1.本表反映单位本年度一般公共预算财政拨款支出情况。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ind w:firstLine="630" w:firstLineChars="300"/>
        <w:rPr>
          <w:rFonts w:hint="default" w:cs="宋体"/>
          <w:sz w:val="21"/>
          <w:szCs w:val="21"/>
        </w:rPr>
      </w:pPr>
      <w:r>
        <w:rPr>
          <w:rFonts w:cs="宋体"/>
          <w:sz w:val="21"/>
          <w:szCs w:val="21"/>
        </w:rPr>
        <w:br w:type="page"/>
      </w:r>
    </w:p>
    <w:tbl>
      <w:tblPr>
        <w:tblStyle w:val="12"/>
        <w:tblW w:w="12715" w:type="dxa"/>
        <w:tblInd w:w="0" w:type="dxa"/>
        <w:tblLayout w:type="fixed"/>
        <w:tblCellMar>
          <w:top w:w="0" w:type="dxa"/>
          <w:left w:w="0" w:type="dxa"/>
          <w:bottom w:w="0" w:type="dxa"/>
          <w:right w:w="0" w:type="dxa"/>
        </w:tblCellMar>
      </w:tblPr>
      <w:tblGrid>
        <w:gridCol w:w="500"/>
        <w:gridCol w:w="2268"/>
        <w:gridCol w:w="1139"/>
        <w:gridCol w:w="692"/>
        <w:gridCol w:w="1592"/>
        <w:gridCol w:w="1371"/>
        <w:gridCol w:w="669"/>
        <w:gridCol w:w="2920"/>
        <w:gridCol w:w="1564"/>
      </w:tblGrid>
      <w:tr>
        <w:tblPrEx>
          <w:tblLayout w:type="fixed"/>
          <w:tblCellMar>
            <w:top w:w="0" w:type="dxa"/>
            <w:left w:w="0" w:type="dxa"/>
            <w:bottom w:w="0" w:type="dxa"/>
            <w:right w:w="0" w:type="dxa"/>
          </w:tblCellMar>
        </w:tblPrEx>
        <w:trPr>
          <w:trHeight w:val="90" w:hRule="atLeast"/>
        </w:trPr>
        <w:tc>
          <w:tcPr>
            <w:tcW w:w="12715"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2768" w:type="dxa"/>
            <w:gridSpan w:val="2"/>
            <w:vMerge w:val="restart"/>
            <w:tcBorders>
              <w:top w:val="nil"/>
              <w:left w:val="nil"/>
              <w:right w:val="nil"/>
            </w:tcBorders>
            <w:shd w:val="clear" w:color="auto" w:fill="auto"/>
            <w:tcMar>
              <w:top w:w="15" w:type="dxa"/>
              <w:left w:w="15" w:type="dxa"/>
              <w:right w:w="15" w:type="dxa"/>
            </w:tcMar>
            <w:vAlign w:val="bottom"/>
          </w:tcPr>
          <w:p>
            <w:pPr>
              <w:spacing w:line="240" w:lineRule="exact"/>
              <w:rPr>
                <w:rFonts w:hint="default" w:cs="宋体"/>
                <w:color w:val="000000"/>
                <w:sz w:val="18"/>
                <w:szCs w:val="18"/>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重庆市秀山土家族苗族自治县梅江镇中心卫生院</w:t>
            </w:r>
          </w:p>
        </w:tc>
        <w:tc>
          <w:tcPr>
            <w:tcW w:w="113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692"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592"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371"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66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292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564"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公开06表</w:t>
            </w:r>
          </w:p>
        </w:tc>
      </w:tr>
      <w:tr>
        <w:tblPrEx>
          <w:tblLayout w:type="fixed"/>
          <w:tblCellMar>
            <w:top w:w="0" w:type="dxa"/>
            <w:left w:w="0" w:type="dxa"/>
            <w:bottom w:w="0" w:type="dxa"/>
            <w:right w:w="0" w:type="dxa"/>
          </w:tblCellMar>
        </w:tblPrEx>
        <w:trPr>
          <w:trHeight w:val="90" w:hRule="atLeast"/>
        </w:trPr>
        <w:tc>
          <w:tcPr>
            <w:tcW w:w="2768" w:type="dxa"/>
            <w:gridSpan w:val="2"/>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13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692"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592"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371"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66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292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564"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3907" w:type="dxa"/>
            <w:gridSpan w:val="3"/>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8808" w:type="dxa"/>
            <w:gridSpan w:val="6"/>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500"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268"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13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69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59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1"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669"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92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564"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500"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2268"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13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69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59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37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669"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292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56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5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w:t>
            </w:r>
          </w:p>
        </w:tc>
        <w:tc>
          <w:tcPr>
            <w:tcW w:w="22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工资福利支出</w:t>
            </w:r>
          </w:p>
        </w:tc>
        <w:tc>
          <w:tcPr>
            <w:tcW w:w="11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830.65</w:t>
            </w:r>
            <w:r>
              <w:rPr>
                <w:color w:val="000000"/>
                <w:sz w:val="18"/>
                <w:u w:color="auto"/>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w:t>
            </w:r>
          </w:p>
        </w:tc>
        <w:tc>
          <w:tcPr>
            <w:tcW w:w="15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商品和服务支出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79.55</w:t>
            </w:r>
            <w:r>
              <w:rPr>
                <w:color w:val="000000"/>
                <w:sz w:val="18"/>
                <w:u w:color="auto"/>
              </w:rPr>
              <w:t xml:space="preserve"> </w:t>
            </w:r>
          </w:p>
        </w:tc>
        <w:tc>
          <w:tcPr>
            <w:tcW w:w="66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w:t>
            </w:r>
          </w:p>
        </w:tc>
        <w:tc>
          <w:tcPr>
            <w:tcW w:w="292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资本性支出</w:t>
            </w:r>
          </w:p>
        </w:tc>
        <w:tc>
          <w:tcPr>
            <w:tcW w:w="1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5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2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1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297.76</w:t>
            </w:r>
            <w:r>
              <w:rPr>
                <w:color w:val="000000"/>
                <w:sz w:val="18"/>
                <w:u w:color="auto"/>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5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66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292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5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2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1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239.34</w:t>
            </w:r>
            <w:r>
              <w:rPr>
                <w:color w:val="000000"/>
                <w:sz w:val="18"/>
                <w:u w:color="auto"/>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5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66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292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5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2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1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5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66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292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5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2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1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5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66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292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5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2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1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181.80</w:t>
            </w:r>
            <w:r>
              <w:rPr>
                <w:color w:val="000000"/>
                <w:sz w:val="18"/>
                <w:u w:color="auto"/>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5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66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292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5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2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1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38.83</w:t>
            </w:r>
            <w:r>
              <w:rPr>
                <w:color w:val="000000"/>
                <w:sz w:val="18"/>
                <w:u w:color="auto"/>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5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66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292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5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2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1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19.38</w:t>
            </w:r>
            <w:r>
              <w:rPr>
                <w:color w:val="000000"/>
                <w:sz w:val="18"/>
                <w:u w:color="auto"/>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5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66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292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5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2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1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24.27</w:t>
            </w:r>
            <w:r>
              <w:rPr>
                <w:color w:val="000000"/>
                <w:sz w:val="18"/>
                <w:u w:color="auto"/>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5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66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292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5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2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1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5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66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292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5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2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1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5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66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292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5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2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1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29.26</w:t>
            </w:r>
            <w:r>
              <w:rPr>
                <w:color w:val="000000"/>
                <w:sz w:val="18"/>
                <w:u w:color="auto"/>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5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66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292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5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2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1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5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66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292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5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2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1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5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66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292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5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w:t>
            </w:r>
          </w:p>
        </w:tc>
        <w:tc>
          <w:tcPr>
            <w:tcW w:w="22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对个人和家庭的补助</w:t>
            </w:r>
          </w:p>
        </w:tc>
        <w:tc>
          <w:tcPr>
            <w:tcW w:w="11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32.51</w:t>
            </w:r>
            <w:r>
              <w:rPr>
                <w:color w:val="000000"/>
                <w:sz w:val="18"/>
                <w:u w:color="auto"/>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5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66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292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5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2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1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5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66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292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5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2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1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5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66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292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5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2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1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5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66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w:t>
            </w:r>
          </w:p>
        </w:tc>
        <w:tc>
          <w:tcPr>
            <w:tcW w:w="292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对企业补助</w:t>
            </w:r>
          </w:p>
        </w:tc>
        <w:tc>
          <w:tcPr>
            <w:tcW w:w="1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5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2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1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3.50</w:t>
            </w:r>
            <w:r>
              <w:rPr>
                <w:color w:val="000000"/>
                <w:sz w:val="18"/>
                <w:u w:color="auto"/>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5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66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292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5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2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1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28.98</w:t>
            </w:r>
            <w:r>
              <w:rPr>
                <w:color w:val="000000"/>
                <w:sz w:val="18"/>
                <w:u w:color="auto"/>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5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66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292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5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2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1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5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79.55</w:t>
            </w:r>
            <w:r>
              <w:rPr>
                <w:color w:val="000000"/>
                <w:sz w:val="18"/>
                <w:u w:color="auto"/>
              </w:rPr>
              <w:t xml:space="preserve"> </w:t>
            </w:r>
          </w:p>
        </w:tc>
        <w:tc>
          <w:tcPr>
            <w:tcW w:w="66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292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5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2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1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0.03</w:t>
            </w:r>
            <w:r>
              <w:rPr>
                <w:color w:val="000000"/>
                <w:sz w:val="18"/>
                <w:u w:color="auto"/>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5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66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292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5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2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1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5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66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292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5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2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1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5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66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w:t>
            </w:r>
          </w:p>
        </w:tc>
        <w:tc>
          <w:tcPr>
            <w:tcW w:w="292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其他支出</w:t>
            </w:r>
          </w:p>
        </w:tc>
        <w:tc>
          <w:tcPr>
            <w:tcW w:w="1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5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2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1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5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66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292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5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2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1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5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66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292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5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2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1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5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66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292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5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2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1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6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5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66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292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5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2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1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6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w:t>
            </w:r>
          </w:p>
        </w:tc>
        <w:tc>
          <w:tcPr>
            <w:tcW w:w="15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债务利息及费用支出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66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292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5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2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1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6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5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66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92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5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2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1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6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5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66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92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5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2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1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6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5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66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92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5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2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1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6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59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66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92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2768"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13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cs="宋体"/>
                <w:color w:val="000000"/>
                <w:sz w:val="18"/>
                <w:szCs w:val="18"/>
              </w:rPr>
            </w:pPr>
            <w:r>
              <w:rPr>
                <w:rFonts w:cs="宋体"/>
                <w:color w:val="000000"/>
                <w:sz w:val="18"/>
                <w:szCs w:val="18"/>
              </w:rPr>
              <w:t>863.16</w:t>
            </w:r>
            <w:r>
              <w:rPr>
                <w:color w:val="000000"/>
                <w:sz w:val="18"/>
                <w:u w:color="auto"/>
              </w:rPr>
              <w:t xml:space="preserve"> </w:t>
            </w:r>
          </w:p>
        </w:tc>
        <w:tc>
          <w:tcPr>
            <w:tcW w:w="7244" w:type="dxa"/>
            <w:gridSpan w:val="5"/>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56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79.55</w:t>
            </w:r>
            <w:r>
              <w:rPr>
                <w:color w:val="000000"/>
                <w:sz w:val="18"/>
                <w:u w:color="auto"/>
              </w:rPr>
              <w:t xml:space="preserve"> </w:t>
            </w:r>
          </w:p>
        </w:tc>
      </w:tr>
    </w:tbl>
    <w:p>
      <w:pPr>
        <w:spacing w:line="280" w:lineRule="exact"/>
        <w:rPr>
          <w:rFonts w:hint="default" w:cs="宋体"/>
          <w:sz w:val="20"/>
          <w:szCs w:val="20"/>
        </w:rPr>
      </w:pPr>
      <w:r>
        <w:rPr>
          <w:rFonts w:cs="宋体"/>
          <w:sz w:val="20"/>
          <w:szCs w:val="20"/>
        </w:rPr>
        <w:t>备注：1.本表反映单位本年度一般公共预算财政拨款基本支出明细情况。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2"/>
        <w:tblW w:w="12730" w:type="dxa"/>
        <w:tblInd w:w="0" w:type="dxa"/>
        <w:tblLayout w:type="fixed"/>
        <w:tblCellMar>
          <w:top w:w="0" w:type="dxa"/>
          <w:left w:w="0" w:type="dxa"/>
          <w:bottom w:w="0" w:type="dxa"/>
          <w:right w:w="0" w:type="dxa"/>
        </w:tblCellMar>
      </w:tblPr>
      <w:tblGrid>
        <w:gridCol w:w="1238"/>
        <w:gridCol w:w="4630"/>
        <w:gridCol w:w="1117"/>
        <w:gridCol w:w="1117"/>
        <w:gridCol w:w="1117"/>
        <w:gridCol w:w="1117"/>
        <w:gridCol w:w="1170"/>
        <w:gridCol w:w="1224"/>
      </w:tblGrid>
      <w:tr>
        <w:tblPrEx>
          <w:tblLayout w:type="fixed"/>
          <w:tblCellMar>
            <w:top w:w="0" w:type="dxa"/>
            <w:left w:w="0" w:type="dxa"/>
            <w:bottom w:w="0" w:type="dxa"/>
            <w:right w:w="0" w:type="dxa"/>
          </w:tblCellMar>
        </w:tblPrEx>
        <w:trPr>
          <w:trHeight w:val="644" w:hRule="atLeast"/>
        </w:trPr>
        <w:tc>
          <w:tcPr>
            <w:tcW w:w="12730"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5868"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重庆市秀山土家族苗族自治县梅江镇中心卫生院</w:t>
            </w:r>
          </w:p>
        </w:tc>
        <w:tc>
          <w:tcPr>
            <w:tcW w:w="111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11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11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11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17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公开07表</w:t>
            </w:r>
          </w:p>
        </w:tc>
      </w:tr>
      <w:tr>
        <w:tblPrEx>
          <w:tblLayout w:type="fixed"/>
          <w:tblCellMar>
            <w:top w:w="0" w:type="dxa"/>
            <w:left w:w="0" w:type="dxa"/>
            <w:bottom w:w="0" w:type="dxa"/>
            <w:right w:w="0" w:type="dxa"/>
          </w:tblCellMar>
        </w:tblPrEx>
        <w:trPr>
          <w:trHeight w:val="329" w:hRule="atLeast"/>
        </w:trPr>
        <w:tc>
          <w:tcPr>
            <w:tcW w:w="5868"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11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11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11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11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17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586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117"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11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3404"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22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23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4630"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11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11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11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11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17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22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123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463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11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11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11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11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17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2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123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463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11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11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11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11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17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2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5868"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1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1,397.16</w:t>
            </w:r>
            <w:r>
              <w:rPr>
                <w:b/>
                <w:color w:val="000000"/>
                <w:sz w:val="20"/>
                <w:u w:color="auto"/>
              </w:rPr>
              <w:t xml:space="preserve"> </w:t>
            </w:r>
          </w:p>
        </w:tc>
        <w:tc>
          <w:tcPr>
            <w:tcW w:w="11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1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1,397.16</w:t>
            </w:r>
            <w:r>
              <w:rPr>
                <w:b/>
                <w:color w:val="000000"/>
                <w:sz w:val="20"/>
                <w:u w:color="auto"/>
              </w:rPr>
              <w:t xml:space="preserve"> </w:t>
            </w:r>
          </w:p>
        </w:tc>
        <w:tc>
          <w:tcPr>
            <w:tcW w:w="11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17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1,397.16</w:t>
            </w:r>
            <w:r>
              <w:rPr>
                <w:b/>
                <w:color w:val="000000"/>
                <w:sz w:val="20"/>
                <w:u w:color="auto"/>
              </w:rPr>
              <w:t xml:space="preserve"> </w:t>
            </w:r>
          </w:p>
        </w:tc>
        <w:tc>
          <w:tcPr>
            <w:tcW w:w="12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2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b/>
                <w:color w:val="000000"/>
                <w:sz w:val="20"/>
                <w:szCs w:val="20"/>
              </w:rPr>
              <w:t>229</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b/>
                <w:color w:val="000000"/>
                <w:sz w:val="20"/>
                <w:szCs w:val="20"/>
              </w:rPr>
              <w:t>其他支出</w:t>
            </w:r>
          </w:p>
        </w:tc>
        <w:tc>
          <w:tcPr>
            <w:tcW w:w="11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1,397.16</w:t>
            </w:r>
            <w:r>
              <w:rPr>
                <w:b/>
                <w:color w:val="000000"/>
                <w:sz w:val="20"/>
                <w:u w:color="auto"/>
              </w:rPr>
              <w:t xml:space="preserve"> </w:t>
            </w:r>
          </w:p>
        </w:tc>
        <w:tc>
          <w:tcPr>
            <w:tcW w:w="11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c>
          <w:tcPr>
            <w:tcW w:w="11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1,397.16</w:t>
            </w:r>
            <w:r>
              <w:rPr>
                <w:b/>
                <w:color w:val="000000"/>
                <w:sz w:val="20"/>
                <w:u w:color="auto"/>
              </w:rPr>
              <w:t xml:space="preserve"> </w:t>
            </w:r>
          </w:p>
        </w:tc>
        <w:tc>
          <w:tcPr>
            <w:tcW w:w="11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c>
          <w:tcPr>
            <w:tcW w:w="117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1,397.16</w:t>
            </w:r>
            <w:r>
              <w:rPr>
                <w:b/>
                <w:color w:val="000000"/>
                <w:sz w:val="20"/>
                <w:u w:color="auto"/>
              </w:rPr>
              <w:t xml:space="preserve"> </w:t>
            </w:r>
          </w:p>
        </w:tc>
        <w:tc>
          <w:tcPr>
            <w:tcW w:w="12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2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b/>
                <w:color w:val="000000"/>
                <w:sz w:val="20"/>
                <w:szCs w:val="20"/>
              </w:rPr>
              <w:t>22904</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b/>
                <w:color w:val="000000"/>
                <w:sz w:val="20"/>
                <w:szCs w:val="20"/>
              </w:rPr>
              <w:t>其他政府性基金及对应专项债务收入安排的支出</w:t>
            </w:r>
          </w:p>
        </w:tc>
        <w:tc>
          <w:tcPr>
            <w:tcW w:w="11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1,397.16</w:t>
            </w:r>
            <w:r>
              <w:rPr>
                <w:b/>
                <w:color w:val="000000"/>
                <w:sz w:val="20"/>
                <w:u w:color="auto"/>
              </w:rPr>
              <w:t xml:space="preserve"> </w:t>
            </w:r>
          </w:p>
        </w:tc>
        <w:tc>
          <w:tcPr>
            <w:tcW w:w="11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c>
          <w:tcPr>
            <w:tcW w:w="11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1,397.16</w:t>
            </w:r>
            <w:r>
              <w:rPr>
                <w:b/>
                <w:color w:val="000000"/>
                <w:sz w:val="20"/>
                <w:u w:color="auto"/>
              </w:rPr>
              <w:t xml:space="preserve"> </w:t>
            </w:r>
          </w:p>
        </w:tc>
        <w:tc>
          <w:tcPr>
            <w:tcW w:w="11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c>
          <w:tcPr>
            <w:tcW w:w="117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1,397.16</w:t>
            </w:r>
            <w:r>
              <w:rPr>
                <w:b/>
                <w:color w:val="000000"/>
                <w:sz w:val="20"/>
                <w:u w:color="auto"/>
              </w:rPr>
              <w:t xml:space="preserve"> </w:t>
            </w:r>
          </w:p>
        </w:tc>
        <w:tc>
          <w:tcPr>
            <w:tcW w:w="12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2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color w:val="000000"/>
                <w:sz w:val="20"/>
                <w:szCs w:val="20"/>
              </w:rPr>
              <w:t>2290402</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color w:val="000000"/>
                <w:sz w:val="20"/>
                <w:szCs w:val="20"/>
              </w:rPr>
              <w:t>其他地方自行试点项目收益专项债券收入安排的支出</w:t>
            </w:r>
          </w:p>
        </w:tc>
        <w:tc>
          <w:tcPr>
            <w:tcW w:w="11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1,397.16</w:t>
            </w:r>
            <w:r>
              <w:rPr>
                <w:color w:val="000000"/>
                <w:sz w:val="20"/>
                <w:u w:color="auto"/>
              </w:rPr>
              <w:t xml:space="preserve"> </w:t>
            </w:r>
          </w:p>
        </w:tc>
        <w:tc>
          <w:tcPr>
            <w:tcW w:w="11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c>
          <w:tcPr>
            <w:tcW w:w="11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1,397.16</w:t>
            </w:r>
            <w:r>
              <w:rPr>
                <w:color w:val="000000"/>
                <w:sz w:val="20"/>
                <w:u w:color="auto"/>
              </w:rPr>
              <w:t xml:space="preserve"> </w:t>
            </w:r>
          </w:p>
        </w:tc>
        <w:tc>
          <w:tcPr>
            <w:tcW w:w="11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c>
          <w:tcPr>
            <w:tcW w:w="117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1,397.16</w:t>
            </w:r>
            <w:r>
              <w:rPr>
                <w:color w:val="000000"/>
                <w:sz w:val="20"/>
                <w:u w:color="auto"/>
              </w:rPr>
              <w:t xml:space="preserve"> </w:t>
            </w:r>
          </w:p>
        </w:tc>
        <w:tc>
          <w:tcPr>
            <w:tcW w:w="12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bl>
    <w:p>
      <w:pPr>
        <w:rPr>
          <w:rFonts w:hint="default" w:cs="宋体"/>
          <w:sz w:val="21"/>
          <w:szCs w:val="21"/>
        </w:rPr>
      </w:pPr>
      <w:r>
        <w:rPr>
          <w:rFonts w:cs="宋体"/>
          <w:sz w:val="20"/>
          <w:szCs w:val="20"/>
        </w:rPr>
        <w:t>备注：1.本表反映单位本年度政府性基金预算财政拨款收入支出及结转和结余情况。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tbl>
      <w:tblPr>
        <w:tblStyle w:val="12"/>
        <w:tblW w:w="12730" w:type="dxa"/>
        <w:tblInd w:w="0" w:type="dxa"/>
        <w:tblLayout w:type="fixed"/>
        <w:tblCellMar>
          <w:top w:w="0" w:type="dxa"/>
          <w:left w:w="0" w:type="dxa"/>
          <w:bottom w:w="0" w:type="dxa"/>
          <w:right w:w="0" w:type="dxa"/>
        </w:tblCellMar>
      </w:tblPr>
      <w:tblGrid>
        <w:gridCol w:w="2030"/>
        <w:gridCol w:w="3300"/>
        <w:gridCol w:w="2463"/>
        <w:gridCol w:w="71"/>
        <w:gridCol w:w="2475"/>
        <w:gridCol w:w="28"/>
        <w:gridCol w:w="2363"/>
      </w:tblGrid>
      <w:tr>
        <w:tblPrEx>
          <w:tblLayout w:type="fixed"/>
          <w:tblCellMar>
            <w:top w:w="0" w:type="dxa"/>
            <w:left w:w="0" w:type="dxa"/>
            <w:bottom w:w="0" w:type="dxa"/>
            <w:right w:w="0" w:type="dxa"/>
          </w:tblCellMar>
        </w:tblPrEx>
        <w:trPr>
          <w:trHeight w:val="650" w:hRule="atLeast"/>
        </w:trPr>
        <w:tc>
          <w:tcPr>
            <w:tcW w:w="12730"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5330"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重庆市秀山土家族苗族自治县梅江镇中心卫生院</w:t>
            </w:r>
          </w:p>
        </w:tc>
        <w:tc>
          <w:tcPr>
            <w:tcW w:w="246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2574"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236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公开08表</w:t>
            </w:r>
          </w:p>
        </w:tc>
      </w:tr>
      <w:tr>
        <w:tblPrEx>
          <w:tblLayout w:type="fixed"/>
          <w:tblCellMar>
            <w:top w:w="0" w:type="dxa"/>
            <w:left w:w="0" w:type="dxa"/>
            <w:bottom w:w="0" w:type="dxa"/>
            <w:right w:w="0" w:type="dxa"/>
          </w:tblCellMar>
        </w:tblPrEx>
        <w:trPr>
          <w:trHeight w:val="332" w:hRule="atLeast"/>
        </w:trPr>
        <w:tc>
          <w:tcPr>
            <w:tcW w:w="5330"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246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2574"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236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5330"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7400" w:type="dxa"/>
            <w:gridSpan w:val="5"/>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2030"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30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2534" w:type="dxa"/>
            <w:gridSpan w:val="2"/>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247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2391"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2030"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2534"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2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2391"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2030"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2534"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2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2391"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2030"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2534"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2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2391"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5330"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253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24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cs="宋体"/>
                <w:b/>
                <w:color w:val="000000"/>
                <w:sz w:val="20"/>
                <w:szCs w:val="20"/>
              </w:rPr>
            </w:pPr>
          </w:p>
        </w:tc>
        <w:tc>
          <w:tcPr>
            <w:tcW w:w="239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bl>
    <w:p>
      <w:pPr>
        <w:rPr>
          <w:rFonts w:hint="default" w:cs="宋体"/>
          <w:sz w:val="21"/>
          <w:szCs w:val="21"/>
        </w:rPr>
      </w:pPr>
      <w:r>
        <w:rPr>
          <w:rFonts w:cs="宋体"/>
          <w:sz w:val="20"/>
          <w:szCs w:val="20"/>
        </w:rPr>
        <w:t>备注：本表反映单位本年度国有资本经营预算财政拨款支出情况。本单位无国有资本经营收支，故本表无数据。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hint="default" w:cs="宋体"/>
          <w:sz w:val="21"/>
          <w:szCs w:val="21"/>
        </w:rPr>
        <w:br w:type="page"/>
      </w:r>
    </w:p>
    <w:tbl>
      <w:tblPr>
        <w:tblStyle w:val="12"/>
        <w:tblW w:w="12729" w:type="dxa"/>
        <w:tblInd w:w="0" w:type="dxa"/>
        <w:tblLayout w:type="fixed"/>
        <w:tblCellMar>
          <w:top w:w="0" w:type="dxa"/>
          <w:left w:w="0" w:type="dxa"/>
          <w:bottom w:w="0" w:type="dxa"/>
          <w:right w:w="0" w:type="dxa"/>
        </w:tblCellMar>
      </w:tblPr>
      <w:tblGrid>
        <w:gridCol w:w="3449"/>
        <w:gridCol w:w="1851"/>
        <w:gridCol w:w="1808"/>
        <w:gridCol w:w="3858"/>
        <w:gridCol w:w="1763"/>
      </w:tblGrid>
      <w:tr>
        <w:tblPrEx>
          <w:tblLayout w:type="fixed"/>
          <w:tblCellMar>
            <w:top w:w="0" w:type="dxa"/>
            <w:left w:w="0" w:type="dxa"/>
            <w:bottom w:w="0" w:type="dxa"/>
            <w:right w:w="0" w:type="dxa"/>
          </w:tblCellMar>
        </w:tblPrEx>
        <w:trPr>
          <w:trHeight w:val="175" w:hRule="atLeast"/>
        </w:trPr>
        <w:tc>
          <w:tcPr>
            <w:tcW w:w="12729" w:type="dxa"/>
            <w:gridSpan w:val="5"/>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机构运行信息表</w:t>
            </w:r>
          </w:p>
        </w:tc>
      </w:tr>
      <w:tr>
        <w:tblPrEx>
          <w:tblLayout w:type="fixed"/>
          <w:tblCellMar>
            <w:top w:w="0" w:type="dxa"/>
            <w:left w:w="0" w:type="dxa"/>
            <w:bottom w:w="0" w:type="dxa"/>
            <w:right w:w="0" w:type="dxa"/>
          </w:tblCellMar>
        </w:tblPrEx>
        <w:trPr>
          <w:trHeight w:val="175" w:hRule="atLeast"/>
        </w:trPr>
        <w:tc>
          <w:tcPr>
            <w:tcW w:w="3449"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1851" w:type="dxa"/>
            <w:tcBorders>
              <w:top w:val="nil"/>
              <w:left w:val="nil"/>
              <w:bottom w:val="nil"/>
              <w:right w:val="nil"/>
            </w:tcBorders>
            <w:shd w:val="clear" w:color="auto" w:fill="auto"/>
            <w:tcMar>
              <w:top w:w="15" w:type="dxa"/>
              <w:left w:w="15" w:type="dxa"/>
              <w:right w:w="15" w:type="dxa"/>
            </w:tcMar>
            <w:vAlign w:val="bottom"/>
          </w:tcPr>
          <w:p>
            <w:pPr>
              <w:spacing w:line="280" w:lineRule="exact"/>
              <w:jc w:val="center"/>
              <w:rPr>
                <w:rFonts w:hint="default" w:cs="宋体"/>
                <w:color w:val="000000"/>
                <w:sz w:val="20"/>
                <w:szCs w:val="20"/>
              </w:rPr>
            </w:pPr>
          </w:p>
        </w:tc>
        <w:tc>
          <w:tcPr>
            <w:tcW w:w="1808"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rPr>
                <w:rFonts w:hint="default" w:cs="宋体"/>
                <w:color w:val="000000"/>
                <w:sz w:val="20"/>
                <w:szCs w:val="20"/>
              </w:rPr>
            </w:pPr>
          </w:p>
        </w:tc>
        <w:tc>
          <w:tcPr>
            <w:tcW w:w="3858"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1763"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公开09表</w:t>
            </w:r>
          </w:p>
        </w:tc>
      </w:tr>
      <w:tr>
        <w:tblPrEx>
          <w:tblLayout w:type="fixed"/>
          <w:tblCellMar>
            <w:top w:w="0" w:type="dxa"/>
            <w:left w:w="0" w:type="dxa"/>
            <w:bottom w:w="0" w:type="dxa"/>
            <w:right w:w="0" w:type="dxa"/>
          </w:tblCellMar>
        </w:tblPrEx>
        <w:trPr>
          <w:trHeight w:val="175" w:hRule="atLeast"/>
        </w:trPr>
        <w:tc>
          <w:tcPr>
            <w:tcW w:w="3449"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textAlignment w:val="bottom"/>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重庆市秀山土家族苗族自治县梅江镇中心卫生院</w:t>
            </w:r>
          </w:p>
        </w:tc>
        <w:tc>
          <w:tcPr>
            <w:tcW w:w="1851"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center"/>
              <w:rPr>
                <w:rFonts w:hint="default" w:cs="宋体"/>
                <w:color w:val="000000"/>
                <w:sz w:val="20"/>
                <w:szCs w:val="20"/>
              </w:rPr>
            </w:pPr>
          </w:p>
        </w:tc>
        <w:tc>
          <w:tcPr>
            <w:tcW w:w="1808"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sz w:val="20"/>
                <w:szCs w:val="20"/>
              </w:rPr>
            </w:pPr>
          </w:p>
        </w:tc>
        <w:tc>
          <w:tcPr>
            <w:tcW w:w="3858"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1763"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184" w:hRule="atLeast"/>
        </w:trPr>
        <w:tc>
          <w:tcPr>
            <w:tcW w:w="3449"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  目</w:t>
            </w:r>
          </w:p>
        </w:tc>
        <w:tc>
          <w:tcPr>
            <w:tcW w:w="185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预算数</w:t>
            </w:r>
          </w:p>
        </w:tc>
        <w:tc>
          <w:tcPr>
            <w:tcW w:w="1808"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3858"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  目</w:t>
            </w:r>
          </w:p>
        </w:tc>
        <w:tc>
          <w:tcPr>
            <w:tcW w:w="1763"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184" w:hRule="atLeast"/>
        </w:trPr>
        <w:tc>
          <w:tcPr>
            <w:tcW w:w="3449"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一、“三公”经费支出</w:t>
            </w:r>
          </w:p>
        </w:tc>
        <w:tc>
          <w:tcPr>
            <w:tcW w:w="185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3858"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四、机关运行经费</w:t>
            </w:r>
          </w:p>
        </w:tc>
        <w:tc>
          <w:tcPr>
            <w:tcW w:w="17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3449"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（一）支出合计</w:t>
            </w:r>
          </w:p>
        </w:tc>
        <w:tc>
          <w:tcPr>
            <w:tcW w:w="185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3858"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（一）行政单位</w:t>
            </w:r>
          </w:p>
        </w:tc>
        <w:tc>
          <w:tcPr>
            <w:tcW w:w="17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3449"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1．因公出国（境）费</w:t>
            </w:r>
          </w:p>
        </w:tc>
        <w:tc>
          <w:tcPr>
            <w:tcW w:w="185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3858"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（二）参照公务员法管理事业单位</w:t>
            </w:r>
          </w:p>
        </w:tc>
        <w:tc>
          <w:tcPr>
            <w:tcW w:w="17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3449"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2．公务用车购置及运行维护费</w:t>
            </w:r>
          </w:p>
        </w:tc>
        <w:tc>
          <w:tcPr>
            <w:tcW w:w="185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3858"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五、资产信息</w:t>
            </w:r>
          </w:p>
        </w:tc>
        <w:tc>
          <w:tcPr>
            <w:tcW w:w="17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r>
      <w:tr>
        <w:tblPrEx>
          <w:tblLayout w:type="fixed"/>
          <w:tblCellMar>
            <w:top w:w="0" w:type="dxa"/>
            <w:left w:w="0" w:type="dxa"/>
            <w:bottom w:w="0" w:type="dxa"/>
            <w:right w:w="0" w:type="dxa"/>
          </w:tblCellMar>
        </w:tblPrEx>
        <w:trPr>
          <w:trHeight w:val="346" w:hRule="atLeast"/>
        </w:trPr>
        <w:tc>
          <w:tcPr>
            <w:tcW w:w="3449"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（1）公务用车购置费</w:t>
            </w:r>
          </w:p>
        </w:tc>
        <w:tc>
          <w:tcPr>
            <w:tcW w:w="185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3858"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（一）车辆数合计（辆）</w:t>
            </w:r>
          </w:p>
        </w:tc>
        <w:tc>
          <w:tcPr>
            <w:tcW w:w="17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3</w:t>
            </w: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3449"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（2）公务用车运行维护费</w:t>
            </w:r>
          </w:p>
        </w:tc>
        <w:tc>
          <w:tcPr>
            <w:tcW w:w="185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3858"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1．副部（省）级及以上领导用车</w:t>
            </w:r>
          </w:p>
        </w:tc>
        <w:tc>
          <w:tcPr>
            <w:tcW w:w="17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3449"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3．公务接待费</w:t>
            </w:r>
          </w:p>
        </w:tc>
        <w:tc>
          <w:tcPr>
            <w:tcW w:w="185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3858"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2．主要领导干部用车</w:t>
            </w:r>
          </w:p>
        </w:tc>
        <w:tc>
          <w:tcPr>
            <w:tcW w:w="17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3449"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（1）国内接待费</w:t>
            </w:r>
          </w:p>
        </w:tc>
        <w:tc>
          <w:tcPr>
            <w:tcW w:w="185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3858"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3．机要通信用车</w:t>
            </w:r>
          </w:p>
        </w:tc>
        <w:tc>
          <w:tcPr>
            <w:tcW w:w="17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3449"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其中：外事接待费</w:t>
            </w:r>
          </w:p>
        </w:tc>
        <w:tc>
          <w:tcPr>
            <w:tcW w:w="185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3858"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4．应急保障用车</w:t>
            </w:r>
          </w:p>
        </w:tc>
        <w:tc>
          <w:tcPr>
            <w:tcW w:w="17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3449"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（2）国（境）外接待费</w:t>
            </w:r>
          </w:p>
        </w:tc>
        <w:tc>
          <w:tcPr>
            <w:tcW w:w="185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3858"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5．执法执勤用车</w:t>
            </w:r>
          </w:p>
        </w:tc>
        <w:tc>
          <w:tcPr>
            <w:tcW w:w="17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3449"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（二）相关统计数</w:t>
            </w:r>
          </w:p>
        </w:tc>
        <w:tc>
          <w:tcPr>
            <w:tcW w:w="185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3858"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6．特种专业技术用车</w:t>
            </w:r>
          </w:p>
        </w:tc>
        <w:tc>
          <w:tcPr>
            <w:tcW w:w="17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3</w:t>
            </w: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3449"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1．因公出国（境）团组数（个）</w:t>
            </w:r>
          </w:p>
        </w:tc>
        <w:tc>
          <w:tcPr>
            <w:tcW w:w="185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1808"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3858"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7．离退休干部用车</w:t>
            </w:r>
          </w:p>
        </w:tc>
        <w:tc>
          <w:tcPr>
            <w:tcW w:w="17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3449"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2．因公出国（境）人次数（人）</w:t>
            </w:r>
          </w:p>
        </w:tc>
        <w:tc>
          <w:tcPr>
            <w:tcW w:w="185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1808"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3858"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8．其他用车</w:t>
            </w:r>
          </w:p>
        </w:tc>
        <w:tc>
          <w:tcPr>
            <w:tcW w:w="17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3449"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3．公务用车购置数（辆）</w:t>
            </w:r>
          </w:p>
        </w:tc>
        <w:tc>
          <w:tcPr>
            <w:tcW w:w="185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1808"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3858"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（二）单价100万元（含）以上设备（不含车辆）</w:t>
            </w:r>
          </w:p>
        </w:tc>
        <w:tc>
          <w:tcPr>
            <w:tcW w:w="17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3449"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4．公务用车保有量（辆）</w:t>
            </w:r>
          </w:p>
        </w:tc>
        <w:tc>
          <w:tcPr>
            <w:tcW w:w="185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1808"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3858"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六、政府采购支出信息</w:t>
            </w:r>
          </w:p>
        </w:tc>
        <w:tc>
          <w:tcPr>
            <w:tcW w:w="17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r>
      <w:tr>
        <w:tblPrEx>
          <w:tblLayout w:type="fixed"/>
          <w:tblCellMar>
            <w:top w:w="0" w:type="dxa"/>
            <w:left w:w="0" w:type="dxa"/>
            <w:bottom w:w="0" w:type="dxa"/>
            <w:right w:w="0" w:type="dxa"/>
          </w:tblCellMar>
        </w:tblPrEx>
        <w:trPr>
          <w:trHeight w:val="346" w:hRule="atLeast"/>
        </w:trPr>
        <w:tc>
          <w:tcPr>
            <w:tcW w:w="3449"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5．国内公务接待批次（个）</w:t>
            </w:r>
          </w:p>
        </w:tc>
        <w:tc>
          <w:tcPr>
            <w:tcW w:w="185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1808"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3858"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（一）政府采购支出合计</w:t>
            </w:r>
          </w:p>
        </w:tc>
        <w:tc>
          <w:tcPr>
            <w:tcW w:w="17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3449"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其中：外事接待批次（个）</w:t>
            </w:r>
          </w:p>
        </w:tc>
        <w:tc>
          <w:tcPr>
            <w:tcW w:w="185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1808"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3858"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1．政府采购货物支出</w:t>
            </w:r>
          </w:p>
        </w:tc>
        <w:tc>
          <w:tcPr>
            <w:tcW w:w="17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3449"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6．国内公务接待人次（人）</w:t>
            </w:r>
          </w:p>
        </w:tc>
        <w:tc>
          <w:tcPr>
            <w:tcW w:w="185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1808"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3858"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2．政府采购工程支出</w:t>
            </w:r>
          </w:p>
        </w:tc>
        <w:tc>
          <w:tcPr>
            <w:tcW w:w="17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3449"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其中：外事接待人次（人）</w:t>
            </w:r>
          </w:p>
        </w:tc>
        <w:tc>
          <w:tcPr>
            <w:tcW w:w="185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1808"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3858"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3．政府采购服务支出</w:t>
            </w:r>
          </w:p>
        </w:tc>
        <w:tc>
          <w:tcPr>
            <w:tcW w:w="17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3449"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7．国（境）外公务接待批次（个）</w:t>
            </w:r>
          </w:p>
        </w:tc>
        <w:tc>
          <w:tcPr>
            <w:tcW w:w="185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1808"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3858"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（二）政府采购授予中小企业合同金额</w:t>
            </w:r>
          </w:p>
        </w:tc>
        <w:tc>
          <w:tcPr>
            <w:tcW w:w="17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3449"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8．国（境）外公务接待人次（人）</w:t>
            </w:r>
          </w:p>
        </w:tc>
        <w:tc>
          <w:tcPr>
            <w:tcW w:w="185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1808"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3858"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其中：授予小微企业合同金额</w:t>
            </w:r>
          </w:p>
        </w:tc>
        <w:tc>
          <w:tcPr>
            <w:tcW w:w="17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69" w:hRule="atLeast"/>
        </w:trPr>
        <w:tc>
          <w:tcPr>
            <w:tcW w:w="3449"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二、会议费</w:t>
            </w:r>
          </w:p>
        </w:tc>
        <w:tc>
          <w:tcPr>
            <w:tcW w:w="185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3858"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7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rPr>
                <w:rFonts w:hint="default" w:cs="宋体"/>
                <w:color w:val="000000"/>
                <w:sz w:val="20"/>
                <w:szCs w:val="20"/>
              </w:rPr>
            </w:pPr>
          </w:p>
        </w:tc>
      </w:tr>
      <w:tr>
        <w:tblPrEx>
          <w:tblLayout w:type="fixed"/>
          <w:tblCellMar>
            <w:top w:w="0" w:type="dxa"/>
            <w:left w:w="0" w:type="dxa"/>
            <w:bottom w:w="0" w:type="dxa"/>
            <w:right w:w="0" w:type="dxa"/>
          </w:tblCellMar>
        </w:tblPrEx>
        <w:trPr>
          <w:trHeight w:val="244" w:hRule="atLeast"/>
        </w:trPr>
        <w:tc>
          <w:tcPr>
            <w:tcW w:w="3449"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三、培训费</w:t>
            </w:r>
          </w:p>
        </w:tc>
        <w:tc>
          <w:tcPr>
            <w:tcW w:w="185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3858"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7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rPr>
                <w:rFonts w:hint="default" w:cs="宋体"/>
                <w:color w:val="000000"/>
                <w:sz w:val="20"/>
                <w:szCs w:val="20"/>
              </w:rPr>
            </w:pPr>
          </w:p>
        </w:tc>
      </w:tr>
    </w:tbl>
    <w:p>
      <w:pPr>
        <w:pStyle w:val="16"/>
        <w:keepNext w:val="0"/>
        <w:keepLines w:val="0"/>
        <w:widowControl/>
        <w:suppressLineNumbers w:val="0"/>
        <w:autoSpaceDE w:val="0"/>
        <w:autoSpaceDN/>
        <w:spacing w:before="0" w:beforeAutospacing="0" w:line="600" w:lineRule="exact"/>
        <w:ind w:left="0" w:firstLine="600" w:firstLineChars="300"/>
        <w:jc w:val="both"/>
        <w:rPr>
          <w:rFonts w:hint="default" w:ascii="Times New Roman" w:hAnsi="Times New Roman" w:cs="Times New Roman"/>
          <w:b w:val="0"/>
          <w:bCs w:val="0"/>
          <w:color w:val="000000" w:themeColor="text1"/>
          <w:sz w:val="21"/>
          <w:szCs w:val="21"/>
          <w14:textFill>
            <w14:solidFill>
              <w14:schemeClr w14:val="tx1"/>
            </w14:solidFill>
          </w14:textFill>
        </w:rPr>
      </w:pPr>
      <w:r>
        <w:rPr>
          <w:rFonts w:cs="宋体"/>
          <w:sz w:val="20"/>
          <w:szCs w:val="20"/>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p>
    <w:sectPr>
      <w:pgSz w:w="16838" w:h="11917" w:orient="landscape"/>
      <w:pgMar w:top="1587" w:right="2154" w:bottom="1531" w:left="1984" w:header="850" w:footer="992" w:gutter="0"/>
      <w:pgNumType w:fmt="numberInDash"/>
      <w:cols w:space="0" w:num="1"/>
      <w:rtlGutter w:val="0"/>
      <w:docGrid w:type="lines" w:linePitch="33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403A39FC-B466-4868-B5CF-F81CC62C8164}"/>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embedRegular r:id="rId2" w:fontKey="{15BB4AD2-C15B-4FFF-8ACE-A52F93A02E20}"/>
  </w:font>
  <w:font w:name="方正黑体_GBK">
    <w:panose1 w:val="03000509000000000000"/>
    <w:charset w:val="86"/>
    <w:family w:val="auto"/>
    <w:pitch w:val="default"/>
    <w:sig w:usb0="00000001" w:usb1="080E0000" w:usb2="00000000" w:usb3="00000000" w:csb0="00040000" w:csb1="00000000"/>
    <w:embedRegular r:id="rId3" w:fontKey="{BE61E6B1-B080-4543-B537-60FD86C58CF7}"/>
  </w:font>
  <w:font w:name="方正楷体_GBK">
    <w:panose1 w:val="03000509000000000000"/>
    <w:charset w:val="86"/>
    <w:family w:val="auto"/>
    <w:pitch w:val="default"/>
    <w:sig w:usb0="00000001" w:usb1="080E0000" w:usb2="00000000" w:usb3="00000000" w:csb0="00040000" w:csb1="00000000"/>
    <w:embedRegular r:id="rId4" w:fontKey="{E846073B-2EFA-471E-85A8-57681A3DCCBD}"/>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embedRegular r:id="rId5" w:fontKey="{73D45203-A935-467A-A16E-9F2C381DA76B}"/>
  </w:font>
  <w:font w:name="楷体">
    <w:panose1 w:val="02010609060101010101"/>
    <w:charset w:val="86"/>
    <w:family w:val="modern"/>
    <w:pitch w:val="default"/>
    <w:sig w:usb0="800002BF" w:usb1="38CF7CFA" w:usb2="00000016" w:usb3="00000000" w:csb0="00040001" w:csb1="00000000"/>
    <w:embedRegular r:id="rId6" w:fontKey="{C1CB96DF-2071-4335-9A36-1536399335A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rPr>
        <w:rFonts w:hint="default"/>
      </w:rPr>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6"/>
                            <w:rPr>
                              <w:rFonts w:hint="eastAsia" w:eastAsia="宋体"/>
                              <w:sz w:val="28"/>
                              <w:szCs w:val="28"/>
                              <w:lang w:eastAsia="zh-CN"/>
                            </w:rPr>
                          </w:pP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- 3 -</w:t>
                          </w:r>
                          <w:r>
                            <w:rPr>
                              <w:rFonts w:hint="eastAsia"/>
                              <w:sz w:val="28"/>
                              <w:szCs w:val="28"/>
                              <w:lang w:eastAsia="zh-CN"/>
                            </w:rPr>
                            <w:fldChar w:fldCharType="end"/>
                          </w:r>
                        </w:p>
                      </w:txbxContent>
                    </wps:txbx>
                    <wps:bodyPr vert="horz" wrap="none" lIns="0" tIns="0" rIns="0" bIns="0" anchor="t" upright="0">
                      <a:spAutoFit/>
                    </wps:bodyPr>
                  </wps:wsp>
                </a:graphicData>
              </a:graphic>
            </wp:anchor>
          </w:drawing>
        </mc:Choice>
        <mc:Fallback>
          <w:pict>
            <v:shape id="文本框 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AHAjl3xgEAAGsDAAAOAAAAAAAAAAEAIAAAAB4BAABkcnMvZTJvRG9jLnht&#10;bFBLBQYAAAAABgAGAFkBAABWBQAAAAA=&#10;">
              <v:fill on="f" focussize="0,0"/>
              <v:stroke on="f"/>
              <v:imagedata o:title=""/>
              <o:lock v:ext="edit" aspectratio="f"/>
              <v:textbox inset="0mm,0mm,0mm,0mm" style="mso-fit-shape-to-text:t;">
                <w:txbxContent>
                  <w:p>
                    <w:pPr>
                      <w:pStyle w:val="6"/>
                      <w:rPr>
                        <w:rFonts w:hint="eastAsia" w:eastAsia="宋体"/>
                        <w:sz w:val="28"/>
                        <w:szCs w:val="28"/>
                        <w:lang w:eastAsia="zh-CN"/>
                      </w:rPr>
                    </w:pP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- 3 -</w:t>
                    </w:r>
                    <w:r>
                      <w:rPr>
                        <w:rFonts w:hint="eastAsia"/>
                        <w:sz w:val="28"/>
                        <w:szCs w:val="28"/>
                        <w:lang w:eastAsia="zh-CN"/>
                      </w:rPr>
                      <w:fldChar w:fldCharType="end"/>
                    </w:r>
                  </w:p>
                </w:txbxContent>
              </v:textbox>
            </v:shape>
          </w:pict>
        </mc:Fallback>
      </mc:AlternateContent>
    </w:r>
    <w:r>
      <w:rPr>
        <w:rFonts w:hint="default"/>
      </w:rP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6"/>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6"/>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1758"/>
        <w:tab w:val="clear" w:pos="4153"/>
        <w:tab w:val="clear" w:pos="8306"/>
      </w:tabs>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A84171"/>
    <w:multiLevelType w:val="singleLevel"/>
    <w:tmpl w:val="91A84171"/>
    <w:lvl w:ilvl="0" w:tentative="0">
      <w:start w:val="6"/>
      <w:numFmt w:val="chineseCounting"/>
      <w:suff w:val="nothing"/>
      <w:lvlText w:val="%1、"/>
      <w:lvlJc w:val="left"/>
      <w:rPr>
        <w:rFonts w:hint="eastAsia" w:ascii="方正黑体_GBK" w:hAnsi="方正黑体_GBK" w:eastAsia="方正黑体_GBK" w:cs="方正黑体_GBK"/>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embedTrueTypeFonts/>
  <w:saveSubsetFonts/>
  <w:bordersDoNotSurroundHeader w:val="0"/>
  <w:bordersDoNotSurroundFooter w:val="0"/>
  <w:documentProtection w:enforcement="0"/>
  <w:defaultTabStop w:val="420"/>
  <w:drawingGridHorizontalSpacing w:val="120"/>
  <w:drawingGridVerticalSpacing w:val="169"/>
  <w:displayHorizontalDrawingGridEvery w:val="1"/>
  <w:displayVerticalDrawingGridEvery w:val="2"/>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iMWJjYjg2ZGE1MmZhN2IxNDU4MzZjNzA5OWM5N2UifQ=="/>
  </w:docVars>
  <w:rsids>
    <w:rsidRoot w:val="00B03CCD"/>
    <w:rsid w:val="002B254B"/>
    <w:rsid w:val="00550ABE"/>
    <w:rsid w:val="00770383"/>
    <w:rsid w:val="007819D4"/>
    <w:rsid w:val="007B419D"/>
    <w:rsid w:val="009B67B8"/>
    <w:rsid w:val="009D2B67"/>
    <w:rsid w:val="00B03CCD"/>
    <w:rsid w:val="00C20C3E"/>
    <w:rsid w:val="00F73F90"/>
    <w:rsid w:val="01474EBF"/>
    <w:rsid w:val="01F3521E"/>
    <w:rsid w:val="01F82EB3"/>
    <w:rsid w:val="03B87EA0"/>
    <w:rsid w:val="03E3214F"/>
    <w:rsid w:val="044C50BA"/>
    <w:rsid w:val="04B93F2D"/>
    <w:rsid w:val="05BC6D49"/>
    <w:rsid w:val="06194FF1"/>
    <w:rsid w:val="06A2550B"/>
    <w:rsid w:val="06F80EE2"/>
    <w:rsid w:val="07001CCA"/>
    <w:rsid w:val="075678DB"/>
    <w:rsid w:val="079D7CC7"/>
    <w:rsid w:val="07DA4C98"/>
    <w:rsid w:val="08051BCA"/>
    <w:rsid w:val="086C12F4"/>
    <w:rsid w:val="08705944"/>
    <w:rsid w:val="08BA052C"/>
    <w:rsid w:val="08DB07BA"/>
    <w:rsid w:val="0969353F"/>
    <w:rsid w:val="098305D0"/>
    <w:rsid w:val="0A3317EA"/>
    <w:rsid w:val="0A5C4B69"/>
    <w:rsid w:val="0A86124A"/>
    <w:rsid w:val="0AB54CC0"/>
    <w:rsid w:val="0B9335CE"/>
    <w:rsid w:val="0BF2311A"/>
    <w:rsid w:val="0C7927C4"/>
    <w:rsid w:val="0C9B098C"/>
    <w:rsid w:val="0D673E11"/>
    <w:rsid w:val="0DDA54E4"/>
    <w:rsid w:val="0E3A5F83"/>
    <w:rsid w:val="0ECA3D43"/>
    <w:rsid w:val="0F836721"/>
    <w:rsid w:val="0FA25D96"/>
    <w:rsid w:val="107B59E5"/>
    <w:rsid w:val="10EC0126"/>
    <w:rsid w:val="10F70B9A"/>
    <w:rsid w:val="111445C7"/>
    <w:rsid w:val="114278C6"/>
    <w:rsid w:val="1158083A"/>
    <w:rsid w:val="11643A4B"/>
    <w:rsid w:val="11ED0F98"/>
    <w:rsid w:val="11F03528"/>
    <w:rsid w:val="12C921C4"/>
    <w:rsid w:val="13837429"/>
    <w:rsid w:val="13871C70"/>
    <w:rsid w:val="13A71CB4"/>
    <w:rsid w:val="13AF1D43"/>
    <w:rsid w:val="13CE1647"/>
    <w:rsid w:val="13FD55AB"/>
    <w:rsid w:val="14200702"/>
    <w:rsid w:val="163A6CEE"/>
    <w:rsid w:val="173708E3"/>
    <w:rsid w:val="17C374FC"/>
    <w:rsid w:val="18141055"/>
    <w:rsid w:val="182E4AB6"/>
    <w:rsid w:val="189079DC"/>
    <w:rsid w:val="189B0D0B"/>
    <w:rsid w:val="18B43F7C"/>
    <w:rsid w:val="194A1770"/>
    <w:rsid w:val="19B906A4"/>
    <w:rsid w:val="1B6F15B6"/>
    <w:rsid w:val="1BAA2EDC"/>
    <w:rsid w:val="1CA55E64"/>
    <w:rsid w:val="1D014A01"/>
    <w:rsid w:val="1D022362"/>
    <w:rsid w:val="1D0414E9"/>
    <w:rsid w:val="1D1B04B0"/>
    <w:rsid w:val="1DA52501"/>
    <w:rsid w:val="1DBD6767"/>
    <w:rsid w:val="1DC52125"/>
    <w:rsid w:val="1DD26311"/>
    <w:rsid w:val="1E374ACB"/>
    <w:rsid w:val="1ECF0A66"/>
    <w:rsid w:val="1EF67CA4"/>
    <w:rsid w:val="1F020D3A"/>
    <w:rsid w:val="1F2C5189"/>
    <w:rsid w:val="1F4B0B02"/>
    <w:rsid w:val="1FBB35CD"/>
    <w:rsid w:val="1FCD26AF"/>
    <w:rsid w:val="20642787"/>
    <w:rsid w:val="21556F04"/>
    <w:rsid w:val="21A46248"/>
    <w:rsid w:val="22403BD3"/>
    <w:rsid w:val="24B92327"/>
    <w:rsid w:val="24C14514"/>
    <w:rsid w:val="2533755C"/>
    <w:rsid w:val="25791755"/>
    <w:rsid w:val="26396DF4"/>
    <w:rsid w:val="27167136"/>
    <w:rsid w:val="271B442C"/>
    <w:rsid w:val="27B23302"/>
    <w:rsid w:val="28B650ED"/>
    <w:rsid w:val="29310A5F"/>
    <w:rsid w:val="29C37A35"/>
    <w:rsid w:val="2A076083"/>
    <w:rsid w:val="2A73162E"/>
    <w:rsid w:val="2B167953"/>
    <w:rsid w:val="2B200583"/>
    <w:rsid w:val="2B8209DE"/>
    <w:rsid w:val="2C636760"/>
    <w:rsid w:val="2C6762A3"/>
    <w:rsid w:val="2FCA4B37"/>
    <w:rsid w:val="2FE029D7"/>
    <w:rsid w:val="2FF06E00"/>
    <w:rsid w:val="30586FEC"/>
    <w:rsid w:val="315F0B22"/>
    <w:rsid w:val="31D84415"/>
    <w:rsid w:val="32285F6F"/>
    <w:rsid w:val="32770556"/>
    <w:rsid w:val="329C0913"/>
    <w:rsid w:val="32AA0460"/>
    <w:rsid w:val="3337290D"/>
    <w:rsid w:val="33D02807"/>
    <w:rsid w:val="33E31118"/>
    <w:rsid w:val="33EF7674"/>
    <w:rsid w:val="342D7BC6"/>
    <w:rsid w:val="352930DB"/>
    <w:rsid w:val="35573069"/>
    <w:rsid w:val="355F6038"/>
    <w:rsid w:val="358C217E"/>
    <w:rsid w:val="36073C87"/>
    <w:rsid w:val="36C9128A"/>
    <w:rsid w:val="37841E99"/>
    <w:rsid w:val="37BF1123"/>
    <w:rsid w:val="383C3F15"/>
    <w:rsid w:val="38BE4696"/>
    <w:rsid w:val="3939115E"/>
    <w:rsid w:val="39B82A39"/>
    <w:rsid w:val="39C42CA8"/>
    <w:rsid w:val="39DC4FD6"/>
    <w:rsid w:val="39F03D7A"/>
    <w:rsid w:val="39F33306"/>
    <w:rsid w:val="3A2C1C67"/>
    <w:rsid w:val="3ADD7F09"/>
    <w:rsid w:val="3B1705E5"/>
    <w:rsid w:val="3B18334B"/>
    <w:rsid w:val="3B36794F"/>
    <w:rsid w:val="3B6F6EE0"/>
    <w:rsid w:val="3C566AD6"/>
    <w:rsid w:val="3C594871"/>
    <w:rsid w:val="3C6A5B02"/>
    <w:rsid w:val="3D2757A1"/>
    <w:rsid w:val="3D3D4FC4"/>
    <w:rsid w:val="3DDF3AB1"/>
    <w:rsid w:val="3DEE7637"/>
    <w:rsid w:val="3E18518C"/>
    <w:rsid w:val="3E1D0952"/>
    <w:rsid w:val="3E42660A"/>
    <w:rsid w:val="3E7555B1"/>
    <w:rsid w:val="3E787ED9"/>
    <w:rsid w:val="3F032E93"/>
    <w:rsid w:val="3F0527E5"/>
    <w:rsid w:val="3F694D83"/>
    <w:rsid w:val="3F885DCC"/>
    <w:rsid w:val="3FCD675E"/>
    <w:rsid w:val="4004000C"/>
    <w:rsid w:val="40BD5482"/>
    <w:rsid w:val="411B6CE5"/>
    <w:rsid w:val="412070D7"/>
    <w:rsid w:val="41314E40"/>
    <w:rsid w:val="41E0734B"/>
    <w:rsid w:val="426C1EA8"/>
    <w:rsid w:val="42736402"/>
    <w:rsid w:val="42E86A87"/>
    <w:rsid w:val="43307B09"/>
    <w:rsid w:val="439A3EB9"/>
    <w:rsid w:val="43BB152F"/>
    <w:rsid w:val="44C37687"/>
    <w:rsid w:val="45741721"/>
    <w:rsid w:val="45CB699A"/>
    <w:rsid w:val="465B470D"/>
    <w:rsid w:val="469D6AD4"/>
    <w:rsid w:val="46F376DD"/>
    <w:rsid w:val="471E6C84"/>
    <w:rsid w:val="4748792B"/>
    <w:rsid w:val="475D719D"/>
    <w:rsid w:val="47674801"/>
    <w:rsid w:val="48225EF7"/>
    <w:rsid w:val="488F422B"/>
    <w:rsid w:val="48E36915"/>
    <w:rsid w:val="48EB6572"/>
    <w:rsid w:val="495C4A24"/>
    <w:rsid w:val="497135DF"/>
    <w:rsid w:val="4A263DF2"/>
    <w:rsid w:val="4A6F6675"/>
    <w:rsid w:val="4B135857"/>
    <w:rsid w:val="4B7951CB"/>
    <w:rsid w:val="4B7C315C"/>
    <w:rsid w:val="4DAC4ACA"/>
    <w:rsid w:val="4DBE01D2"/>
    <w:rsid w:val="4F0C6BA3"/>
    <w:rsid w:val="4F186D58"/>
    <w:rsid w:val="50F06B6E"/>
    <w:rsid w:val="51D21804"/>
    <w:rsid w:val="52234D33"/>
    <w:rsid w:val="522F6E0C"/>
    <w:rsid w:val="52463BA1"/>
    <w:rsid w:val="52F163D4"/>
    <w:rsid w:val="531A2DB4"/>
    <w:rsid w:val="53C0244D"/>
    <w:rsid w:val="53DD4D4E"/>
    <w:rsid w:val="53E578CE"/>
    <w:rsid w:val="541330F0"/>
    <w:rsid w:val="54272666"/>
    <w:rsid w:val="543B029D"/>
    <w:rsid w:val="54861779"/>
    <w:rsid w:val="552256E1"/>
    <w:rsid w:val="554E5773"/>
    <w:rsid w:val="555A3CBC"/>
    <w:rsid w:val="5582012B"/>
    <w:rsid w:val="558E4E05"/>
    <w:rsid w:val="55BE2E85"/>
    <w:rsid w:val="56530F5D"/>
    <w:rsid w:val="567700D3"/>
    <w:rsid w:val="56FF7E9E"/>
    <w:rsid w:val="578867FC"/>
    <w:rsid w:val="5842572D"/>
    <w:rsid w:val="5A3B59D6"/>
    <w:rsid w:val="5AD134D8"/>
    <w:rsid w:val="5C263CE4"/>
    <w:rsid w:val="5C5D2777"/>
    <w:rsid w:val="5CF66BF3"/>
    <w:rsid w:val="5D290C69"/>
    <w:rsid w:val="5F2D4A41"/>
    <w:rsid w:val="60C74F6C"/>
    <w:rsid w:val="61025A59"/>
    <w:rsid w:val="613D5BBC"/>
    <w:rsid w:val="61536C39"/>
    <w:rsid w:val="62944DD7"/>
    <w:rsid w:val="6319381F"/>
    <w:rsid w:val="63A637E0"/>
    <w:rsid w:val="63C25DC5"/>
    <w:rsid w:val="63C62057"/>
    <w:rsid w:val="64183929"/>
    <w:rsid w:val="64571EF5"/>
    <w:rsid w:val="64FB113D"/>
    <w:rsid w:val="656152C6"/>
    <w:rsid w:val="6587477F"/>
    <w:rsid w:val="658C3A08"/>
    <w:rsid w:val="65C031CA"/>
    <w:rsid w:val="65CE6852"/>
    <w:rsid w:val="66267C04"/>
    <w:rsid w:val="663F505A"/>
    <w:rsid w:val="66EE5541"/>
    <w:rsid w:val="67924660"/>
    <w:rsid w:val="68407834"/>
    <w:rsid w:val="6883293E"/>
    <w:rsid w:val="688412AD"/>
    <w:rsid w:val="68EB1B71"/>
    <w:rsid w:val="6A6C7940"/>
    <w:rsid w:val="6AAD2300"/>
    <w:rsid w:val="6B474EF5"/>
    <w:rsid w:val="6C0A5AC5"/>
    <w:rsid w:val="6C560CAE"/>
    <w:rsid w:val="6C576495"/>
    <w:rsid w:val="6CC537DC"/>
    <w:rsid w:val="6D903FF5"/>
    <w:rsid w:val="6DA955B8"/>
    <w:rsid w:val="6DD844A6"/>
    <w:rsid w:val="6DE346AB"/>
    <w:rsid w:val="6DE5391A"/>
    <w:rsid w:val="6EFD1324"/>
    <w:rsid w:val="6F5A53AC"/>
    <w:rsid w:val="6FAC003D"/>
    <w:rsid w:val="6FE55E12"/>
    <w:rsid w:val="6FFB2E76"/>
    <w:rsid w:val="708F6F7F"/>
    <w:rsid w:val="70D94BD3"/>
    <w:rsid w:val="71C34D91"/>
    <w:rsid w:val="72DB435C"/>
    <w:rsid w:val="72E2613A"/>
    <w:rsid w:val="72F771F4"/>
    <w:rsid w:val="73934AD2"/>
    <w:rsid w:val="750837F0"/>
    <w:rsid w:val="754758CF"/>
    <w:rsid w:val="764F62AB"/>
    <w:rsid w:val="765C45EC"/>
    <w:rsid w:val="768A7619"/>
    <w:rsid w:val="772E1EBA"/>
    <w:rsid w:val="781926BC"/>
    <w:rsid w:val="796D60A4"/>
    <w:rsid w:val="79A031D5"/>
    <w:rsid w:val="79B16100"/>
    <w:rsid w:val="7A1525F7"/>
    <w:rsid w:val="7B420052"/>
    <w:rsid w:val="7B8264FC"/>
    <w:rsid w:val="7BD06A28"/>
    <w:rsid w:val="7C3A7C0B"/>
    <w:rsid w:val="7C5248E4"/>
    <w:rsid w:val="7C566698"/>
    <w:rsid w:val="7C5866A3"/>
    <w:rsid w:val="7D7406BB"/>
    <w:rsid w:val="7DE94331"/>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10">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Date"/>
    <w:basedOn w:val="1"/>
    <w:next w:val="1"/>
    <w:qFormat/>
    <w:uiPriority w:val="0"/>
    <w:pPr>
      <w:ind w:left="100" w:leftChars="2500"/>
    </w:pPr>
  </w:style>
  <w:style w:type="paragraph" w:styleId="4">
    <w:name w:val="Body Text First Indent"/>
    <w:basedOn w:val="2"/>
    <w:qFormat/>
    <w:uiPriority w:val="0"/>
    <w:pPr>
      <w:ind w:firstLine="420" w:firstLineChars="100"/>
    </w:pPr>
  </w:style>
  <w:style w:type="paragraph" w:styleId="5">
    <w:name w:val="Balloon Text"/>
    <w:basedOn w:val="1"/>
    <w:link w:val="19"/>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9">
    <w:name w:val="Normal (Web)"/>
    <w:basedOn w:val="1"/>
    <w:unhideWhenUsed/>
    <w:qFormat/>
    <w:uiPriority w:val="0"/>
    <w:pPr>
      <w:spacing w:before="100" w:beforeAutospacing="1" w:after="100" w:afterAutospacing="1"/>
    </w:pPr>
  </w:style>
  <w:style w:type="character" w:styleId="11">
    <w:name w:val="Strong"/>
    <w:qFormat/>
    <w:uiPriority w:val="0"/>
    <w:rPr>
      <w:b/>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15">
    <w:name w:val="列出段落1"/>
    <w:basedOn w:val="1"/>
    <w:qFormat/>
    <w:uiPriority w:val="99"/>
    <w:pPr>
      <w:ind w:firstLine="420" w:firstLineChars="200"/>
    </w:pPr>
    <w:rPr>
      <w:rFonts w:hint="default"/>
    </w:rPr>
  </w:style>
  <w:style w:type="paragraph" w:customStyle="1" w:styleId="16">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7">
    <w:name w:val="21"/>
    <w:qFormat/>
    <w:uiPriority w:val="0"/>
    <w:rPr>
      <w:rFonts w:hint="default" w:ascii="Wingdings" w:hAnsi="Wingdings" w:cs="Wingdings"/>
      <w:b/>
      <w:bCs/>
    </w:rPr>
  </w:style>
  <w:style w:type="paragraph" w:customStyle="1" w:styleId="18">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9">
    <w:name w:val="批注框文本 Char"/>
    <w:basedOn w:val="10"/>
    <w:link w:val="5"/>
    <w:qFormat/>
    <w:uiPriority w:val="0"/>
    <w:rPr>
      <w:rFonts w:ascii="宋体" w:hAnsi="宋体"/>
      <w:sz w:val="18"/>
      <w:szCs w:val="18"/>
    </w:rPr>
  </w:style>
  <w:style w:type="character" w:customStyle="1" w:styleId="20">
    <w:name w:val="18"/>
    <w:basedOn w:val="10"/>
    <w:qFormat/>
    <w:uiPriority w:val="0"/>
    <w:rPr>
      <w:rFonts w:hint="default" w:ascii="Times New Roman" w:hAnsi="Times New Roman" w:cs="Times New Roman"/>
      <w:b/>
    </w:rPr>
  </w:style>
  <w:style w:type="paragraph" w:styleId="2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26</Pages>
  <Words>10906</Words>
  <Characters>13614</Characters>
  <Lines>190</Lines>
  <Paragraphs>53</Paragraphs>
  <TotalTime>1</TotalTime>
  <ScaleCrop>false</ScaleCrop>
  <LinksUpToDate>false</LinksUpToDate>
  <CharactersWithSpaces>14835</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Administrator</cp:lastModifiedBy>
  <dcterms:modified xsi:type="dcterms:W3CDTF">2024-10-05T04:39:46Z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