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_GBK" w:cs="Times New Roman"/>
          <w:b w:val="0"/>
          <w:bCs w:val="0"/>
          <w:w w:val="90"/>
          <w:kern w:val="2"/>
          <w:sz w:val="44"/>
          <w:szCs w:val="44"/>
        </w:rPr>
      </w:pPr>
      <w:r>
        <w:rPr>
          <w:rFonts w:hint="default" w:ascii="Times New Roman" w:hAnsi="Times New Roman" w:eastAsia="方正小标宋_GBK" w:cs="Times New Roman"/>
          <w:b w:val="0"/>
          <w:bCs w:val="0"/>
          <w:w w:val="90"/>
          <w:kern w:val="2"/>
          <w:sz w:val="44"/>
          <w:szCs w:val="44"/>
        </w:rPr>
        <w:t>重庆市秀山土家族苗族自治县石耶镇中心卫生院2023年度决算公开说明</w:t>
      </w:r>
    </w:p>
    <w:p>
      <w:pPr>
        <w:pStyle w:val="2"/>
        <w:keepNext w:val="0"/>
        <w:keepLines w:val="0"/>
        <w:pageBreakBefore w:val="0"/>
        <w:kinsoku/>
        <w:overflowPunct/>
        <w:topLinePunct w:val="0"/>
        <w:autoSpaceDN/>
        <w:bidi w:val="0"/>
        <w:adjustRightInd/>
        <w:ind w:left="0" w:leftChars="0" w:firstLine="0" w:firstLineChars="0"/>
        <w:rPr>
          <w:rFonts w:hint="default"/>
          <w:b w:val="0"/>
          <w:bCs w:val="0"/>
          <w:sz w:val="32"/>
          <w:szCs w:val="32"/>
        </w:rPr>
      </w:pP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val="0"/>
          <w:sz w:val="32"/>
          <w:szCs w:val="32"/>
        </w:rPr>
      </w:pPr>
      <w:r>
        <w:rPr>
          <w:rStyle w:val="11"/>
          <w:rFonts w:hint="default" w:ascii="Times New Roman" w:hAnsi="Times New Roman" w:eastAsia="方正黑体_GBK" w:cs="Times New Roman"/>
          <w:b w:val="0"/>
          <w:bCs w:val="0"/>
          <w:sz w:val="32"/>
          <w:szCs w:val="32"/>
          <w:shd w:val="clear" w:color="auto" w:fill="FFFFFF"/>
        </w:rPr>
        <w:t>一、单位基本情况</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（一）职能职责</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本单位属基层医疗卫生机构，为非营利性医疗机构，应当为居民提供基本医</w:t>
      </w:r>
      <w:r>
        <w:rPr>
          <w:rStyle w:val="11"/>
          <w:rFonts w:hint="eastAsia" w:ascii="方正仿宋_GBK" w:hAnsi="方正仿宋_GBK" w:eastAsia="方正仿宋_GBK" w:cs="方正仿宋_GBK"/>
          <w:b w:val="0"/>
          <w:bCs w:val="0"/>
          <w:sz w:val="32"/>
          <w:szCs w:val="32"/>
          <w:shd w:val="clear" w:color="auto" w:fill="FFFFFF"/>
        </w:rPr>
        <w:t>疗和</w:t>
      </w:r>
      <w:r>
        <w:rPr>
          <w:rStyle w:val="11"/>
          <w:rFonts w:hint="default" w:ascii="Times New Roman" w:hAnsi="Times New Roman" w:eastAsia="方正仿宋_GBK" w:cs="Times New Roman"/>
          <w:b w:val="0"/>
          <w:bCs w:val="0"/>
          <w:sz w:val="32"/>
          <w:szCs w:val="32"/>
          <w:shd w:val="clear" w:color="auto" w:fill="FFFFFF"/>
        </w:rPr>
        <w:t>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1.根据国家和本市规定收集、报送辖区内卫生健康信息，建立和管理居民健康档案，提出改进辖区公共卫生状况的建议</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2.开展健康教育，普及健康知识</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3.协助开展传染病以及地方病、寄生虫病的预防控制，配合开展爱国卫生工作</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4.做好高危人群、重点慢性病患者的筛查和病例管理</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5.提供心理健康指导服务，实施精神病社区管理</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6.为妇女、儿童、老年人、残疾人等重点人群提供保健和康复服务</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7.提供计划生育技术服务，协助处置辖区内突发公共卫生事件等</w:t>
      </w:r>
      <w:r>
        <w:rPr>
          <w:rStyle w:val="11"/>
          <w:rFonts w:hint="eastAsia"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8.按要求提供其他公共卫生服务。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eastAsia" w:ascii="方正楷体_GBK" w:hAnsi="方正楷体_GBK" w:eastAsia="方正楷体_GBK" w:cs="方正楷体_GBK"/>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（二）机构设置</w:t>
      </w:r>
    </w:p>
    <w:p>
      <w:pPr>
        <w:pStyle w:val="9"/>
        <w:keepNext w:val="0"/>
        <w:keepLines w:val="0"/>
        <w:pageBreakBefore w:val="0"/>
        <w:shd w:val="clear" w:color="auto" w:fill="FFFFFF"/>
        <w:kinsoku/>
        <w:overflowPunct/>
        <w:topLinePunct w:val="0"/>
        <w:autoSpaceDN/>
        <w:bidi w:val="0"/>
        <w:adjustRightInd/>
        <w:spacing w:before="0" w:beforeAutospacing="0" w:after="0" w:afterAutospacing="0" w:line="560" w:lineRule="exact"/>
        <w:ind w:firstLine="640" w:firstLineChars="200"/>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rPr>
        <w:t>本单位为秀山县卫生健康委员会二级预算单位，无下级预算单位。单位</w:t>
      </w:r>
      <w:r>
        <w:rPr>
          <w:rFonts w:hint="default" w:ascii="Times New Roman" w:hAnsi="Times New Roman" w:eastAsia="方正仿宋_GBK" w:cs="Times New Roman"/>
          <w:b w:val="0"/>
          <w:bCs w:val="0"/>
          <w:sz w:val="32"/>
          <w:szCs w:val="32"/>
          <w:highlight w:val="none"/>
          <w:lang w:eastAsia="zh-CN"/>
        </w:rPr>
        <w:t>内</w:t>
      </w:r>
      <w:r>
        <w:rPr>
          <w:rFonts w:hint="default" w:ascii="Times New Roman" w:hAnsi="Times New Roman" w:eastAsia="方正仿宋_GBK" w:cs="Times New Roman"/>
          <w:b w:val="0"/>
          <w:bCs w:val="0"/>
          <w:sz w:val="32"/>
          <w:szCs w:val="32"/>
          <w:highlight w:val="none"/>
        </w:rPr>
        <w:t>设办公室、财务科、医务科、</w:t>
      </w:r>
      <w:r>
        <w:rPr>
          <w:rFonts w:hint="default" w:ascii="Times New Roman" w:hAnsi="Times New Roman" w:eastAsia="方正仿宋_GBK" w:cs="Times New Roman"/>
          <w:b w:val="0"/>
          <w:bCs w:val="0"/>
          <w:sz w:val="32"/>
          <w:szCs w:val="32"/>
          <w:highlight w:val="none"/>
          <w:lang w:eastAsia="zh-CN"/>
        </w:rPr>
        <w:t>综合住院部</w:t>
      </w:r>
      <w:r>
        <w:rPr>
          <w:rFonts w:hint="default" w:ascii="Times New Roman" w:hAnsi="Times New Roman" w:eastAsia="方正仿宋_GBK" w:cs="Times New Roman"/>
          <w:b w:val="0"/>
          <w:bCs w:val="0"/>
          <w:sz w:val="32"/>
          <w:szCs w:val="32"/>
          <w:highlight w:val="none"/>
        </w:rPr>
        <w:t>、门诊部、中医科、医技科、库房、药房、收费室、公共卫生科。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Fonts w:hint="eastAsia" w:ascii="方正黑体_GBK" w:hAnsi="方正黑体_GBK" w:eastAsia="方正黑体_GBK" w:cs="方正黑体_GBK"/>
          <w:b w:val="0"/>
          <w:bCs w:val="0"/>
          <w:sz w:val="32"/>
          <w:szCs w:val="32"/>
          <w:highlight w:val="none"/>
          <w:lang w:eastAsia="zh-CN"/>
        </w:rPr>
        <w:t>二、</w:t>
      </w:r>
      <w:r>
        <w:rPr>
          <w:rStyle w:val="11"/>
          <w:rFonts w:hint="eastAsia" w:ascii="方正黑体_GBK" w:hAnsi="方正黑体_GBK" w:eastAsia="方正黑体_GBK" w:cs="方正黑体_GBK"/>
          <w:b w:val="0"/>
          <w:bCs w:val="0"/>
          <w:sz w:val="32"/>
          <w:szCs w:val="32"/>
          <w:shd w:val="clear" w:color="auto" w:fill="FFFFFF"/>
        </w:rPr>
        <w:t>单位决算情况说明</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2023年度收入总计1136.35万元，支出总计</w:t>
      </w:r>
      <w:r>
        <w:rPr>
          <w:rFonts w:hint="default" w:ascii="Times New Roman" w:hAnsi="Times New Roman" w:eastAsia="方正仿宋_GBK" w:cs="Times New Roman"/>
          <w:b w:val="0"/>
          <w:bCs w:val="0"/>
          <w:sz w:val="32"/>
          <w:szCs w:val="32"/>
        </w:rPr>
        <w:t>1136.35</w:t>
      </w:r>
      <w:r>
        <w:rPr>
          <w:rFonts w:hint="default" w:ascii="Times New Roman" w:hAnsi="Times New Roman" w:eastAsia="方正仿宋_GBK" w:cs="Times New Roman"/>
          <w:b w:val="0"/>
          <w:bCs w:val="0"/>
          <w:sz w:val="32"/>
          <w:szCs w:val="32"/>
          <w:shd w:val="clear" w:color="auto" w:fill="FFFFFF"/>
        </w:rPr>
        <w:t>万元。收支较上年决算数减少64.76万元，下降5.39%，主要原因是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2023年度事业收入</w:t>
      </w:r>
      <w:r>
        <w:rPr>
          <w:rFonts w:hint="eastAsia"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减少，其中</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核酸检测</w:t>
      </w:r>
      <w:r>
        <w:rPr>
          <w:rFonts w:hint="eastAsia"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收入</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减少40.99万元，</w:t>
      </w:r>
      <w:r>
        <w:rPr>
          <w:rFonts w:hint="eastAsia"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药品收入减少20.32万元，</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同时院内人员支出、医疗支出等相应减少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2023年度收入合计1119.98万元，较上年决算数减少81.13万元，下降6.75%，主要原因是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事业收入减少</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117.38万元</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530.41</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47.36</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527.52</w:t>
      </w:r>
      <w:r>
        <w:rPr>
          <w:rFonts w:hint="default" w:ascii="Times New Roman" w:hAnsi="Times New Roman" w:eastAsia="方正仿宋_GBK" w:cs="Times New Roman"/>
          <w:b w:val="0"/>
          <w:bCs w:val="0"/>
          <w:sz w:val="32"/>
          <w:szCs w:val="32"/>
          <w:shd w:val="clear" w:color="auto" w:fill="FFFFFF"/>
        </w:rPr>
        <w:t>万元，占47.10%；经营收入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62.05</w:t>
      </w:r>
      <w:r>
        <w:rPr>
          <w:rFonts w:hint="default" w:ascii="Times New Roman" w:hAnsi="Times New Roman" w:eastAsia="方正仿宋_GBK" w:cs="Times New Roman"/>
          <w:b w:val="0"/>
          <w:bCs w:val="0"/>
          <w:sz w:val="32"/>
          <w:szCs w:val="32"/>
          <w:shd w:val="clear" w:color="auto" w:fill="FFFFFF"/>
        </w:rPr>
        <w:t>万元，占5.54%。此外，使用非财政拨款结余和专用结余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16.37</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1103.75</w:t>
      </w:r>
      <w:r>
        <w:rPr>
          <w:rFonts w:hint="default" w:ascii="Times New Roman" w:hAnsi="Times New Roman" w:eastAsia="方正仿宋_GBK" w:cs="Times New Roman"/>
          <w:b w:val="0"/>
          <w:bCs w:val="0"/>
          <w:sz w:val="32"/>
          <w:szCs w:val="32"/>
          <w:shd w:val="clear" w:color="auto" w:fill="FFFFFF"/>
        </w:rPr>
        <w:t>万元，较上年决算数减少96.07万元，下降8.01%，主要原因是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医疗支出中药品、耗材、人员工资、办公</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费</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等支出减少</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1068.43</w:t>
      </w:r>
      <w:r>
        <w:rPr>
          <w:rFonts w:hint="default" w:ascii="Times New Roman" w:hAnsi="Times New Roman" w:eastAsia="方正仿宋_GBK" w:cs="Times New Roman"/>
          <w:b w:val="0"/>
          <w:bCs w:val="0"/>
          <w:sz w:val="32"/>
          <w:szCs w:val="32"/>
          <w:shd w:val="clear" w:color="auto" w:fill="FFFFFF"/>
        </w:rPr>
        <w:t>万元，占96.80%；项目支出</w:t>
      </w:r>
      <w:r>
        <w:rPr>
          <w:rFonts w:hint="default" w:ascii="Times New Roman" w:hAnsi="Times New Roman" w:eastAsia="方正仿宋_GBK" w:cs="Times New Roman"/>
          <w:b w:val="0"/>
          <w:bCs w:val="0"/>
          <w:sz w:val="32"/>
          <w:szCs w:val="32"/>
        </w:rPr>
        <w:t>35.32</w:t>
      </w:r>
      <w:r>
        <w:rPr>
          <w:rFonts w:hint="default" w:ascii="Times New Roman" w:hAnsi="Times New Roman" w:eastAsia="方正仿宋_GBK" w:cs="Times New Roman"/>
          <w:b w:val="0"/>
          <w:bCs w:val="0"/>
          <w:sz w:val="32"/>
          <w:szCs w:val="32"/>
          <w:shd w:val="clear" w:color="auto" w:fill="FFFFFF"/>
        </w:rPr>
        <w:t>万元，占3.20%；经营支出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32.60</w:t>
      </w:r>
      <w:r>
        <w:rPr>
          <w:rFonts w:hint="default" w:ascii="Times New Roman" w:hAnsi="Times New Roman" w:eastAsia="方正仿宋_GBK" w:cs="Times New Roman"/>
          <w:b w:val="0"/>
          <w:bCs w:val="0"/>
          <w:sz w:val="32"/>
          <w:szCs w:val="32"/>
          <w:shd w:val="clear" w:color="auto" w:fill="FFFFFF"/>
        </w:rPr>
        <w:t>万元，较上年决算数增加31.31万元，增长2427.13%，主要原因是</w:t>
      </w:r>
      <w:r>
        <w:rPr>
          <w:rFonts w:hint="default" w:ascii="Times New Roman" w:hAnsi="Times New Roman" w:eastAsia="方正仿宋_GBK" w:cs="Times New Roman"/>
          <w:b w:val="0"/>
          <w:bCs w:val="0"/>
          <w:color w:val="auto"/>
          <w:sz w:val="32"/>
          <w:szCs w:val="32"/>
          <w:shd w:val="clear" w:color="auto" w:fill="FFFFFF"/>
        </w:rPr>
        <w:t>2022年绩效清算拨款在本年度未发放</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2023年度财政拨款收、支总计530.41万元。与2022年相比，财政拨款收、支总计各增加8.40万元，增长1.61%。主要原因是本单位2023年度</w:t>
      </w:r>
      <w:r>
        <w:rPr>
          <w:rFonts w:hint="default" w:ascii="Times New Roman" w:hAnsi="Times New Roman" w:eastAsia="方正仿宋_GBK" w:cs="Times New Roman"/>
          <w:b w:val="0"/>
          <w:bCs w:val="0"/>
          <w:sz w:val="32"/>
          <w:szCs w:val="32"/>
          <w:shd w:val="clear" w:color="auto" w:fill="FFFFFF"/>
          <w:lang w:eastAsia="zh-CN"/>
        </w:rPr>
        <w:t>增加医疗设备购置、医务人员临时性工作补助、健康礼包经费、一次性增核绩效</w:t>
      </w:r>
      <w:r>
        <w:rPr>
          <w:rFonts w:hint="default" w:ascii="Times New Roman" w:hAnsi="Times New Roman" w:eastAsia="方正仿宋_GBK" w:cs="Times New Roman"/>
          <w:b w:val="0"/>
          <w:bCs w:val="0"/>
          <w:sz w:val="32"/>
          <w:szCs w:val="32"/>
          <w:shd w:val="clear" w:color="auto" w:fill="FFFFFF"/>
        </w:rPr>
        <w:t>收入，相应支出也增加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仿宋_GBK" w:hAnsi="方正仿宋_GBK" w:eastAsia="方正仿宋_GBK" w:cs="方正仿宋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lang w:val="en-US" w:eastAsia="zh-CN" w:bidi="ar-SA"/>
        </w:rPr>
        <w:t>（三）一般公共预算财政拨款收入支出决算情况说明</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530.41</w:t>
      </w:r>
      <w:r>
        <w:rPr>
          <w:rFonts w:hint="default" w:ascii="Times New Roman" w:hAnsi="Times New Roman" w:eastAsia="方正仿宋_GBK" w:cs="Times New Roman"/>
          <w:b w:val="0"/>
          <w:bCs w:val="0"/>
          <w:sz w:val="32"/>
          <w:szCs w:val="32"/>
          <w:shd w:val="clear" w:color="auto" w:fill="FFFFFF"/>
        </w:rPr>
        <w:t>万元，较上年决算数增加8.40万元，增长1.61%。主要原因是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本单位2023年度增加医疗设备购置、医务人员临时性工作补助、健康礼包经费、一次性增核绩效收入。</w:t>
      </w:r>
      <w:r>
        <w:rPr>
          <w:rFonts w:hint="default" w:ascii="Times New Roman" w:hAnsi="Times New Roman" w:eastAsia="方正仿宋_GBK" w:cs="Times New Roman"/>
          <w:b w:val="0"/>
          <w:bCs w:val="0"/>
          <w:sz w:val="32"/>
          <w:szCs w:val="32"/>
          <w:shd w:val="clear" w:color="auto" w:fill="FFFFFF"/>
        </w:rPr>
        <w:t>较年初预算数增加103.18万元，增长24.15%。主要原因是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年初预算是根据单位情况预估核算，实际财政拨款收入由财政根据资金分配情况统一安排拨款。</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Style w:val="11"/>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497.81</w:t>
      </w:r>
      <w:r>
        <w:rPr>
          <w:rFonts w:hint="default" w:ascii="Times New Roman" w:hAnsi="Times New Roman" w:eastAsia="方正仿宋_GBK" w:cs="Times New Roman"/>
          <w:b w:val="0"/>
          <w:bCs w:val="0"/>
          <w:sz w:val="32"/>
          <w:szCs w:val="32"/>
          <w:shd w:val="clear" w:color="auto" w:fill="FFFFFF"/>
        </w:rPr>
        <w:t>万元，较上年决算数减少24.20万元，下降4.64%。主要原因是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人员支出减少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sz w:val="32"/>
          <w:szCs w:val="32"/>
          <w:shd w:val="clear" w:color="auto" w:fill="FFFFFF"/>
        </w:rPr>
        <w:t>较年初预算数增加70.58万元，增长16.52%。主要原因是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年初预算是根据单位情况预估核算，实际财政拨款收入由财政根据资金分配情况统一安排拨款</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方正仿宋_GBK" w:cs="Times New Roman"/>
          <w:b w:val="0"/>
          <w:bCs w:val="0"/>
          <w:sz w:val="32"/>
          <w:szCs w:val="32"/>
          <w:highlight w:val="none"/>
        </w:rPr>
        <w:t>因此财政拨款支出与年初预算有相应差异</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32.60</w:t>
      </w:r>
      <w:r>
        <w:rPr>
          <w:rFonts w:hint="default" w:ascii="Times New Roman" w:hAnsi="Times New Roman" w:eastAsia="方正仿宋_GBK" w:cs="Times New Roman"/>
          <w:b w:val="0"/>
          <w:bCs w:val="0"/>
          <w:sz w:val="32"/>
          <w:szCs w:val="32"/>
          <w:shd w:val="clear" w:color="auto" w:fill="FFFFFF"/>
        </w:rPr>
        <w:t>万元，较上年决算数增加32.60万元，增长100.00%，主要原因是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2022年绩效清算拨款</w:t>
      </w:r>
      <w:r>
        <w:rPr>
          <w:rFonts w:hint="eastAsia"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在本年度未发放</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FF0000"/>
          <w:sz w:val="32"/>
          <w:szCs w:val="32"/>
          <w:highlight w:val="cyan"/>
          <w:shd w:val="clear" w:color="auto" w:fill="FFFFFF"/>
        </w:rPr>
      </w:pPr>
      <w:r>
        <w:rPr>
          <w:rStyle w:val="11"/>
          <w:rFonts w:hint="default" w:ascii="Times New Roman" w:hAnsi="Times New Roman" w:eastAsia="方正仿宋_GBK" w:cs="Times New Roman"/>
          <w:b w:val="0"/>
          <w:bCs w:val="0"/>
          <w:sz w:val="32"/>
          <w:szCs w:val="32"/>
          <w:shd w:val="clear" w:color="auto" w:fill="FFFFFF"/>
        </w:rPr>
        <w:t>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shd w:val="clear" w:color="auto" w:fill="FFFFFF"/>
        </w:rPr>
        <w:t>（1）一般公共服务支出</w:t>
      </w:r>
      <w:r>
        <w:rPr>
          <w:rFonts w:hint="default" w:ascii="Times New Roman" w:hAnsi="Times New Roman" w:eastAsia="方正仿宋_GBK" w:cs="Times New Roman"/>
          <w:b w:val="0"/>
          <w:bCs w:val="0"/>
          <w:sz w:val="32"/>
          <w:szCs w:val="32"/>
        </w:rPr>
        <w:t>20.00</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4.02</w:t>
      </w:r>
      <w:r>
        <w:rPr>
          <w:rFonts w:hint="default" w:ascii="Times New Roman" w:hAnsi="Times New Roman" w:eastAsia="方正仿宋_GBK" w:cs="Times New Roman"/>
          <w:b w:val="0"/>
          <w:bCs w:val="0"/>
          <w:sz w:val="32"/>
          <w:szCs w:val="32"/>
          <w:shd w:val="clear" w:color="auto" w:fill="FFFFFF"/>
        </w:rPr>
        <w:t>%，较年初预算数无增减，主要原因是</w:t>
      </w:r>
      <w:r>
        <w:rPr>
          <w:rFonts w:hint="default" w:ascii="Times New Roman" w:hAnsi="Times New Roman" w:eastAsia="方正仿宋_GBK" w:cs="Times New Roman"/>
          <w:b w:val="0"/>
          <w:bCs w:val="0"/>
          <w:sz w:val="32"/>
          <w:szCs w:val="32"/>
          <w:shd w:val="clear" w:color="auto" w:fill="FFFFFF"/>
          <w:lang w:eastAsia="zh-CN"/>
        </w:rPr>
        <w:t>本单位</w:t>
      </w:r>
      <w:r>
        <w:rPr>
          <w:rFonts w:hint="default" w:ascii="Times New Roman" w:hAnsi="Times New Roman" w:eastAsia="方正仿宋_GBK" w:cs="Times New Roman"/>
          <w:b w:val="0"/>
          <w:bCs w:val="0"/>
          <w:sz w:val="32"/>
          <w:szCs w:val="32"/>
          <w:shd w:val="clear" w:color="auto" w:fill="FFFFFF"/>
          <w:lang w:val="en-US" w:eastAsia="zh-CN"/>
        </w:rPr>
        <w:t>2023年度未增加设备购置项目</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51.02</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10.25</w:t>
      </w:r>
      <w:r>
        <w:rPr>
          <w:rFonts w:hint="default" w:ascii="Times New Roman" w:hAnsi="Times New Roman" w:eastAsia="方正仿宋_GBK" w:cs="Times New Roman"/>
          <w:b w:val="0"/>
          <w:bCs w:val="0"/>
          <w:sz w:val="32"/>
          <w:szCs w:val="32"/>
          <w:shd w:val="clear" w:color="auto" w:fill="FFFFFF"/>
        </w:rPr>
        <w:t>%，较年初预算数减少17.62万元，下降25.67%，主要原因是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在编职工</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调出</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4</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408.95</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82.15</w:t>
      </w:r>
      <w:r>
        <w:rPr>
          <w:rFonts w:hint="default" w:ascii="Times New Roman" w:hAnsi="Times New Roman" w:eastAsia="方正仿宋_GBK" w:cs="Times New Roman"/>
          <w:b w:val="0"/>
          <w:bCs w:val="0"/>
          <w:sz w:val="32"/>
          <w:szCs w:val="32"/>
          <w:shd w:val="clear" w:color="auto" w:fill="FFFFFF"/>
        </w:rPr>
        <w:t>%，较年初预算数增加101.02万元，增长32.81%，主要原因是</w:t>
      </w:r>
      <w:r>
        <w:rPr>
          <w:rFonts w:hint="default" w:ascii="Times New Roman" w:hAnsi="Times New Roman" w:eastAsia="方正仿宋_GBK" w:cs="Times New Roman"/>
          <w:b w:val="0"/>
          <w:bCs w:val="0"/>
          <w:sz w:val="32"/>
          <w:szCs w:val="32"/>
          <w:shd w:val="clear" w:color="auto" w:fill="FFFFFF"/>
          <w:lang w:eastAsia="zh-CN"/>
        </w:rPr>
        <w:t>增加</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医疗设备购置、医务人员临时性工作补助、健康礼包经费、一次性增核绩效支出。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住房保障支出17.85</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3.58</w:t>
      </w:r>
      <w:r>
        <w:rPr>
          <w:rFonts w:hint="default" w:ascii="Times New Roman" w:hAnsi="Times New Roman" w:eastAsia="方正仿宋_GBK" w:cs="Times New Roman"/>
          <w:b w:val="0"/>
          <w:bCs w:val="0"/>
          <w:sz w:val="32"/>
          <w:szCs w:val="32"/>
          <w:shd w:val="clear" w:color="auto" w:fill="FFFFFF"/>
        </w:rPr>
        <w:t>%，较年初预算数减少12.81万元，下降41.78%，主要原因是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在编职工</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调出</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4</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w:t>
      </w:r>
    </w:p>
    <w:p>
      <w:pPr>
        <w:pStyle w:val="14"/>
        <w:keepNext w:val="0"/>
        <w:keepLines w:val="0"/>
        <w:pageBreakBefore w:val="0"/>
        <w:kinsoku/>
        <w:overflowPunct/>
        <w:topLinePunct w:val="0"/>
        <w:autoSpaceDE w:val="0"/>
        <w:autoSpaceDN/>
        <w:bidi w:val="0"/>
        <w:adjustRightInd/>
        <w:spacing w:beforeAutospacing="0" w:afterAutospacing="0" w:line="560" w:lineRule="exact"/>
        <w:ind w:left="0" w:leftChars="0"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Times New Roman" w:hAnsi="Times New Roman" w:eastAsia="楷体" w:cs="Times New Roman"/>
          <w:b w:val="0"/>
          <w:bCs w:val="0"/>
          <w:sz w:val="32"/>
          <w:szCs w:val="32"/>
          <w:shd w:val="clear" w:color="auto" w:fill="FFFFFF"/>
        </w:rPr>
        <w:t>（</w:t>
      </w:r>
      <w:r>
        <w:rPr>
          <w:rFonts w:hint="default" w:ascii="方正楷体_GBK" w:hAnsi="方正楷体_GBK" w:eastAsia="方正楷体_GBK" w:cs="方正楷体_GBK"/>
          <w:b w:val="0"/>
          <w:bCs w:val="0"/>
          <w:sz w:val="32"/>
          <w:szCs w:val="32"/>
          <w:shd w:val="clear" w:color="auto" w:fill="FFFFFF"/>
          <w:lang w:val="en-US" w:eastAsia="zh-CN" w:bidi="ar-SA"/>
        </w:rPr>
        <w:t>四）一般公共预算财政拨款基本支出决算情况说明</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462.49</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462.49</w:t>
      </w:r>
      <w:r>
        <w:rPr>
          <w:rFonts w:hint="default" w:ascii="Times New Roman" w:hAnsi="Times New Roman" w:eastAsia="方正仿宋_GBK" w:cs="Times New Roman"/>
          <w:b w:val="0"/>
          <w:bCs w:val="0"/>
          <w:sz w:val="32"/>
          <w:szCs w:val="32"/>
          <w:shd w:val="clear" w:color="auto" w:fill="FFFFFF"/>
        </w:rPr>
        <w:t>万元，较上年决算数减少59.52万元，下降11.40%，主要原因是</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人员经费支出减少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sz w:val="32"/>
          <w:szCs w:val="32"/>
          <w:shd w:val="clear" w:color="auto" w:fill="FFFFFF"/>
        </w:rPr>
        <w:t>人员经费用途主要包括</w:t>
      </w:r>
      <w:r>
        <w:rPr>
          <w:rFonts w:hint="default" w:ascii="Times New Roman" w:hAnsi="Times New Roman" w:eastAsia="方正仿宋_GBK" w:cs="Times New Roman"/>
          <w:b w:val="0"/>
          <w:bCs w:val="0"/>
          <w:sz w:val="32"/>
          <w:szCs w:val="32"/>
          <w:highlight w:val="none"/>
        </w:rPr>
        <w:t>人员社会保障、工资、绩效、津补贴支</w:t>
      </w:r>
      <w:r>
        <w:rPr>
          <w:rFonts w:hint="default" w:ascii="Times New Roman" w:hAnsi="Times New Roman" w:eastAsia="方正仿宋_GBK" w:cs="Times New Roman"/>
          <w:b w:val="0"/>
          <w:bCs w:val="0"/>
          <w:color w:val="000000" w:themeColor="text1"/>
          <w:sz w:val="32"/>
          <w:szCs w:val="32"/>
          <w:highlight w:val="none"/>
          <w14:textFill>
            <w14:solidFill>
              <w14:schemeClr w14:val="tx1"/>
            </w14:solidFill>
          </w14:textFill>
        </w:rPr>
        <w:t>出</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万元，较上年决算数无增减，主要原因是</w:t>
      </w:r>
      <w:r>
        <w:rPr>
          <w:rFonts w:hint="default" w:ascii="Times New Roman" w:hAnsi="Times New Roman" w:eastAsia="方正仿宋_GBK" w:cs="Times New Roman"/>
          <w:b w:val="0"/>
          <w:bCs w:val="0"/>
          <w:sz w:val="32"/>
          <w:szCs w:val="32"/>
          <w:highlight w:val="none"/>
          <w:lang w:eastAsia="zh-CN"/>
        </w:rPr>
        <w:t>本单位属于差额拨款，</w:t>
      </w:r>
      <w:r>
        <w:rPr>
          <w:rFonts w:hint="default" w:ascii="Times New Roman" w:hAnsi="Times New Roman" w:eastAsia="方正仿宋_GBK" w:cs="Times New Roman"/>
          <w:b w:val="0"/>
          <w:bCs w:val="0"/>
          <w:sz w:val="32"/>
          <w:szCs w:val="32"/>
          <w:highlight w:val="none"/>
        </w:rPr>
        <w:t>公用经费</w:t>
      </w:r>
      <w:r>
        <w:rPr>
          <w:rFonts w:hint="default" w:ascii="Times New Roman" w:hAnsi="Times New Roman" w:eastAsia="方正仿宋_GBK" w:cs="Times New Roman"/>
          <w:b w:val="0"/>
          <w:bCs w:val="0"/>
          <w:sz w:val="32"/>
          <w:szCs w:val="32"/>
          <w:highlight w:val="none"/>
          <w:lang w:eastAsia="zh-CN"/>
        </w:rPr>
        <w:t>支出由单位自筹。</w:t>
      </w:r>
    </w:p>
    <w:p>
      <w:pPr>
        <w:pStyle w:val="9"/>
        <w:keepNext w:val="0"/>
        <w:keepLines w:val="0"/>
        <w:pageBreakBefore w:val="0"/>
        <w:numPr>
          <w:ilvl w:val="0"/>
          <w:numId w:val="0"/>
        </w:numPr>
        <w:shd w:val="clear" w:color="auto" w:fill="FFFFFF"/>
        <w:kinsoku/>
        <w:overflowPunct/>
        <w:topLinePunct w:val="0"/>
        <w:autoSpaceDN/>
        <w:bidi w:val="0"/>
        <w:adjustRightInd/>
        <w:spacing w:before="0" w:beforeAutospacing="0" w:after="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（五）政府性基金预算收支决算情况说明</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本单位2023年度无政府性基金预算财政拨款收支。</w:t>
      </w:r>
    </w:p>
    <w:p>
      <w:pPr>
        <w:pStyle w:val="9"/>
        <w:keepNext w:val="0"/>
        <w:keepLines w:val="0"/>
        <w:pageBreakBefore w:val="0"/>
        <w:numPr>
          <w:ilvl w:val="0"/>
          <w:numId w:val="0"/>
        </w:numPr>
        <w:shd w:val="clear" w:color="auto" w:fill="FFFFFF"/>
        <w:kinsoku/>
        <w:overflowPunct/>
        <w:topLinePunct w:val="0"/>
        <w:autoSpaceDN/>
        <w:bidi w:val="0"/>
        <w:adjustRightInd/>
        <w:spacing w:before="0" w:beforeAutospacing="0" w:after="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本单位2023年度无国有资本经营预算财政拨款支出。</w:t>
      </w:r>
    </w:p>
    <w:p>
      <w:pPr>
        <w:pStyle w:val="9"/>
        <w:keepNext w:val="0"/>
        <w:keepLines w:val="0"/>
        <w:pageBreakBefore w:val="0"/>
        <w:numPr>
          <w:ilvl w:val="0"/>
          <w:numId w:val="0"/>
        </w:numPr>
        <w:shd w:val="clear" w:color="auto" w:fill="FFFFFF"/>
        <w:kinsoku/>
        <w:overflowPunct/>
        <w:topLinePunct w:val="0"/>
        <w:autoSpaceDN/>
        <w:bidi w:val="0"/>
        <w:adjustRightInd/>
        <w:spacing w:before="0" w:beforeAutospacing="0" w:after="0" w:afterAutospacing="0" w:line="560" w:lineRule="exact"/>
        <w:ind w:firstLine="640" w:firstLineChars="200"/>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eastAsia="zh-CN"/>
        </w:rPr>
        <w:t>三、</w:t>
      </w:r>
      <w:r>
        <w:rPr>
          <w:rStyle w:val="11"/>
          <w:rFonts w:hint="eastAsia" w:ascii="方正黑体_GBK" w:hAnsi="方正黑体_GBK" w:eastAsia="方正黑体_GBK" w:cs="方正黑体_GBK"/>
          <w:b w:val="0"/>
          <w:bCs w:val="0"/>
          <w:sz w:val="32"/>
          <w:szCs w:val="32"/>
          <w:shd w:val="clear" w:color="auto" w:fill="FFFFFF"/>
        </w:rPr>
        <w:t>“三公”经费情况说明</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（一）“三公”经费支出总体情况说明</w:t>
      </w: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lang w:eastAsia="zh-CN"/>
        </w:rPr>
        <w:t>本单位</w:t>
      </w:r>
      <w:r>
        <w:rPr>
          <w:rFonts w:hint="default" w:ascii="Times New Roman" w:hAnsi="Times New Roman" w:eastAsia="方正仿宋_GBK" w:cs="Times New Roman"/>
          <w:b w:val="0"/>
          <w:bCs w:val="0"/>
          <w:color w:val="auto"/>
          <w:sz w:val="32"/>
          <w:szCs w:val="32"/>
          <w:shd w:val="clear" w:color="auto" w:fill="FFFFFF"/>
        </w:rPr>
        <w:t>属于差额拨款事业单位，财政未保障“三公”经费。</w:t>
      </w:r>
    </w:p>
    <w:p>
      <w:pPr>
        <w:pStyle w:val="9"/>
        <w:keepNext w:val="0"/>
        <w:keepLines w:val="0"/>
        <w:pageBreakBefore w:val="0"/>
        <w:numPr>
          <w:ilvl w:val="0"/>
          <w:numId w:val="0"/>
        </w:numPr>
        <w:shd w:val="clear" w:color="auto" w:fill="FFFFFF"/>
        <w:kinsoku/>
        <w:overflowPunct/>
        <w:topLinePunct w:val="0"/>
        <w:autoSpaceDN/>
        <w:bidi w:val="0"/>
        <w:adjustRightInd/>
        <w:spacing w:before="0" w:beforeAutospacing="0" w:after="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（三）“三公”经费实物量情况</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shd w:val="clear" w:color="auto" w:fill="FFFFFF"/>
        <w:kinsoku/>
        <w:overflowPunct/>
        <w:topLinePunct w:val="0"/>
        <w:autoSpaceDN/>
        <w:bidi w:val="0"/>
        <w:adjustRightInd/>
        <w:spacing w:before="0" w:beforeAutospacing="0" w:after="0" w:afterAutospacing="0" w:line="560" w:lineRule="exact"/>
        <w:ind w:firstLine="640" w:firstLineChars="200"/>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黑体" w:cs="Times New Roman"/>
          <w:b w:val="0"/>
          <w:bCs w:val="0"/>
          <w:sz w:val="32"/>
          <w:szCs w:val="32"/>
          <w:shd w:val="clear" w:color="auto" w:fill="FFFFFF"/>
        </w:rPr>
        <w:t>四</w:t>
      </w:r>
      <w:r>
        <w:rPr>
          <w:rStyle w:val="11"/>
          <w:rFonts w:hint="eastAsia" w:ascii="方正黑体_GBK" w:hAnsi="方正黑体_GBK" w:eastAsia="方正黑体_GBK" w:cs="方正黑体_GBK"/>
          <w:b w:val="0"/>
          <w:bCs w:val="0"/>
          <w:sz w:val="32"/>
          <w:szCs w:val="32"/>
          <w:shd w:val="clear" w:color="auto" w:fill="FFFFFF"/>
        </w:rPr>
        <w:t>、其他需要说明的事项</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（一）财政拨款会议费和培训费情况说明</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auto"/>
          <w:sz w:val="32"/>
          <w:szCs w:val="32"/>
        </w:rPr>
        <w:t>因</w:t>
      </w:r>
      <w:r>
        <w:rPr>
          <w:rFonts w:hint="default" w:ascii="Times New Roman" w:hAnsi="Times New Roman" w:eastAsia="方正仿宋_GBK" w:cs="Times New Roman"/>
          <w:b w:val="0"/>
          <w:bCs w:val="0"/>
          <w:color w:val="auto"/>
          <w:sz w:val="32"/>
          <w:szCs w:val="32"/>
          <w:lang w:val="en-US" w:eastAsia="zh-CN"/>
        </w:rPr>
        <w:t>本单位</w:t>
      </w:r>
      <w:r>
        <w:rPr>
          <w:rFonts w:hint="default" w:ascii="Times New Roman" w:hAnsi="Times New Roman" w:eastAsia="方正仿宋_GBK" w:cs="Times New Roman"/>
          <w:b w:val="0"/>
          <w:bCs w:val="0"/>
          <w:color w:val="auto"/>
          <w:sz w:val="32"/>
          <w:szCs w:val="32"/>
          <w:shd w:val="clear" w:color="auto" w:fill="FFFFFF"/>
        </w:rPr>
        <w:t>属于</w:t>
      </w:r>
      <w:r>
        <w:rPr>
          <w:rFonts w:hint="default" w:ascii="Times New Roman" w:hAnsi="Times New Roman" w:eastAsia="方正仿宋_GBK" w:cs="Times New Roman"/>
          <w:b w:val="0"/>
          <w:bCs w:val="0"/>
          <w:color w:val="auto"/>
          <w:sz w:val="32"/>
          <w:szCs w:val="32"/>
          <w:lang w:val="en-US" w:eastAsia="zh-CN"/>
        </w:rPr>
        <w:t>差额拨款事业单位</w:t>
      </w:r>
      <w:r>
        <w:rPr>
          <w:rFonts w:hint="default" w:ascii="Times New Roman" w:hAnsi="Times New Roman" w:eastAsia="方正仿宋_GBK" w:cs="Times New Roman"/>
          <w:b w:val="0"/>
          <w:bCs w:val="0"/>
          <w:color w:val="auto"/>
          <w:sz w:val="32"/>
          <w:szCs w:val="32"/>
        </w:rPr>
        <w:t>，财政未保障</w:t>
      </w:r>
      <w:r>
        <w:rPr>
          <w:rFonts w:hint="default" w:ascii="Times New Roman" w:hAnsi="Times New Roman" w:eastAsia="方正仿宋_GBK" w:cs="Times New Roman"/>
          <w:b w:val="0"/>
          <w:bCs w:val="0"/>
          <w:color w:val="auto"/>
          <w:sz w:val="32"/>
          <w:szCs w:val="32"/>
          <w:lang w:eastAsia="zh-CN"/>
        </w:rPr>
        <w:t>本单位</w:t>
      </w:r>
      <w:r>
        <w:rPr>
          <w:rFonts w:hint="default" w:ascii="Times New Roman" w:hAnsi="Times New Roman" w:eastAsia="方正仿宋_GBK" w:cs="Times New Roman"/>
          <w:b w:val="0"/>
          <w:bCs w:val="0"/>
          <w:color w:val="auto"/>
          <w:sz w:val="32"/>
          <w:szCs w:val="32"/>
        </w:rPr>
        <w:t>会议费和培训费。</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（二）机关运行经费情况说明</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rPr>
        <w:t>按照部门决算列报口径，因本单位为差额拨款事业单位不在机关运行经费统计范围之内。</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（三）国有资产占用情况说明</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（四）政府采购支出情况说明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2023年度</w:t>
      </w:r>
      <w:r>
        <w:rPr>
          <w:rFonts w:hint="default" w:ascii="Times New Roman" w:hAnsi="Times New Roman" w:eastAsia="方正仿宋_GBK" w:cs="Times New Roman"/>
          <w:b w:val="0"/>
          <w:bCs w:val="0"/>
          <w:color w:val="auto"/>
          <w:sz w:val="32"/>
          <w:szCs w:val="32"/>
          <w:shd w:val="clear" w:color="auto" w:fill="FFFFFF"/>
          <w:lang w:eastAsia="zh-CN"/>
        </w:rPr>
        <w:t>本单位</w:t>
      </w:r>
      <w:r>
        <w:rPr>
          <w:rFonts w:hint="default" w:ascii="Times New Roman" w:hAnsi="Times New Roman" w:eastAsia="方正仿宋_GBK" w:cs="Times New Roman"/>
          <w:b w:val="0"/>
          <w:bCs w:val="0"/>
          <w:color w:val="auto"/>
          <w:sz w:val="32"/>
          <w:szCs w:val="32"/>
          <w:shd w:val="clear" w:color="auto" w:fill="FFFFFF"/>
        </w:rPr>
        <w:t>未发生政府采购事项，无相关经费支出。</w:t>
      </w:r>
    </w:p>
    <w:p>
      <w:pPr>
        <w:pStyle w:val="9"/>
        <w:keepNext w:val="0"/>
        <w:keepLines w:val="0"/>
        <w:pageBreakBefore w:val="0"/>
        <w:numPr>
          <w:ilvl w:val="0"/>
          <w:numId w:val="0"/>
        </w:numPr>
        <w:shd w:val="clear" w:color="auto" w:fill="FFFFFF"/>
        <w:kinsoku/>
        <w:overflowPunct/>
        <w:topLinePunct w:val="0"/>
        <w:autoSpaceDN/>
        <w:bidi w:val="0"/>
        <w:adjustRightInd/>
        <w:spacing w:before="0" w:beforeAutospacing="0" w:after="0" w:afterAutospacing="0" w:line="560" w:lineRule="exact"/>
        <w:ind w:firstLine="640" w:firstLineChars="200"/>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eastAsia="zh-CN"/>
        </w:rPr>
        <w:t>五、</w:t>
      </w: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723" w:tblpY="7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shd w:val="clear" w:color="auto" w:fill="FFFFFF"/>
        <w:kinsoku/>
        <w:overflowPunct/>
        <w:topLinePunct w:val="0"/>
        <w:autoSpaceDN/>
        <w:bidi w:val="0"/>
        <w:adjustRightInd/>
        <w:spacing w:before="0" w:beforeAutospacing="0" w:after="0" w:afterAutospacing="0" w:line="560" w:lineRule="exact"/>
        <w:ind w:firstLine="640" w:firstLineChars="200"/>
        <w:rPr>
          <w:rStyle w:val="11"/>
          <w:rFonts w:hint="default" w:ascii="Times New Roman" w:hAnsi="Times New Roman" w:eastAsia="方正仿宋_GBK" w:cs="Times New Roman"/>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（二）事业收入：</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（三）经营收入：</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（四）其他收入：</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（五）使用非财政拨款结余：</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（六）年初结转和结余：</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（七）结余分配：</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（八）年末结转和结余：</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（九）基本支出：</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（十）项目支出：</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（十一）经营支出：</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（十二）“三公”经费：</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（十三）机关运行经费：</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（十六）对个人和家庭的补助（支出经济分类科目类级）：</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kinsoku/>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（十七）其他资本性支出（支出经济分类科目类级）：</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shd w:val="clear" w:color="auto" w:fill="FFFFFF"/>
        <w:kinsoku/>
        <w:overflowPunct/>
        <w:topLinePunct w:val="0"/>
        <w:autoSpaceDN/>
        <w:bidi w:val="0"/>
        <w:adjustRightInd/>
        <w:spacing w:before="0" w:beforeAutospacing="0" w:after="0" w:afterAutospacing="0" w:line="560" w:lineRule="exact"/>
        <w:ind w:firstLine="640" w:firstLineChars="200"/>
        <w:rPr>
          <w:rStyle w:val="11"/>
          <w:rFonts w:hint="default" w:ascii="Times New Roman" w:hAnsi="Times New Roman" w:eastAsia="方正仿宋_GBK" w:cs="Times New Roman"/>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4"/>
        <w:keepNext w:val="0"/>
        <w:keepLines w:val="0"/>
        <w:pageBreakBefore w:val="0"/>
        <w:kinsoku/>
        <w:overflowPunct/>
        <w:topLinePunct w:val="0"/>
        <w:autoSpaceDE w:val="0"/>
        <w:autoSpaceDN/>
        <w:bidi w:val="0"/>
        <w:adjustRightInd/>
        <w:spacing w:beforeAutospacing="0" w:afterAutospacing="0" w:line="560" w:lineRule="exact"/>
        <w:ind w:firstLine="640" w:firstLineChars="200"/>
        <w:rPr>
          <w:rFonts w:hint="default" w:ascii="Times New Roman" w:hAnsi="Times New Roman" w:eastAsia="方正仿宋_GBK" w:cs="Times New Roman"/>
          <w:b w:val="0"/>
          <w:bCs w:val="0"/>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val="0"/>
          <w:sz w:val="32"/>
          <w:szCs w:val="32"/>
          <w:shd w:val="clear" w:color="auto" w:fill="FFFFFF"/>
          <w:lang w:eastAsia="zh-CN"/>
        </w:rPr>
        <w:t>龙洁</w:t>
      </w:r>
      <w:r>
        <w:rPr>
          <w:rFonts w:hint="eastAsia" w:ascii="Times New Roman" w:hAnsi="Times New Roman" w:eastAsia="方正仿宋_GBK" w:cs="Times New Roman"/>
          <w:b w:val="0"/>
          <w:bCs w:val="0"/>
          <w:sz w:val="32"/>
          <w:szCs w:val="32"/>
          <w:shd w:val="clear" w:color="auto" w:fill="FFFFFF"/>
          <w:lang w:val="en-US" w:eastAsia="zh-CN"/>
        </w:rPr>
        <w:t xml:space="preserve">  </w:t>
      </w:r>
      <w:r>
        <w:rPr>
          <w:rFonts w:hint="default" w:ascii="Times New Roman" w:hAnsi="Times New Roman" w:eastAsia="方正仿宋_GBK" w:cs="Times New Roman"/>
          <w:b w:val="0"/>
          <w:bCs w:val="0"/>
          <w:sz w:val="32"/>
          <w:szCs w:val="32"/>
          <w:shd w:val="clear" w:color="auto" w:fill="FFFFFF"/>
          <w:lang w:val="en-US" w:eastAsia="zh-CN"/>
        </w:rPr>
        <w:t>023-</w:t>
      </w:r>
      <w:r>
        <w:rPr>
          <w:rFonts w:hint="default" w:ascii="Times New Roman" w:hAnsi="Times New Roman" w:eastAsia="方正仿宋_GBK" w:cs="Times New Roman"/>
          <w:b w:val="0"/>
          <w:bCs w:val="0"/>
          <w:sz w:val="32"/>
          <w:szCs w:val="32"/>
          <w:shd w:val="clear" w:color="auto" w:fill="FFFFFF"/>
          <w:lang w:val="en-US" w:eastAsia="zh-CN" w:bidi="ar-SA"/>
        </w:rPr>
        <w:t>76624995</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230"/>
        <w:gridCol w:w="1984"/>
        <w:gridCol w:w="4773"/>
        <w:gridCol w:w="3406"/>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b w:val="0"/>
                <w:bCs w:val="0"/>
                <w:color w:val="000000"/>
                <w:sz w:val="20"/>
                <w:szCs w:val="20"/>
              </w:rPr>
            </w:pPr>
            <w:r>
              <w:rPr>
                <w:rFonts w:cs="宋体"/>
                <w:b w:val="0"/>
                <w:bCs w:val="0"/>
                <w:sz w:val="20"/>
                <w:szCs w:val="20"/>
              </w:rPr>
              <w:t>公开单位：</w:t>
            </w:r>
            <w:r>
              <w:rPr>
                <w:b w:val="0"/>
                <w:bCs w:val="0"/>
                <w:sz w:val="20"/>
                <w:u w:color="auto"/>
              </w:rPr>
              <w:t>重庆市秀山土家族苗族自治县石耶镇中心卫生院</w:t>
            </w: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2"/>
                <w:szCs w:val="22"/>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2"/>
                <w:szCs w:val="22"/>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21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收入</w:t>
            </w:r>
          </w:p>
        </w:tc>
        <w:tc>
          <w:tcPr>
            <w:tcW w:w="8179"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98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功能分类科目</w:t>
            </w:r>
          </w:p>
        </w:tc>
        <w:tc>
          <w:tcPr>
            <w:tcW w:w="34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530.41</w:t>
            </w: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一、一般公共服务支出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二、政府性基金预算财政拨款收入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二、外交支出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三、国有资本经营预算财政拨款收入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四、上级补助收入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四、公共安全支出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五、事业收入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527.52</w:t>
            </w: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五、教育支出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六、经营收入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六、科学技术支出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七、附属单位上缴收入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七、文化旅游体育与传媒支出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八、其他收入</w:t>
            </w:r>
          </w:p>
        </w:tc>
        <w:tc>
          <w:tcPr>
            <w:tcW w:w="1984"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62.05</w:t>
            </w: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八、社会保障和就业支出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九、卫生健康支出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1,014.89</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十、节能环保支出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十一、城乡社区支出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十二、农林水支出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十三、交通运输支出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十四、资源勘探工业信息等支出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十五、商业服务业等支出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十六、金融支出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十七、援助其他地区支出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十八、自然资源海洋气象等支出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十九、住房保障支出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二十、粮油物资储备支出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二十一、国有资本经营预算支出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二十二、灾害防治及应急管理支出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二十三、其他支出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二十四、债务还本支出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二十五、债务付息支出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二十六、抗疫特别国债安排的支出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1,119.98</w:t>
            </w: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1,103.75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使用非财政拨款结余和专用结余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结余分配</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16.37</w:t>
            </w:r>
            <w:r>
              <w:rPr>
                <w:b w:val="0"/>
                <w:bCs w:val="0"/>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年末结转和结余</w:t>
            </w:r>
          </w:p>
        </w:tc>
        <w:tc>
          <w:tcPr>
            <w:tcW w:w="3406"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32.60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1,136.35</w:t>
            </w:r>
            <w:r>
              <w:rPr>
                <w:b w:val="0"/>
                <w:bCs w:val="0"/>
                <w:color w:val="000000"/>
                <w:sz w:val="20"/>
                <w:u w:color="auto"/>
              </w:rPr>
              <w:t xml:space="preserve"> </w:t>
            </w:r>
          </w:p>
        </w:tc>
        <w:tc>
          <w:tcPr>
            <w:tcW w:w="4773"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34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1,136.35</w:t>
            </w:r>
            <w:r>
              <w:rPr>
                <w:b w:val="0"/>
                <w:bCs w:val="0"/>
                <w:color w:val="000000"/>
                <w:sz w:val="20"/>
                <w:u w:color="auto"/>
              </w:rPr>
              <w:t xml:space="preserve"> </w:t>
            </w:r>
          </w:p>
        </w:tc>
      </w:tr>
    </w:tbl>
    <w:p>
      <w:pPr>
        <w:spacing w:line="240" w:lineRule="exact"/>
        <w:rPr>
          <w:rFonts w:hint="default" w:cs="宋体"/>
          <w:b w:val="0"/>
          <w:bCs w:val="0"/>
          <w:sz w:val="20"/>
          <w:szCs w:val="20"/>
        </w:rPr>
      </w:pPr>
      <w:r>
        <w:rPr>
          <w:rFonts w:cs="宋体"/>
          <w:b w:val="0"/>
          <w:bCs w:val="0"/>
          <w:sz w:val="20"/>
          <w:szCs w:val="20"/>
        </w:rPr>
        <w:t>备注：1.本表反映单位本年度的总收支和年末结转结余情况。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b w:val="0"/>
                <w:bCs w:val="0"/>
                <w:sz w:val="20"/>
                <w:u w:color="auto"/>
              </w:rPr>
              <w:t>重庆市秀山土家族苗族自治县石耶镇中心卫生院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283" w:hRule="exac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1,119.98</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530.41</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527.52</w:t>
            </w:r>
            <w:r>
              <w:rPr>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62.05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一般公共服务支出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民族工作专项</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1,031.12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441.55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527.52</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62.05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917.67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328.10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527.52</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62.05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917.67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328.10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527.52</w:t>
            </w: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62.05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97.87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97.87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0"/>
          <w:szCs w:val="20"/>
        </w:rPr>
      </w:pPr>
      <w:r>
        <w:rPr>
          <w:rFonts w:cs="宋体"/>
          <w:b w:val="0"/>
          <w:bCs w:val="0"/>
          <w:sz w:val="20"/>
          <w:szCs w:val="20"/>
        </w:rPr>
        <w:t>备注：1.本表反映单位本年度取得的各项收入情况。</w:t>
      </w:r>
      <w:r>
        <w:rPr>
          <w:rFonts w:cs="宋体"/>
          <w:b w:val="0"/>
          <w:bCs w:val="0"/>
          <w:sz w:val="20"/>
          <w:szCs w:val="20"/>
        </w:rPr>
        <w:br w:type="textWrapping"/>
      </w:r>
      <w:r>
        <w:rPr>
          <w:rFonts w:cs="宋体"/>
          <w:b w:val="0"/>
          <w:bCs w:val="0"/>
          <w:sz w:val="20"/>
          <w:szCs w:val="20"/>
        </w:rPr>
        <w:t>2.本套报表金额单位转换时可能存在尾数误差。</w:t>
      </w:r>
    </w:p>
    <w:tbl>
      <w:tblPr>
        <w:tblStyle w:val="12"/>
        <w:tblW w:w="15378" w:type="dxa"/>
        <w:tblInd w:w="0" w:type="dxa"/>
        <w:tblLayout w:type="fixed"/>
        <w:tblCellMar>
          <w:top w:w="0" w:type="dxa"/>
          <w:left w:w="0" w:type="dxa"/>
          <w:bottom w:w="0" w:type="dxa"/>
          <w:right w:w="0" w:type="dxa"/>
        </w:tblCellMar>
      </w:tblPr>
      <w:tblGrid>
        <w:gridCol w:w="1862"/>
        <w:gridCol w:w="3468"/>
        <w:gridCol w:w="1672"/>
        <w:gridCol w:w="1672"/>
        <w:gridCol w:w="1672"/>
        <w:gridCol w:w="1656"/>
        <w:gridCol w:w="1657"/>
        <w:gridCol w:w="1719"/>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 xml:space="preserve">重庆市秀山土家族苗族自治县石耶镇中心卫生院 </w:t>
            </w: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上缴上级支出</w:t>
            </w:r>
          </w:p>
        </w:tc>
        <w:tc>
          <w:tcPr>
            <w:tcW w:w="165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经营支出</w:t>
            </w:r>
          </w:p>
        </w:tc>
        <w:tc>
          <w:tcPr>
            <w:tcW w:w="17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46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283" w:hRule="exac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1,103.75</w:t>
            </w:r>
            <w:r>
              <w:rPr>
                <w:b w:val="0"/>
                <w:bCs w:val="0"/>
                <w:color w:val="000000"/>
                <w:sz w:val="20"/>
                <w:u w:color="auto"/>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1,068.43</w:t>
            </w:r>
            <w:r>
              <w:rPr>
                <w:b w:val="0"/>
                <w:bCs w:val="0"/>
                <w:color w:val="000000"/>
                <w:sz w:val="20"/>
                <w:u w:color="auto"/>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35.32</w:t>
            </w:r>
            <w:r>
              <w:rPr>
                <w:b w:val="0"/>
                <w:bCs w:val="0"/>
                <w:color w:val="000000"/>
                <w:sz w:val="20"/>
                <w:u w:color="auto"/>
              </w:rPr>
              <w:t xml:space="preserve"> </w:t>
            </w:r>
          </w:p>
        </w:tc>
        <w:tc>
          <w:tcPr>
            <w:tcW w:w="16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一般公共服务支出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民族事务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2012304</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民族工作专项</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1,014.89</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999.57</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901.45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901.45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901.45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901.45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97.87</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备注：1.本表反映单位本年度各项支出情况。</w:t>
      </w:r>
      <w:r>
        <w:rPr>
          <w:rFonts w:cs="宋体"/>
          <w:b w:val="0"/>
          <w:bCs w:val="0"/>
          <w:sz w:val="20"/>
          <w:szCs w:val="20"/>
        </w:rPr>
        <w:br w:type="textWrapping"/>
      </w:r>
      <w:r>
        <w:rPr>
          <w:rFonts w:cs="宋体"/>
          <w:b w:val="0"/>
          <w:bCs w:val="0"/>
          <w:sz w:val="20"/>
          <w:szCs w:val="20"/>
        </w:rPr>
        <w:t xml:space="preserve">      2.本套报表金额单位转换时可能存在尾数误差。</w:t>
      </w:r>
    </w:p>
    <w:p>
      <w:pPr>
        <w:rPr>
          <w:rFonts w:hint="default" w:cs="宋体"/>
          <w:b w:val="0"/>
          <w:bCs w:val="0"/>
          <w:sz w:val="21"/>
          <w:szCs w:val="21"/>
        </w:rPr>
      </w:pPr>
    </w:p>
    <w:tbl>
      <w:tblPr>
        <w:tblStyle w:val="12"/>
        <w:tblW w:w="14732" w:type="dxa"/>
        <w:tblInd w:w="0" w:type="dxa"/>
        <w:tblLayout w:type="fixed"/>
        <w:tblCellMar>
          <w:top w:w="0" w:type="dxa"/>
          <w:left w:w="0" w:type="dxa"/>
          <w:bottom w:w="0" w:type="dxa"/>
          <w:right w:w="0" w:type="dxa"/>
        </w:tblCellMar>
      </w:tblPr>
      <w:tblGrid>
        <w:gridCol w:w="3524"/>
        <w:gridCol w:w="1806"/>
        <w:gridCol w:w="3026"/>
        <w:gridCol w:w="1535"/>
        <w:gridCol w:w="1535"/>
        <w:gridCol w:w="1535"/>
        <w:gridCol w:w="177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重庆市秀山土家族苗族自治县石耶镇中心卫生院</w:t>
            </w: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收     入</w:t>
            </w:r>
          </w:p>
        </w:tc>
        <w:tc>
          <w:tcPr>
            <w:tcW w:w="94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52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项目</w:t>
            </w:r>
          </w:p>
        </w:tc>
        <w:tc>
          <w:tcPr>
            <w:tcW w:w="180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c>
          <w:tcPr>
            <w:tcW w:w="30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功能分类科目</w:t>
            </w:r>
          </w:p>
        </w:tc>
        <w:tc>
          <w:tcPr>
            <w:tcW w:w="637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52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0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小计</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一般公共预算财政拨款</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政府性基金预算财政拨款</w:t>
            </w:r>
          </w:p>
        </w:tc>
        <w:tc>
          <w:tcPr>
            <w:tcW w:w="17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530.41</w:t>
            </w: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一、一般公共服务支出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20.00</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20.00</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二、政府性基金预算财政拨款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二、外交支出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三、国有资本经营预算财政拨款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四、公共安全支出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五、教育支出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六、科学技术支出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七、文化旅游体育与传媒支出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八、社会保障和就业支出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51.02</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51.02</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九、卫生健康支出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408.95</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408.95</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十、节能环保支出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十一、城乡社区支出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十二、农林水支出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十三、交通运输支出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十四、资源勘探工业信息等支出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十五、商业服务业等支出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十六、金融支出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十七、援助其他地区支出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十八、自然资源海洋气象等支出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十九、住房保障支出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17.85</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17.85</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二十、粮油物资储备支出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二十一、国有资本经营预算支出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二十二、灾害防治及应急管理支出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二十三、其他支出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二十四、债务还本支出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二十五、债务付息支出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二十六、抗疫特别国债安排的支出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本年收入合计</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530.41</w:t>
            </w: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本年支出合计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497.81</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497.81</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年初财政拨款结转和结余</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年末财政拨款结转和结余</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32.60</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32.60</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一般公共预算财政拨款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政府性基金预算财政拨款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国有资本经营预算财政拨款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530.41</w:t>
            </w:r>
            <w:r>
              <w:rPr>
                <w:b w:val="0"/>
                <w:bCs w:val="0"/>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530.41</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530.41</w:t>
            </w:r>
            <w:r>
              <w:rPr>
                <w:b w:val="0"/>
                <w:bCs w:val="0"/>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bl>
    <w:p>
      <w:pPr>
        <w:spacing w:line="240" w:lineRule="exact"/>
        <w:rPr>
          <w:rFonts w:hint="default" w:cs="宋体"/>
          <w:b w:val="0"/>
          <w:bCs w:val="0"/>
          <w:sz w:val="20"/>
          <w:szCs w:val="20"/>
        </w:rPr>
      </w:pPr>
      <w:r>
        <w:rPr>
          <w:rFonts w:cs="宋体"/>
          <w:b w:val="0"/>
          <w:bCs w:val="0"/>
          <w:sz w:val="20"/>
          <w:szCs w:val="20"/>
        </w:rPr>
        <w:t>备注：1.本表反映单位本年度一般公共预算财政拨款、政府性基金预算财政拨款及国有资本经营预算财政拨款的总收支和年末结转结余情况。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重庆市秀山土家族苗族自治县石耶镇中心卫生院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12" w:hRule="exac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283" w:hRule="exac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497.81</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462.49</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35.32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一般公共服务支出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2012304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民族工作专项</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20.00</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51.02</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1.68</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23.71</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11.83</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13.80</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408.95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393.63</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0.75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295.51</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295.51</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295.51</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295.51</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97.87</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82.55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15.32</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14.82</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17.85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备注：1.本表反映单位本年度一般公共预算财政拨款支出情况。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p>
      <w:pPr>
        <w:ind w:firstLine="630" w:firstLineChars="300"/>
        <w:rPr>
          <w:rFonts w:hint="default" w:cs="宋体"/>
          <w:b w:val="0"/>
          <w:bCs w:val="0"/>
          <w:sz w:val="21"/>
          <w:szCs w:val="21"/>
        </w:rPr>
      </w:pPr>
      <w:r>
        <w:rPr>
          <w:rFonts w:cs="宋体"/>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val="0"/>
                <w:bCs w:val="0"/>
                <w:color w:val="000000"/>
                <w:sz w:val="32"/>
                <w:szCs w:val="32"/>
              </w:rPr>
            </w:pPr>
            <w:r>
              <w:rPr>
                <w:rFonts w:cs="宋体"/>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重庆市秀山土家族苗族自治县石耶镇中心卫生院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447.01</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120.86</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44.20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208.38</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23.71</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11.83</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14.82</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0.48</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17.85</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4.90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15.48</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13.80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1.68</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b w:val="0"/>
                <w:bCs w:val="0"/>
                <w:color w:val="000000"/>
                <w:sz w:val="18"/>
                <w:szCs w:val="18"/>
              </w:rPr>
            </w:pPr>
            <w:r>
              <w:rPr>
                <w:rFonts w:cs="宋体"/>
                <w:b w:val="0"/>
                <w:bCs w:val="0"/>
                <w:color w:val="000000"/>
                <w:sz w:val="18"/>
                <w:szCs w:val="18"/>
              </w:rPr>
              <w:t>462.49</w:t>
            </w:r>
            <w:r>
              <w:rPr>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bl>
    <w:p>
      <w:pPr>
        <w:spacing w:line="280" w:lineRule="exact"/>
        <w:rPr>
          <w:rFonts w:hint="default" w:cs="宋体"/>
          <w:b w:val="0"/>
          <w:bCs w:val="0"/>
          <w:sz w:val="20"/>
          <w:szCs w:val="20"/>
        </w:rPr>
      </w:pPr>
      <w:r>
        <w:rPr>
          <w:rFonts w:cs="宋体"/>
          <w:b w:val="0"/>
          <w:bCs w:val="0"/>
          <w:sz w:val="20"/>
          <w:szCs w:val="20"/>
        </w:rPr>
        <w:t>备注：1.本表反映单位本年度一般公共预算财政拨款基本支出明细情况。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2000"/>
        <w:gridCol w:w="3330"/>
        <w:gridCol w:w="1638"/>
        <w:gridCol w:w="1638"/>
        <w:gridCol w:w="1639"/>
        <w:gridCol w:w="1639"/>
        <w:gridCol w:w="1713"/>
        <w:gridCol w:w="1781"/>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重庆市秀山土家族苗族自治县石耶镇中心卫生院</w:t>
            </w:r>
          </w:p>
        </w:tc>
        <w:tc>
          <w:tcPr>
            <w:tcW w:w="163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8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1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8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638"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63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w:t>
            </w:r>
          </w:p>
        </w:tc>
        <w:tc>
          <w:tcPr>
            <w:tcW w:w="4991"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63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6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71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1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53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6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1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备注：本表反映单位本年度政府性基金预算财政拨款收入支出及结转和结余情况。本单位无政府性基金收支，故本表无数据。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cs="宋体"/>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2030"/>
        <w:gridCol w:w="3300"/>
        <w:gridCol w:w="3198"/>
        <w:gridCol w:w="122"/>
        <w:gridCol w:w="3397"/>
        <w:gridCol w:w="28"/>
        <w:gridCol w:w="3303"/>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重庆市秀山土家族苗族自治县石耶镇中心卫生院</w:t>
            </w: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54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0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54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0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004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科目名称</w:t>
            </w:r>
          </w:p>
        </w:tc>
        <w:tc>
          <w:tcPr>
            <w:tcW w:w="3320"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9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33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2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3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val="0"/>
                <w:bCs w:val="0"/>
                <w:color w:val="000000"/>
                <w:sz w:val="20"/>
                <w:szCs w:val="20"/>
              </w:rPr>
            </w:pPr>
          </w:p>
        </w:tc>
        <w:tc>
          <w:tcPr>
            <w:tcW w:w="333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备注：本表反映单位本年度国有资本经营预算财政拨款支出情况。本单位无国有资本经营收支，故本表无数据。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hint="default" w:cs="宋体"/>
          <w:b w:val="0"/>
          <w:bCs w:val="0"/>
          <w:sz w:val="21"/>
          <w:szCs w:val="21"/>
        </w:rPr>
        <w:br w:type="page"/>
      </w:r>
    </w:p>
    <w:tbl>
      <w:tblPr>
        <w:tblStyle w:val="12"/>
        <w:tblW w:w="15418" w:type="dxa"/>
        <w:tblInd w:w="0" w:type="dxa"/>
        <w:tblLayout w:type="fixed"/>
        <w:tblCellMar>
          <w:top w:w="0" w:type="dxa"/>
          <w:left w:w="0" w:type="dxa"/>
          <w:bottom w:w="0" w:type="dxa"/>
          <w:right w:w="0" w:type="dxa"/>
        </w:tblCellMar>
      </w:tblPr>
      <w:tblGrid>
        <w:gridCol w:w="4177"/>
        <w:gridCol w:w="2242"/>
        <w:gridCol w:w="2189"/>
        <w:gridCol w:w="4671"/>
        <w:gridCol w:w="2139"/>
      </w:tblGrid>
      <w:tr>
        <w:tblPrEx>
          <w:tblLayout w:type="fixed"/>
          <w:tblCellMar>
            <w:top w:w="0" w:type="dxa"/>
            <w:left w:w="0" w:type="dxa"/>
            <w:bottom w:w="0" w:type="dxa"/>
            <w:right w:w="0" w:type="dxa"/>
          </w:tblCellMar>
        </w:tblPrEx>
        <w:trPr>
          <w:trHeight w:val="340" w:hRule="exact"/>
        </w:trPr>
        <w:tc>
          <w:tcPr>
            <w:tcW w:w="1541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340" w:hRule="exact"/>
        </w:trPr>
        <w:tc>
          <w:tcPr>
            <w:tcW w:w="6419" w:type="dxa"/>
            <w:gridSpan w:val="2"/>
            <w:vMerge w:val="restart"/>
            <w:tcBorders>
              <w:top w:val="nil"/>
              <w:left w:val="nil"/>
              <w:right w:val="nil"/>
            </w:tcBorders>
            <w:shd w:val="clear" w:color="auto" w:fill="auto"/>
            <w:tcMar>
              <w:top w:w="15" w:type="dxa"/>
              <w:left w:w="15" w:type="dxa"/>
              <w:right w:w="15" w:type="dxa"/>
            </w:tcMar>
            <w:vAlign w:val="bottom"/>
          </w:tcPr>
          <w:p>
            <w:pPr>
              <w:spacing w:line="280" w:lineRule="exact"/>
              <w:jc w:val="both"/>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重庆市秀山土家族苗族自治县石耶镇中心卫生院</w:t>
            </w:r>
          </w:p>
        </w:tc>
        <w:tc>
          <w:tcPr>
            <w:tcW w:w="21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7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340" w:hRule="exact"/>
        </w:trPr>
        <w:tc>
          <w:tcPr>
            <w:tcW w:w="6419" w:type="dxa"/>
            <w:gridSpan w:val="2"/>
            <w:vMerge w:val="continue"/>
            <w:tcBorders>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9"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7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9"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4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340" w:hRule="exact"/>
        </w:trPr>
        <w:tc>
          <w:tcPr>
            <w:tcW w:w="417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keepNext w:val="0"/>
        <w:keepLines w:val="0"/>
        <w:pageBreakBefore w:val="0"/>
        <w:widowControl/>
        <w:kinsoku/>
        <w:wordWrap/>
        <w:overflowPunct/>
        <w:topLinePunct w:val="0"/>
        <w:autoSpaceDE/>
        <w:autoSpaceDN/>
        <w:bidi w:val="0"/>
        <w:adjustRightInd/>
        <w:snapToGrid/>
        <w:spacing w:beforeAutospacing="0" w:afterAutospacing="0" w:line="520" w:lineRule="exact"/>
        <w:textAlignment w:val="auto"/>
        <w:rPr>
          <w:rFonts w:hint="default" w:ascii="Times New Roman" w:hAnsi="Times New Roman" w:cs="Times New Roman"/>
          <w:b w:val="0"/>
          <w:bCs w:val="0"/>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mJjMDVlMjMyYTM4YTI1NDY3MjFkNmI1Zjk4NTQifQ=="/>
  </w:docVars>
  <w:rsids>
    <w:rsidRoot w:val="00B03CCD"/>
    <w:rsid w:val="000D0222"/>
    <w:rsid w:val="002B254B"/>
    <w:rsid w:val="00550ABE"/>
    <w:rsid w:val="00770383"/>
    <w:rsid w:val="007819D4"/>
    <w:rsid w:val="007B419D"/>
    <w:rsid w:val="009B67B8"/>
    <w:rsid w:val="009D2B67"/>
    <w:rsid w:val="00B03CCD"/>
    <w:rsid w:val="00C20C3E"/>
    <w:rsid w:val="00F73F90"/>
    <w:rsid w:val="01474EBF"/>
    <w:rsid w:val="01F3521E"/>
    <w:rsid w:val="02C44777"/>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8EF608F"/>
    <w:rsid w:val="0969353F"/>
    <w:rsid w:val="098305D0"/>
    <w:rsid w:val="0A3317EA"/>
    <w:rsid w:val="0A5B26B9"/>
    <w:rsid w:val="0A5C4B69"/>
    <w:rsid w:val="0A86124A"/>
    <w:rsid w:val="0AB54CC0"/>
    <w:rsid w:val="0B905C66"/>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342956"/>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0F6367"/>
    <w:rsid w:val="29310A5F"/>
    <w:rsid w:val="29C37A35"/>
    <w:rsid w:val="29D970B0"/>
    <w:rsid w:val="2A076083"/>
    <w:rsid w:val="2A73162E"/>
    <w:rsid w:val="2B167953"/>
    <w:rsid w:val="2B200583"/>
    <w:rsid w:val="2B8209DE"/>
    <w:rsid w:val="2C636760"/>
    <w:rsid w:val="2C6762A3"/>
    <w:rsid w:val="2EA727A0"/>
    <w:rsid w:val="2F085905"/>
    <w:rsid w:val="2FCA4B37"/>
    <w:rsid w:val="2FE029D7"/>
    <w:rsid w:val="2FF06E00"/>
    <w:rsid w:val="30586FEC"/>
    <w:rsid w:val="30D23F7D"/>
    <w:rsid w:val="315F0B22"/>
    <w:rsid w:val="31D84415"/>
    <w:rsid w:val="32285F6F"/>
    <w:rsid w:val="32770556"/>
    <w:rsid w:val="329C0913"/>
    <w:rsid w:val="32AA0460"/>
    <w:rsid w:val="32D03BA0"/>
    <w:rsid w:val="3337290D"/>
    <w:rsid w:val="33E31118"/>
    <w:rsid w:val="33EF7674"/>
    <w:rsid w:val="342D7BC6"/>
    <w:rsid w:val="352930DB"/>
    <w:rsid w:val="35573069"/>
    <w:rsid w:val="355F6038"/>
    <w:rsid w:val="358C217E"/>
    <w:rsid w:val="36C9128A"/>
    <w:rsid w:val="3702415B"/>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D75C44"/>
    <w:rsid w:val="41E0734B"/>
    <w:rsid w:val="421216B7"/>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6A7237"/>
    <w:rsid w:val="4B7951CB"/>
    <w:rsid w:val="4B7C315C"/>
    <w:rsid w:val="4D0A64F7"/>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1F30B59"/>
    <w:rsid w:val="62944DD7"/>
    <w:rsid w:val="6319381F"/>
    <w:rsid w:val="63C25DC5"/>
    <w:rsid w:val="63C62057"/>
    <w:rsid w:val="64571EF5"/>
    <w:rsid w:val="64D307FE"/>
    <w:rsid w:val="64FB113D"/>
    <w:rsid w:val="656152C6"/>
    <w:rsid w:val="6587477F"/>
    <w:rsid w:val="658C3A08"/>
    <w:rsid w:val="65C031CA"/>
    <w:rsid w:val="65CE6852"/>
    <w:rsid w:val="66267C04"/>
    <w:rsid w:val="663F505A"/>
    <w:rsid w:val="66D54D61"/>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843A7C"/>
    <w:rsid w:val="6EFD1324"/>
    <w:rsid w:val="6F5A53AC"/>
    <w:rsid w:val="6FAC003D"/>
    <w:rsid w:val="6FE55E12"/>
    <w:rsid w:val="6FFB2E76"/>
    <w:rsid w:val="70426823"/>
    <w:rsid w:val="708F6F7F"/>
    <w:rsid w:val="70D94BD3"/>
    <w:rsid w:val="71C34D91"/>
    <w:rsid w:val="72DB435C"/>
    <w:rsid w:val="72E2613A"/>
    <w:rsid w:val="72F771F4"/>
    <w:rsid w:val="73092FCD"/>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5F64C2"/>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8336</Words>
  <Characters>10398</Characters>
  <Lines>190</Lines>
  <Paragraphs>53</Paragraphs>
  <TotalTime>0</TotalTime>
  <ScaleCrop>false</ScaleCrop>
  <LinksUpToDate>false</LinksUpToDate>
  <CharactersWithSpaces>11519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2024-09-30T02:33:02Z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