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beforeAutospacing="0" w:after="0" w:afterAutospacing="0" w:line="560" w:lineRule="exact"/>
        <w:jc w:val="center"/>
        <w:rPr>
          <w:rFonts w:hint="default" w:ascii="Times New Roman" w:hAnsi="Times New Roman" w:eastAsia="方正小标宋_GBK"/>
          <w:sz w:val="40"/>
          <w:szCs w:val="40"/>
          <w:shd w:val="clear" w:color="auto" w:fill="FFFFFF"/>
        </w:rPr>
      </w:pPr>
      <w:r>
        <w:rPr>
          <w:rFonts w:hint="eastAsia" w:ascii="Times New Roman" w:hAnsi="Times New Roman" w:eastAsia="方正小标宋_GBK"/>
          <w:sz w:val="40"/>
          <w:szCs w:val="40"/>
          <w:lang w:eastAsia="zh-CN"/>
        </w:rPr>
        <w:t>重庆市</w:t>
      </w:r>
      <w:r>
        <w:rPr>
          <w:rFonts w:hint="default" w:ascii="Times New Roman" w:hAnsi="Times New Roman" w:eastAsia="方正小标宋_GBK"/>
          <w:sz w:val="40"/>
          <w:szCs w:val="40"/>
        </w:rPr>
        <w:t>秀山</w:t>
      </w:r>
      <w:r>
        <w:rPr>
          <w:rFonts w:ascii="Times New Roman" w:hAnsi="Times New Roman" w:eastAsia="方正小标宋_GBK"/>
          <w:sz w:val="40"/>
          <w:szCs w:val="40"/>
        </w:rPr>
        <w:t>土家族苗族自治县妇女儿童医院</w:t>
      </w:r>
      <w:r>
        <w:rPr>
          <w:rFonts w:hint="default" w:ascii="Times New Roman" w:hAnsi="Times New Roman" w:eastAsia="方正小标宋_GBK"/>
          <w:sz w:val="40"/>
          <w:szCs w:val="40"/>
          <w:shd w:val="clear" w:color="auto" w:fill="FFFFFF"/>
        </w:rPr>
        <w:t>2023年度决算</w:t>
      </w:r>
      <w:r>
        <w:rPr>
          <w:rFonts w:ascii="Times New Roman" w:hAnsi="Times New Roman" w:eastAsia="方正小标宋_GBK"/>
          <w:sz w:val="40"/>
          <w:szCs w:val="40"/>
          <w:shd w:val="clear" w:color="auto" w:fill="FFFFFF"/>
        </w:rPr>
        <w:t>公开</w:t>
      </w:r>
      <w:r>
        <w:rPr>
          <w:rFonts w:hint="default" w:ascii="Times New Roman" w:hAnsi="Times New Roman" w:eastAsia="方正小标宋_GBK"/>
          <w:sz w:val="40"/>
          <w:szCs w:val="40"/>
          <w:shd w:val="clear" w:color="auto" w:fill="FFFFFF"/>
        </w:rPr>
        <w:t>说明</w:t>
      </w:r>
    </w:p>
    <w:p>
      <w:pPr>
        <w:pStyle w:val="9"/>
        <w:spacing w:before="0" w:beforeAutospacing="0" w:after="0" w:afterAutospacing="0" w:line="560" w:lineRule="exact"/>
        <w:jc w:val="center"/>
        <w:rPr>
          <w:rFonts w:hint="default" w:ascii="Times New Roman" w:hAnsi="Times New Roman" w:eastAsia="方正小标宋_GBK"/>
          <w:sz w:val="36"/>
          <w:szCs w:val="36"/>
          <w:shd w:val="clear" w:color="auto" w:fill="FFFFFF"/>
        </w:rPr>
      </w:pPr>
      <w:bookmarkStart w:id="1" w:name="_GoBack"/>
      <w:bookmarkEnd w:id="1"/>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b w:val="0"/>
          <w:bCs/>
          <w:color w:val="4874CB" w:themeColor="accent1"/>
          <w:sz w:val="22"/>
          <w:szCs w:val="22"/>
          <w:shd w:val="clear" w:color="auto" w:fill="FFFFFF"/>
          <w14:textFill>
            <w14:solidFill>
              <w14:schemeClr w14:val="accent1"/>
            </w14:solidFill>
          </w14:textFill>
        </w:rPr>
      </w:pPr>
      <w:r>
        <w:rPr>
          <w:rStyle w:val="11"/>
          <w:rFonts w:hint="default" w:ascii="Times New Roman" w:hAnsi="Times New Roman" w:eastAsia="方正黑体_GBK"/>
          <w:b w:val="0"/>
          <w:bCs/>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bCs/>
          <w:sz w:val="32"/>
          <w:szCs w:val="32"/>
          <w:highlight w:val="yellow"/>
        </w:rPr>
      </w:pPr>
      <w:r>
        <w:rPr>
          <w:rStyle w:val="11"/>
          <w:rFonts w:hint="default" w:ascii="Times New Roman" w:hAnsi="Times New Roman" w:eastAsia="方正楷体_GBK"/>
          <w:b w:val="0"/>
          <w:bCs/>
          <w:sz w:val="32"/>
          <w:szCs w:val="32"/>
          <w:shd w:val="clear" w:color="auto" w:fill="FFFFFF"/>
        </w:rPr>
        <w:t>（一）职能职责</w:t>
      </w:r>
    </w:p>
    <w:p>
      <w:pPr>
        <w:pStyle w:val="19"/>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1.</w:t>
      </w:r>
      <w:r>
        <w:rPr>
          <w:rFonts w:hint="default" w:ascii="Times New Roman" w:hAnsi="Times New Roman" w:eastAsia="方正仿宋_GBK" w:cs="Times New Roman"/>
          <w:kern w:val="0"/>
          <w:sz w:val="32"/>
          <w:szCs w:val="32"/>
          <w:lang w:val="en-US" w:eastAsia="zh-CN" w:bidi="ar"/>
        </w:rPr>
        <w:t>贯彻执行国家医疗卫生工作的方针政策好，坚持公益性，保障人民身体健康，推动卫生事业健康发展</w:t>
      </w:r>
      <w:r>
        <w:rPr>
          <w:rFonts w:hint="eastAsia" w:ascii="Times New Roman" w:hAnsi="Times New Roman" w:eastAsia="方正仿宋_GBK" w:cs="Times New Roman"/>
          <w:kern w:val="0"/>
          <w:sz w:val="32"/>
          <w:szCs w:val="32"/>
          <w:lang w:val="en-US" w:eastAsia="zh-CN" w:bidi="ar"/>
        </w:rPr>
        <w:t>。</w:t>
      </w:r>
    </w:p>
    <w:p>
      <w:pPr>
        <w:pStyle w:val="19"/>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2.</w:t>
      </w:r>
      <w:r>
        <w:rPr>
          <w:rFonts w:hint="default" w:ascii="Times New Roman" w:hAnsi="Times New Roman" w:eastAsia="方正仿宋_GBK" w:cs="Times New Roman"/>
          <w:kern w:val="0"/>
          <w:sz w:val="32"/>
          <w:szCs w:val="32"/>
          <w:lang w:val="en-US" w:eastAsia="zh-CN" w:bidi="ar"/>
        </w:rPr>
        <w:t>开展妇女儿童健康教育与健康促进工作；根据要求和条件，开展妇女和儿童保健服务；对基层医疗机构开展业务指导，并提供技术支持。</w:t>
      </w:r>
    </w:p>
    <w:p>
      <w:pPr>
        <w:pStyle w:val="19"/>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3.</w:t>
      </w:r>
      <w:r>
        <w:rPr>
          <w:rFonts w:hint="default" w:ascii="Times New Roman" w:hAnsi="Times New Roman" w:eastAsia="方正仿宋_GBK" w:cs="Times New Roman"/>
          <w:kern w:val="0"/>
          <w:sz w:val="32"/>
          <w:szCs w:val="32"/>
          <w:lang w:val="en-US" w:eastAsia="zh-CN" w:bidi="ar"/>
        </w:rPr>
        <w:t>提供以下基本医疗服务：包括妇女和儿童常见疾病的检查和诊治、计划生育技术服务、产前筛查、新生儿疾病筛查、助产技术服务等，根据需要和条件，开展产前诊断、产科并发症处理、新生儿危急重症救治等。</w:t>
      </w:r>
    </w:p>
    <w:p>
      <w:pPr>
        <w:pStyle w:val="19"/>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kern w:val="0"/>
          <w:sz w:val="32"/>
          <w:szCs w:val="32"/>
          <w:lang w:val="en-US" w:eastAsia="zh-CN" w:bidi="ar"/>
        </w:rPr>
      </w:pPr>
      <w:r>
        <w:rPr>
          <w:rFonts w:hint="eastAsia" w:ascii="Times New Roman" w:hAnsi="Times New Roman" w:eastAsia="方正仿宋_GBK" w:cs="Times New Roman"/>
          <w:kern w:val="0"/>
          <w:sz w:val="32"/>
          <w:szCs w:val="32"/>
          <w:lang w:val="en-US" w:eastAsia="zh-CN" w:bidi="ar"/>
        </w:rPr>
        <w:t>4.</w:t>
      </w:r>
      <w:r>
        <w:rPr>
          <w:rFonts w:hint="default" w:ascii="Times New Roman" w:hAnsi="Times New Roman" w:eastAsia="方正仿宋_GBK" w:cs="Times New Roman"/>
          <w:kern w:val="0"/>
          <w:sz w:val="32"/>
          <w:szCs w:val="32"/>
          <w:lang w:val="en-US" w:eastAsia="zh-CN" w:bidi="ar"/>
        </w:rPr>
        <w:t>开展妇幼卫生、生殖健康的应用性科学研究并组织推广适宜技术；承担妇女儿童应急救治工作和法定传染病的初诊工作。</w:t>
      </w:r>
    </w:p>
    <w:p>
      <w:pPr>
        <w:pStyle w:val="19"/>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kern w:val="0"/>
          <w:sz w:val="32"/>
          <w:szCs w:val="32"/>
          <w:lang w:val="en-US" w:eastAsia="zh-CN" w:bidi="ar"/>
        </w:rPr>
      </w:pPr>
      <w:bookmarkStart w:id="0" w:name="OLE_LINK1"/>
      <w:r>
        <w:rPr>
          <w:rFonts w:hint="eastAsia" w:ascii="Times New Roman" w:hAnsi="Times New Roman" w:eastAsia="方正仿宋_GBK" w:cs="Times New Roman"/>
          <w:kern w:val="0"/>
          <w:sz w:val="32"/>
          <w:szCs w:val="32"/>
          <w:lang w:val="en-US" w:eastAsia="zh-CN" w:bidi="ar"/>
        </w:rPr>
        <w:t>5.</w:t>
      </w:r>
      <w:r>
        <w:rPr>
          <w:rFonts w:hint="default" w:ascii="Times New Roman" w:hAnsi="Times New Roman" w:eastAsia="方正仿宋_GBK" w:cs="Times New Roman"/>
          <w:kern w:val="0"/>
          <w:sz w:val="32"/>
          <w:szCs w:val="32"/>
          <w:lang w:val="en-US" w:eastAsia="zh-CN" w:bidi="ar"/>
        </w:rPr>
        <w:t>完成县卫生健康委交办的其他事项。</w:t>
      </w:r>
      <w:bookmarkEnd w:id="0"/>
    </w:p>
    <w:p>
      <w:pPr>
        <w:pStyle w:val="19"/>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（二）机构设置</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bCs/>
          <w:color w:val="4874CB" w:themeColor="accent1"/>
          <w:sz w:val="32"/>
          <w:szCs w:val="32"/>
          <w:shd w:val="clear" w:color="auto" w:fill="FFFFFF"/>
          <w14:textFill>
            <w14:solidFill>
              <w14:schemeClr w14:val="accent1"/>
            </w14:solidFill>
          </w14:textFill>
        </w:rPr>
      </w:pPr>
      <w:r>
        <w:rPr>
          <w:rFonts w:ascii="方正仿宋_GBK" w:hAnsi="Times New Roman" w:eastAsia="方正仿宋_GBK"/>
          <w:sz w:val="32"/>
          <w:szCs w:val="32"/>
        </w:rPr>
        <w:t>本单位和保健院共同下设党政办、财务科、人事科、审计科、医务科、护理部、药械科、总务科、群体保健科、医保物价科、网络信息科、绩效考核办、感染控制科、公共卫生科、避孕药具管理科、产科、妇科、儿科、中医科、儿童保健科、儿童康复科、麻醉科、医学影像科、医学检验科、消毒供应室、药房、收费室。</w:t>
      </w:r>
    </w:p>
    <w:p>
      <w:pPr>
        <w:pStyle w:val="9"/>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b w:val="0"/>
          <w:bCs/>
          <w:sz w:val="32"/>
          <w:szCs w:val="32"/>
          <w:shd w:val="clear" w:color="auto" w:fill="FFFFFF"/>
        </w:rPr>
      </w:pPr>
      <w:r>
        <w:rPr>
          <w:rStyle w:val="11"/>
          <w:rFonts w:hint="default" w:ascii="Times New Roman" w:hAnsi="Times New Roman" w:eastAsia="方正黑体_GBK"/>
          <w:b w:val="0"/>
          <w:bCs/>
          <w:sz w:val="32"/>
          <w:szCs w:val="32"/>
          <w:shd w:val="clear" w:color="auto" w:fill="FFFFFF"/>
        </w:rPr>
        <w:t>单位决算情况说明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b w:val="0"/>
          <w:bCs/>
          <w:color w:val="4874CB" w:themeColor="accent1"/>
          <w:sz w:val="32"/>
          <w:szCs w:val="32"/>
          <w:shd w:val="clear" w:color="auto" w:fill="FFFFFF"/>
          <w14:textFill>
            <w14:solidFill>
              <w14:schemeClr w14:val="accent1"/>
            </w14:solidFill>
          </w14:textFill>
        </w:rPr>
      </w:pPr>
      <w:r>
        <w:rPr>
          <w:rStyle w:val="11"/>
          <w:rFonts w:hint="default" w:ascii="Times New Roman" w:hAnsi="Times New Roman" w:eastAsia="方正楷体_GBK"/>
          <w:b w:val="0"/>
          <w:bCs/>
          <w:kern w:val="2"/>
          <w:sz w:val="32"/>
          <w:szCs w:val="32"/>
          <w:shd w:val="clear" w:color="auto" w:fill="FFFFFF"/>
        </w:rPr>
        <w:t>（一）收入支出决算总体情况说明</w:t>
      </w:r>
    </w:p>
    <w:p>
      <w:pPr>
        <w:keepNext w:val="0"/>
        <w:keepLines w:val="0"/>
        <w:pageBreakBefore w:val="0"/>
        <w:widowControl/>
        <w:kinsoku/>
        <w:wordWrap/>
        <w:overflowPunct/>
        <w:topLinePunct w:val="0"/>
        <w:autoSpaceDE w:val="0"/>
        <w:autoSpaceDN/>
        <w:bidi w:val="0"/>
        <w:adjustRightInd/>
        <w:snapToGrid/>
        <w:spacing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1.总体情况。</w:t>
      </w:r>
      <w:r>
        <w:rPr>
          <w:rFonts w:hint="default" w:ascii="Times New Roman" w:hAnsi="Times New Roman" w:eastAsia="方正仿宋_GBK"/>
          <w:sz w:val="32"/>
          <w:szCs w:val="32"/>
          <w:shd w:val="clear" w:color="auto" w:fill="FFFFFF"/>
        </w:rPr>
        <w:t>2023年度收入总计</w:t>
      </w:r>
      <w:r>
        <w:rPr>
          <w:rFonts w:ascii="Times New Roman" w:hAnsi="Times New Roman" w:eastAsia="方正仿宋_GBK"/>
          <w:sz w:val="32"/>
          <w:szCs w:val="32"/>
          <w:shd w:val="clear" w:color="auto" w:fill="FFFFFF"/>
        </w:rPr>
        <w:t>849.24</w:t>
      </w:r>
      <w:r>
        <w:rPr>
          <w:rFonts w:hint="default" w:ascii="Times New Roman" w:hAnsi="Times New Roman" w:eastAsia="方正仿宋_GBK"/>
          <w:sz w:val="32"/>
          <w:szCs w:val="32"/>
          <w:shd w:val="clear" w:color="auto" w:fill="FFFFFF"/>
        </w:rPr>
        <w:t>万元，支出总计</w:t>
      </w:r>
      <w:r>
        <w:rPr>
          <w:rFonts w:ascii="Times New Roman" w:hAnsi="Times New Roman" w:eastAsia="方正仿宋_GBK"/>
          <w:sz w:val="32"/>
          <w:szCs w:val="32"/>
          <w:shd w:val="clear" w:color="auto" w:fill="FFFFFF"/>
        </w:rPr>
        <w:t>849.24</w:t>
      </w:r>
      <w:r>
        <w:rPr>
          <w:rFonts w:hint="default" w:ascii="Times New Roman" w:hAnsi="Times New Roman" w:eastAsia="方正仿宋_GBK"/>
          <w:sz w:val="32"/>
          <w:szCs w:val="32"/>
          <w:shd w:val="clear" w:color="auto" w:fill="FFFFFF"/>
        </w:rPr>
        <w:t>万元。</w:t>
      </w:r>
      <w:r>
        <w:rPr>
          <w:rFonts w:ascii="方正仿宋_GBK" w:hAnsi="方正仿宋_GBK" w:eastAsia="方正仿宋_GBK" w:cs="方正仿宋_GBK"/>
          <w:sz w:val="32"/>
          <w:szCs w:val="32"/>
          <w:shd w:val="clear" w:color="auto" w:fill="FFFFFF"/>
        </w:rPr>
        <w:t>收支较上年决算数增加</w:t>
      </w:r>
      <w:r>
        <w:rPr>
          <w:rFonts w:ascii="Times New Roman" w:hAnsi="Times New Roman" w:eastAsia="方正仿宋_GBK"/>
          <w:sz w:val="32"/>
          <w:szCs w:val="32"/>
          <w:shd w:val="clear" w:color="auto" w:fill="FFFFFF"/>
        </w:rPr>
        <w:t>849.24</w:t>
      </w:r>
      <w:r>
        <w:rPr>
          <w:rFonts w:ascii="方正仿宋_GBK" w:hAnsi="方正仿宋_GBK" w:eastAsia="方正仿宋_GBK" w:cs="方正仿宋_GBK"/>
          <w:sz w:val="32"/>
          <w:szCs w:val="32"/>
          <w:shd w:val="clear" w:color="auto" w:fill="FFFFFF"/>
        </w:rPr>
        <w:t>万元，增长</w:t>
      </w:r>
      <w:r>
        <w:rPr>
          <w:rFonts w:ascii="Times New Roman" w:hAnsi="Times New Roman" w:eastAsia="方正仿宋_GBK"/>
          <w:sz w:val="32"/>
          <w:szCs w:val="32"/>
          <w:shd w:val="clear" w:color="auto" w:fill="FFFFFF"/>
        </w:rPr>
        <w:t>100.00%。</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2022年度本单位与妇幼保健院合并编报决算，按照市财政局要求，2023年独立编报决算，所以与上年对比增长100.00%</w:t>
      </w:r>
      <w:r>
        <w:rPr>
          <w:rFonts w:ascii="方正仿宋_GBK" w:hAnsi="Times New Roman" w:eastAsia="方正仿宋_GBK"/>
          <w:sz w:val="32"/>
          <w:szCs w:val="32"/>
        </w:rPr>
        <w:t>。</w:t>
      </w:r>
    </w:p>
    <w:p>
      <w:pPr>
        <w:keepNext w:val="0"/>
        <w:keepLines w:val="0"/>
        <w:pageBreakBefore w:val="0"/>
        <w:widowControl/>
        <w:kinsoku/>
        <w:wordWrap/>
        <w:overflowPunct/>
        <w:topLinePunct w:val="0"/>
        <w:autoSpaceDE w:val="0"/>
        <w:autoSpaceDN/>
        <w:bidi w:val="0"/>
        <w:adjustRightInd/>
        <w:snapToGrid/>
        <w:spacing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2.收入情况。</w:t>
      </w:r>
      <w:r>
        <w:rPr>
          <w:rFonts w:hint="default" w:ascii="Times New Roman" w:hAnsi="Times New Roman" w:eastAsia="方正仿宋_GBK"/>
          <w:sz w:val="32"/>
          <w:szCs w:val="32"/>
          <w:shd w:val="clear" w:color="auto" w:fill="FFFFFF"/>
        </w:rPr>
        <w:t>2023年度收入合计</w:t>
      </w:r>
      <w:r>
        <w:rPr>
          <w:rFonts w:ascii="Times New Roman" w:hAnsi="Times New Roman" w:eastAsia="方正仿宋_GBK"/>
          <w:sz w:val="32"/>
          <w:szCs w:val="32"/>
          <w:shd w:val="clear" w:color="auto" w:fill="FFFFFF"/>
        </w:rPr>
        <w:t>849.24</w:t>
      </w:r>
      <w:r>
        <w:rPr>
          <w:rFonts w:hint="default" w:ascii="Times New Roman" w:hAnsi="Times New Roman" w:eastAsia="方正仿宋_GBK"/>
          <w:sz w:val="32"/>
          <w:szCs w:val="32"/>
          <w:shd w:val="clear" w:color="auto" w:fill="FFFFFF"/>
        </w:rPr>
        <w:t>万元，较上年决算数</w:t>
      </w:r>
      <w:r>
        <w:rPr>
          <w:rFonts w:ascii="Times New Roman" w:hAnsi="Times New Roman" w:eastAsia="方正仿宋_GBK"/>
          <w:sz w:val="32"/>
          <w:szCs w:val="32"/>
          <w:shd w:val="clear" w:color="auto" w:fill="FFFFFF"/>
        </w:rPr>
        <w:t>增加849.24</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增长100.00</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2022年度本单位与妇幼保健院合并编报决算，按照市财政局要求，2023年独立编报决算，所以与上年对比增长100.00%</w:t>
      </w:r>
      <w:r>
        <w:rPr>
          <w:rFonts w:ascii="方正仿宋_GBK" w:hAnsi="Times New Roman" w:eastAsia="方正仿宋_GBK"/>
          <w:sz w:val="32"/>
          <w:szCs w:val="32"/>
        </w:rPr>
        <w:t>。</w:t>
      </w:r>
      <w:r>
        <w:rPr>
          <w:rFonts w:hint="default" w:ascii="Times New Roman" w:hAnsi="Times New Roman" w:eastAsia="方正仿宋_GBK"/>
          <w:sz w:val="32"/>
          <w:szCs w:val="32"/>
          <w:shd w:val="clear" w:color="auto" w:fill="FFFFFF"/>
        </w:rPr>
        <w:t>其中：财政拨款收入</w:t>
      </w:r>
      <w:r>
        <w:rPr>
          <w:rFonts w:ascii="Times New Roman" w:hAnsi="Times New Roman" w:eastAsia="方正仿宋_GBK"/>
          <w:sz w:val="32"/>
          <w:szCs w:val="32"/>
          <w:shd w:val="clear" w:color="auto" w:fill="FFFFFF"/>
        </w:rPr>
        <w:t>520.56</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shd w:val="clear" w:color="auto" w:fill="FFFFFF"/>
        </w:rPr>
        <w:t>61.3</w:t>
      </w:r>
      <w:r>
        <w:rPr>
          <w:rFonts w:hint="default" w:ascii="Times New Roman" w:hAnsi="Times New Roman" w:eastAsia="方正仿宋_GBK"/>
          <w:sz w:val="32"/>
          <w:szCs w:val="32"/>
          <w:shd w:val="clear" w:color="auto" w:fill="FFFFFF"/>
        </w:rPr>
        <w:t>%；事业收入</w:t>
      </w:r>
      <w:r>
        <w:rPr>
          <w:rFonts w:ascii="Times New Roman" w:hAnsi="Times New Roman" w:eastAsia="方正仿宋_GBK"/>
          <w:sz w:val="32"/>
          <w:szCs w:val="32"/>
          <w:shd w:val="clear" w:color="auto" w:fill="FFFFFF"/>
        </w:rPr>
        <w:t>328.68</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shd w:val="clear" w:color="auto" w:fill="FFFFFF"/>
        </w:rPr>
        <w:t>38.7</w:t>
      </w:r>
      <w:r>
        <w:rPr>
          <w:rFonts w:hint="default" w:ascii="Times New Roman" w:hAnsi="Times New Roman" w:eastAsia="方正仿宋_GBK"/>
          <w:sz w:val="32"/>
          <w:szCs w:val="32"/>
          <w:shd w:val="clear" w:color="auto" w:fill="FFFFFF"/>
        </w:rPr>
        <w:t>%；经营收入</w:t>
      </w:r>
      <w:r>
        <w:rPr>
          <w:rFonts w:hint="default"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万元，占0.00%；其他收入</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shd w:val="clear" w:color="auto" w:fill="FFFFFF"/>
        </w:rPr>
        <w:t>0.34</w:t>
      </w:r>
      <w:r>
        <w:rPr>
          <w:rFonts w:hint="default" w:ascii="Times New Roman" w:hAnsi="Times New Roman" w:eastAsia="方正仿宋_GBK"/>
          <w:sz w:val="32"/>
          <w:szCs w:val="32"/>
          <w:shd w:val="clear" w:color="auto" w:fill="FFFFFF"/>
        </w:rPr>
        <w:t>%。此外，使用非财政拨款结余和专用结余</w:t>
      </w:r>
      <w:r>
        <w:rPr>
          <w:rFonts w:hint="default"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万元，年初结转和结余</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shd w:val="clear" w:color="auto" w:fill="FFFFFF"/>
        </w:rPr>
      </w:pPr>
      <w:r>
        <w:rPr>
          <w:rStyle w:val="11"/>
          <w:rFonts w:hint="default" w:ascii="Times New Roman" w:hAnsi="Times New Roman" w:eastAsia="方正仿宋_GBK"/>
          <w:sz w:val="32"/>
          <w:szCs w:val="32"/>
          <w:shd w:val="clear" w:color="auto" w:fill="FFFFFF"/>
        </w:rPr>
        <w:t>3.支出情况。</w:t>
      </w:r>
      <w:r>
        <w:rPr>
          <w:rFonts w:hint="default" w:ascii="Times New Roman" w:hAnsi="Times New Roman" w:eastAsia="方正仿宋_GBK"/>
          <w:sz w:val="32"/>
          <w:szCs w:val="32"/>
          <w:shd w:val="clear" w:color="auto" w:fill="FFFFFF"/>
        </w:rPr>
        <w:t>2023年度支出合计</w:t>
      </w:r>
      <w:r>
        <w:rPr>
          <w:rFonts w:ascii="Times New Roman" w:hAnsi="Times New Roman" w:eastAsia="方正仿宋_GBK"/>
          <w:sz w:val="32"/>
          <w:szCs w:val="32"/>
          <w:shd w:val="clear" w:color="auto" w:fill="FFFFFF"/>
        </w:rPr>
        <w:t>849.24</w:t>
      </w:r>
      <w:r>
        <w:rPr>
          <w:rFonts w:hint="default" w:ascii="Times New Roman" w:hAnsi="Times New Roman" w:eastAsia="方正仿宋_GBK"/>
          <w:sz w:val="32"/>
          <w:szCs w:val="32"/>
          <w:shd w:val="clear" w:color="auto" w:fill="FFFFFF"/>
        </w:rPr>
        <w:t>万元，较上年决算数</w:t>
      </w:r>
      <w:r>
        <w:rPr>
          <w:rFonts w:ascii="Times New Roman" w:hAnsi="Times New Roman" w:eastAsia="方正仿宋_GBK"/>
          <w:sz w:val="32"/>
          <w:szCs w:val="32"/>
          <w:shd w:val="clear" w:color="auto" w:fill="FFFFFF"/>
        </w:rPr>
        <w:t>增加849.24</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增长100.00</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2022年度本单位与妇幼保健院合并编报决算，按照市财政局要求，2023年独立编报决算，所以与上年对比增长100.00%</w:t>
      </w:r>
      <w:r>
        <w:rPr>
          <w:rFonts w:ascii="方正仿宋_GBK" w:hAnsi="Times New Roman" w:eastAsia="方正仿宋_GBK"/>
          <w:sz w:val="32"/>
          <w:szCs w:val="32"/>
        </w:rPr>
        <w:t>。</w:t>
      </w:r>
      <w:r>
        <w:rPr>
          <w:rFonts w:hint="default" w:ascii="Times New Roman" w:hAnsi="Times New Roman" w:eastAsia="方正仿宋_GBK"/>
          <w:sz w:val="32"/>
          <w:szCs w:val="32"/>
          <w:shd w:val="clear" w:color="auto" w:fill="FFFFFF"/>
        </w:rPr>
        <w:t>其中：基本支出</w:t>
      </w:r>
      <w:r>
        <w:rPr>
          <w:rFonts w:ascii="Times New Roman" w:hAnsi="Times New Roman" w:eastAsia="方正仿宋_GBK"/>
          <w:sz w:val="32"/>
          <w:szCs w:val="32"/>
          <w:shd w:val="clear" w:color="auto" w:fill="FFFFFF"/>
        </w:rPr>
        <w:t>849.24</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shd w:val="clear" w:color="auto" w:fill="FFFFFF"/>
        </w:rPr>
        <w:t>100.00</w:t>
      </w:r>
      <w:r>
        <w:rPr>
          <w:rFonts w:hint="default" w:ascii="Times New Roman" w:hAnsi="Times New Roman" w:eastAsia="方正仿宋_GBK"/>
          <w:sz w:val="32"/>
          <w:szCs w:val="32"/>
          <w:shd w:val="clear" w:color="auto" w:fill="FFFFFF"/>
        </w:rPr>
        <w:t>%；项目支出</w:t>
      </w:r>
      <w:r>
        <w:rPr>
          <w:rFonts w:ascii="Times New Roman" w:hAnsi="Times New Roman" w:eastAsia="方正仿宋_GBK"/>
          <w:sz w:val="32"/>
          <w:szCs w:val="32"/>
          <w:shd w:val="clear" w:color="auto" w:fill="FFFFFF"/>
        </w:rPr>
        <w:t>0</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shd w:val="clear" w:color="auto" w:fill="FFFFFF"/>
        </w:rPr>
        <w:t>0.00</w:t>
      </w:r>
      <w:r>
        <w:rPr>
          <w:rFonts w:hint="default" w:ascii="Times New Roman" w:hAnsi="Times New Roman" w:eastAsia="方正仿宋_GBK"/>
          <w:sz w:val="32"/>
          <w:szCs w:val="32"/>
          <w:shd w:val="clear" w:color="auto" w:fill="FFFFFF"/>
        </w:rPr>
        <w:t>%；经营支出</w:t>
      </w:r>
      <w:r>
        <w:rPr>
          <w:rFonts w:hint="default"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万元，占0.00%。此外，结余分配</w:t>
      </w:r>
      <w:r>
        <w:rPr>
          <w:rFonts w:hint="default"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方正仿宋_GBK" w:hAnsi="方正仿宋_GBK" w:eastAsia="方正仿宋_GBK" w:cs="方正仿宋_GBK"/>
          <w:color w:val="FF0000"/>
          <w:sz w:val="32"/>
          <w:szCs w:val="32"/>
          <w:shd w:val="clear" w:color="auto" w:fill="FFFFFF"/>
        </w:rPr>
      </w:pPr>
      <w:r>
        <w:rPr>
          <w:rStyle w:val="11"/>
          <w:rFonts w:hint="default" w:ascii="Times New Roman" w:hAnsi="Times New Roman" w:eastAsia="方正仿宋_GBK"/>
          <w:sz w:val="32"/>
          <w:szCs w:val="32"/>
          <w:shd w:val="clear" w:color="auto" w:fill="FFFFFF"/>
        </w:rPr>
        <w:t>4.结转结余情况。</w:t>
      </w:r>
      <w:r>
        <w:rPr>
          <w:rFonts w:hint="default" w:ascii="Times New Roman" w:hAnsi="Times New Roman" w:eastAsia="方正仿宋_GBK"/>
          <w:sz w:val="32"/>
          <w:szCs w:val="32"/>
          <w:shd w:val="clear" w:color="auto" w:fill="FFFFFF"/>
        </w:rPr>
        <w:t>2023年度年末结转和结余</w:t>
      </w:r>
      <w:r>
        <w:rPr>
          <w:rFonts w:ascii="Times New Roman" w:hAnsi="Times New Roman" w:eastAsia="方正仿宋_GBK"/>
          <w:sz w:val="32"/>
          <w:szCs w:val="32"/>
          <w:shd w:val="clear" w:color="auto" w:fill="FFFFFF"/>
        </w:rPr>
        <w:t>0</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w:t>
      </w:r>
      <w:r>
        <w:rPr>
          <w:rFonts w:ascii="方正仿宋_GBK" w:hAnsi="方正仿宋_GBK" w:eastAsia="方正仿宋_GBK" w:cs="方正仿宋_GBK"/>
          <w:sz w:val="32"/>
          <w:szCs w:val="32"/>
          <w:shd w:val="clear" w:color="auto" w:fill="FFFFFF"/>
        </w:rPr>
        <w:t>较上年决算数无增减，主要原因是上年度未独立编报决算，本年度也无结转和结余。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b w:val="0"/>
          <w:bCs/>
          <w:kern w:val="2"/>
          <w:sz w:val="32"/>
          <w:szCs w:val="32"/>
          <w:shd w:val="clear" w:color="auto" w:fill="FFFFFF"/>
        </w:rPr>
      </w:pPr>
      <w:r>
        <w:rPr>
          <w:rStyle w:val="11"/>
          <w:rFonts w:hint="default" w:ascii="Times New Roman" w:hAnsi="Times New Roman" w:eastAsia="方正楷体_GBK"/>
          <w:b w:val="0"/>
          <w:bCs/>
          <w:kern w:val="2"/>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Times New Roman" w:eastAsia="方正仿宋_GBK"/>
          <w:sz w:val="32"/>
          <w:szCs w:val="32"/>
        </w:rPr>
      </w:pPr>
      <w:r>
        <w:rPr>
          <w:rFonts w:hint="default" w:ascii="Times New Roman" w:hAnsi="Times New Roman" w:eastAsia="方正仿宋_GBK"/>
          <w:sz w:val="32"/>
          <w:szCs w:val="32"/>
          <w:shd w:val="clear" w:color="auto" w:fill="FFFFFF"/>
        </w:rPr>
        <w:t>2023年度财政拨款收、支总计</w:t>
      </w:r>
      <w:r>
        <w:rPr>
          <w:rFonts w:ascii="Times New Roman" w:hAnsi="Times New Roman" w:eastAsia="方正仿宋_GBK"/>
          <w:sz w:val="32"/>
          <w:szCs w:val="32"/>
          <w:shd w:val="clear" w:color="auto" w:fill="FFFFFF"/>
        </w:rPr>
        <w:t>520.56</w:t>
      </w:r>
      <w:r>
        <w:rPr>
          <w:rFonts w:hint="default" w:ascii="Times New Roman" w:hAnsi="Times New Roman" w:eastAsia="方正仿宋_GBK"/>
          <w:sz w:val="32"/>
          <w:szCs w:val="32"/>
          <w:shd w:val="clear" w:color="auto" w:fill="FFFFFF"/>
        </w:rPr>
        <w:t>万元。与2022年度相比，财政拨款收、支总计各</w:t>
      </w:r>
      <w:r>
        <w:rPr>
          <w:rFonts w:ascii="Times New Roman" w:hAnsi="Times New Roman" w:eastAsia="方正仿宋_GBK"/>
          <w:sz w:val="32"/>
          <w:szCs w:val="32"/>
          <w:shd w:val="clear" w:color="auto" w:fill="FFFFFF"/>
        </w:rPr>
        <w:t>增加520.56</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增长100.00</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2022年度本单位与妇幼保健院合并编报决算，按照市财政局要求，2023年独立编报决算，所以与上年对比增长100.00%</w:t>
      </w:r>
      <w:r>
        <w:rPr>
          <w:rFonts w:ascii="方正仿宋_GBK" w:hAnsi="Times New Roman" w:eastAsia="方正仿宋_GBK"/>
          <w:sz w:val="32"/>
          <w:szCs w:val="32"/>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b w:val="0"/>
          <w:bCs/>
          <w:kern w:val="2"/>
          <w:sz w:val="32"/>
          <w:szCs w:val="32"/>
          <w:shd w:val="clear" w:color="auto" w:fill="FFFFFF"/>
        </w:rPr>
      </w:pPr>
      <w:r>
        <w:rPr>
          <w:rStyle w:val="11"/>
          <w:rFonts w:hint="default" w:ascii="Times New Roman" w:hAnsi="Times New Roman" w:eastAsia="方正楷体_GBK"/>
          <w:b w:val="0"/>
          <w:bCs/>
          <w:kern w:val="2"/>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方正仿宋_GBK" w:hAnsi="Times New Roman" w:eastAsia="方正仿宋_GBK"/>
          <w:sz w:val="32"/>
          <w:szCs w:val="32"/>
        </w:rPr>
      </w:pPr>
      <w:r>
        <w:rPr>
          <w:rStyle w:val="11"/>
          <w:rFonts w:hint="default" w:ascii="Times New Roman" w:hAnsi="Times New Roman" w:eastAsia="方正仿宋_GBK"/>
          <w:sz w:val="32"/>
          <w:szCs w:val="32"/>
          <w:shd w:val="clear" w:color="auto" w:fill="FFFFFF"/>
        </w:rPr>
        <w:t>1.收入情况。</w:t>
      </w:r>
      <w:r>
        <w:rPr>
          <w:rFonts w:hint="default" w:ascii="Times New Roman" w:hAnsi="Times New Roman" w:eastAsia="方正仿宋_GBK"/>
          <w:sz w:val="32"/>
          <w:szCs w:val="32"/>
          <w:shd w:val="clear" w:color="auto" w:fill="FFFFFF"/>
        </w:rPr>
        <w:t>2023年度一般公共预算财政拨款收入</w:t>
      </w:r>
      <w:r>
        <w:rPr>
          <w:rFonts w:ascii="Times New Roman" w:hAnsi="Times New Roman" w:eastAsia="方正仿宋_GBK"/>
          <w:sz w:val="32"/>
          <w:szCs w:val="32"/>
        </w:rPr>
        <w:t>520.56</w:t>
      </w:r>
      <w:r>
        <w:rPr>
          <w:rFonts w:hint="default" w:ascii="Times New Roman" w:hAnsi="Times New Roman" w:eastAsia="方正仿宋_GBK"/>
          <w:sz w:val="32"/>
          <w:szCs w:val="32"/>
          <w:shd w:val="clear" w:color="auto" w:fill="FFFFFF"/>
        </w:rPr>
        <w:t>万元，较上年决算数</w:t>
      </w:r>
      <w:r>
        <w:rPr>
          <w:rFonts w:ascii="Times New Roman" w:hAnsi="Times New Roman" w:eastAsia="方正仿宋_GBK"/>
          <w:sz w:val="32"/>
          <w:szCs w:val="32"/>
          <w:shd w:val="clear" w:color="auto" w:fill="FFFFFF"/>
        </w:rPr>
        <w:t>增加520.56</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增长100</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2022年度本单位与妇幼保健院合并编报决算，按照市财政局要求，2023年独立编报决算，所以与上年对比增长100.00%</w:t>
      </w:r>
      <w:r>
        <w:rPr>
          <w:rFonts w:ascii="方正仿宋_GBK" w:hAnsi="Times New Roman" w:eastAsia="方正仿宋_GBK"/>
          <w:sz w:val="32"/>
          <w:szCs w:val="32"/>
        </w:rPr>
        <w:t>。</w:t>
      </w:r>
      <w:r>
        <w:rPr>
          <w:rFonts w:hint="default" w:ascii="Times New Roman" w:hAnsi="Times New Roman" w:eastAsia="方正仿宋_GBK"/>
          <w:sz w:val="32"/>
          <w:szCs w:val="32"/>
          <w:shd w:val="clear" w:color="auto" w:fill="FFFFFF"/>
        </w:rPr>
        <w:t>较年初预算数</w:t>
      </w:r>
      <w:r>
        <w:rPr>
          <w:rFonts w:ascii="Times New Roman" w:hAnsi="Times New Roman" w:eastAsia="方正仿宋_GBK"/>
          <w:sz w:val="32"/>
          <w:szCs w:val="32"/>
          <w:shd w:val="clear" w:color="auto" w:fill="FFFFFF"/>
        </w:rPr>
        <w:t>减少30.11</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下降5.47</w:t>
      </w:r>
      <w:r>
        <w:rPr>
          <w:rFonts w:hint="default" w:ascii="Times New Roman" w:hAnsi="Times New Roman" w:eastAsia="方正仿宋_GBK"/>
          <w:sz w:val="32"/>
          <w:szCs w:val="32"/>
          <w:shd w:val="clear" w:color="auto" w:fill="FFFFFF"/>
        </w:rPr>
        <w:t>%。主要原因</w:t>
      </w:r>
      <w:r>
        <w:rPr>
          <w:rFonts w:ascii="Times New Roman" w:hAnsi="Times New Roman" w:eastAsia="方正仿宋_GBK"/>
          <w:sz w:val="32"/>
          <w:szCs w:val="32"/>
          <w:shd w:val="clear" w:color="auto" w:fill="FFFFFF"/>
        </w:rPr>
        <w:t>是年初做预算的时候社保、公积金缴费基数包含了超额绩效部分，实际执行时未包含。</w:t>
      </w:r>
      <w:r>
        <w:rPr>
          <w:rFonts w:hint="default" w:ascii="Times New Roman" w:hAnsi="Times New Roman" w:eastAsia="方正仿宋_GBK"/>
          <w:sz w:val="32"/>
          <w:szCs w:val="32"/>
          <w:shd w:val="clear" w:color="auto" w:fill="FFFFFF"/>
        </w:rPr>
        <w:t>此外，年初财政拨款结转和结余</w:t>
      </w:r>
      <w:r>
        <w:rPr>
          <w:rFonts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shd w:val="clear" w:color="auto" w:fill="FFFFFF"/>
        </w:rPr>
      </w:pPr>
      <w:r>
        <w:rPr>
          <w:rStyle w:val="11"/>
          <w:rFonts w:hint="default" w:ascii="Times New Roman" w:hAnsi="Times New Roman" w:eastAsia="方正仿宋_GBK"/>
          <w:sz w:val="32"/>
          <w:szCs w:val="32"/>
          <w:shd w:val="clear" w:color="auto" w:fill="FFFFFF"/>
        </w:rPr>
        <w:t>2.支出情况。</w:t>
      </w:r>
      <w:r>
        <w:rPr>
          <w:rFonts w:hint="default" w:ascii="Times New Roman" w:hAnsi="Times New Roman" w:eastAsia="方正仿宋_GBK"/>
          <w:sz w:val="32"/>
          <w:szCs w:val="32"/>
          <w:shd w:val="clear" w:color="auto" w:fill="FFFFFF"/>
        </w:rPr>
        <w:t>2023年度一般公共预算财政拨款支出</w:t>
      </w:r>
      <w:r>
        <w:rPr>
          <w:rFonts w:ascii="Times New Roman" w:hAnsi="Times New Roman" w:eastAsia="方正仿宋_GBK"/>
          <w:sz w:val="32"/>
          <w:szCs w:val="32"/>
        </w:rPr>
        <w:t>520.56</w:t>
      </w:r>
      <w:r>
        <w:rPr>
          <w:rFonts w:hint="default" w:ascii="Times New Roman" w:hAnsi="Times New Roman" w:eastAsia="方正仿宋_GBK"/>
          <w:sz w:val="32"/>
          <w:szCs w:val="32"/>
          <w:shd w:val="clear" w:color="auto" w:fill="FFFFFF"/>
        </w:rPr>
        <w:t>万元，较上年决算数</w:t>
      </w:r>
      <w:r>
        <w:rPr>
          <w:rFonts w:ascii="Times New Roman" w:hAnsi="Times New Roman" w:eastAsia="方正仿宋_GBK"/>
          <w:sz w:val="32"/>
          <w:szCs w:val="32"/>
          <w:shd w:val="clear" w:color="auto" w:fill="FFFFFF"/>
        </w:rPr>
        <w:t>增加520.56</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增加100</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2022年度本单位与妇幼保健院合并编报决算，按照市财政局要求，2023年独立编报决算，所以与上年对比增长100.00%</w:t>
      </w:r>
      <w:r>
        <w:rPr>
          <w:rFonts w:ascii="方正仿宋_GBK" w:hAnsi="Times New Roman" w:eastAsia="方正仿宋_GBK"/>
          <w:sz w:val="32"/>
          <w:szCs w:val="32"/>
        </w:rPr>
        <w:t>。</w:t>
      </w:r>
      <w:r>
        <w:rPr>
          <w:rFonts w:hint="default" w:ascii="Times New Roman" w:hAnsi="Times New Roman" w:eastAsia="方正仿宋_GBK"/>
          <w:sz w:val="32"/>
          <w:szCs w:val="32"/>
          <w:shd w:val="clear" w:color="auto" w:fill="FFFFFF"/>
        </w:rPr>
        <w:t>较年初预算数</w:t>
      </w:r>
      <w:r>
        <w:rPr>
          <w:rFonts w:ascii="Times New Roman" w:hAnsi="Times New Roman" w:eastAsia="方正仿宋_GBK"/>
          <w:sz w:val="32"/>
          <w:szCs w:val="32"/>
          <w:shd w:val="clear" w:color="auto" w:fill="FFFFFF"/>
        </w:rPr>
        <w:t>减少44.69</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下降7.91</w:t>
      </w:r>
      <w:r>
        <w:rPr>
          <w:rFonts w:hint="default" w:ascii="Times New Roman" w:hAnsi="Times New Roman" w:eastAsia="方正仿宋_GBK"/>
          <w:sz w:val="32"/>
          <w:szCs w:val="32"/>
          <w:shd w:val="clear" w:color="auto" w:fill="FFFFFF"/>
        </w:rPr>
        <w:t>%。主要原因</w:t>
      </w:r>
      <w:r>
        <w:rPr>
          <w:rFonts w:ascii="Times New Roman" w:hAnsi="Times New Roman" w:eastAsia="方正仿宋_GBK"/>
          <w:sz w:val="32"/>
          <w:szCs w:val="32"/>
          <w:shd w:val="clear" w:color="auto" w:fill="FFFFFF"/>
        </w:rPr>
        <w:t>是年初做预算的时候社保、公积金缴费基数包含了超额绩效部分，实际执行时未包含。</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方正仿宋_GBK" w:hAnsi="方正仿宋_GBK" w:eastAsia="方正仿宋_GBK" w:cs="方正仿宋_GBK"/>
          <w:color w:val="FF0000"/>
          <w:sz w:val="32"/>
          <w:szCs w:val="32"/>
          <w:shd w:val="clear" w:color="auto" w:fill="FFFFFF"/>
        </w:rPr>
      </w:pPr>
      <w:r>
        <w:rPr>
          <w:rStyle w:val="11"/>
          <w:rFonts w:hint="default" w:ascii="Times New Roman" w:hAnsi="Times New Roman" w:eastAsia="方正仿宋_GBK"/>
          <w:sz w:val="32"/>
          <w:szCs w:val="32"/>
          <w:shd w:val="clear" w:color="auto" w:fill="FFFFFF"/>
        </w:rPr>
        <w:t>3.结转结余情况。</w:t>
      </w:r>
      <w:r>
        <w:rPr>
          <w:rFonts w:hint="default" w:ascii="Times New Roman" w:hAnsi="Times New Roman" w:eastAsia="方正仿宋_GBK"/>
          <w:sz w:val="32"/>
          <w:szCs w:val="32"/>
          <w:shd w:val="clear" w:color="auto" w:fill="FFFFFF"/>
        </w:rPr>
        <w:t>2023年度年末一般公共预算财政拨款结转和结余</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万元，</w:t>
      </w:r>
      <w:r>
        <w:rPr>
          <w:rFonts w:ascii="方正仿宋_GBK" w:hAnsi="方正仿宋_GBK" w:eastAsia="方正仿宋_GBK" w:cs="方正仿宋_GBK"/>
          <w:sz w:val="32"/>
          <w:szCs w:val="32"/>
          <w:shd w:val="clear" w:color="auto" w:fill="FFFFFF"/>
        </w:rPr>
        <w:t>较上年决算数无增减，主要原因是上年度未独立编报决算，本年度也无结转和结余。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olor w:val="4874CB" w:themeColor="accent1"/>
          <w:sz w:val="22"/>
          <w:szCs w:val="22"/>
          <w:shd w:val="clear" w:color="auto" w:fill="FFFFFF"/>
          <w14:textFill>
            <w14:solidFill>
              <w14:schemeClr w14:val="accent1"/>
            </w14:solidFill>
          </w14:textFill>
        </w:rPr>
      </w:pPr>
      <w:r>
        <w:rPr>
          <w:rStyle w:val="11"/>
          <w:rFonts w:hint="default" w:ascii="Times New Roman" w:hAnsi="Times New Roman" w:eastAsia="方正仿宋_GBK"/>
          <w:sz w:val="32"/>
          <w:szCs w:val="32"/>
          <w:shd w:val="clear" w:color="auto" w:fill="FFFFFF"/>
        </w:rPr>
        <w:t>4.比较情况。</w:t>
      </w:r>
      <w:r>
        <w:rPr>
          <w:rFonts w:hint="default" w:ascii="Times New Roman" w:hAnsi="Times New Roman" w:eastAsia="方正仿宋_GBK"/>
          <w:sz w:val="32"/>
          <w:szCs w:val="32"/>
          <w:shd w:val="clear" w:color="auto" w:fill="FFFFFF"/>
        </w:rPr>
        <w:t>本</w:t>
      </w:r>
      <w:r>
        <w:rPr>
          <w:rFonts w:hint="eastAsia" w:ascii="Times New Roman" w:hAnsi="Times New Roman" w:eastAsia="方正仿宋_GBK"/>
          <w:sz w:val="32"/>
          <w:szCs w:val="32"/>
          <w:shd w:val="clear" w:color="auto" w:fill="FFFFFF"/>
          <w:lang w:eastAsia="zh-CN"/>
        </w:rPr>
        <w:t>单位</w:t>
      </w:r>
      <w:r>
        <w:rPr>
          <w:rFonts w:hint="default" w:ascii="Times New Roman" w:hAnsi="Times New Roman" w:eastAsia="方正仿宋_GBK"/>
          <w:sz w:val="32"/>
          <w:szCs w:val="32"/>
          <w:shd w:val="clear" w:color="auto" w:fill="FFFFFF"/>
        </w:rPr>
        <w:t>2023年度一般公共预算财政拨款支出主要用于以下几个方面：</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（1）社会保障与就业支出</w:t>
      </w:r>
      <w:r>
        <w:rPr>
          <w:rFonts w:ascii="Times New Roman" w:hAnsi="Times New Roman" w:eastAsia="方正仿宋_GBK"/>
          <w:sz w:val="32"/>
          <w:szCs w:val="32"/>
        </w:rPr>
        <w:t>61.11</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rPr>
        <w:t>11.74</w:t>
      </w:r>
      <w:r>
        <w:rPr>
          <w:rFonts w:hint="default" w:ascii="Times New Roman" w:hAnsi="Times New Roman" w:eastAsia="方正仿宋_GBK"/>
          <w:sz w:val="32"/>
          <w:szCs w:val="32"/>
          <w:shd w:val="clear" w:color="auto" w:fill="FFFFFF"/>
        </w:rPr>
        <w:t>%，较年初预算数减少</w:t>
      </w:r>
      <w:r>
        <w:rPr>
          <w:rFonts w:ascii="Times New Roman" w:hAnsi="Times New Roman" w:eastAsia="方正仿宋_GBK"/>
          <w:sz w:val="32"/>
          <w:szCs w:val="32"/>
          <w:shd w:val="clear" w:color="auto" w:fill="FFFFFF"/>
        </w:rPr>
        <w:t>19.71</w:t>
      </w:r>
      <w:r>
        <w:rPr>
          <w:rFonts w:hint="default" w:ascii="Times New Roman" w:hAnsi="Times New Roman" w:eastAsia="方正仿宋_GBK"/>
          <w:sz w:val="32"/>
          <w:szCs w:val="32"/>
          <w:shd w:val="clear" w:color="auto" w:fill="FFFFFF"/>
        </w:rPr>
        <w:t>万元，下降</w:t>
      </w:r>
      <w:r>
        <w:rPr>
          <w:rFonts w:ascii="Times New Roman" w:hAnsi="Times New Roman" w:eastAsia="方正仿宋_GBK"/>
          <w:sz w:val="32"/>
          <w:szCs w:val="32"/>
          <w:shd w:val="clear" w:color="auto" w:fill="FFFFFF"/>
        </w:rPr>
        <w:t>24.39</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年初做预算的时候社保缴费基数包含了超额绩效部分，实际执行时未包含。</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w:t>
      </w:r>
      <w:r>
        <w:rPr>
          <w:rFonts w:ascii="Times New Roman" w:hAnsi="Times New Roman" w:eastAsia="方正仿宋_GBK"/>
          <w:sz w:val="32"/>
          <w:szCs w:val="32"/>
          <w:shd w:val="clear" w:color="auto" w:fill="FFFFFF"/>
        </w:rPr>
        <w:t>2</w:t>
      </w:r>
      <w:r>
        <w:rPr>
          <w:rFonts w:hint="default" w:ascii="Times New Roman" w:hAnsi="Times New Roman" w:eastAsia="方正仿宋_GBK"/>
          <w:sz w:val="32"/>
          <w:szCs w:val="32"/>
          <w:shd w:val="clear" w:color="auto" w:fill="FFFFFF"/>
        </w:rPr>
        <w:t>）卫生健康支出</w:t>
      </w:r>
      <w:r>
        <w:rPr>
          <w:rFonts w:ascii="Times New Roman" w:hAnsi="Times New Roman" w:eastAsia="方正仿宋_GBK"/>
          <w:sz w:val="32"/>
          <w:szCs w:val="32"/>
        </w:rPr>
        <w:t>429.57</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rPr>
        <w:t>82.52</w:t>
      </w:r>
      <w:r>
        <w:rPr>
          <w:rFonts w:hint="default" w:ascii="Times New Roman" w:hAnsi="Times New Roman" w:eastAsia="方正仿宋_GBK"/>
          <w:sz w:val="32"/>
          <w:szCs w:val="32"/>
          <w:shd w:val="clear" w:color="auto" w:fill="FFFFFF"/>
        </w:rPr>
        <w:t>%，较年初预算数</w:t>
      </w:r>
      <w:r>
        <w:rPr>
          <w:rFonts w:ascii="Times New Roman" w:hAnsi="Times New Roman" w:eastAsia="方正仿宋_GBK"/>
          <w:sz w:val="32"/>
          <w:szCs w:val="32"/>
          <w:shd w:val="clear" w:color="auto" w:fill="FFFFFF"/>
        </w:rPr>
        <w:t>减少7.96</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下降1.82</w:t>
      </w:r>
      <w:r>
        <w:rPr>
          <w:rFonts w:hint="default" w:ascii="Times New Roman" w:hAnsi="Times New Roman" w:eastAsia="方正仿宋_GBK"/>
          <w:sz w:val="32"/>
          <w:szCs w:val="32"/>
          <w:shd w:val="clear" w:color="auto" w:fill="FFFFFF"/>
        </w:rPr>
        <w:t>%，主要原因是主要原因是</w:t>
      </w:r>
      <w:r>
        <w:rPr>
          <w:rFonts w:ascii="Times New Roman" w:hAnsi="Times New Roman" w:eastAsia="方正仿宋_GBK"/>
          <w:sz w:val="32"/>
          <w:szCs w:val="32"/>
          <w:shd w:val="clear" w:color="auto" w:fill="FFFFFF"/>
        </w:rPr>
        <w:t>年初做预算的时候工伤保险基数包含了超额绩效部分，实际执行时未包含。</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w:t>
      </w:r>
      <w:r>
        <w:rPr>
          <w:rFonts w:ascii="Times New Roman" w:hAnsi="Times New Roman" w:eastAsia="方正仿宋_GBK"/>
          <w:sz w:val="32"/>
          <w:szCs w:val="32"/>
          <w:shd w:val="clear" w:color="auto" w:fill="FFFFFF"/>
        </w:rPr>
        <w:t>3</w:t>
      </w:r>
      <w:r>
        <w:rPr>
          <w:rFonts w:hint="default" w:ascii="Times New Roman" w:hAnsi="Times New Roman" w:eastAsia="方正仿宋_GBK"/>
          <w:sz w:val="32"/>
          <w:szCs w:val="32"/>
          <w:shd w:val="clear" w:color="auto" w:fill="FFFFFF"/>
        </w:rPr>
        <w:t>）</w:t>
      </w:r>
      <w:r>
        <w:rPr>
          <w:rFonts w:hint="default" w:ascii="Times New Roman" w:hAnsi="Times New Roman" w:eastAsia="方正仿宋_GBK"/>
          <w:sz w:val="32"/>
          <w:szCs w:val="32"/>
        </w:rPr>
        <w:t>住房保障支出</w:t>
      </w:r>
      <w:r>
        <w:rPr>
          <w:rFonts w:ascii="Times New Roman" w:hAnsi="Times New Roman" w:eastAsia="方正仿宋_GBK"/>
          <w:sz w:val="32"/>
          <w:szCs w:val="32"/>
        </w:rPr>
        <w:t>29.89</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rPr>
        <w:t>5.74</w:t>
      </w:r>
      <w:r>
        <w:rPr>
          <w:rFonts w:hint="default" w:ascii="Times New Roman" w:hAnsi="Times New Roman" w:eastAsia="方正仿宋_GBK"/>
          <w:sz w:val="32"/>
          <w:szCs w:val="32"/>
          <w:shd w:val="clear" w:color="auto" w:fill="FFFFFF"/>
        </w:rPr>
        <w:t>%，较年初预算数减少</w:t>
      </w:r>
      <w:r>
        <w:rPr>
          <w:rFonts w:ascii="Times New Roman" w:hAnsi="Times New Roman" w:eastAsia="方正仿宋_GBK"/>
          <w:sz w:val="32"/>
          <w:szCs w:val="32"/>
          <w:shd w:val="clear" w:color="auto" w:fill="FFFFFF"/>
        </w:rPr>
        <w:t>17.01</w:t>
      </w:r>
      <w:r>
        <w:rPr>
          <w:rFonts w:hint="default" w:ascii="Times New Roman" w:hAnsi="Times New Roman" w:eastAsia="方正仿宋_GBK"/>
          <w:sz w:val="32"/>
          <w:szCs w:val="32"/>
          <w:shd w:val="clear" w:color="auto" w:fill="FFFFFF"/>
        </w:rPr>
        <w:t>万元，下降</w:t>
      </w:r>
      <w:r>
        <w:rPr>
          <w:rFonts w:ascii="Times New Roman" w:hAnsi="Times New Roman" w:eastAsia="方正仿宋_GBK"/>
          <w:sz w:val="32"/>
          <w:szCs w:val="32"/>
          <w:shd w:val="clear" w:color="auto" w:fill="FFFFFF"/>
        </w:rPr>
        <w:t>36.27</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年初做预算的时候公积金缴费基数包含了超额绩效部分，实际执行时未包含。</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b w:val="0"/>
          <w:bCs/>
          <w:kern w:val="2"/>
          <w:sz w:val="32"/>
          <w:szCs w:val="32"/>
          <w:shd w:val="clear" w:color="auto" w:fill="FFFFFF"/>
        </w:rPr>
      </w:pPr>
      <w:r>
        <w:rPr>
          <w:rStyle w:val="11"/>
          <w:rFonts w:hint="default" w:ascii="Times New Roman" w:hAnsi="Times New Roman" w:eastAsia="方正楷体_GBK"/>
          <w:b w:val="0"/>
          <w:bCs/>
          <w:kern w:val="2"/>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小标宋_GBK"/>
          <w:sz w:val="36"/>
          <w:szCs w:val="36"/>
          <w:shd w:val="clear" w:color="auto" w:fill="FFFFFF"/>
        </w:rPr>
      </w:pPr>
      <w:r>
        <w:rPr>
          <w:rFonts w:hint="default" w:ascii="Times New Roman" w:hAnsi="Times New Roman" w:eastAsia="方正仿宋_GBK"/>
          <w:sz w:val="32"/>
          <w:szCs w:val="32"/>
          <w:shd w:val="clear" w:color="auto" w:fill="FFFFFF"/>
        </w:rPr>
        <w:t>2023年度一般公共</w:t>
      </w:r>
      <w:r>
        <w:rPr>
          <w:rFonts w:ascii="Times New Roman" w:hAnsi="Times New Roman" w:eastAsia="方正仿宋_GBK"/>
          <w:sz w:val="32"/>
          <w:szCs w:val="32"/>
          <w:shd w:val="clear" w:color="auto" w:fill="FFFFFF"/>
        </w:rPr>
        <w:t>预算</w:t>
      </w:r>
      <w:r>
        <w:rPr>
          <w:rFonts w:hint="default" w:ascii="Times New Roman" w:hAnsi="Times New Roman" w:eastAsia="方正仿宋_GBK"/>
          <w:sz w:val="32"/>
          <w:szCs w:val="32"/>
          <w:shd w:val="clear" w:color="auto" w:fill="FFFFFF"/>
        </w:rPr>
        <w:t>财政拨款基本支出</w:t>
      </w:r>
      <w:r>
        <w:rPr>
          <w:rFonts w:ascii="Times New Roman" w:hAnsi="Times New Roman" w:eastAsia="方正仿宋_GBK"/>
          <w:sz w:val="32"/>
          <w:szCs w:val="32"/>
        </w:rPr>
        <w:t>520.56</w:t>
      </w:r>
      <w:r>
        <w:rPr>
          <w:rFonts w:hint="default" w:ascii="Times New Roman" w:hAnsi="Times New Roman" w:eastAsia="方正仿宋_GBK"/>
          <w:sz w:val="32"/>
          <w:szCs w:val="32"/>
          <w:shd w:val="clear" w:color="auto" w:fill="FFFFFF"/>
        </w:rPr>
        <w:t>万元。其中：人员经费</w:t>
      </w:r>
      <w:r>
        <w:rPr>
          <w:rFonts w:ascii="Times New Roman" w:hAnsi="Times New Roman" w:eastAsia="方正仿宋_GBK"/>
          <w:sz w:val="32"/>
          <w:szCs w:val="32"/>
        </w:rPr>
        <w:t>520.56</w:t>
      </w:r>
      <w:r>
        <w:rPr>
          <w:rFonts w:hint="default" w:ascii="Times New Roman" w:hAnsi="Times New Roman" w:eastAsia="方正仿宋_GBK"/>
          <w:sz w:val="32"/>
          <w:szCs w:val="32"/>
          <w:shd w:val="clear" w:color="auto" w:fill="FFFFFF"/>
        </w:rPr>
        <w:t>万元，较上年决算数</w:t>
      </w:r>
      <w:r>
        <w:rPr>
          <w:rFonts w:ascii="Times New Roman" w:hAnsi="Times New Roman" w:eastAsia="方正仿宋_GBK"/>
          <w:sz w:val="32"/>
          <w:szCs w:val="32"/>
          <w:shd w:val="clear" w:color="auto" w:fill="FFFFFF"/>
        </w:rPr>
        <w:t>增加520.56</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增加100</w:t>
      </w:r>
      <w:r>
        <w:rPr>
          <w:rFonts w:hint="default" w:ascii="Times New Roman" w:hAnsi="Times New Roman" w:eastAsia="方正仿宋_GBK"/>
          <w:sz w:val="32"/>
          <w:szCs w:val="32"/>
          <w:shd w:val="clear" w:color="auto" w:fill="FFFFFF"/>
        </w:rPr>
        <w:t>%，主主要原因是</w:t>
      </w:r>
      <w:r>
        <w:rPr>
          <w:rFonts w:ascii="Times New Roman" w:hAnsi="Times New Roman" w:eastAsia="方正仿宋_GBK"/>
          <w:sz w:val="32"/>
          <w:szCs w:val="32"/>
          <w:shd w:val="clear" w:color="auto" w:fill="FFFFFF"/>
        </w:rPr>
        <w:t>2022年度本单位与妇幼保健院合并编报决算，按照市财政局要求，2023年独立编报决算，所以与上年对比增长100.00%</w:t>
      </w:r>
      <w:r>
        <w:rPr>
          <w:rFonts w:ascii="方正仿宋_GBK" w:hAnsi="Times New Roman" w:eastAsia="方正仿宋_GBK"/>
          <w:sz w:val="32"/>
          <w:szCs w:val="32"/>
        </w:rPr>
        <w:t>。</w:t>
      </w:r>
      <w:r>
        <w:rPr>
          <w:rFonts w:hint="default" w:ascii="Times New Roman" w:hAnsi="Times New Roman" w:eastAsia="方正仿宋_GBK"/>
          <w:sz w:val="32"/>
          <w:szCs w:val="32"/>
          <w:shd w:val="clear" w:color="auto" w:fill="FFFFFF"/>
        </w:rPr>
        <w:t>人员经费用途主要包括</w:t>
      </w:r>
      <w:r>
        <w:rPr>
          <w:rFonts w:ascii="方正仿宋_GBK" w:hAnsi="Times New Roman" w:eastAsia="方正仿宋_GBK"/>
          <w:sz w:val="32"/>
          <w:szCs w:val="32"/>
        </w:rPr>
        <w:t>人员经费用途主要包括基本工资、津补贴、绩效工资和公积金和社会保障缴费基本工资、绩效工资、津补贴、养老保险、医疗保险、住房公积金及退休人员健康休养费等；</w:t>
      </w:r>
      <w:r>
        <w:rPr>
          <w:rFonts w:hint="default" w:ascii="Times New Roman" w:hAnsi="Times New Roman" w:eastAsia="方正仿宋_GBK"/>
          <w:sz w:val="32"/>
          <w:szCs w:val="32"/>
          <w:shd w:val="clear" w:color="auto" w:fill="FFFFFF"/>
        </w:rPr>
        <w:t>公用经费</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万元，</w:t>
      </w:r>
      <w:r>
        <w:rPr>
          <w:rFonts w:ascii="方正仿宋_GBK" w:hAnsi="方正仿宋_GBK" w:eastAsia="方正仿宋_GBK" w:cs="方正仿宋_GBK"/>
          <w:sz w:val="32"/>
          <w:szCs w:val="32"/>
          <w:shd w:val="clear" w:color="auto" w:fill="FFFFFF"/>
        </w:rPr>
        <w:t>较上年决算数无增减。</w:t>
      </w:r>
      <w:r>
        <w:rPr>
          <w:rFonts w:hint="default" w:ascii="Times New Roman" w:hAnsi="Times New Roman" w:eastAsia="方正仿宋_GBK"/>
          <w:sz w:val="32"/>
          <w:szCs w:val="32"/>
          <w:shd w:val="clear" w:color="auto" w:fill="FFFFFF"/>
        </w:rPr>
        <w:t>主要原因是</w:t>
      </w:r>
      <w:r>
        <w:rPr>
          <w:rFonts w:ascii="方正仿宋_GBK" w:hAnsi="Times New Roman" w:eastAsia="方正仿宋_GBK"/>
          <w:sz w:val="32"/>
          <w:szCs w:val="32"/>
        </w:rPr>
        <w:t>本年度未发生相关费用。</w:t>
      </w:r>
    </w:p>
    <w:p>
      <w:pPr>
        <w:pStyle w:val="14"/>
        <w:keepNext w:val="0"/>
        <w:keepLines w:val="0"/>
        <w:pageBreakBefore w:val="0"/>
        <w:widowControl w:val="0"/>
        <w:kinsoku/>
        <w:wordWrap/>
        <w:overflowPunct/>
        <w:topLinePunct w:val="0"/>
        <w:autoSpaceDE w:val="0"/>
        <w:autoSpaceDN/>
        <w:bidi w:val="0"/>
        <w:adjustRightInd/>
        <w:snapToGrid/>
        <w:spacing w:line="560" w:lineRule="exact"/>
        <w:ind w:firstLine="640"/>
        <w:textAlignment w:val="auto"/>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（五）政府性基金预算收支决算情况说明</w:t>
      </w:r>
    </w:p>
    <w:p>
      <w:pPr>
        <w:pStyle w:val="15"/>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ascii="Times New Roman" w:hAnsi="Times New Roman" w:eastAsia="仿宋"/>
          <w:b/>
          <w:bCs/>
          <w:sz w:val="32"/>
          <w:szCs w:val="32"/>
          <w:shd w:val="clear" w:color="auto" w:fill="FFFFFF"/>
        </w:rPr>
      </w:pPr>
      <w:r>
        <w:rPr>
          <w:rFonts w:hint="eastAsia" w:ascii="方正仿宋_GBK" w:hAnsi="Times New Roman" w:eastAsia="方正仿宋_GBK"/>
          <w:sz w:val="32"/>
          <w:szCs w:val="32"/>
          <w:shd w:val="clear" w:color="auto" w:fill="FFFFFF"/>
        </w:rPr>
        <w:t>本单位</w:t>
      </w:r>
      <w:r>
        <w:rPr>
          <w:rFonts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rPr>
        <w:t>3</w:t>
      </w:r>
      <w:r>
        <w:rPr>
          <w:rFonts w:hint="eastAsia" w:ascii="方正仿宋_GBK" w:hAnsi="Times New Roman" w:eastAsia="方正仿宋_GBK"/>
          <w:sz w:val="32"/>
          <w:szCs w:val="32"/>
          <w:shd w:val="clear" w:color="auto" w:fill="FFFFFF"/>
        </w:rPr>
        <w:t>年度无政府性基金预算财政拨款收支。</w:t>
      </w:r>
    </w:p>
    <w:p>
      <w:pPr>
        <w:pStyle w:val="14"/>
        <w:keepNext w:val="0"/>
        <w:keepLines w:val="0"/>
        <w:pageBreakBefore w:val="0"/>
        <w:widowControl w:val="0"/>
        <w:kinsoku/>
        <w:wordWrap/>
        <w:overflowPunct/>
        <w:topLinePunct w:val="0"/>
        <w:autoSpaceDE w:val="0"/>
        <w:autoSpaceDN/>
        <w:bidi w:val="0"/>
        <w:adjustRightInd/>
        <w:snapToGrid/>
        <w:spacing w:line="560" w:lineRule="exact"/>
        <w:ind w:firstLine="640"/>
        <w:textAlignment w:val="auto"/>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（六）国有资本经营预算财政拨款支出决算情况说明</w:t>
      </w:r>
    </w:p>
    <w:p>
      <w:pPr>
        <w:pStyle w:val="15"/>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ascii="Times New Roman" w:hAnsi="Times New Roman" w:eastAsia="仿宋"/>
          <w:sz w:val="32"/>
          <w:szCs w:val="32"/>
          <w:shd w:val="clear" w:color="auto" w:fill="FFFFFF"/>
        </w:rPr>
      </w:pPr>
      <w:r>
        <w:rPr>
          <w:rFonts w:hint="eastAsia" w:ascii="方正仿宋_GBK" w:hAnsi="Times New Roman" w:eastAsia="方正仿宋_GBK"/>
          <w:sz w:val="32"/>
          <w:szCs w:val="32"/>
          <w:shd w:val="clear" w:color="auto" w:fill="FFFFFF"/>
        </w:rPr>
        <w:t>本单位</w:t>
      </w:r>
      <w:r>
        <w:rPr>
          <w:rFonts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rPr>
        <w:t>3</w:t>
      </w:r>
      <w:r>
        <w:rPr>
          <w:rFonts w:hint="eastAsia" w:ascii="方正仿宋_GBK" w:hAnsi="Times New Roman" w:eastAsia="方正仿宋_GBK"/>
          <w:sz w:val="32"/>
          <w:szCs w:val="32"/>
          <w:shd w:val="clear" w:color="auto" w:fill="FFFFFF"/>
        </w:rPr>
        <w:t>年度无国有资本经营预算财政拨款支出。</w:t>
      </w:r>
    </w:p>
    <w:p>
      <w:pPr>
        <w:pStyle w:val="9"/>
        <w:widowControl w:val="0"/>
        <w:snapToGrid w:val="0"/>
        <w:spacing w:before="0" w:beforeAutospacing="0" w:after="0" w:afterAutospacing="0" w:line="560" w:lineRule="exact"/>
        <w:ind w:firstLine="640" w:firstLineChars="200"/>
        <w:jc w:val="both"/>
        <w:rPr>
          <w:rStyle w:val="11"/>
          <w:rFonts w:hint="default" w:ascii="Times New Roman" w:hAnsi="Times New Roman" w:eastAsia="方正仿宋_GBK"/>
          <w:b w:val="0"/>
          <w:bCs/>
          <w:sz w:val="32"/>
          <w:szCs w:val="32"/>
          <w:shd w:val="clear" w:color="auto" w:fill="FFFF00"/>
        </w:rPr>
      </w:pPr>
      <w:r>
        <w:rPr>
          <w:rStyle w:val="11"/>
          <w:rFonts w:hint="default" w:ascii="Times New Roman" w:hAnsi="Times New Roman" w:eastAsia="方正黑体_GBK"/>
          <w:b w:val="0"/>
          <w:bCs/>
          <w:sz w:val="32"/>
          <w:szCs w:val="32"/>
          <w:shd w:val="clear" w:color="auto" w:fill="FFFFFF"/>
        </w:rPr>
        <w:t>三、“三公”经费情况说明</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（一）“三公”经费支出总体情况说明</w:t>
      </w:r>
    </w:p>
    <w:p>
      <w:pPr>
        <w:pStyle w:val="15"/>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hint="eastAsia" w:ascii="方正仿宋_GBK" w:hAnsi="Times New Roman" w:eastAsia="方正仿宋_GBK"/>
          <w:sz w:val="32"/>
          <w:szCs w:val="32"/>
          <w:shd w:val="clear" w:color="auto" w:fill="FFFFFF"/>
        </w:rPr>
        <w:t>本单位属于差额拨款单位，财政未保障本单位</w:t>
      </w:r>
      <w:r>
        <w:rPr>
          <w:rFonts w:ascii="Times New Roman" w:hAnsi="Times New Roman" w:eastAsia="方正仿宋_GBK"/>
          <w:sz w:val="32"/>
          <w:szCs w:val="32"/>
          <w:shd w:val="clear" w:color="auto" w:fill="FFFFFF"/>
        </w:rPr>
        <w:t>“</w:t>
      </w:r>
      <w:r>
        <w:rPr>
          <w:rFonts w:hint="eastAsia" w:ascii="方正仿宋_GBK" w:hAnsi="Times New Roman" w:eastAsia="方正仿宋_GBK"/>
          <w:sz w:val="32"/>
          <w:szCs w:val="32"/>
          <w:shd w:val="clear" w:color="auto" w:fill="FFFFFF"/>
        </w:rPr>
        <w:t>三公</w:t>
      </w:r>
      <w:r>
        <w:rPr>
          <w:rFonts w:ascii="Times New Roman" w:hAnsi="Times New Roman"/>
          <w:sz w:val="32"/>
          <w:szCs w:val="32"/>
          <w:shd w:val="clear" w:color="auto" w:fill="FFFFFF"/>
        </w:rPr>
        <w:t>”</w:t>
      </w:r>
      <w:r>
        <w:rPr>
          <w:rFonts w:hint="eastAsia" w:ascii="方正仿宋_GBK" w:hAnsi="Times New Roman" w:eastAsia="方正仿宋_GBK"/>
          <w:sz w:val="32"/>
          <w:szCs w:val="32"/>
          <w:shd w:val="clear" w:color="auto" w:fill="FFFFFF"/>
        </w:rPr>
        <w:t>经费。</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widowControl w:val="0"/>
        <w:kinsoku/>
        <w:wordWrap/>
        <w:overflowPunct/>
        <w:topLinePunct w:val="0"/>
        <w:autoSpaceDE w:val="0"/>
        <w:autoSpaceDN/>
        <w:bidi w:val="0"/>
        <w:adjustRightInd/>
        <w:snapToGrid/>
        <w:spacing w:line="560" w:lineRule="exact"/>
        <w:ind w:firstLine="640"/>
        <w:textAlignment w:val="auto"/>
        <w:outlineLvl w:val="9"/>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（三）“三公”经费实物量情况</w:t>
      </w:r>
    </w:p>
    <w:p>
      <w:pPr>
        <w:pStyle w:val="9"/>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2023年度本单位因公出国（境）共计</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个团组，</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人；公务用车购置</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辆，公务车保有量为</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辆；国内公务接待</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批次</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人，其中：国内外事接待</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批次，</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人；国（境）外公务接待</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批次，</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人。2023年本单位人均接待费</w:t>
      </w:r>
      <w:r>
        <w:rPr>
          <w:rFonts w:ascii="Times New Roman" w:hAnsi="Times New Roman" w:eastAsia="方正仿宋_GBK"/>
          <w:sz w:val="32"/>
          <w:szCs w:val="32"/>
        </w:rPr>
        <w:t>0.00</w:t>
      </w:r>
      <w:r>
        <w:rPr>
          <w:rFonts w:hint="default" w:ascii="Times New Roman" w:hAnsi="Times New Roman" w:eastAsia="方正仿宋_GBK"/>
          <w:sz w:val="32"/>
          <w:szCs w:val="32"/>
          <w:shd w:val="clear" w:color="auto" w:fill="FFFFFF"/>
        </w:rPr>
        <w:t>元，车均购置费</w:t>
      </w:r>
      <w:r>
        <w:rPr>
          <w:rFonts w:hint="default" w:ascii="Times New Roman" w:hAnsi="Times New Roman" w:eastAsia="方正仿宋_GBK"/>
          <w:sz w:val="32"/>
          <w:szCs w:val="32"/>
        </w:rPr>
        <w:t>0</w:t>
      </w:r>
      <w:r>
        <w:rPr>
          <w:rFonts w:ascii="Times New Roman" w:hAnsi="Times New Roman" w:eastAsia="方正仿宋_GBK"/>
          <w:sz w:val="32"/>
          <w:szCs w:val="32"/>
        </w:rPr>
        <w:t>.00</w:t>
      </w:r>
      <w:r>
        <w:rPr>
          <w:rFonts w:hint="default" w:ascii="Times New Roman" w:hAnsi="Times New Roman" w:eastAsia="方正仿宋_GBK"/>
          <w:sz w:val="32"/>
          <w:szCs w:val="32"/>
          <w:shd w:val="clear" w:color="auto" w:fill="FFFFFF"/>
        </w:rPr>
        <w:t>万元，车均维护费</w:t>
      </w:r>
      <w:r>
        <w:rPr>
          <w:rFonts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b w:val="0"/>
          <w:bCs/>
          <w:sz w:val="32"/>
          <w:szCs w:val="32"/>
          <w:shd w:val="clear" w:color="auto" w:fill="FFFFFF"/>
        </w:rPr>
      </w:pPr>
      <w:r>
        <w:rPr>
          <w:rStyle w:val="11"/>
          <w:rFonts w:hint="default" w:ascii="Times New Roman" w:hAnsi="Times New Roman" w:eastAsia="方正黑体_GBK"/>
          <w:b w:val="0"/>
          <w:bCs/>
          <w:sz w:val="32"/>
          <w:szCs w:val="32"/>
          <w:shd w:val="clear" w:color="auto" w:fill="FFFFFF"/>
        </w:rPr>
        <w:t>四、其他需要说明的事项</w:t>
      </w:r>
    </w:p>
    <w:p>
      <w:pPr>
        <w:pStyle w:val="14"/>
        <w:keepNext w:val="0"/>
        <w:keepLines w:val="0"/>
        <w:pageBreakBefore w:val="0"/>
        <w:widowControl w:val="0"/>
        <w:kinsoku/>
        <w:wordWrap/>
        <w:overflowPunct/>
        <w:topLinePunct w:val="0"/>
        <w:autoSpaceDE w:val="0"/>
        <w:autoSpaceDN/>
        <w:bidi w:val="0"/>
        <w:adjustRightInd/>
        <w:spacing w:line="560" w:lineRule="exact"/>
        <w:ind w:firstLine="640"/>
        <w:textAlignment w:val="auto"/>
        <w:outlineLvl w:val="9"/>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（一）财政拨款会议费和培训费情况说明</w:t>
      </w:r>
    </w:p>
    <w:p>
      <w:pPr>
        <w:pStyle w:val="15"/>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hint="eastAsia" w:ascii="方正仿宋_GBK" w:hAnsi="Times New Roman" w:eastAsia="方正仿宋_GBK"/>
          <w:sz w:val="32"/>
          <w:szCs w:val="32"/>
          <w:shd w:val="clear" w:color="auto" w:fill="FFFFFF"/>
        </w:rPr>
        <w:t>本单位属于差额拨款单位，财政未保障本单位</w:t>
      </w:r>
      <w:r>
        <w:rPr>
          <w:rFonts w:hint="eastAsia" w:ascii="Times New Roman" w:hAnsi="Times New Roman" w:eastAsia="方正仿宋_GBK"/>
          <w:sz w:val="32"/>
          <w:szCs w:val="32"/>
          <w:shd w:val="clear" w:color="auto" w:fill="FFFFFF"/>
        </w:rPr>
        <w:t>会议费和培训费。</w:t>
      </w:r>
    </w:p>
    <w:p>
      <w:pPr>
        <w:pStyle w:val="14"/>
        <w:widowControl w:val="0"/>
        <w:numPr>
          <w:ilvl w:val="0"/>
          <w:numId w:val="2"/>
        </w:numPr>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机关运行经费情况说明</w:t>
      </w:r>
    </w:p>
    <w:p>
      <w:pPr>
        <w:pStyle w:val="14"/>
        <w:widowControl w:val="0"/>
        <w:autoSpaceDE w:val="0"/>
        <w:spacing w:line="560" w:lineRule="exact"/>
        <w:ind w:firstLine="640"/>
        <w:rPr>
          <w:rFonts w:hint="default" w:ascii="Times New Roman" w:hAnsi="Times New Roman" w:eastAsia="方正仿宋_GBK" w:cs="Times New Roman"/>
          <w:kern w:val="0"/>
          <w:sz w:val="31"/>
          <w:szCs w:val="31"/>
        </w:rPr>
      </w:pPr>
      <w:r>
        <w:rPr>
          <w:rFonts w:hint="default" w:ascii="Times New Roman" w:hAnsi="Times New Roman" w:eastAsia="方正仿宋_GBK" w:cs="Times New Roman"/>
          <w:kern w:val="0"/>
          <w:sz w:val="32"/>
          <w:szCs w:val="32"/>
        </w:rPr>
        <w:t>按照部门决算列报口径，</w:t>
      </w:r>
      <w:r>
        <w:rPr>
          <w:rFonts w:hint="default" w:ascii="Times New Roman" w:hAnsi="Times New Roman" w:eastAsia="方正仿宋_GBK" w:cs="Times New Roman"/>
          <w:kern w:val="0"/>
          <w:sz w:val="31"/>
          <w:szCs w:val="31"/>
        </w:rPr>
        <w:t>因本单位为差额拨款事业单位不在机关运行经费统计范围之内。</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（三）国有资产占用情况说明</w:t>
      </w:r>
    </w:p>
    <w:p>
      <w:pPr>
        <w:pStyle w:val="9"/>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rPr>
      </w:pPr>
      <w:r>
        <w:rPr>
          <w:rFonts w:hint="default" w:ascii="Times New Roman" w:hAnsi="Times New Roman" w:eastAsia="方正仿宋_GBK"/>
          <w:sz w:val="32"/>
          <w:szCs w:val="32"/>
          <w:shd w:val="clear" w:color="auto" w:fill="FFFFFF"/>
        </w:rPr>
        <w:t>截至2023年12月31日，本单位共有车辆</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辆，其中，副部（省）级及以上领导用车</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辆、主要负责人用车</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辆、机要通信用车</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辆、应急保障用车</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辆、执法执勤用车</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辆，特种专业技术用车</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辆，离退休干部用车</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辆。单价100万元（含）以上专用设备</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台（套）。</w:t>
      </w:r>
    </w:p>
    <w:p>
      <w:pPr>
        <w:pStyle w:val="14"/>
        <w:keepNext w:val="0"/>
        <w:keepLines w:val="0"/>
        <w:pageBreakBefore w:val="0"/>
        <w:widowControl w:val="0"/>
        <w:kinsoku/>
        <w:wordWrap/>
        <w:overflowPunct/>
        <w:topLinePunct w:val="0"/>
        <w:autoSpaceDE w:val="0"/>
        <w:autoSpaceDN/>
        <w:bidi w:val="0"/>
        <w:adjustRightInd/>
        <w:snapToGrid/>
        <w:spacing w:line="560" w:lineRule="exact"/>
        <w:ind w:firstLine="640"/>
        <w:textAlignment w:val="auto"/>
        <w:outlineLvl w:val="9"/>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（四）政府采购支出情况说明</w:t>
      </w:r>
    </w:p>
    <w:p>
      <w:pPr>
        <w:pStyle w:val="21"/>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sz w:val="32"/>
          <w:szCs w:val="32"/>
          <w:shd w:val="clear" w:color="auto" w:fill="FFFFFF"/>
        </w:rPr>
        <w:t>2023年度本单位政府采购支出总额</w:t>
      </w:r>
      <w:r>
        <w:rPr>
          <w:rFonts w:hint="eastAsia" w:ascii="Times New Roman" w:hAnsi="Times New Roman" w:eastAsia="方正仿宋_GBK"/>
          <w:sz w:val="32"/>
          <w:szCs w:val="32"/>
        </w:rPr>
        <w:t>0</w:t>
      </w:r>
      <w:r>
        <w:rPr>
          <w:rFonts w:ascii="Times New Roman" w:hAnsi="Times New Roman" w:eastAsia="方正仿宋_GBK"/>
          <w:sz w:val="32"/>
          <w:szCs w:val="32"/>
          <w:shd w:val="clear" w:color="auto" w:fill="FFFFFF"/>
        </w:rPr>
        <w:t>万元，其中：政府采购货物支出</w:t>
      </w:r>
      <w:r>
        <w:rPr>
          <w:rFonts w:hint="eastAsia" w:ascii="Times New Roman" w:hAnsi="Times New Roman" w:eastAsia="方正仿宋_GBK"/>
          <w:sz w:val="32"/>
          <w:szCs w:val="32"/>
        </w:rPr>
        <w:t>0</w:t>
      </w:r>
      <w:r>
        <w:rPr>
          <w:rFonts w:ascii="Times New Roman" w:hAnsi="Times New Roman" w:eastAsia="方正仿宋_GBK"/>
          <w:sz w:val="32"/>
          <w:szCs w:val="32"/>
          <w:shd w:val="clear" w:color="auto" w:fill="FFFFFF"/>
        </w:rPr>
        <w:t>万元、政府采购工程支出</w:t>
      </w:r>
      <w:r>
        <w:rPr>
          <w:rFonts w:ascii="Times New Roman" w:hAnsi="Times New Roman" w:eastAsia="方正仿宋_GBK"/>
          <w:sz w:val="32"/>
          <w:szCs w:val="32"/>
        </w:rPr>
        <w:t>0</w:t>
      </w:r>
      <w:r>
        <w:rPr>
          <w:rFonts w:ascii="Times New Roman" w:hAnsi="Times New Roman" w:eastAsia="方正仿宋_GBK"/>
          <w:sz w:val="32"/>
          <w:szCs w:val="32"/>
          <w:shd w:val="clear" w:color="auto" w:fill="FFFFFF"/>
        </w:rPr>
        <w:t>万元、政府采购服务支出</w:t>
      </w:r>
      <w:r>
        <w:rPr>
          <w:rFonts w:hint="eastAsia" w:ascii="Times New Roman" w:hAnsi="Times New Roman" w:eastAsia="方正仿宋_GBK"/>
          <w:sz w:val="32"/>
          <w:szCs w:val="32"/>
        </w:rPr>
        <w:t>0</w:t>
      </w:r>
      <w:r>
        <w:rPr>
          <w:rFonts w:ascii="Times New Roman" w:hAnsi="Times New Roman" w:eastAsia="方正仿宋_GBK"/>
          <w:sz w:val="32"/>
          <w:szCs w:val="32"/>
          <w:shd w:val="clear" w:color="auto" w:fill="FFFFFF"/>
        </w:rPr>
        <w:t>万元。授予中小企业合同金额</w:t>
      </w:r>
      <w:r>
        <w:rPr>
          <w:rFonts w:hint="eastAsia" w:ascii="Times New Roman" w:hAnsi="Times New Roman" w:eastAsia="方正仿宋_GBK"/>
          <w:sz w:val="32"/>
          <w:szCs w:val="32"/>
        </w:rPr>
        <w:t>0</w:t>
      </w:r>
      <w:r>
        <w:rPr>
          <w:rFonts w:ascii="Times New Roman" w:hAnsi="Times New Roman" w:eastAsia="方正仿宋_GBK"/>
          <w:sz w:val="32"/>
          <w:szCs w:val="32"/>
        </w:rPr>
        <w:t>万</w:t>
      </w:r>
      <w:r>
        <w:rPr>
          <w:rFonts w:ascii="Times New Roman" w:hAnsi="Times New Roman" w:eastAsia="方正仿宋_GBK"/>
          <w:sz w:val="32"/>
          <w:szCs w:val="32"/>
          <w:shd w:val="clear" w:color="auto" w:fill="FFFFFF"/>
        </w:rPr>
        <w:t>元，占政府采购支出总额的</w:t>
      </w:r>
      <w:r>
        <w:rPr>
          <w:rFonts w:hint="eastAsia" w:ascii="Times New Roman" w:hAnsi="Times New Roman" w:eastAsia="方正仿宋_GBK"/>
          <w:sz w:val="32"/>
          <w:szCs w:val="32"/>
        </w:rPr>
        <w:t>0.00</w:t>
      </w:r>
      <w:r>
        <w:rPr>
          <w:rFonts w:ascii="Times New Roman" w:hAnsi="Times New Roman" w:eastAsia="方正仿宋_GBK"/>
          <w:sz w:val="32"/>
          <w:szCs w:val="32"/>
          <w:shd w:val="clear" w:color="auto" w:fill="FFFFFF"/>
        </w:rPr>
        <w:t>%，其中：授予小微企业合同金额</w:t>
      </w:r>
      <w:r>
        <w:rPr>
          <w:rFonts w:hint="eastAsia" w:ascii="Times New Roman" w:hAnsi="Times New Roman" w:eastAsia="方正仿宋_GBK"/>
          <w:sz w:val="32"/>
          <w:szCs w:val="32"/>
        </w:rPr>
        <w:t>0</w:t>
      </w:r>
      <w:r>
        <w:rPr>
          <w:rFonts w:ascii="Times New Roman" w:hAnsi="Times New Roman" w:eastAsia="方正仿宋_GBK"/>
          <w:sz w:val="32"/>
          <w:szCs w:val="32"/>
          <w:shd w:val="clear" w:color="auto" w:fill="FFFFFF"/>
        </w:rPr>
        <w:t>万元，占政府采购支出总额的</w:t>
      </w:r>
      <w:r>
        <w:rPr>
          <w:rFonts w:hint="eastAsia" w:ascii="Times New Roman" w:hAnsi="Times New Roman" w:eastAsia="方正仿宋_GBK"/>
          <w:sz w:val="32"/>
          <w:szCs w:val="32"/>
        </w:rPr>
        <w:t>0.00</w:t>
      </w:r>
      <w:r>
        <w:rPr>
          <w:rFonts w:ascii="Times New Roman" w:hAnsi="Times New Roman" w:eastAsia="方正仿宋_GBK"/>
          <w:sz w:val="32"/>
          <w:szCs w:val="32"/>
          <w:shd w:val="clear" w:color="auto" w:fill="FFFFFF"/>
        </w:rPr>
        <w:t>%。</w:t>
      </w:r>
    </w:p>
    <w:p>
      <w:pPr>
        <w:pStyle w:val="14"/>
        <w:widowControl w:val="0"/>
        <w:numPr>
          <w:ilvl w:val="0"/>
          <w:numId w:val="3"/>
        </w:numPr>
        <w:autoSpaceDE w:val="0"/>
        <w:spacing w:line="560" w:lineRule="exact"/>
        <w:ind w:firstLine="640"/>
        <w:rPr>
          <w:rStyle w:val="11"/>
          <w:rFonts w:ascii="Times New Roman" w:hAnsi="Times New Roman" w:eastAsia="方正黑体_GBK"/>
          <w:b w:val="0"/>
          <w:bCs/>
          <w:sz w:val="32"/>
          <w:szCs w:val="32"/>
          <w:shd w:val="clear" w:color="auto" w:fill="FFFFFF"/>
        </w:rPr>
      </w:pPr>
      <w:r>
        <w:rPr>
          <w:rStyle w:val="11"/>
          <w:rFonts w:ascii="Times New Roman" w:hAnsi="Times New Roman" w:eastAsia="方正黑体_GBK"/>
          <w:b w:val="0"/>
          <w:bCs/>
          <w:sz w:val="32"/>
          <w:szCs w:val="32"/>
          <w:shd w:val="clear" w:color="auto" w:fill="FFFFFF"/>
        </w:rPr>
        <w:t>预算绩效管理情况说明</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698" w:tblpY="282"/>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pPr>
            <w: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基本公共卫生服务县级配套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居民健康水平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持续提高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leftChars="0" w:firstLine="640" w:firstLineChars="200"/>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三）</w:t>
      </w:r>
      <w:r>
        <w:rPr>
          <w:rFonts w:hint="default" w:ascii="方正楷体_GBK" w:hAnsi="方正楷体_GBK" w:eastAsia="方正楷体_GBK" w:cs="方正楷体_GBK"/>
          <w:b w:val="0"/>
          <w:bCs w:val="0"/>
          <w:sz w:val="32"/>
          <w:szCs w:val="32"/>
          <w:shd w:val="clear" w:color="auto" w:fill="FFFFFF"/>
        </w:rPr>
        <w:t>财政绩效评价情况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sz w:val="32"/>
          <w:szCs w:val="32"/>
          <w:shd w:val="clear" w:color="auto" w:fill="FFFFFF"/>
        </w:rPr>
      </w:pPr>
      <w:r>
        <w:rPr>
          <w:rFonts w:hint="eastAsia" w:ascii="Times New Roman" w:hAnsi="Times New Roman" w:eastAsia="方正仿宋_GBK" w:cs="Times New Roman"/>
          <w:b w:val="0"/>
          <w:bCs w:val="0"/>
          <w:kern w:val="0"/>
          <w:sz w:val="32"/>
          <w:szCs w:val="32"/>
          <w:lang w:val="en-US" w:eastAsia="zh-CN" w:bidi="ar-SA"/>
        </w:rPr>
        <w:t>县</w:t>
      </w:r>
      <w:r>
        <w:rPr>
          <w:rFonts w:hint="default" w:ascii="Times New Roman" w:hAnsi="Times New Roman" w:eastAsia="方正仿宋_GBK" w:cs="Times New Roman"/>
          <w:b w:val="0"/>
          <w:bCs w:val="0"/>
          <w:kern w:val="0"/>
          <w:sz w:val="32"/>
          <w:szCs w:val="32"/>
          <w:lang w:val="en-US" w:eastAsia="zh-CN" w:bidi="ar-SA"/>
        </w:rPr>
        <w:t>财政局未委托第三方对</w:t>
      </w: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开展绩效评价</w:t>
      </w:r>
      <w:r>
        <w:rPr>
          <w:rFonts w:hint="eastAsia" w:ascii="Times New Roman" w:hAnsi="Times New Roman" w:eastAsia="方正仿宋_GBK" w:cs="Times New Roman"/>
          <w:b w:val="0"/>
          <w:bCs w:val="0"/>
          <w:kern w:val="0"/>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Style w:val="11"/>
          <w:rFonts w:hint="default" w:ascii="Times New Roman" w:hAnsi="Times New Roman" w:eastAsia="方正黑体_GBK"/>
          <w:b w:val="0"/>
          <w:bCs/>
          <w:sz w:val="32"/>
          <w:szCs w:val="32"/>
          <w:shd w:val="clear" w:color="auto" w:fill="FFFFFF"/>
        </w:rPr>
      </w:pPr>
      <w:r>
        <w:rPr>
          <w:rStyle w:val="11"/>
          <w:rFonts w:hint="default" w:ascii="Times New Roman" w:hAnsi="Times New Roman" w:eastAsia="方正黑体_GBK"/>
          <w:b w:val="0"/>
          <w:bCs/>
          <w:sz w:val="32"/>
          <w:szCs w:val="32"/>
          <w:shd w:val="clear" w:color="auto" w:fill="FFFFFF"/>
        </w:rPr>
        <w:t>六、专业名词解释</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eastAsia" w:ascii="方正楷体_GBK" w:hAnsi="方正楷体_GBK" w:eastAsia="方正楷体_GBK" w:cs="方正楷体_GBK"/>
          <w:b/>
          <w:bCs/>
          <w:sz w:val="32"/>
          <w:szCs w:val="32"/>
          <w:shd w:val="clear" w:color="auto" w:fill="FFFFFF"/>
        </w:rPr>
        <w:t>（一）财政拨款收入：</w:t>
      </w:r>
      <w:r>
        <w:rPr>
          <w:rFonts w:hint="default" w:ascii="Times New Roman" w:hAnsi="Times New Roman" w:eastAsia="方正仿宋_GBK"/>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（二）事业收入：</w:t>
      </w:r>
      <w:r>
        <w:rPr>
          <w:rFonts w:hint="default" w:ascii="Times New Roman" w:hAnsi="Times New Roman" w:eastAsia="方正仿宋_GBK"/>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（三）经营收入：</w:t>
      </w:r>
      <w:r>
        <w:rPr>
          <w:rFonts w:hint="default" w:ascii="Times New Roman" w:hAnsi="Times New Roman" w:eastAsia="方正仿宋_GBK"/>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（四）其他收入：</w:t>
      </w:r>
      <w:r>
        <w:rPr>
          <w:rFonts w:hint="default" w:ascii="Times New Roman" w:hAnsi="Times New Roman" w:eastAsia="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（五）使用非财政拨款结余：</w:t>
      </w:r>
      <w:r>
        <w:rPr>
          <w:rFonts w:hint="default" w:ascii="Times New Roman" w:hAnsi="Times New Roman" w:eastAsia="方正仿宋_GBK"/>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（六）年初结转和结余：</w:t>
      </w:r>
      <w:r>
        <w:rPr>
          <w:rFonts w:hint="default" w:ascii="Times New Roman" w:hAnsi="Times New Roman" w:eastAsia="方正仿宋_GBK"/>
          <w:sz w:val="32"/>
          <w:szCs w:val="32"/>
          <w:shd w:val="clear" w:color="auto" w:fill="FFFFFF"/>
        </w:rPr>
        <w:t>指单位上年结转本年使用的基本支出结转、项目支出结转和结余、经营结余。</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（七）结余分配：</w:t>
      </w:r>
      <w:r>
        <w:rPr>
          <w:rFonts w:hint="default" w:ascii="Times New Roman" w:hAnsi="Times New Roman" w:eastAsia="方正仿宋_GBK"/>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（八）年末结转和结余：</w:t>
      </w:r>
      <w:r>
        <w:rPr>
          <w:rFonts w:hint="default" w:ascii="Times New Roman" w:hAnsi="Times New Roman" w:eastAsia="方正仿宋_GBK"/>
          <w:sz w:val="32"/>
          <w:szCs w:val="32"/>
          <w:shd w:val="clear" w:color="auto" w:fill="FFFFFF"/>
        </w:rPr>
        <w:t>指单位结转下年的基本支出结转、项目支出结转和结余、经营结余。</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（九）基本支出：</w:t>
      </w:r>
      <w:r>
        <w:rPr>
          <w:rFonts w:hint="default" w:ascii="Times New Roman" w:hAnsi="Times New Roman" w:eastAsia="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（十）项目支出：</w:t>
      </w:r>
      <w:r>
        <w:rPr>
          <w:rFonts w:hint="default" w:ascii="Times New Roman" w:hAnsi="Times New Roman" w:eastAsia="方正仿宋_GBK"/>
          <w:sz w:val="32"/>
          <w:szCs w:val="32"/>
          <w:shd w:val="clear" w:color="auto" w:fill="FFFFFF"/>
        </w:rPr>
        <w:t>指在基本支出之外为完成特定行政任务和事业发展目标所发生的支出。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（十一）经营支出：</w:t>
      </w:r>
      <w:r>
        <w:rPr>
          <w:rFonts w:hint="default" w:ascii="Times New Roman" w:hAnsi="Times New Roman" w:eastAsia="方正仿宋_GBK"/>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（十二）“三公”经费：</w:t>
      </w:r>
      <w:r>
        <w:rPr>
          <w:rFonts w:hint="default" w:ascii="Times New Roman" w:hAnsi="Times New Roman" w:eastAsia="方正仿宋_GBK"/>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（十三）机关运行经费：</w:t>
      </w:r>
      <w:r>
        <w:rPr>
          <w:rFonts w:hint="default" w:ascii="Times New Roman" w:hAnsi="Times New Roman" w:eastAsia="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（十四）工资福利支出（支出经济分类科目类级）：</w:t>
      </w:r>
      <w:r>
        <w:rPr>
          <w:rFonts w:hint="default" w:ascii="Times New Roman" w:hAnsi="Times New Roman" w:eastAsia="方正仿宋_GBK"/>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方正楷体_GBK" w:hAnsi="方正楷体_GBK" w:eastAsia="方正楷体_GBK" w:cs="方正楷体_GBK"/>
          <w:b/>
          <w:bCs/>
          <w:sz w:val="32"/>
          <w:szCs w:val="32"/>
          <w:shd w:val="clear" w:color="auto" w:fill="FFFFFF"/>
        </w:rPr>
        <w:t>（十五）商品和服务支出（支出经济分类科目类级）：</w:t>
      </w:r>
      <w:r>
        <w:rPr>
          <w:rFonts w:hint="default" w:ascii="Times New Roman" w:hAnsi="Times New Roman" w:eastAsia="方正仿宋_GBK"/>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shd w:val="clear" w:color="auto" w:fill="FFFFFF"/>
        </w:rPr>
      </w:pPr>
      <w:r>
        <w:rPr>
          <w:rFonts w:hint="default" w:ascii="方正楷体_GBK" w:hAnsi="方正楷体_GBK" w:eastAsia="方正楷体_GBK" w:cs="方正楷体_GBK"/>
          <w:b/>
          <w:bCs/>
          <w:sz w:val="32"/>
          <w:szCs w:val="32"/>
          <w:shd w:val="clear" w:color="auto" w:fill="FFFFFF"/>
        </w:rPr>
        <w:t>（十六）对个人和家庭的补助（支出经济分类科目类级）：</w:t>
      </w:r>
      <w:r>
        <w:rPr>
          <w:rFonts w:hint="default" w:ascii="Times New Roman" w:hAnsi="Times New Roman" w:eastAsia="方正仿宋_GBK"/>
          <w:sz w:val="32"/>
          <w:szCs w:val="32"/>
          <w:shd w:val="clear" w:color="auto" w:fill="FFFFFF"/>
        </w:rPr>
        <w:t>反映用于对个人和家庭的补助支出。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shd w:val="clear" w:color="auto" w:fill="FFFFFF"/>
        </w:rPr>
      </w:pPr>
      <w:r>
        <w:rPr>
          <w:rFonts w:hint="default" w:ascii="方正楷体_GBK" w:hAnsi="方正楷体_GBK" w:eastAsia="方正楷体_GBK" w:cs="方正楷体_GBK"/>
          <w:b/>
          <w:bCs/>
          <w:sz w:val="32"/>
          <w:szCs w:val="32"/>
          <w:shd w:val="clear" w:color="auto" w:fill="FFFFFF"/>
        </w:rPr>
        <w:t>（十七）其他资本性支出（支出经济分类科目类级）：</w:t>
      </w:r>
      <w:r>
        <w:rPr>
          <w:rFonts w:hint="default" w:ascii="Times New Roman" w:hAnsi="Times New Roman" w:eastAsia="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b w:val="0"/>
          <w:bCs/>
          <w:sz w:val="32"/>
          <w:szCs w:val="32"/>
          <w:shd w:val="clear" w:color="auto" w:fill="FFFFFF"/>
        </w:rPr>
      </w:pPr>
      <w:r>
        <w:rPr>
          <w:rStyle w:val="11"/>
          <w:rFonts w:hint="default" w:ascii="Times New Roman" w:hAnsi="Times New Roman" w:eastAsia="方正黑体_GBK"/>
          <w:b w:val="0"/>
          <w:bCs/>
          <w:sz w:val="32"/>
          <w:szCs w:val="32"/>
          <w:shd w:val="clear" w:color="auto" w:fill="FFFFFF"/>
        </w:rPr>
        <w:t>七、决算公开联系方式及信息反馈渠道</w:t>
      </w:r>
    </w:p>
    <w:p>
      <w:pPr>
        <w:pStyle w:val="14"/>
        <w:keepNext w:val="0"/>
        <w:keepLines w:val="0"/>
        <w:pageBreakBefore w:val="0"/>
        <w:kinsoku/>
        <w:wordWrap/>
        <w:overflowPunct/>
        <w:topLinePunct w:val="0"/>
        <w:autoSpaceDE w:val="0"/>
        <w:autoSpaceDN/>
        <w:bidi w:val="0"/>
        <w:adjustRightInd/>
        <w:spacing w:line="560" w:lineRule="exact"/>
        <w:ind w:firstLine="640"/>
        <w:jc w:val="both"/>
        <w:textAlignment w:val="auto"/>
        <w:outlineLvl w:val="9"/>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本单位决算公开信息反馈和联系方式：</w:t>
      </w:r>
    </w:p>
    <w:p>
      <w:pPr>
        <w:pStyle w:val="14"/>
        <w:keepNext w:val="0"/>
        <w:keepLines w:val="0"/>
        <w:pageBreakBefore w:val="0"/>
        <w:kinsoku/>
        <w:wordWrap/>
        <w:overflowPunct/>
        <w:topLinePunct w:val="0"/>
        <w:autoSpaceDE w:val="0"/>
        <w:autoSpaceDN/>
        <w:bidi w:val="0"/>
        <w:adjustRightInd/>
        <w:spacing w:line="560" w:lineRule="exact"/>
        <w:ind w:firstLine="640"/>
        <w:jc w:val="both"/>
        <w:textAlignment w:val="auto"/>
        <w:outlineLvl w:val="9"/>
        <w:rPr>
          <w:rStyle w:val="11"/>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sz w:val="32"/>
          <w:szCs w:val="32"/>
          <w:shd w:val="clear" w:color="auto" w:fill="FFFFFF"/>
        </w:rPr>
        <w:t>白晓玲</w:t>
      </w:r>
      <w:r>
        <w:rPr>
          <w:rFonts w:hint="eastAsia" w:ascii="Times New Roman" w:hAnsi="Times New Roman" w:eastAsia="方正仿宋_GBK"/>
          <w:sz w:val="32"/>
          <w:szCs w:val="32"/>
          <w:shd w:val="clear" w:color="auto" w:fill="FFFFFF"/>
          <w:lang w:val="en-US" w:eastAsia="zh-CN"/>
        </w:rPr>
        <w:t xml:space="preserve">  </w:t>
      </w:r>
      <w:r>
        <w:rPr>
          <w:rFonts w:hint="eastAsia" w:ascii="Times New Roman" w:hAnsi="Times New Roman" w:eastAsia="方正仿宋_GBK"/>
          <w:sz w:val="32"/>
          <w:szCs w:val="32"/>
          <w:shd w:val="clear" w:color="auto" w:fill="FFFFFF"/>
        </w:rPr>
        <w:t>13896808138</w:t>
      </w:r>
    </w:p>
    <w:p>
      <w:pPr>
        <w:rPr>
          <w:rFonts w:hint="default" w:cs="宋体"/>
          <w:sz w:val="21"/>
          <w:szCs w:val="21"/>
        </w:rPr>
      </w:pPr>
    </w:p>
    <w:tbl>
      <w:tblPr>
        <w:tblStyle w:val="12"/>
        <w:tblW w:w="15580" w:type="dxa"/>
        <w:tblInd w:w="0" w:type="dxa"/>
        <w:tblLayout w:type="fixed"/>
        <w:tblCellMar>
          <w:top w:w="0" w:type="dxa"/>
          <w:left w:w="0" w:type="dxa"/>
          <w:bottom w:w="0" w:type="dxa"/>
          <w:right w:w="0" w:type="dxa"/>
        </w:tblCellMar>
      </w:tblPr>
      <w:tblGrid>
        <w:gridCol w:w="5186"/>
        <w:gridCol w:w="2043"/>
        <w:gridCol w:w="4866"/>
        <w:gridCol w:w="1"/>
        <w:gridCol w:w="3484"/>
      </w:tblGrid>
      <w:tr>
        <w:tblPrEx>
          <w:tblLayout w:type="fixed"/>
          <w:tblCellMar>
            <w:top w:w="0" w:type="dxa"/>
            <w:left w:w="0" w:type="dxa"/>
            <w:bottom w:w="0" w:type="dxa"/>
            <w:right w:w="0" w:type="dxa"/>
          </w:tblCellMar>
        </w:tblPrEx>
        <w:trPr>
          <w:trHeight w:val="90" w:hRule="atLeast"/>
        </w:trPr>
        <w:tc>
          <w:tcPr>
            <w:tcW w:w="1558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90" w:hRule="atLeast"/>
        </w:trPr>
        <w:tc>
          <w:tcPr>
            <w:tcW w:w="51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43"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6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90" w:hRule="atLeast"/>
        </w:trPr>
        <w:tc>
          <w:tcPr>
            <w:tcW w:w="7229"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公开单位：</w:t>
            </w:r>
            <w:r>
              <w:rPr>
                <w:sz w:val="20"/>
              </w:rPr>
              <w:t>重庆市秀山土家族苗族自治县妇女儿童医院</w:t>
            </w:r>
          </w:p>
        </w:tc>
        <w:tc>
          <w:tcPr>
            <w:tcW w:w="486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722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351"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4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85"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520.56</w:t>
            </w:r>
            <w:r>
              <w:rPr>
                <w:color w:val="000000"/>
                <w:sz w:val="20"/>
              </w:rPr>
              <w:t xml:space="preserve"> </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328.68</w:t>
            </w:r>
            <w:r>
              <w:rPr>
                <w:color w:val="000000"/>
                <w:sz w:val="20"/>
              </w:rPr>
              <w:t xml:space="preserve"> </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43"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61.11</w:t>
            </w: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758.25</w:t>
            </w: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29.89</w:t>
            </w: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849.24</w:t>
            </w:r>
            <w:r>
              <w:rPr>
                <w:color w:val="000000"/>
                <w:sz w:val="20"/>
              </w:rPr>
              <w:t xml:space="preserve"> </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849.24</w:t>
            </w: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86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85" w:type="dxa"/>
            <w:gridSpan w:val="2"/>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90" w:hRule="atLeast"/>
        </w:trPr>
        <w:tc>
          <w:tcPr>
            <w:tcW w:w="51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849.24</w:t>
            </w:r>
            <w:r>
              <w:rPr>
                <w:color w:val="000000"/>
                <w:sz w:val="20"/>
              </w:rPr>
              <w:t xml:space="preserve"> </w:t>
            </w:r>
          </w:p>
        </w:tc>
        <w:tc>
          <w:tcPr>
            <w:tcW w:w="4866"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8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849.24</w:t>
            </w:r>
            <w:r>
              <w:rPr>
                <w:color w:val="000000"/>
                <w:sz w:val="20"/>
              </w:rPr>
              <w:t xml:space="preserve"> </w:t>
            </w:r>
          </w:p>
        </w:tc>
      </w:tr>
    </w:tbl>
    <w:p>
      <w:pPr>
        <w:rPr>
          <w:rFonts w:hint="default"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本年度的总收支和年末结转结余情况。</w:t>
      </w:r>
      <w:r>
        <w:rPr>
          <w:rFonts w:cs="宋体"/>
          <w:sz w:val="21"/>
          <w:szCs w:val="21"/>
        </w:rPr>
        <w:br w:type="textWrapping"/>
      </w:r>
      <w:r>
        <w:rPr>
          <w:rFonts w:cs="宋体"/>
          <w:sz w:val="21"/>
          <w:szCs w:val="21"/>
        </w:rPr>
        <w:t xml:space="preserve">      2.本套报表金额单位转换时可能存在尾数误差。</w:t>
      </w:r>
    </w:p>
    <w:p>
      <w:pPr>
        <w:rPr>
          <w:rFonts w:hint="default" w:cs="宋体"/>
          <w:sz w:val="21"/>
          <w:szCs w:val="21"/>
        </w:rPr>
      </w:pPr>
    </w:p>
    <w:tbl>
      <w:tblPr>
        <w:tblStyle w:val="12"/>
        <w:tblW w:w="15240" w:type="dxa"/>
        <w:tblInd w:w="0" w:type="dxa"/>
        <w:tblLayout w:type="fixed"/>
        <w:tblCellMar>
          <w:top w:w="0" w:type="dxa"/>
          <w:left w:w="0" w:type="dxa"/>
          <w:bottom w:w="0" w:type="dxa"/>
          <w:right w:w="0" w:type="dxa"/>
        </w:tblCellMar>
      </w:tblPr>
      <w:tblGrid>
        <w:gridCol w:w="1686"/>
        <w:gridCol w:w="3143"/>
        <w:gridCol w:w="1222"/>
        <w:gridCol w:w="1222"/>
        <w:gridCol w:w="1222"/>
        <w:gridCol w:w="1222"/>
        <w:gridCol w:w="1353"/>
        <w:gridCol w:w="1296"/>
        <w:gridCol w:w="1426"/>
        <w:gridCol w:w="1448"/>
      </w:tblGrid>
      <w:tr>
        <w:tblPrEx>
          <w:tblLayout w:type="fixed"/>
          <w:tblCellMar>
            <w:top w:w="0" w:type="dxa"/>
            <w:left w:w="0" w:type="dxa"/>
            <w:bottom w:w="0" w:type="dxa"/>
            <w:right w:w="0" w:type="dxa"/>
          </w:tblCellMar>
        </w:tblPrEx>
        <w:trPr>
          <w:trHeight w:val="626" w:hRule="atLeast"/>
        </w:trPr>
        <w:tc>
          <w:tcPr>
            <w:tcW w:w="15240"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5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rPr>
              <w:t>重庆市秀山土家族苗族自治县妇女儿童医院</w:t>
            </w:r>
          </w:p>
        </w:tc>
        <w:tc>
          <w:tcPr>
            <w:tcW w:w="122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5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2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05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5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2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5" w:hRule="atLeast"/>
        </w:trPr>
        <w:tc>
          <w:tcPr>
            <w:tcW w:w="4829"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5"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9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4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43" w:hRule="atLeast"/>
        </w:trPr>
        <w:tc>
          <w:tcPr>
            <w:tcW w:w="168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43"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5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43" w:hRule="atLeast"/>
        </w:trPr>
        <w:tc>
          <w:tcPr>
            <w:tcW w:w="168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4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5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43" w:hRule="atLeast"/>
        </w:trPr>
        <w:tc>
          <w:tcPr>
            <w:tcW w:w="168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4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5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43" w:hRule="atLeast"/>
        </w:trPr>
        <w:tc>
          <w:tcPr>
            <w:tcW w:w="168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4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5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47" w:hRule="atLeast"/>
        </w:trPr>
        <w:tc>
          <w:tcPr>
            <w:tcW w:w="482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849.24</w:t>
            </w:r>
            <w:r>
              <w:rPr>
                <w:b/>
                <w:color w:val="000000"/>
                <w:sz w:val="20"/>
              </w:rPr>
              <w:t xml:space="preserve"> </w:t>
            </w:r>
          </w:p>
        </w:tc>
        <w:tc>
          <w:tcPr>
            <w:tcW w:w="12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520.56</w:t>
            </w:r>
            <w:r>
              <w:rPr>
                <w:b/>
                <w:color w:val="000000"/>
                <w:sz w:val="20"/>
              </w:rPr>
              <w:t xml:space="preserve"> </w:t>
            </w:r>
          </w:p>
        </w:tc>
        <w:tc>
          <w:tcPr>
            <w:tcW w:w="12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2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328.68</w:t>
            </w:r>
            <w:r>
              <w:rPr>
                <w:b/>
                <w:color w:val="000000"/>
                <w:sz w:val="20"/>
              </w:rPr>
              <w:t xml:space="preserve"> </w:t>
            </w:r>
          </w:p>
        </w:tc>
        <w:tc>
          <w:tcPr>
            <w:tcW w:w="135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2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4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4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r>
        <w:tblPrEx>
          <w:tblLayout w:type="fixed"/>
          <w:tblCellMar>
            <w:top w:w="0" w:type="dxa"/>
            <w:left w:w="0" w:type="dxa"/>
            <w:bottom w:w="0" w:type="dxa"/>
            <w:right w:w="0" w:type="dxa"/>
          </w:tblCellMar>
        </w:tblPrEx>
        <w:trPr>
          <w:trHeight w:val="35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61.11</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61.11</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5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61.11</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61.11</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5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41.13</w:t>
            </w: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41.13</w:t>
            </w: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5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19.97</w:t>
            </w: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19.97</w:t>
            </w: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5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758.25</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429.57</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328.68</w:t>
            </w:r>
            <w:r>
              <w:rPr>
                <w:b/>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5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734.60</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405.92</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328.68</w:t>
            </w:r>
            <w:r>
              <w:rPr>
                <w:b/>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5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734.60</w:t>
            </w: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405.92</w:t>
            </w: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328.68</w:t>
            </w:r>
            <w:r>
              <w:rPr>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5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23.65</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23.65</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5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23.65</w:t>
            </w: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23.65</w:t>
            </w: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5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29.89</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29.89</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5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29.89</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29.89</w:t>
            </w:r>
            <w:r>
              <w:rPr>
                <w:b/>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66" w:hRule="atLeast"/>
        </w:trPr>
        <w:tc>
          <w:tcPr>
            <w:tcW w:w="16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29.89</w:t>
            </w: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29.89</w:t>
            </w: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bl>
    <w:p>
      <w:pPr>
        <w:ind w:left="630" w:hanging="630" w:hangingChars="300"/>
        <w:rPr>
          <w:rFonts w:hint="default"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本年度取得的各项收入情况。</w:t>
      </w:r>
      <w:r>
        <w:rPr>
          <w:rFonts w:cs="宋体"/>
          <w:sz w:val="21"/>
          <w:szCs w:val="21"/>
        </w:rPr>
        <w:br w:type="textWrapping"/>
      </w:r>
      <w:r>
        <w:rPr>
          <w:rFonts w:cs="宋体"/>
          <w:sz w:val="21"/>
          <w:szCs w:val="21"/>
        </w:rPr>
        <w:t>2.本套报表金额单位转换时可能存在尾数误差。</w:t>
      </w:r>
      <w:r>
        <w:rPr>
          <w:rFonts w:cs="宋体"/>
          <w:sz w:val="21"/>
          <w:szCs w:val="21"/>
        </w:rPr>
        <w:br w:type="textWrapping"/>
      </w:r>
      <w:r>
        <w:rPr>
          <w:rFonts w:cs="宋体"/>
          <w:sz w:val="21"/>
          <w:szCs w:val="21"/>
        </w:rPr>
        <w:br w:type="textWrapping"/>
      </w:r>
    </w:p>
    <w:p>
      <w:pPr>
        <w:rPr>
          <w:rFonts w:hint="default" w:cs="宋体"/>
          <w:sz w:val="21"/>
          <w:szCs w:val="21"/>
        </w:rPr>
      </w:pPr>
      <w:r>
        <w:rPr>
          <w:rFonts w:cs="宋体"/>
          <w:sz w:val="21"/>
          <w:szCs w:val="21"/>
        </w:rPr>
        <w:br w:type="page"/>
      </w:r>
    </w:p>
    <w:p>
      <w:pPr>
        <w:ind w:left="630" w:hanging="630" w:hangingChars="300"/>
        <w:rPr>
          <w:rFonts w:hint="default" w:cs="宋体"/>
          <w:sz w:val="21"/>
          <w:szCs w:val="21"/>
        </w:rPr>
      </w:pPr>
    </w:p>
    <w:tbl>
      <w:tblPr>
        <w:tblStyle w:val="12"/>
        <w:tblW w:w="15280" w:type="dxa"/>
        <w:tblInd w:w="0" w:type="dxa"/>
        <w:tblLayout w:type="fixed"/>
        <w:tblCellMar>
          <w:top w:w="0" w:type="dxa"/>
          <w:left w:w="0" w:type="dxa"/>
          <w:bottom w:w="0" w:type="dxa"/>
          <w:right w:w="0" w:type="dxa"/>
        </w:tblCellMar>
      </w:tblPr>
      <w:tblGrid>
        <w:gridCol w:w="1790"/>
        <w:gridCol w:w="3334"/>
        <w:gridCol w:w="1690"/>
        <w:gridCol w:w="1690"/>
        <w:gridCol w:w="1690"/>
        <w:gridCol w:w="1675"/>
        <w:gridCol w:w="1675"/>
        <w:gridCol w:w="1736"/>
      </w:tblGrid>
      <w:tr>
        <w:tblPrEx>
          <w:tblLayout w:type="fixed"/>
          <w:tblCellMar>
            <w:top w:w="0" w:type="dxa"/>
            <w:left w:w="0" w:type="dxa"/>
            <w:bottom w:w="0" w:type="dxa"/>
            <w:right w:w="0" w:type="dxa"/>
          </w:tblCellMar>
        </w:tblPrEx>
        <w:trPr>
          <w:trHeight w:val="631" w:hRule="atLeast"/>
        </w:trPr>
        <w:tc>
          <w:tcPr>
            <w:tcW w:w="15280"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37" w:hRule="atLeast"/>
        </w:trPr>
        <w:tc>
          <w:tcPr>
            <w:tcW w:w="6814"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 xml:space="preserve">重庆市秀山土家族苗族自治县妇女儿童医院 </w:t>
            </w:r>
          </w:p>
        </w:tc>
        <w:tc>
          <w:tcPr>
            <w:tcW w:w="169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37" w:hRule="atLeast"/>
        </w:trPr>
        <w:tc>
          <w:tcPr>
            <w:tcW w:w="6814"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7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5" w:hRule="atLeast"/>
        </w:trPr>
        <w:tc>
          <w:tcPr>
            <w:tcW w:w="5124"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9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9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7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7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42" w:hRule="atLeast"/>
        </w:trPr>
        <w:tc>
          <w:tcPr>
            <w:tcW w:w="179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34"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42" w:hRule="atLeast"/>
        </w:trPr>
        <w:tc>
          <w:tcPr>
            <w:tcW w:w="179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42" w:hRule="atLeast"/>
        </w:trPr>
        <w:tc>
          <w:tcPr>
            <w:tcW w:w="179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42" w:hRule="atLeast"/>
        </w:trPr>
        <w:tc>
          <w:tcPr>
            <w:tcW w:w="179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7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5" w:hRule="atLeast"/>
        </w:trPr>
        <w:tc>
          <w:tcPr>
            <w:tcW w:w="512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849.24</w:t>
            </w:r>
            <w:r>
              <w:rPr>
                <w:b/>
                <w:color w:val="000000"/>
                <w:sz w:val="20"/>
              </w:rPr>
              <w:t xml:space="preserve"> </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849.24</w:t>
            </w:r>
            <w:r>
              <w:rPr>
                <w:b/>
                <w:color w:val="000000"/>
                <w:sz w:val="20"/>
              </w:rPr>
              <w:t xml:space="preserve"> </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6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6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7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r>
        <w:tblPrEx>
          <w:tblLayout w:type="fixed"/>
          <w:tblCellMar>
            <w:top w:w="0" w:type="dxa"/>
            <w:left w:w="0" w:type="dxa"/>
            <w:bottom w:w="0" w:type="dxa"/>
            <w:right w:w="0" w:type="dxa"/>
          </w:tblCellMar>
        </w:tblPrEx>
        <w:trPr>
          <w:trHeight w:val="384"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61.11</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61.11</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84"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61.11</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61.11</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84"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41.13</w:t>
            </w:r>
            <w:r>
              <w:rPr>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41.13</w:t>
            </w:r>
            <w:r>
              <w:rPr>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84"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19.97</w:t>
            </w:r>
            <w:r>
              <w:rPr>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19.97</w:t>
            </w:r>
            <w:r>
              <w:rPr>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84"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758.25</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758.25</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84"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734.60</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734.60</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84"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734.60</w:t>
            </w:r>
            <w:r>
              <w:rPr>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734.60</w:t>
            </w:r>
            <w:r>
              <w:rPr>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84"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23.65</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23.65</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84"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23.65</w:t>
            </w:r>
            <w:r>
              <w:rPr>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23.65</w:t>
            </w:r>
            <w:r>
              <w:rPr>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84"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29.89</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29.89</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84"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29.89</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29.89</w:t>
            </w:r>
            <w:r>
              <w:rPr>
                <w:b/>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93" w:hRule="atLeast"/>
        </w:trPr>
        <w:tc>
          <w:tcPr>
            <w:tcW w:w="17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29.89</w:t>
            </w:r>
            <w:r>
              <w:rPr>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29.89</w:t>
            </w:r>
            <w:r>
              <w:rPr>
                <w:color w:val="000000"/>
                <w:sz w:val="20"/>
              </w:rPr>
              <w:t xml:space="preserve"> </w:t>
            </w:r>
          </w:p>
        </w:tc>
        <w:tc>
          <w:tcPr>
            <w:tcW w:w="1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bl>
    <w:p>
      <w:pPr>
        <w:rPr>
          <w:rFonts w:hint="default"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本年度各项支出情况。</w:t>
      </w:r>
      <w:r>
        <w:rPr>
          <w:rFonts w:cs="宋体"/>
          <w:sz w:val="21"/>
          <w:szCs w:val="21"/>
        </w:rPr>
        <w:br w:type="textWrapping"/>
      </w:r>
      <w:r>
        <w:rPr>
          <w:rFonts w:cs="宋体"/>
          <w:sz w:val="21"/>
          <w:szCs w:val="21"/>
        </w:rPr>
        <w:t xml:space="preserve">      2.本套报表金额单位转换时可能存在尾数误差。</w:t>
      </w:r>
      <w:r>
        <w:rPr>
          <w:rFonts w:cs="宋体"/>
          <w:sz w:val="21"/>
          <w:szCs w:val="21"/>
        </w:rPr>
        <w:br w:type="textWrapping"/>
      </w:r>
      <w:r>
        <w:rPr>
          <w:rFonts w:cs="宋体"/>
          <w:sz w:val="21"/>
          <w:szCs w:val="21"/>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5260" w:type="dxa"/>
        <w:tblInd w:w="0" w:type="dxa"/>
        <w:tblLayout w:type="fixed"/>
        <w:tblCellMar>
          <w:top w:w="0" w:type="dxa"/>
          <w:left w:w="0" w:type="dxa"/>
          <w:bottom w:w="0" w:type="dxa"/>
          <w:right w:w="0" w:type="dxa"/>
        </w:tblCellMar>
      </w:tblPr>
      <w:tblGrid>
        <w:gridCol w:w="3085"/>
        <w:gridCol w:w="1581"/>
        <w:gridCol w:w="3306"/>
        <w:gridCol w:w="1761"/>
        <w:gridCol w:w="1761"/>
        <w:gridCol w:w="1761"/>
        <w:gridCol w:w="2005"/>
      </w:tblGrid>
      <w:tr>
        <w:tblPrEx>
          <w:tblLayout w:type="fixed"/>
          <w:tblCellMar>
            <w:top w:w="0" w:type="dxa"/>
            <w:left w:w="0" w:type="dxa"/>
            <w:bottom w:w="0" w:type="dxa"/>
            <w:right w:w="0" w:type="dxa"/>
          </w:tblCellMar>
        </w:tblPrEx>
        <w:trPr>
          <w:trHeight w:val="396" w:hRule="atLeast"/>
        </w:trPr>
        <w:tc>
          <w:tcPr>
            <w:tcW w:w="15260"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244" w:hRule="atLeast"/>
        </w:trPr>
        <w:tc>
          <w:tcPr>
            <w:tcW w:w="7972"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rPr>
              <w:t>重庆市秀山土家族苗族自治县妇女儿童医院</w:t>
            </w:r>
          </w:p>
        </w:tc>
        <w:tc>
          <w:tcPr>
            <w:tcW w:w="176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05"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282" w:hRule="atLeast"/>
        </w:trPr>
        <w:tc>
          <w:tcPr>
            <w:tcW w:w="7972"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0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15" w:hRule="atLeast"/>
        </w:trPr>
        <w:tc>
          <w:tcPr>
            <w:tcW w:w="466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594"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215" w:hRule="atLeast"/>
        </w:trPr>
        <w:tc>
          <w:tcPr>
            <w:tcW w:w="30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30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288"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215" w:hRule="atLeast"/>
        </w:trPr>
        <w:tc>
          <w:tcPr>
            <w:tcW w:w="30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3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6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6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6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20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520.56</w:t>
            </w:r>
            <w:r>
              <w:rPr>
                <w:color w:val="000000"/>
                <w:sz w:val="18"/>
              </w:rPr>
              <w:t xml:space="preserve"> </w:t>
            </w: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61.11</w:t>
            </w: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61.11</w:t>
            </w: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429.57</w:t>
            </w: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429.57</w:t>
            </w: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29.89</w:t>
            </w: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29.89</w:t>
            </w: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520.56</w:t>
            </w:r>
            <w:r>
              <w:rPr>
                <w:color w:val="000000"/>
                <w:sz w:val="18"/>
              </w:rPr>
              <w:t xml:space="preserve"> </w:t>
            </w: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520.56</w:t>
            </w: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520.56</w:t>
            </w: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06"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1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25" w:hRule="atLeast"/>
        </w:trPr>
        <w:tc>
          <w:tcPr>
            <w:tcW w:w="308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520.56</w:t>
            </w:r>
            <w:r>
              <w:rPr>
                <w:color w:val="000000"/>
                <w:sz w:val="18"/>
              </w:rPr>
              <w:t xml:space="preserve"> </w:t>
            </w:r>
          </w:p>
        </w:tc>
        <w:tc>
          <w:tcPr>
            <w:tcW w:w="33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520.56</w:t>
            </w: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520.56</w:t>
            </w:r>
            <w:r>
              <w:rPr>
                <w:color w:val="000000"/>
                <w:sz w:val="18"/>
              </w:rPr>
              <w:t xml:space="preserve"> </w:t>
            </w:r>
          </w:p>
        </w:tc>
        <w:tc>
          <w:tcPr>
            <w:tcW w:w="17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bl>
    <w:p>
      <w:pPr>
        <w:rPr>
          <w:rFonts w:hint="default"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本年度一般公共预算财政拨款、政府性基金预算财政拨款及国有资本经营预算财政拨款的总收支和年末结转结余情况。</w:t>
      </w:r>
      <w:r>
        <w:rPr>
          <w:rFonts w:cs="宋体"/>
          <w:sz w:val="21"/>
          <w:szCs w:val="21"/>
        </w:rPr>
        <w:br w:type="textWrapping"/>
      </w:r>
      <w:r>
        <w:rPr>
          <w:rFonts w:cs="宋体"/>
          <w:sz w:val="21"/>
          <w:szCs w:val="21"/>
        </w:rPr>
        <w:t xml:space="preserve">      2.本套报表金额单位转换时可能存在尾数误差。</w:t>
      </w:r>
    </w:p>
    <w:tbl>
      <w:tblPr>
        <w:tblStyle w:val="12"/>
        <w:tblW w:w="15260" w:type="dxa"/>
        <w:tblInd w:w="0" w:type="dxa"/>
        <w:tblLayout w:type="fixed"/>
        <w:tblCellMar>
          <w:top w:w="0" w:type="dxa"/>
          <w:left w:w="0" w:type="dxa"/>
          <w:bottom w:w="0" w:type="dxa"/>
          <w:right w:w="0" w:type="dxa"/>
        </w:tblCellMar>
      </w:tblPr>
      <w:tblGrid>
        <w:gridCol w:w="1844"/>
        <w:gridCol w:w="3522"/>
        <w:gridCol w:w="3293"/>
        <w:gridCol w:w="3293"/>
        <w:gridCol w:w="3308"/>
      </w:tblGrid>
      <w:tr>
        <w:tblPrEx>
          <w:tblLayout w:type="fixed"/>
          <w:tblCellMar>
            <w:top w:w="0" w:type="dxa"/>
            <w:left w:w="0" w:type="dxa"/>
            <w:bottom w:w="0" w:type="dxa"/>
            <w:right w:w="0" w:type="dxa"/>
          </w:tblCellMar>
        </w:tblPrEx>
        <w:trPr>
          <w:trHeight w:val="638" w:hRule="atLeast"/>
        </w:trPr>
        <w:tc>
          <w:tcPr>
            <w:tcW w:w="15260"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327" w:hRule="atLeast"/>
        </w:trPr>
        <w:tc>
          <w:tcPr>
            <w:tcW w:w="865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重庆市秀山土家族苗族自治县妇女儿童医院</w:t>
            </w:r>
          </w:p>
        </w:tc>
        <w:tc>
          <w:tcPr>
            <w:tcW w:w="329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327" w:hRule="atLeast"/>
        </w:trPr>
        <w:tc>
          <w:tcPr>
            <w:tcW w:w="865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9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7" w:hRule="atLeast"/>
        </w:trPr>
        <w:tc>
          <w:tcPr>
            <w:tcW w:w="536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894"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51" w:hRule="atLeast"/>
        </w:trPr>
        <w:tc>
          <w:tcPr>
            <w:tcW w:w="1844"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2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29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29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0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51" w:hRule="atLeast"/>
        </w:trPr>
        <w:tc>
          <w:tcPr>
            <w:tcW w:w="184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2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29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29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39" w:hRule="atLeast"/>
        </w:trPr>
        <w:tc>
          <w:tcPr>
            <w:tcW w:w="184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2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29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29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7" w:hRule="atLeast"/>
        </w:trPr>
        <w:tc>
          <w:tcPr>
            <w:tcW w:w="536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520.56</w:t>
            </w:r>
            <w:r>
              <w:rPr>
                <w:b/>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520.56</w:t>
            </w:r>
            <w:r>
              <w:rPr>
                <w:b/>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r>
        <w:tblPrEx>
          <w:tblLayout w:type="fixed"/>
          <w:tblCellMar>
            <w:top w:w="0" w:type="dxa"/>
            <w:left w:w="0" w:type="dxa"/>
            <w:bottom w:w="0" w:type="dxa"/>
            <w:right w:w="0" w:type="dxa"/>
          </w:tblCellMar>
        </w:tblPrEx>
        <w:trPr>
          <w:trHeight w:val="33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61.11</w:t>
            </w:r>
            <w:r>
              <w:rPr>
                <w:b/>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61.11</w:t>
            </w:r>
            <w:r>
              <w:rPr>
                <w:b/>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3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61.11</w:t>
            </w:r>
            <w:r>
              <w:rPr>
                <w:b/>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61.11</w:t>
            </w:r>
            <w:r>
              <w:rPr>
                <w:b/>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3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41.13</w:t>
            </w:r>
            <w:r>
              <w:rPr>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41.13</w:t>
            </w:r>
            <w:r>
              <w:rPr>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3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19.97</w:t>
            </w:r>
            <w:r>
              <w:rPr>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19.97</w:t>
            </w:r>
            <w:r>
              <w:rPr>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3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429.57</w:t>
            </w:r>
            <w:r>
              <w:rPr>
                <w:b/>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429.57</w:t>
            </w:r>
            <w:r>
              <w:rPr>
                <w:b/>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3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405.92</w:t>
            </w:r>
            <w:r>
              <w:rPr>
                <w:b/>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405.92</w:t>
            </w:r>
            <w:r>
              <w:rPr>
                <w:b/>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3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405.92</w:t>
            </w:r>
            <w:r>
              <w:rPr>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405.92</w:t>
            </w:r>
            <w:r>
              <w:rPr>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3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23.65</w:t>
            </w:r>
            <w:r>
              <w:rPr>
                <w:b/>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23.65</w:t>
            </w:r>
            <w:r>
              <w:rPr>
                <w:b/>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3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23.65</w:t>
            </w:r>
            <w:r>
              <w:rPr>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23.65</w:t>
            </w:r>
            <w:r>
              <w:rPr>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3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29.89</w:t>
            </w:r>
            <w:r>
              <w:rPr>
                <w:b/>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29.89</w:t>
            </w:r>
            <w:r>
              <w:rPr>
                <w:b/>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3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29.89</w:t>
            </w:r>
            <w:r>
              <w:rPr>
                <w:b/>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29.89</w:t>
            </w:r>
            <w:r>
              <w:rPr>
                <w:b/>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7" w:hRule="atLeast"/>
        </w:trPr>
        <w:tc>
          <w:tcPr>
            <w:tcW w:w="184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29.89</w:t>
            </w:r>
            <w:r>
              <w:rPr>
                <w:color w:val="000000"/>
                <w:sz w:val="20"/>
              </w:rPr>
              <w:t xml:space="preserve"> </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29.89</w:t>
            </w:r>
            <w:r>
              <w:rPr>
                <w:color w:val="000000"/>
                <w:sz w:val="20"/>
              </w:rPr>
              <w:t xml:space="preserve"> </w:t>
            </w:r>
          </w:p>
        </w:tc>
        <w:tc>
          <w:tcPr>
            <w:tcW w:w="3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bl>
    <w:p>
      <w:pPr>
        <w:rPr>
          <w:rFonts w:hint="default" w:cs="宋体"/>
          <w:sz w:val="21"/>
          <w:szCs w:val="21"/>
        </w:rPr>
      </w:pPr>
      <w:r>
        <w:rPr>
          <w:rFonts w:cs="宋体"/>
          <w:sz w:val="21"/>
          <w:szCs w:val="21"/>
        </w:rPr>
        <w:t>备注：1.本表反映本年度一般公共预算财政拨款支出情况。</w:t>
      </w:r>
      <w:r>
        <w:rPr>
          <w:rFonts w:cs="宋体"/>
          <w:sz w:val="21"/>
          <w:szCs w:val="21"/>
        </w:rPr>
        <w:br w:type="textWrapping"/>
      </w:r>
      <w:r>
        <w:rPr>
          <w:rFonts w:cs="宋体"/>
          <w:sz w:val="21"/>
          <w:szCs w:val="21"/>
        </w:rPr>
        <w:t xml:space="preserve">      2.本套报表金额单位转换时可能存在尾数误差。</w:t>
      </w:r>
      <w:r>
        <w:rPr>
          <w:rFonts w:cs="宋体"/>
          <w:sz w:val="21"/>
          <w:szCs w:val="21"/>
        </w:rPr>
        <w:br w:type="textWrapping"/>
      </w:r>
      <w:r>
        <w:rPr>
          <w:rFonts w:cs="宋体"/>
          <w:sz w:val="21"/>
          <w:szCs w:val="21"/>
        </w:rPr>
        <w:br w:type="textWrapping"/>
      </w:r>
    </w:p>
    <w:p>
      <w:pPr>
        <w:ind w:firstLine="630" w:firstLineChars="300"/>
        <w:rPr>
          <w:rFonts w:hint="default" w:cs="宋体"/>
          <w:sz w:val="21"/>
          <w:szCs w:val="21"/>
        </w:rPr>
      </w:pPr>
      <w:r>
        <w:rPr>
          <w:rFonts w:cs="宋体"/>
          <w:sz w:val="21"/>
          <w:szCs w:val="21"/>
        </w:rPr>
        <w:br w:type="page"/>
      </w:r>
    </w:p>
    <w:tbl>
      <w:tblPr>
        <w:tblStyle w:val="12"/>
        <w:tblW w:w="15340" w:type="dxa"/>
        <w:tblInd w:w="0" w:type="dxa"/>
        <w:tblLayout w:type="fixed"/>
        <w:tblCellMar>
          <w:top w:w="0" w:type="dxa"/>
          <w:left w:w="0" w:type="dxa"/>
          <w:bottom w:w="0" w:type="dxa"/>
          <w:right w:w="0" w:type="dxa"/>
        </w:tblCellMar>
      </w:tblPr>
      <w:tblGrid>
        <w:gridCol w:w="605"/>
        <w:gridCol w:w="2737"/>
        <w:gridCol w:w="1375"/>
        <w:gridCol w:w="833"/>
        <w:gridCol w:w="1"/>
        <w:gridCol w:w="1920"/>
        <w:gridCol w:w="1"/>
        <w:gridCol w:w="1652"/>
        <w:gridCol w:w="2"/>
        <w:gridCol w:w="805"/>
        <w:gridCol w:w="1"/>
        <w:gridCol w:w="3521"/>
        <w:gridCol w:w="1"/>
        <w:gridCol w:w="1886"/>
      </w:tblGrid>
      <w:tr>
        <w:tblPrEx>
          <w:tblLayout w:type="fixed"/>
          <w:tblCellMar>
            <w:top w:w="0" w:type="dxa"/>
            <w:left w:w="0" w:type="dxa"/>
            <w:bottom w:w="0" w:type="dxa"/>
            <w:right w:w="0" w:type="dxa"/>
          </w:tblCellMar>
        </w:tblPrEx>
        <w:trPr>
          <w:trHeight w:val="374" w:hRule="atLeast"/>
        </w:trPr>
        <w:tc>
          <w:tcPr>
            <w:tcW w:w="15340" w:type="dxa"/>
            <w:gridSpan w:val="14"/>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242" w:hRule="atLeast"/>
        </w:trPr>
        <w:tc>
          <w:tcPr>
            <w:tcW w:w="5550"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rPr>
              <w:t>重庆市秀山土家族苗族自治县妇女儿童医院</w:t>
            </w:r>
          </w:p>
        </w:tc>
        <w:tc>
          <w:tcPr>
            <w:tcW w:w="1921"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3"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7" w:type="dxa"/>
            <w:gridSpan w:val="2"/>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242" w:hRule="atLeast"/>
        </w:trPr>
        <w:tc>
          <w:tcPr>
            <w:tcW w:w="5550"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1"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3"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7" w:type="dxa"/>
            <w:gridSpan w:val="2"/>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03" w:hRule="atLeast"/>
        </w:trPr>
        <w:tc>
          <w:tcPr>
            <w:tcW w:w="4717"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23" w:type="dxa"/>
            <w:gridSpan w:val="11"/>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4"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4"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2"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3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4"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4"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520.56</w:t>
            </w: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114.48</w:t>
            </w: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45.78</w:t>
            </w: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237.18</w:t>
            </w: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351"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41.13</w:t>
            </w: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19.97</w:t>
            </w: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23.65</w:t>
            </w: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0.71</w:t>
            </w: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29.89</w:t>
            </w: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7.78</w:t>
            </w: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03"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26" w:hRule="atLeast"/>
        </w:trPr>
        <w:tc>
          <w:tcPr>
            <w:tcW w:w="33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520.56</w:t>
            </w:r>
            <w:r>
              <w:rPr>
                <w:color w:val="000000"/>
                <w:sz w:val="18"/>
              </w:rPr>
              <w:t xml:space="preserve"> </w:t>
            </w:r>
          </w:p>
        </w:tc>
        <w:tc>
          <w:tcPr>
            <w:tcW w:w="8737" w:type="dxa"/>
            <w:gridSpan w:val="10"/>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bl>
    <w:p>
      <w:pPr>
        <w:rPr>
          <w:rFonts w:hint="default"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本年度一般公共预算财政拨款基本支出明细情况。</w:t>
      </w:r>
      <w:r>
        <w:rPr>
          <w:rFonts w:cs="宋体"/>
          <w:sz w:val="21"/>
          <w:szCs w:val="21"/>
        </w:rPr>
        <w:br w:type="textWrapping"/>
      </w:r>
      <w:r>
        <w:rPr>
          <w:rFonts w:cs="宋体"/>
          <w:sz w:val="21"/>
          <w:szCs w:val="21"/>
        </w:rPr>
        <w:t xml:space="preserve">      2.本套报表金额单位转换时可能存在尾数误差。</w:t>
      </w:r>
    </w:p>
    <w:tbl>
      <w:tblPr>
        <w:tblStyle w:val="12"/>
        <w:tblW w:w="15240" w:type="dxa"/>
        <w:tblInd w:w="0" w:type="dxa"/>
        <w:tblLayout w:type="fixed"/>
        <w:tblCellMar>
          <w:top w:w="0" w:type="dxa"/>
          <w:left w:w="0" w:type="dxa"/>
          <w:bottom w:w="0" w:type="dxa"/>
          <w:right w:w="0" w:type="dxa"/>
        </w:tblCellMar>
      </w:tblPr>
      <w:tblGrid>
        <w:gridCol w:w="1837"/>
        <w:gridCol w:w="3060"/>
        <w:gridCol w:w="1692"/>
        <w:gridCol w:w="1692"/>
        <w:gridCol w:w="1691"/>
        <w:gridCol w:w="1"/>
        <w:gridCol w:w="1691"/>
        <w:gridCol w:w="1756"/>
        <w:gridCol w:w="1820"/>
      </w:tblGrid>
      <w:tr>
        <w:tblPrEx>
          <w:tblLayout w:type="fixed"/>
          <w:tblCellMar>
            <w:top w:w="0" w:type="dxa"/>
            <w:left w:w="0" w:type="dxa"/>
            <w:bottom w:w="0" w:type="dxa"/>
            <w:right w:w="0" w:type="dxa"/>
          </w:tblCellMar>
        </w:tblPrEx>
        <w:trPr>
          <w:trHeight w:val="679" w:hRule="atLeast"/>
        </w:trPr>
        <w:tc>
          <w:tcPr>
            <w:tcW w:w="15240" w:type="dxa"/>
            <w:gridSpan w:val="9"/>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54" w:hRule="atLeast"/>
        </w:trPr>
        <w:tc>
          <w:tcPr>
            <w:tcW w:w="658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重庆市秀山土家族苗族自治县妇女儿童医院</w:t>
            </w:r>
          </w:p>
        </w:tc>
        <w:tc>
          <w:tcPr>
            <w:tcW w:w="16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2"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20"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54" w:hRule="atLeast"/>
        </w:trPr>
        <w:tc>
          <w:tcPr>
            <w:tcW w:w="658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2"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20"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75" w:hRule="atLeast"/>
        </w:trPr>
        <w:tc>
          <w:tcPr>
            <w:tcW w:w="489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692"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69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39" w:type="dxa"/>
            <w:gridSpan w:val="4"/>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2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70" w:hRule="atLeast"/>
        </w:trPr>
        <w:tc>
          <w:tcPr>
            <w:tcW w:w="183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9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2"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2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70" w:hRule="atLeast"/>
        </w:trPr>
        <w:tc>
          <w:tcPr>
            <w:tcW w:w="183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2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90" w:hRule="atLeast"/>
        </w:trPr>
        <w:tc>
          <w:tcPr>
            <w:tcW w:w="183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2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85" w:hRule="atLeast"/>
        </w:trPr>
        <w:tc>
          <w:tcPr>
            <w:tcW w:w="4897"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6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69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69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7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8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bl>
    <w:p>
      <w:pPr>
        <w:rPr>
          <w:rFonts w:hint="default" w:cs="宋体"/>
          <w:sz w:val="21"/>
          <w:szCs w:val="21"/>
        </w:rPr>
      </w:pPr>
      <w:r>
        <w:rPr>
          <w:rFonts w:cs="宋体"/>
          <w:sz w:val="21"/>
          <w:szCs w:val="21"/>
        </w:rPr>
        <w:t>备注：本表反映</w:t>
      </w:r>
      <w:r>
        <w:rPr>
          <w:rFonts w:hint="eastAsia" w:cs="宋体"/>
          <w:sz w:val="21"/>
          <w:szCs w:val="21"/>
          <w:lang w:eastAsia="zh-CN"/>
        </w:rPr>
        <w:t>单位</w:t>
      </w:r>
      <w:r>
        <w:rPr>
          <w:rFonts w:cs="宋体"/>
          <w:sz w:val="21"/>
          <w:szCs w:val="21"/>
        </w:rPr>
        <w:t>本年度政府性基金预算财政拨款收入支出及结转和结余情况。本</w:t>
      </w:r>
      <w:r>
        <w:rPr>
          <w:rFonts w:hint="eastAsia" w:cs="宋体"/>
          <w:sz w:val="21"/>
          <w:szCs w:val="21"/>
          <w:lang w:eastAsia="zh-CN"/>
        </w:rPr>
        <w:t>单位</w:t>
      </w:r>
      <w:r>
        <w:rPr>
          <w:rFonts w:cs="宋体"/>
          <w:sz w:val="21"/>
          <w:szCs w:val="21"/>
        </w:rPr>
        <w:t>无政府性基金收支，故本表无数据。</w:t>
      </w:r>
      <w:r>
        <w:rPr>
          <w:rFonts w:cs="宋体"/>
          <w:sz w:val="21"/>
          <w:szCs w:val="21"/>
        </w:rPr>
        <w:br w:type="textWrapping"/>
      </w:r>
      <w:r>
        <w:rPr>
          <w:rFonts w:cs="宋体"/>
          <w:sz w:val="21"/>
          <w:szCs w:val="21"/>
        </w:rPr>
        <w:br w:type="textWrapping"/>
      </w:r>
    </w:p>
    <w:p>
      <w:pPr>
        <w:rPr>
          <w:rFonts w:hint="default" w:cs="宋体"/>
          <w:sz w:val="21"/>
          <w:szCs w:val="21"/>
        </w:rPr>
      </w:pPr>
      <w:r>
        <w:rPr>
          <w:rFonts w:cs="宋体"/>
          <w:sz w:val="21"/>
          <w:szCs w:val="21"/>
        </w:rPr>
        <w:br w:type="page"/>
      </w:r>
    </w:p>
    <w:tbl>
      <w:tblPr>
        <w:tblStyle w:val="12"/>
        <w:tblW w:w="15280" w:type="dxa"/>
        <w:tblInd w:w="0" w:type="dxa"/>
        <w:tblLayout w:type="fixed"/>
        <w:tblCellMar>
          <w:top w:w="0" w:type="dxa"/>
          <w:left w:w="0" w:type="dxa"/>
          <w:bottom w:w="0" w:type="dxa"/>
          <w:right w:w="0" w:type="dxa"/>
        </w:tblCellMar>
      </w:tblPr>
      <w:tblGrid>
        <w:gridCol w:w="1870"/>
        <w:gridCol w:w="3040"/>
        <w:gridCol w:w="3255"/>
        <w:gridCol w:w="199"/>
        <w:gridCol w:w="3453"/>
        <w:gridCol w:w="77"/>
        <w:gridCol w:w="3386"/>
      </w:tblGrid>
      <w:tr>
        <w:tblPrEx>
          <w:tblLayout w:type="fixed"/>
          <w:tblCellMar>
            <w:top w:w="0" w:type="dxa"/>
            <w:left w:w="0" w:type="dxa"/>
            <w:bottom w:w="0" w:type="dxa"/>
            <w:right w:w="0" w:type="dxa"/>
          </w:tblCellMar>
        </w:tblPrEx>
        <w:trPr>
          <w:trHeight w:val="701" w:hRule="atLeast"/>
        </w:trPr>
        <w:tc>
          <w:tcPr>
            <w:tcW w:w="15280"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65" w:hRule="atLeast"/>
        </w:trPr>
        <w:tc>
          <w:tcPr>
            <w:tcW w:w="816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重庆市秀山土家族苗族自治县妇女儿童医院</w:t>
            </w:r>
          </w:p>
        </w:tc>
        <w:tc>
          <w:tcPr>
            <w:tcW w:w="372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8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65" w:hRule="atLeast"/>
        </w:trPr>
        <w:tc>
          <w:tcPr>
            <w:tcW w:w="816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2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8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71" w:hRule="atLeast"/>
        </w:trPr>
        <w:tc>
          <w:tcPr>
            <w:tcW w:w="491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370"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83" w:hRule="atLeast"/>
        </w:trPr>
        <w:tc>
          <w:tcPr>
            <w:tcW w:w="187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54"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5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63"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83" w:hRule="atLeast"/>
        </w:trPr>
        <w:tc>
          <w:tcPr>
            <w:tcW w:w="187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54"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5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83" w:hRule="atLeast"/>
        </w:trPr>
        <w:tc>
          <w:tcPr>
            <w:tcW w:w="187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54"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5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70" w:hRule="atLeast"/>
        </w:trPr>
        <w:tc>
          <w:tcPr>
            <w:tcW w:w="187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54"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5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81" w:hRule="atLeast"/>
        </w:trPr>
        <w:tc>
          <w:tcPr>
            <w:tcW w:w="491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5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345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bl>
    <w:p>
      <w:pPr>
        <w:rPr>
          <w:rFonts w:hint="default" w:cs="宋体"/>
          <w:sz w:val="21"/>
          <w:szCs w:val="21"/>
        </w:rPr>
      </w:pPr>
      <w:r>
        <w:rPr>
          <w:rFonts w:cs="宋体"/>
          <w:sz w:val="21"/>
          <w:szCs w:val="21"/>
        </w:rPr>
        <w:t>备注：本表反映</w:t>
      </w:r>
      <w:r>
        <w:rPr>
          <w:rFonts w:hint="eastAsia" w:cs="宋体"/>
          <w:sz w:val="21"/>
          <w:szCs w:val="21"/>
          <w:lang w:eastAsia="zh-CN"/>
        </w:rPr>
        <w:t>单位</w:t>
      </w:r>
      <w:r>
        <w:rPr>
          <w:rFonts w:cs="宋体"/>
          <w:sz w:val="21"/>
          <w:szCs w:val="21"/>
        </w:rPr>
        <w:t>本年度国有资本经营预算财政拨款支出情况。本</w:t>
      </w:r>
      <w:r>
        <w:rPr>
          <w:rFonts w:hint="eastAsia" w:cs="宋体"/>
          <w:sz w:val="21"/>
          <w:szCs w:val="21"/>
          <w:lang w:eastAsia="zh-CN"/>
        </w:rPr>
        <w:t>单位</w:t>
      </w:r>
      <w:r>
        <w:rPr>
          <w:rFonts w:cs="宋体"/>
          <w:sz w:val="21"/>
          <w:szCs w:val="21"/>
        </w:rPr>
        <w:t>无国有资本经营收支，故本表无数据。</w:t>
      </w:r>
      <w:r>
        <w:rPr>
          <w:rFonts w:cs="宋体"/>
          <w:sz w:val="21"/>
          <w:szCs w:val="21"/>
        </w:rPr>
        <w:br w:type="textWrapping"/>
      </w:r>
      <w:r>
        <w:rPr>
          <w:rFonts w:cs="宋体"/>
          <w:sz w:val="21"/>
          <w:szCs w:val="21"/>
        </w:rPr>
        <w:br w:type="textWrapping"/>
      </w:r>
    </w:p>
    <w:p>
      <w:pPr>
        <w:rPr>
          <w:rFonts w:hint="default" w:cs="宋体"/>
          <w:sz w:val="21"/>
          <w:szCs w:val="21"/>
        </w:rPr>
      </w:pPr>
      <w:r>
        <w:rPr>
          <w:rFonts w:cs="宋体"/>
          <w:sz w:val="21"/>
          <w:szCs w:val="21"/>
        </w:rPr>
        <w:br w:type="page"/>
      </w:r>
    </w:p>
    <w:tbl>
      <w:tblPr>
        <w:tblStyle w:val="12"/>
        <w:tblW w:w="15240" w:type="dxa"/>
        <w:tblInd w:w="0" w:type="dxa"/>
        <w:tblLayout w:type="fixed"/>
        <w:tblCellMar>
          <w:top w:w="0" w:type="dxa"/>
          <w:left w:w="170" w:type="dxa"/>
          <w:bottom w:w="0" w:type="dxa"/>
          <w:right w:w="170" w:type="dxa"/>
        </w:tblCellMar>
      </w:tblPr>
      <w:tblGrid>
        <w:gridCol w:w="4106"/>
        <w:gridCol w:w="2200"/>
        <w:gridCol w:w="2149"/>
        <w:gridCol w:w="4597"/>
        <w:gridCol w:w="2188"/>
      </w:tblGrid>
      <w:tr>
        <w:tblPrEx>
          <w:tblLayout w:type="fixed"/>
          <w:tblCellMar>
            <w:top w:w="0" w:type="dxa"/>
            <w:left w:w="170" w:type="dxa"/>
            <w:bottom w:w="0" w:type="dxa"/>
            <w:right w:w="170" w:type="dxa"/>
          </w:tblCellMar>
        </w:tblPrEx>
        <w:trPr>
          <w:trHeight w:val="395" w:hRule="atLeast"/>
        </w:trPr>
        <w:tc>
          <w:tcPr>
            <w:tcW w:w="1524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170" w:type="dxa"/>
            <w:bottom w:w="0" w:type="dxa"/>
            <w:right w:w="170" w:type="dxa"/>
          </w:tblCellMar>
        </w:tblPrEx>
        <w:trPr>
          <w:trHeight w:val="281" w:hRule="atLeast"/>
        </w:trPr>
        <w:tc>
          <w:tcPr>
            <w:tcW w:w="4106"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00"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4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9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88"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170" w:type="dxa"/>
            <w:bottom w:w="0" w:type="dxa"/>
            <w:right w:w="170" w:type="dxa"/>
          </w:tblCellMar>
        </w:tblPrEx>
        <w:trPr>
          <w:trHeight w:val="281" w:hRule="atLeast"/>
        </w:trPr>
        <w:tc>
          <w:tcPr>
            <w:tcW w:w="6306"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重庆市秀山土家族苗族自治县妇女儿童医院</w:t>
            </w:r>
          </w:p>
        </w:tc>
        <w:tc>
          <w:tcPr>
            <w:tcW w:w="2149"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9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88"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170" w:type="dxa"/>
            <w:bottom w:w="0" w:type="dxa"/>
            <w:right w:w="170" w:type="dxa"/>
          </w:tblCellMar>
        </w:tblPrEx>
        <w:trPr>
          <w:trHeight w:val="293"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20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预算数</w:t>
            </w:r>
          </w:p>
        </w:tc>
        <w:tc>
          <w:tcPr>
            <w:tcW w:w="21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8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r>
      <w:tr>
        <w:tblPrEx>
          <w:tblLayout w:type="fixed"/>
          <w:tblCellMar>
            <w:top w:w="0" w:type="dxa"/>
            <w:left w:w="170" w:type="dxa"/>
            <w:bottom w:w="0" w:type="dxa"/>
            <w:right w:w="170" w:type="dxa"/>
          </w:tblCellMar>
        </w:tblPrEx>
        <w:trPr>
          <w:trHeight w:val="293"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一、“三公”经费支出</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四、机关运行经费</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（一）支出合计</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（一）行政单位</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1．因公出国（境）费</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（二）参照公务员法管理事业单位</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2．公务用车购置及运行维护费</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五、资产信息</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（1）公务用车购置费</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（一）车辆数合计（辆）</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（2）公务用车运行维护费</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1．副部（省）级及以上领导用车</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3．公务接待费</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2．主要领导干部用车</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（1）国内接待费</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3．机要通信用车</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其中：外事接待费</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4．应急保障用车</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（2）国（境）外接待费</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5．执法执勤用车</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（二）相关统计数</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9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6．特种专业技术用车</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1．因公出国（境）团组数（个）</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7．离退休干部用车</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2．因公出国（境）人次数（人）</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8．其他用车</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3．公务用车购置数（辆）</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（二）单价100万元（含）以上设备（不含车辆）</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4．公务用车保有量（辆）</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六、政府采购支出信息</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5．国内公务接待批次（个）</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（一）政府采购支出合计</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其中：外事接待批次（个）</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1．政府采购货物支出</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6．国内公务接待人次（人）</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2．政府采购工程支出</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其中：外事接待人次（人）</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3．政府采购服务支出</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7．国（境）外公务接待批次（个）</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（二）政府采购授予中小企业合同金额</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302" w:hRule="atLeast"/>
        </w:trPr>
        <w:tc>
          <w:tcPr>
            <w:tcW w:w="410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8．国（境）外公务接待人次（人）</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其中：授予小微企业合同金额</w:t>
            </w: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r>
      <w:tr>
        <w:tblPrEx>
          <w:tblLayout w:type="fixed"/>
          <w:tblCellMar>
            <w:top w:w="0" w:type="dxa"/>
            <w:left w:w="170" w:type="dxa"/>
            <w:bottom w:w="0" w:type="dxa"/>
            <w:right w:w="170" w:type="dxa"/>
          </w:tblCellMar>
        </w:tblPrEx>
        <w:trPr>
          <w:trHeight w:val="296"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二、会议费</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r>
        <w:tblPrEx>
          <w:tblLayout w:type="fixed"/>
          <w:tblCellMar>
            <w:top w:w="0" w:type="dxa"/>
            <w:left w:w="170" w:type="dxa"/>
            <w:bottom w:w="0" w:type="dxa"/>
            <w:right w:w="170" w:type="dxa"/>
          </w:tblCellMar>
        </w:tblPrEx>
        <w:trPr>
          <w:trHeight w:val="404" w:hRule="atLeast"/>
        </w:trPr>
        <w:tc>
          <w:tcPr>
            <w:tcW w:w="410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三、培训费</w:t>
            </w:r>
          </w:p>
        </w:tc>
        <w:tc>
          <w:tcPr>
            <w:tcW w:w="22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rPr>
              <w:t xml:space="preserve"> </w:t>
            </w:r>
          </w:p>
        </w:tc>
        <w:tc>
          <w:tcPr>
            <w:tcW w:w="459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bl>
    <w:p>
      <w:pPr>
        <w:rPr>
          <w:rFonts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本年度财政拨款“三公”经费支出预决算情况。其中，预算数为“三公”经费全年预算数，反映按规定程序调整后的预算数；决算数为包括本年度财政拨款和以前年度结转资金安排的实际支出。</w:t>
      </w:r>
      <w:r>
        <w:rPr>
          <w:rFonts w:cs="宋体"/>
          <w:sz w:val="21"/>
          <w:szCs w:val="21"/>
        </w:rPr>
        <w:br w:type="textWrapping"/>
      </w:r>
      <w:r>
        <w:rPr>
          <w:rFonts w:cs="宋体"/>
          <w:sz w:val="21"/>
          <w:szCs w:val="21"/>
        </w:rPr>
        <w:t xml:space="preserve">      2.本套报表金额单位转换时可能存在尾数误差。</w:t>
      </w:r>
      <w:r>
        <w:rPr>
          <w:rFonts w:cs="宋体"/>
          <w:sz w:val="21"/>
          <w:szCs w:val="21"/>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- 9 -</w:t>
                          </w:r>
                          <w:r>
                            <w:rPr>
                              <w:rFonts w:hint="default"/>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- 9 -</w:t>
                    </w:r>
                    <w:r>
                      <w:rPr>
                        <w:rFonts w:hint="default"/>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11 -</w:t>
                          </w:r>
                          <w:r>
                            <w:rPr>
                              <w:rFonts w:hint="default"/>
                            </w:rP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11 -</w:t>
                    </w:r>
                    <w:r>
                      <w:rPr>
                        <w:rFonts w:hint="default"/>
                      </w:rP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54ACB6"/>
    <w:multiLevelType w:val="singleLevel"/>
    <w:tmpl w:val="AB54ACB6"/>
    <w:lvl w:ilvl="0" w:tentative="0">
      <w:start w:val="2"/>
      <w:numFmt w:val="chineseCounting"/>
      <w:suff w:val="nothing"/>
      <w:lvlText w:val="（%1）"/>
      <w:lvlJc w:val="left"/>
      <w:rPr>
        <w:rFonts w:hint="eastAsia"/>
      </w:rPr>
    </w:lvl>
  </w:abstractNum>
  <w:abstractNum w:abstractNumId="1">
    <w:nsid w:val="E8E9DCCB"/>
    <w:multiLevelType w:val="singleLevel"/>
    <w:tmpl w:val="E8E9DCCB"/>
    <w:lvl w:ilvl="0" w:tentative="0">
      <w:start w:val="2"/>
      <w:numFmt w:val="chineseCounting"/>
      <w:suff w:val="nothing"/>
      <w:lvlText w:val="%1、"/>
      <w:lvlJc w:val="left"/>
      <w:rPr>
        <w:rFonts w:hint="eastAsia"/>
      </w:rPr>
    </w:lvl>
  </w:abstractNum>
  <w:abstractNum w:abstractNumId="2">
    <w:nsid w:val="13FC6729"/>
    <w:multiLevelType w:val="singleLevel"/>
    <w:tmpl w:val="13FC6729"/>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135BA"/>
    <w:rsid w:val="00021A8C"/>
    <w:rsid w:val="00024DC1"/>
    <w:rsid w:val="000741FA"/>
    <w:rsid w:val="000D61EF"/>
    <w:rsid w:val="000F0CFF"/>
    <w:rsid w:val="000F6748"/>
    <w:rsid w:val="000F748F"/>
    <w:rsid w:val="00142FA5"/>
    <w:rsid w:val="0015405E"/>
    <w:rsid w:val="001A1965"/>
    <w:rsid w:val="002154AA"/>
    <w:rsid w:val="0022133D"/>
    <w:rsid w:val="00251731"/>
    <w:rsid w:val="0026717D"/>
    <w:rsid w:val="002A084C"/>
    <w:rsid w:val="002E5443"/>
    <w:rsid w:val="003232CC"/>
    <w:rsid w:val="00325F60"/>
    <w:rsid w:val="00385EF3"/>
    <w:rsid w:val="00411347"/>
    <w:rsid w:val="004439E0"/>
    <w:rsid w:val="0046387E"/>
    <w:rsid w:val="004B5F04"/>
    <w:rsid w:val="00512057"/>
    <w:rsid w:val="00550ABE"/>
    <w:rsid w:val="005F40DF"/>
    <w:rsid w:val="006240A6"/>
    <w:rsid w:val="00630116"/>
    <w:rsid w:val="007B419D"/>
    <w:rsid w:val="007D00A8"/>
    <w:rsid w:val="007D484D"/>
    <w:rsid w:val="007E54F5"/>
    <w:rsid w:val="007F5E7E"/>
    <w:rsid w:val="0084446A"/>
    <w:rsid w:val="008B2DE1"/>
    <w:rsid w:val="00950E14"/>
    <w:rsid w:val="00977474"/>
    <w:rsid w:val="009B67B8"/>
    <w:rsid w:val="009B6DDA"/>
    <w:rsid w:val="00A51AA5"/>
    <w:rsid w:val="00A807CF"/>
    <w:rsid w:val="00A91797"/>
    <w:rsid w:val="00AE1BAB"/>
    <w:rsid w:val="00AE310A"/>
    <w:rsid w:val="00AE35F2"/>
    <w:rsid w:val="00B03CCD"/>
    <w:rsid w:val="00B061B5"/>
    <w:rsid w:val="00C0488C"/>
    <w:rsid w:val="00C06B07"/>
    <w:rsid w:val="00C13253"/>
    <w:rsid w:val="00C239FA"/>
    <w:rsid w:val="00C52DA1"/>
    <w:rsid w:val="00C5390E"/>
    <w:rsid w:val="00CF4A85"/>
    <w:rsid w:val="00D3176E"/>
    <w:rsid w:val="00DB2DCB"/>
    <w:rsid w:val="00DD4053"/>
    <w:rsid w:val="00DE6499"/>
    <w:rsid w:val="00E16137"/>
    <w:rsid w:val="00E31AB1"/>
    <w:rsid w:val="00E76362"/>
    <w:rsid w:val="00EC0E91"/>
    <w:rsid w:val="00EF63F8"/>
    <w:rsid w:val="00F038C3"/>
    <w:rsid w:val="00F10145"/>
    <w:rsid w:val="00F73F90"/>
    <w:rsid w:val="00F82C00"/>
    <w:rsid w:val="00FE3E75"/>
    <w:rsid w:val="00FF393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BA052C"/>
    <w:rsid w:val="08DB07BA"/>
    <w:rsid w:val="0969353F"/>
    <w:rsid w:val="096C5A0F"/>
    <w:rsid w:val="098305D0"/>
    <w:rsid w:val="098A0877"/>
    <w:rsid w:val="0A5C4B69"/>
    <w:rsid w:val="0A86124A"/>
    <w:rsid w:val="0AB54CC0"/>
    <w:rsid w:val="0B7851D0"/>
    <w:rsid w:val="0B9335CE"/>
    <w:rsid w:val="0C7927C4"/>
    <w:rsid w:val="0C9B098C"/>
    <w:rsid w:val="0D673E11"/>
    <w:rsid w:val="0DDA54E4"/>
    <w:rsid w:val="0E3A5F83"/>
    <w:rsid w:val="0F836721"/>
    <w:rsid w:val="0FA25D96"/>
    <w:rsid w:val="0FF402CF"/>
    <w:rsid w:val="107B59E5"/>
    <w:rsid w:val="10EC0126"/>
    <w:rsid w:val="10F70B9A"/>
    <w:rsid w:val="111445C7"/>
    <w:rsid w:val="114278C6"/>
    <w:rsid w:val="1158083A"/>
    <w:rsid w:val="11643A4B"/>
    <w:rsid w:val="11ED0F98"/>
    <w:rsid w:val="11F03528"/>
    <w:rsid w:val="12A46DEB"/>
    <w:rsid w:val="12C921C4"/>
    <w:rsid w:val="13871C70"/>
    <w:rsid w:val="13A71CB4"/>
    <w:rsid w:val="13AF1D43"/>
    <w:rsid w:val="13CE1647"/>
    <w:rsid w:val="13FD55AB"/>
    <w:rsid w:val="14200702"/>
    <w:rsid w:val="163A6CEE"/>
    <w:rsid w:val="173708E3"/>
    <w:rsid w:val="17C374FC"/>
    <w:rsid w:val="189079DC"/>
    <w:rsid w:val="189B0D0B"/>
    <w:rsid w:val="18B43F7C"/>
    <w:rsid w:val="194A1770"/>
    <w:rsid w:val="19B906A4"/>
    <w:rsid w:val="1B2E5AEF"/>
    <w:rsid w:val="1B6F15B6"/>
    <w:rsid w:val="1BAA2EDC"/>
    <w:rsid w:val="1C5C0973"/>
    <w:rsid w:val="1CA55E64"/>
    <w:rsid w:val="1D014A01"/>
    <w:rsid w:val="1D022362"/>
    <w:rsid w:val="1D1B04B0"/>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69B1015"/>
    <w:rsid w:val="27167136"/>
    <w:rsid w:val="27B23302"/>
    <w:rsid w:val="29310A5F"/>
    <w:rsid w:val="29C37A35"/>
    <w:rsid w:val="2A076083"/>
    <w:rsid w:val="2A73162E"/>
    <w:rsid w:val="2B167953"/>
    <w:rsid w:val="2B200583"/>
    <w:rsid w:val="2B8209DE"/>
    <w:rsid w:val="2BDE42F1"/>
    <w:rsid w:val="2C6762A3"/>
    <w:rsid w:val="2EBF7B3E"/>
    <w:rsid w:val="2FCA4B37"/>
    <w:rsid w:val="2FE029D7"/>
    <w:rsid w:val="2FF06E00"/>
    <w:rsid w:val="30562E26"/>
    <w:rsid w:val="30586FEC"/>
    <w:rsid w:val="30656B82"/>
    <w:rsid w:val="315F0B22"/>
    <w:rsid w:val="319D022C"/>
    <w:rsid w:val="31C90022"/>
    <w:rsid w:val="31D84415"/>
    <w:rsid w:val="32285F6F"/>
    <w:rsid w:val="32770556"/>
    <w:rsid w:val="328A35A2"/>
    <w:rsid w:val="329C0913"/>
    <w:rsid w:val="32AA0460"/>
    <w:rsid w:val="32BD6986"/>
    <w:rsid w:val="3337290D"/>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B1705E5"/>
    <w:rsid w:val="3B18334B"/>
    <w:rsid w:val="3B36794F"/>
    <w:rsid w:val="3C566AD6"/>
    <w:rsid w:val="3C6A5B02"/>
    <w:rsid w:val="3D2757A1"/>
    <w:rsid w:val="3D3D4FC4"/>
    <w:rsid w:val="3DDF3AB1"/>
    <w:rsid w:val="3E1D0952"/>
    <w:rsid w:val="3E42660A"/>
    <w:rsid w:val="3E7555B1"/>
    <w:rsid w:val="3E787ED9"/>
    <w:rsid w:val="3EEC37F3"/>
    <w:rsid w:val="3F032E93"/>
    <w:rsid w:val="3F0527E5"/>
    <w:rsid w:val="3F694D83"/>
    <w:rsid w:val="3F885DCC"/>
    <w:rsid w:val="3FCD675E"/>
    <w:rsid w:val="4004000C"/>
    <w:rsid w:val="411B6CE5"/>
    <w:rsid w:val="412070D7"/>
    <w:rsid w:val="41314E40"/>
    <w:rsid w:val="41E0734B"/>
    <w:rsid w:val="426554D0"/>
    <w:rsid w:val="426C1EA8"/>
    <w:rsid w:val="42736402"/>
    <w:rsid w:val="42E86A87"/>
    <w:rsid w:val="43307B09"/>
    <w:rsid w:val="43BB152F"/>
    <w:rsid w:val="442D323C"/>
    <w:rsid w:val="44C37687"/>
    <w:rsid w:val="45CB699A"/>
    <w:rsid w:val="465B470D"/>
    <w:rsid w:val="469D6AD4"/>
    <w:rsid w:val="471E6C84"/>
    <w:rsid w:val="4748792B"/>
    <w:rsid w:val="475D719D"/>
    <w:rsid w:val="47674801"/>
    <w:rsid w:val="47CD4BA3"/>
    <w:rsid w:val="48225EF7"/>
    <w:rsid w:val="488F422B"/>
    <w:rsid w:val="48E36915"/>
    <w:rsid w:val="495C4A24"/>
    <w:rsid w:val="497135DF"/>
    <w:rsid w:val="4A263DF2"/>
    <w:rsid w:val="4A6F6675"/>
    <w:rsid w:val="4B135857"/>
    <w:rsid w:val="4B7951CB"/>
    <w:rsid w:val="4B7C315C"/>
    <w:rsid w:val="4CD45F7D"/>
    <w:rsid w:val="4DAC4ACA"/>
    <w:rsid w:val="4DBE01D2"/>
    <w:rsid w:val="4F0C6BA3"/>
    <w:rsid w:val="4F186D58"/>
    <w:rsid w:val="4FEA65B7"/>
    <w:rsid w:val="50F06B6E"/>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A77BEF"/>
    <w:rsid w:val="55BE2E85"/>
    <w:rsid w:val="56530F5D"/>
    <w:rsid w:val="567700D3"/>
    <w:rsid w:val="56FF7E9E"/>
    <w:rsid w:val="578867FC"/>
    <w:rsid w:val="57CE3DD7"/>
    <w:rsid w:val="5842572D"/>
    <w:rsid w:val="5A3B59D6"/>
    <w:rsid w:val="5AD134D8"/>
    <w:rsid w:val="5C263CE4"/>
    <w:rsid w:val="5C5D2777"/>
    <w:rsid w:val="5CF66BF3"/>
    <w:rsid w:val="5D290C69"/>
    <w:rsid w:val="5F2D4A41"/>
    <w:rsid w:val="60C74F6C"/>
    <w:rsid w:val="61025A59"/>
    <w:rsid w:val="613D5BBC"/>
    <w:rsid w:val="61536C39"/>
    <w:rsid w:val="62944DD7"/>
    <w:rsid w:val="6319381F"/>
    <w:rsid w:val="63C25DC5"/>
    <w:rsid w:val="63C62057"/>
    <w:rsid w:val="64571EF5"/>
    <w:rsid w:val="64FB113D"/>
    <w:rsid w:val="656152C6"/>
    <w:rsid w:val="6587477F"/>
    <w:rsid w:val="658C3A08"/>
    <w:rsid w:val="65C031CA"/>
    <w:rsid w:val="65CE6852"/>
    <w:rsid w:val="66267C04"/>
    <w:rsid w:val="663F505A"/>
    <w:rsid w:val="66967186"/>
    <w:rsid w:val="66EE5541"/>
    <w:rsid w:val="67924660"/>
    <w:rsid w:val="68407834"/>
    <w:rsid w:val="6883293E"/>
    <w:rsid w:val="688412AD"/>
    <w:rsid w:val="68EB1B71"/>
    <w:rsid w:val="69475C96"/>
    <w:rsid w:val="6AAD2300"/>
    <w:rsid w:val="6B474EF5"/>
    <w:rsid w:val="6B691905"/>
    <w:rsid w:val="6BBF53FD"/>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6650B0"/>
    <w:rsid w:val="73934AD2"/>
    <w:rsid w:val="750837F0"/>
    <w:rsid w:val="754758CF"/>
    <w:rsid w:val="764F62AB"/>
    <w:rsid w:val="765C45EC"/>
    <w:rsid w:val="768A7619"/>
    <w:rsid w:val="772E1EBA"/>
    <w:rsid w:val="77EB79F7"/>
    <w:rsid w:val="796D60A4"/>
    <w:rsid w:val="79A031D5"/>
    <w:rsid w:val="7A1525F7"/>
    <w:rsid w:val="7B420052"/>
    <w:rsid w:val="7B861484"/>
    <w:rsid w:val="7BD06A28"/>
    <w:rsid w:val="7C3A7C0B"/>
    <w:rsid w:val="7C5248E4"/>
    <w:rsid w:val="7C566698"/>
    <w:rsid w:val="7C5866A3"/>
    <w:rsid w:val="7D694AF8"/>
    <w:rsid w:val="7D7406BB"/>
    <w:rsid w:val="7DE94331"/>
    <w:rsid w:val="7E357EE4"/>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20"/>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paragraph" w:customStyle="1" w:styleId="18">
    <w:name w:val="列出段落3"/>
    <w:basedOn w:val="1"/>
    <w:qFormat/>
    <w:uiPriority w:val="0"/>
    <w:pPr>
      <w:ind w:firstLine="420" w:firstLineChars="200"/>
    </w:pPr>
    <w:rPr>
      <w:rFonts w:hint="default" w:cs="宋体"/>
    </w:rPr>
  </w:style>
  <w:style w:type="paragraph" w:styleId="19">
    <w:name w:val="List Paragraph"/>
    <w:basedOn w:val="1"/>
    <w:unhideWhenUsed/>
    <w:qFormat/>
    <w:uiPriority w:val="99"/>
    <w:pPr>
      <w:ind w:firstLine="420" w:firstLineChars="200"/>
    </w:pPr>
  </w:style>
  <w:style w:type="character" w:customStyle="1" w:styleId="20">
    <w:name w:val="批注框文本 Char"/>
    <w:basedOn w:val="10"/>
    <w:link w:val="5"/>
    <w:qFormat/>
    <w:uiPriority w:val="0"/>
    <w:rPr>
      <w:rFonts w:ascii="宋体" w:hAnsi="宋体" w:eastAsia="宋体" w:cs="Times New Roman"/>
      <w:sz w:val="18"/>
      <w:szCs w:val="18"/>
    </w:rPr>
  </w:style>
  <w:style w:type="paragraph" w:customStyle="1" w:styleId="21">
    <w:name w:val="List Paragraph1"/>
    <w:basedOn w:val="1"/>
    <w:qFormat/>
    <w:uiPriority w:val="0"/>
    <w:pPr>
      <w:ind w:firstLine="420" w:firstLineChars="200"/>
    </w:pPr>
    <w:rPr>
      <w:rFonts w:hint="default" w:cs="宋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7987</Words>
  <Characters>4416</Characters>
  <Lines>36</Lines>
  <Paragraphs>24</Paragraphs>
  <TotalTime>15</TotalTime>
  <ScaleCrop>false</ScaleCrop>
  <LinksUpToDate>false</LinksUpToDate>
  <CharactersWithSpaces>12379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2024-09-06T09:46:00Z</dcterms:created>
  <dc:creator>Administrator</dc:creator>
  <cp:lastModifiedBy>Administrator</cp:lastModifiedBy>
  <cp:lastPrinted>2024-09-05T01:42:00Z</cp:lastPrinted>
  <dcterms:modified xsi:type="dcterms:W3CDTF">2024-10-05T04:34:37Z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