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widowControl/>
        <w:kinsoku/>
        <w:wordWrap/>
        <w:overflowPunct/>
        <w:topLinePunct w:val="0"/>
        <w:autoSpaceDE/>
        <w:autoSpaceDN/>
        <w:bidi w:val="0"/>
        <w:adjustRightInd w:val="0"/>
        <w:snapToGrid w:val="0"/>
        <w:spacing w:before="0" w:beforeAutospacing="0" w:line="560" w:lineRule="exact"/>
        <w:jc w:val="center"/>
        <w:textAlignment w:val="auto"/>
        <w:rPr>
          <w:rFonts w:hint="default" w:ascii="Times New Roman" w:hAnsi="Times New Roman" w:eastAsia="方正小标宋_GBK" w:cs="Times New Roman"/>
          <w:b w:val="0"/>
          <w:bCs w:val="0"/>
          <w:sz w:val="44"/>
          <w:szCs w:val="44"/>
          <w:lang w:val="en-US" w:eastAsia="zh-CN" w:bidi="ar-SA"/>
        </w:rPr>
      </w:pPr>
      <w:r>
        <w:rPr>
          <w:rFonts w:hint="default" w:ascii="Times New Roman" w:hAnsi="Times New Roman" w:eastAsia="方正小标宋_GBK" w:cs="Times New Roman"/>
          <w:b w:val="0"/>
          <w:bCs w:val="0"/>
          <w:sz w:val="44"/>
          <w:szCs w:val="44"/>
        </w:rPr>
        <w:t>重</w:t>
      </w:r>
      <w:r>
        <w:rPr>
          <w:rFonts w:hint="default" w:ascii="Times New Roman" w:hAnsi="Times New Roman" w:eastAsia="方正小标宋_GBK" w:cs="Times New Roman"/>
          <w:b w:val="0"/>
          <w:bCs w:val="0"/>
          <w:sz w:val="44"/>
          <w:szCs w:val="44"/>
          <w:lang w:val="en-US" w:eastAsia="zh-CN"/>
        </w:rPr>
        <w:t>庆</w:t>
      </w:r>
      <w:r>
        <w:rPr>
          <w:rFonts w:hint="default" w:ascii="Times New Roman" w:hAnsi="Times New Roman" w:eastAsia="方正小标宋_GBK" w:cs="Times New Roman"/>
          <w:b w:val="0"/>
          <w:bCs w:val="0"/>
          <w:sz w:val="44"/>
          <w:szCs w:val="44"/>
          <w:lang w:val="en-US" w:eastAsia="zh-CN" w:bidi="ar-SA"/>
        </w:rPr>
        <w:t>市秀山土家族苗族自治县洪安镇中心卫生院2023年度决算公开说明</w:t>
      </w:r>
    </w:p>
    <w:p>
      <w:pPr>
        <w:pStyle w:val="9"/>
        <w:keepNext w:val="0"/>
        <w:keepLines w:val="0"/>
        <w:pageBreakBefore w:val="0"/>
        <w:widowControl/>
        <w:kinsoku/>
        <w:wordWrap/>
        <w:overflowPunct/>
        <w:topLinePunct w:val="0"/>
        <w:autoSpaceDE/>
        <w:autoSpaceDN/>
        <w:bidi w:val="0"/>
        <w:adjustRightInd w:val="0"/>
        <w:snapToGrid w:val="0"/>
        <w:spacing w:before="0" w:beforeAutospacing="0" w:line="560" w:lineRule="exact"/>
        <w:jc w:val="center"/>
        <w:textAlignment w:val="auto"/>
        <w:rPr>
          <w:rFonts w:hint="default" w:ascii="Times New Roman" w:hAnsi="Times New Roman" w:eastAsia="方正小标宋_GBK" w:cs="Times New Roman"/>
          <w:b w:val="0"/>
          <w:bCs w:val="0"/>
          <w:sz w:val="44"/>
          <w:szCs w:val="44"/>
          <w:lang w:val="en-US" w:eastAsia="zh-CN" w:bidi="ar-SA"/>
        </w:rPr>
      </w:pP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黑体_GBK" w:cs="Times New Roman"/>
          <w:b w:val="0"/>
          <w:bCs w:val="0"/>
          <w:sz w:val="32"/>
          <w:szCs w:val="32"/>
          <w:shd w:val="clear" w:color="auto" w:fill="FFFFFF"/>
        </w:rPr>
      </w:pPr>
      <w:r>
        <w:rPr>
          <w:rStyle w:val="11"/>
          <w:rFonts w:hint="default" w:ascii="Times New Roman" w:hAnsi="Times New Roman" w:eastAsia="方正黑体_GBK" w:cs="Times New Roman"/>
          <w:b w:val="0"/>
          <w:bCs w:val="0"/>
          <w:sz w:val="32"/>
          <w:szCs w:val="32"/>
          <w:shd w:val="clear" w:color="auto" w:fill="FFFFFF"/>
        </w:rPr>
        <w:t>一、单位基本情况</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420"/>
        <w:jc w:val="both"/>
        <w:textAlignment w:val="auto"/>
        <w:outlineLvl w:val="9"/>
      </w:pPr>
      <w:r>
        <w:rPr>
          <w:rStyle w:val="11"/>
          <w:rFonts w:hint="default" w:ascii="Times New Roman" w:hAnsi="Times New Roman" w:eastAsia="方正楷体_GBK" w:cs="Times New Roman"/>
          <w:b w:val="0"/>
          <w:bCs w:val="0"/>
          <w:sz w:val="32"/>
          <w:szCs w:val="32"/>
          <w:shd w:val="clear" w:color="auto" w:fill="FFFFFF"/>
        </w:rPr>
        <w:t>（一）职能职责</w:t>
      </w:r>
    </w:p>
    <w:p>
      <w:pPr>
        <w:pStyle w:val="15"/>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sz w:val="32"/>
          <w:szCs w:val="32"/>
        </w:rPr>
      </w:pPr>
      <w:r>
        <w:rPr>
          <w:rFonts w:hint="eastAsia" w:ascii="Times New Roman" w:hAnsi="Times New Roman" w:eastAsia="方正仿宋_GBK" w:cs="Times New Roman"/>
          <w:b w:val="0"/>
          <w:bCs w:val="0"/>
          <w:sz w:val="32"/>
          <w:szCs w:val="32"/>
        </w:rPr>
        <w:t>本单位属基层医疗卫生机构，为非营利性医疗机构，应当为居民提供基本医疗和基本公共卫生服务。基层医疗卫生机构应当使用与其能力相适应的技术、设备和药物，按照规范诊疗程序开展常见病、多发病的诊疗和部分疾病的康复、护理，提供中医药诊疗、双向转诊、现场急诊急救等医疗服务。本单位为乡镇卫生院，应当履行以下公共卫生职责：</w:t>
      </w:r>
    </w:p>
    <w:p>
      <w:pPr>
        <w:pStyle w:val="15"/>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sz w:val="32"/>
          <w:szCs w:val="32"/>
        </w:rPr>
      </w:pPr>
      <w:r>
        <w:rPr>
          <w:rFonts w:hint="eastAsia" w:ascii="Times New Roman" w:hAnsi="Times New Roman" w:eastAsia="方正仿宋_GBK" w:cs="Times New Roman"/>
          <w:b w:val="0"/>
          <w:bCs w:val="0"/>
          <w:sz w:val="32"/>
          <w:szCs w:val="32"/>
          <w:lang w:val="en-US" w:eastAsia="zh-CN"/>
        </w:rPr>
        <w:t>1.</w:t>
      </w:r>
      <w:r>
        <w:rPr>
          <w:rFonts w:hint="eastAsia" w:ascii="Times New Roman" w:hAnsi="Times New Roman" w:eastAsia="方正仿宋_GBK" w:cs="Times New Roman"/>
          <w:b w:val="0"/>
          <w:bCs w:val="0"/>
          <w:sz w:val="32"/>
          <w:szCs w:val="32"/>
        </w:rPr>
        <w:t>根据国家和本市规定收集、报送辖区内卫生健康信息，建立和管理居民健康档案，提出改进辖区公共卫生状况的建议；</w:t>
      </w:r>
    </w:p>
    <w:p>
      <w:pPr>
        <w:pStyle w:val="15"/>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sz w:val="32"/>
          <w:szCs w:val="32"/>
        </w:rPr>
      </w:pPr>
      <w:r>
        <w:rPr>
          <w:rFonts w:hint="eastAsia" w:ascii="Times New Roman" w:hAnsi="Times New Roman" w:eastAsia="方正仿宋_GBK" w:cs="Times New Roman"/>
          <w:b w:val="0"/>
          <w:bCs w:val="0"/>
          <w:sz w:val="32"/>
          <w:szCs w:val="32"/>
        </w:rPr>
        <w:t>2.开展健康教育，普及健康知识；</w:t>
      </w:r>
    </w:p>
    <w:p>
      <w:pPr>
        <w:pStyle w:val="15"/>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sz w:val="32"/>
          <w:szCs w:val="32"/>
        </w:rPr>
      </w:pPr>
      <w:r>
        <w:rPr>
          <w:rFonts w:hint="eastAsia" w:ascii="Times New Roman" w:hAnsi="Times New Roman" w:eastAsia="方正仿宋_GBK" w:cs="Times New Roman"/>
          <w:b w:val="0"/>
          <w:bCs w:val="0"/>
          <w:sz w:val="32"/>
          <w:szCs w:val="32"/>
        </w:rPr>
        <w:t>3.协助开展传染病以及地方病、寄生虫病的预防控制，配合开展爱国卫生工作；</w:t>
      </w:r>
    </w:p>
    <w:p>
      <w:pPr>
        <w:pStyle w:val="15"/>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sz w:val="32"/>
          <w:szCs w:val="32"/>
        </w:rPr>
      </w:pPr>
      <w:r>
        <w:rPr>
          <w:rFonts w:hint="eastAsia" w:ascii="Times New Roman" w:hAnsi="Times New Roman" w:eastAsia="方正仿宋_GBK" w:cs="Times New Roman"/>
          <w:b w:val="0"/>
          <w:bCs w:val="0"/>
          <w:sz w:val="32"/>
          <w:szCs w:val="32"/>
        </w:rPr>
        <w:t>4.做好高危人群、重点慢性病患者的筛查和病例管理；</w:t>
      </w:r>
    </w:p>
    <w:p>
      <w:pPr>
        <w:pStyle w:val="15"/>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sz w:val="32"/>
          <w:szCs w:val="32"/>
        </w:rPr>
      </w:pPr>
      <w:r>
        <w:rPr>
          <w:rFonts w:hint="eastAsia" w:ascii="Times New Roman" w:hAnsi="Times New Roman" w:eastAsia="方正仿宋_GBK" w:cs="Times New Roman"/>
          <w:b w:val="0"/>
          <w:bCs w:val="0"/>
          <w:sz w:val="32"/>
          <w:szCs w:val="32"/>
        </w:rPr>
        <w:t>5.提供心理健康指导服务，实施精神病社区管理；</w:t>
      </w:r>
    </w:p>
    <w:p>
      <w:pPr>
        <w:pStyle w:val="15"/>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sz w:val="32"/>
          <w:szCs w:val="32"/>
        </w:rPr>
      </w:pPr>
      <w:r>
        <w:rPr>
          <w:rFonts w:hint="eastAsia" w:ascii="Times New Roman" w:hAnsi="Times New Roman" w:eastAsia="方正仿宋_GBK" w:cs="Times New Roman"/>
          <w:b w:val="0"/>
          <w:bCs w:val="0"/>
          <w:sz w:val="32"/>
          <w:szCs w:val="32"/>
        </w:rPr>
        <w:t>6.为妇女、儿童、老年人、残疾人等重点人群提供保健和康复服务；</w:t>
      </w:r>
    </w:p>
    <w:p>
      <w:pPr>
        <w:pStyle w:val="15"/>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sz w:val="32"/>
          <w:szCs w:val="32"/>
        </w:rPr>
      </w:pPr>
      <w:r>
        <w:rPr>
          <w:rFonts w:hint="eastAsia" w:ascii="Times New Roman" w:hAnsi="Times New Roman" w:eastAsia="方正仿宋_GBK" w:cs="Times New Roman"/>
          <w:b w:val="0"/>
          <w:bCs w:val="0"/>
          <w:sz w:val="32"/>
          <w:szCs w:val="32"/>
        </w:rPr>
        <w:t>7.协助处置辖区内突发公共卫生事件等；</w:t>
      </w:r>
    </w:p>
    <w:p>
      <w:pPr>
        <w:pStyle w:val="15"/>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default"/>
        </w:rPr>
      </w:pPr>
      <w:r>
        <w:rPr>
          <w:rFonts w:hint="eastAsia" w:ascii="Times New Roman" w:hAnsi="Times New Roman" w:eastAsia="方正仿宋_GBK" w:cs="Times New Roman"/>
          <w:b w:val="0"/>
          <w:bCs w:val="0"/>
          <w:sz w:val="32"/>
          <w:szCs w:val="32"/>
        </w:rPr>
        <w:t>8.按要求提供其他公共卫生服务。</w:t>
      </w:r>
    </w:p>
    <w:p>
      <w:pPr>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560" w:lineRule="exact"/>
        <w:ind w:firstLine="640" w:firstLineChars="200"/>
        <w:jc w:val="both"/>
        <w:textAlignment w:val="auto"/>
        <w:rPr>
          <w:rStyle w:val="11"/>
          <w:rFonts w:hint="default" w:ascii="方正楷体_GBK" w:hAnsi="方正楷体_GBK" w:eastAsia="方正楷体_GBK" w:cs="方正楷体_GBK"/>
          <w:b w:val="0"/>
          <w:bCs w:val="0"/>
          <w:sz w:val="32"/>
          <w:szCs w:val="32"/>
          <w:shd w:val="clear" w:color="auto" w:fill="FFFFFF"/>
          <w:lang w:val="en-US" w:eastAsia="zh-CN" w:bidi="ar-SA"/>
        </w:rPr>
      </w:pPr>
      <w:r>
        <w:rPr>
          <w:rStyle w:val="11"/>
          <w:rFonts w:hint="eastAsia" w:ascii="方正楷体_GBK" w:hAnsi="方正楷体_GBK" w:eastAsia="方正楷体_GBK" w:cs="方正楷体_GBK"/>
          <w:b w:val="0"/>
          <w:bCs w:val="0"/>
          <w:sz w:val="32"/>
          <w:szCs w:val="32"/>
          <w:shd w:val="clear" w:color="auto" w:fill="FFFFFF"/>
          <w:lang w:val="en-US" w:eastAsia="zh-CN" w:bidi="ar-SA"/>
        </w:rPr>
        <w:t>机构设置</w:t>
      </w:r>
    </w:p>
    <w:p>
      <w:pPr>
        <w:pStyle w:val="15"/>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sz w:val="32"/>
          <w:szCs w:val="32"/>
        </w:rPr>
      </w:pPr>
      <w:r>
        <w:rPr>
          <w:rFonts w:hint="eastAsia" w:ascii="Times New Roman" w:hAnsi="Times New Roman" w:eastAsia="方正仿宋_GBK" w:cs="Times New Roman"/>
          <w:b w:val="0"/>
          <w:bCs w:val="0"/>
          <w:sz w:val="32"/>
          <w:szCs w:val="32"/>
        </w:rPr>
        <w:t>本单位下设办公室、财务科、医务科、全科门诊、妇科门诊、门诊部、中医科、中医医疗门诊、胃肠镜室、医技科、库房、药房、收费室、综合住院部。</w:t>
      </w:r>
    </w:p>
    <w:p>
      <w:pPr>
        <w:pStyle w:val="4"/>
        <w:keepNext/>
        <w:keepLines/>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Style w:val="11"/>
          <w:rFonts w:hint="default" w:ascii="方正黑体_GBK" w:hAnsi="方正黑体_GBK" w:eastAsia="方正黑体_GBK" w:cs="方正黑体_GBK"/>
          <w:b w:val="0"/>
          <w:bCs w:val="0"/>
          <w:sz w:val="32"/>
          <w:szCs w:val="32"/>
          <w:shd w:val="clear" w:color="auto" w:fill="FFFFFF"/>
        </w:rPr>
      </w:pPr>
      <w:r>
        <w:rPr>
          <w:rStyle w:val="11"/>
          <w:rFonts w:hint="eastAsia" w:ascii="方正黑体_GBK" w:hAnsi="方正黑体_GBK" w:eastAsia="方正黑体_GBK" w:cs="方正黑体_GBK"/>
          <w:b w:val="0"/>
          <w:bCs w:val="0"/>
          <w:sz w:val="32"/>
          <w:szCs w:val="32"/>
          <w:shd w:val="clear" w:color="auto" w:fill="FFFFFF"/>
        </w:rPr>
        <w:t>二、单位决算情况说明</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lang w:val="en-US" w:eastAsia="zh-CN" w:bidi="ar-SA"/>
        </w:rPr>
      </w:pPr>
      <w:r>
        <w:rPr>
          <w:rFonts w:hint="eastAsia" w:ascii="方正楷体_GBK" w:hAnsi="方正楷体_GBK" w:eastAsia="方正楷体_GBK" w:cs="方正楷体_GBK"/>
          <w:b w:val="0"/>
          <w:bCs w:val="0"/>
          <w:sz w:val="32"/>
          <w:szCs w:val="32"/>
          <w:shd w:val="clear" w:color="auto" w:fill="FFFFFF"/>
          <w:lang w:val="en-US" w:eastAsia="zh-CN" w:bidi="ar-SA"/>
        </w:rPr>
        <w:t>（一）收入支出决算总体情况说明</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Times New Roman" w:hAnsi="Times New Roman" w:eastAsia="方正仿宋_GBK" w:cs="Times New Roman"/>
          <w:b w:val="0"/>
          <w:bCs w:val="0"/>
          <w:sz w:val="32"/>
          <w:szCs w:val="32"/>
          <w:shd w:val="clear" w:color="auto" w:fill="FFFFFF"/>
          <w:lang w:val="en-US" w:eastAsia="zh-CN"/>
        </w:rPr>
      </w:pPr>
      <w:r>
        <w:rPr>
          <w:rFonts w:hint="default" w:ascii="Times New Roman" w:hAnsi="Times New Roman" w:eastAsia="方正仿宋_GBK" w:cs="Times New Roman"/>
          <w:b w:val="0"/>
          <w:bCs w:val="0"/>
          <w:sz w:val="32"/>
          <w:szCs w:val="32"/>
          <w:shd w:val="clear" w:color="auto" w:fill="FFFFFF"/>
        </w:rPr>
        <w:t>1.总体情况。2023年度收入总计2579.01万元，支出总计2579.01万元。收支较上年决算数增加246.29万元，增长10.56%，主要原因是</w:t>
      </w:r>
      <w:r>
        <w:rPr>
          <w:rFonts w:hint="eastAsia" w:ascii="Times New Roman" w:hAnsi="Times New Roman" w:eastAsia="方正仿宋_GBK" w:cs="Times New Roman"/>
          <w:b w:val="0"/>
          <w:bCs w:val="0"/>
          <w:sz w:val="32"/>
          <w:szCs w:val="32"/>
          <w:shd w:val="clear" w:color="auto" w:fill="FFFFFF"/>
          <w:lang w:eastAsia="zh-CN"/>
        </w:rPr>
        <w:t>业务收入明显上升，相应支出同步上升。</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shd w:val="clear" w:color="auto" w:fill="FFFFFF"/>
        </w:rPr>
      </w:pPr>
      <w:r>
        <w:rPr>
          <w:rFonts w:hint="default" w:ascii="Times New Roman" w:hAnsi="Times New Roman" w:eastAsia="方正仿宋_GBK" w:cs="Times New Roman"/>
          <w:b w:val="0"/>
          <w:bCs w:val="0"/>
          <w:sz w:val="32"/>
          <w:szCs w:val="32"/>
          <w:shd w:val="clear" w:color="auto" w:fill="FFFFFF"/>
        </w:rPr>
        <w:t>2.收入情况。2023年度收入合计2549.23万元，较上年决算数增加216.51万元，增长9.28%，主要原因是</w:t>
      </w:r>
      <w:r>
        <w:rPr>
          <w:rFonts w:hint="eastAsia" w:ascii="Times New Roman" w:hAnsi="Times New Roman" w:eastAsia="方正仿宋_GBK" w:cs="Times New Roman"/>
          <w:b w:val="0"/>
          <w:bCs w:val="0"/>
          <w:sz w:val="32"/>
          <w:szCs w:val="32"/>
          <w:shd w:val="clear" w:color="auto" w:fill="FFFFFF"/>
          <w:lang w:eastAsia="zh-CN"/>
        </w:rPr>
        <w:t>业务收入明显上升</w:t>
      </w:r>
      <w:r>
        <w:rPr>
          <w:rFonts w:hint="default" w:ascii="Times New Roman" w:hAnsi="Times New Roman" w:eastAsia="方正仿宋_GBK" w:cs="Times New Roman"/>
          <w:b w:val="0"/>
          <w:bCs w:val="0"/>
          <w:sz w:val="32"/>
          <w:szCs w:val="32"/>
          <w:shd w:val="clear" w:color="auto" w:fill="FFFFFF"/>
        </w:rPr>
        <w:t>其中：财政拨款收入644.10万元，占25.27%；事业收入1884.90万元，占73.94%；经营收入0.00万元，占0.00%；其他收入20.23万元，占0.79%。此外，使用非财政拨款结余和专用结余0.00万元，年初结转和结余29.78万元。</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Fonts w:hint="default" w:ascii="Times New Roman" w:hAnsi="Times New Roman" w:eastAsia="方正仿宋_GBK" w:cs="Times New Roman"/>
          <w:b w:val="0"/>
          <w:bCs w:val="0"/>
          <w:sz w:val="32"/>
          <w:szCs w:val="32"/>
          <w:shd w:val="clear" w:color="auto" w:fill="FFFFFF"/>
        </w:rPr>
        <w:t>3.支出情况。2023年度支出合计2526.32万元，较上年决算数增加223.38万元，增长9.70%，主要原因是</w:t>
      </w:r>
      <w:r>
        <w:rPr>
          <w:rFonts w:hint="eastAsia" w:ascii="Times New Roman" w:hAnsi="Times New Roman" w:eastAsia="方正仿宋_GBK" w:cs="Times New Roman"/>
          <w:b w:val="0"/>
          <w:bCs w:val="0"/>
          <w:sz w:val="32"/>
          <w:szCs w:val="32"/>
          <w:shd w:val="clear" w:color="auto" w:fill="FFFFFF"/>
          <w:lang w:eastAsia="zh-CN"/>
        </w:rPr>
        <w:t>随着业务收入的增涨，相应人员支出和医疗成本增加</w:t>
      </w:r>
      <w:r>
        <w:rPr>
          <w:rFonts w:hint="default" w:ascii="Times New Roman" w:hAnsi="Times New Roman" w:eastAsia="方正仿宋_GBK" w:cs="Times New Roman"/>
          <w:b w:val="0"/>
          <w:bCs w:val="0"/>
          <w:sz w:val="32"/>
          <w:szCs w:val="32"/>
          <w:shd w:val="clear" w:color="auto" w:fill="FFFFFF"/>
        </w:rPr>
        <w:t>其中：基本支出2518.23万元，占99.68%；项目支出8.09万元，占0.32%；经营支出0.00万元，占0.00%。此外，结余分配0.00万元。</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lang w:val="en-US" w:eastAsia="zh-CN"/>
        </w:rPr>
      </w:pPr>
      <w:r>
        <w:rPr>
          <w:rFonts w:hint="default" w:ascii="Times New Roman" w:hAnsi="Times New Roman" w:eastAsia="方正仿宋_GBK" w:cs="Times New Roman"/>
          <w:b w:val="0"/>
          <w:bCs w:val="0"/>
          <w:sz w:val="32"/>
          <w:szCs w:val="32"/>
          <w:shd w:val="clear" w:color="auto" w:fill="FFFFFF"/>
        </w:rPr>
        <w:t>4.结转结余情况。2023年度年末结转和结余52.69万元，较上年决算数增加22.91万元，增长76.93%，主要原因是</w:t>
      </w:r>
      <w:r>
        <w:rPr>
          <w:rFonts w:hint="eastAsia" w:ascii="Times New Roman" w:hAnsi="Times New Roman" w:eastAsia="方正仿宋_GBK" w:cs="Times New Roman"/>
          <w:b w:val="0"/>
          <w:bCs w:val="0"/>
          <w:sz w:val="32"/>
          <w:szCs w:val="32"/>
          <w:shd w:val="clear" w:color="auto" w:fill="FFFFFF"/>
          <w:lang w:val="en-US" w:eastAsia="zh-CN"/>
        </w:rPr>
        <w:t>1、</w:t>
      </w:r>
      <w:r>
        <w:rPr>
          <w:rFonts w:hint="eastAsia" w:ascii="Times New Roman" w:hAnsi="Times New Roman" w:eastAsia="方正仿宋_GBK" w:cs="Times New Roman"/>
          <w:b w:val="0"/>
          <w:bCs w:val="0"/>
          <w:sz w:val="32"/>
          <w:szCs w:val="32"/>
          <w:shd w:val="clear" w:color="auto" w:fill="FFFFFF"/>
          <w:lang w:eastAsia="zh-CN"/>
        </w:rPr>
        <w:t>业务收入明显上升，相应产生的医疗结余同步增加。</w:t>
      </w:r>
      <w:r>
        <w:rPr>
          <w:rFonts w:hint="eastAsia" w:ascii="Times New Roman" w:hAnsi="Times New Roman" w:eastAsia="方正仿宋_GBK" w:cs="Times New Roman"/>
          <w:b w:val="0"/>
          <w:bCs w:val="0"/>
          <w:sz w:val="32"/>
          <w:szCs w:val="32"/>
          <w:shd w:val="clear" w:color="auto" w:fill="FFFFFF"/>
          <w:lang w:val="en-US" w:eastAsia="zh-CN"/>
        </w:rPr>
        <w:t>2、</w:t>
      </w:r>
      <w:r>
        <w:rPr>
          <w:rFonts w:hint="default" w:ascii="Times New Roman" w:hAnsi="Times New Roman" w:eastAsia="方正仿宋_GBK" w:cs="Times New Roman"/>
          <w:b w:val="0"/>
          <w:bCs w:val="0"/>
          <w:sz w:val="32"/>
          <w:szCs w:val="32"/>
          <w:shd w:val="clear" w:color="auto" w:fill="FFFFFF"/>
          <w:lang w:val="en-US" w:eastAsia="zh-CN"/>
        </w:rPr>
        <w:t>清算2022年超额绩效，还未发放</w:t>
      </w:r>
      <w:r>
        <w:rPr>
          <w:rFonts w:hint="eastAsia" w:ascii="Times New Roman" w:hAnsi="Times New Roman" w:eastAsia="方正仿宋_GBK" w:cs="Times New Roman"/>
          <w:b w:val="0"/>
          <w:bCs w:val="0"/>
          <w:sz w:val="32"/>
          <w:szCs w:val="32"/>
          <w:shd w:val="clear" w:color="auto" w:fill="FFFFFF"/>
          <w:lang w:val="en-US" w:eastAsia="zh-CN"/>
        </w:rPr>
        <w:t>。</w:t>
      </w:r>
    </w:p>
    <w:p>
      <w:pPr>
        <w:pStyle w:val="4"/>
        <w:keepNext/>
        <w:keepLines/>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default" w:ascii="方正楷体_GBK" w:hAnsi="方正楷体_GBK" w:eastAsia="方正楷体_GBK" w:cs="方正楷体_GBK"/>
          <w:b w:val="0"/>
          <w:bCs w:val="0"/>
          <w:sz w:val="32"/>
          <w:szCs w:val="32"/>
          <w:shd w:val="clear" w:color="auto" w:fill="FFFFFF"/>
          <w:lang w:val="en-US" w:eastAsia="zh-CN" w:bidi="ar-SA"/>
        </w:rPr>
      </w:pPr>
      <w:r>
        <w:rPr>
          <w:rFonts w:hint="eastAsia" w:ascii="方正楷体_GBK" w:hAnsi="方正楷体_GBK" w:eastAsia="方正楷体_GBK" w:cs="方正楷体_GBK"/>
          <w:b w:val="0"/>
          <w:bCs w:val="0"/>
          <w:sz w:val="32"/>
          <w:szCs w:val="32"/>
          <w:shd w:val="clear" w:color="auto" w:fill="FFFFFF"/>
          <w:lang w:val="en-US" w:eastAsia="zh-CN" w:bidi="ar-SA"/>
        </w:rPr>
        <w:t>（二）财政拨款收入支出决算总体情况说明</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sz w:val="32"/>
          <w:szCs w:val="32"/>
          <w:shd w:val="clear" w:color="auto" w:fill="FFFFFF"/>
          <w:lang w:eastAsia="zh-CN"/>
        </w:rPr>
      </w:pPr>
      <w:r>
        <w:rPr>
          <w:rFonts w:hint="default" w:ascii="Times New Roman" w:hAnsi="Times New Roman" w:eastAsia="方正仿宋_GBK" w:cs="Times New Roman"/>
          <w:b w:val="0"/>
          <w:bCs w:val="0"/>
          <w:sz w:val="32"/>
          <w:szCs w:val="32"/>
          <w:shd w:val="clear" w:color="auto" w:fill="FFFFFF"/>
        </w:rPr>
        <w:t>2023年度财政拨款收、支总计644.10万元。与2022年相比，财政拨款收、支总计各增加34.05万元，增长5.58%。主要原因是</w:t>
      </w:r>
      <w:r>
        <w:rPr>
          <w:rFonts w:hint="eastAsia" w:ascii="Times New Roman" w:hAnsi="Times New Roman" w:eastAsia="方正仿宋_GBK" w:cs="Times New Roman"/>
          <w:b w:val="0"/>
          <w:bCs w:val="0"/>
          <w:sz w:val="32"/>
          <w:szCs w:val="32"/>
          <w:shd w:val="clear" w:color="auto" w:fill="FFFFFF"/>
          <w:lang w:eastAsia="zh-CN"/>
        </w:rPr>
        <w:t>随着业务上升，我院在编人数及公卫拨款，正常薪级晋升，岗位晋级，等得到明显增长，随之财政拨款收入增加。</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lang w:val="en-US" w:eastAsia="zh-CN" w:bidi="ar-SA"/>
        </w:rPr>
      </w:pPr>
      <w:r>
        <w:rPr>
          <w:rFonts w:hint="eastAsia" w:ascii="方正楷体_GBK" w:hAnsi="方正楷体_GBK" w:eastAsia="方正楷体_GBK" w:cs="方正楷体_GBK"/>
          <w:b w:val="0"/>
          <w:bCs w:val="0"/>
          <w:sz w:val="32"/>
          <w:szCs w:val="32"/>
          <w:shd w:val="clear" w:color="auto" w:fill="FFFFFF"/>
          <w:lang w:val="en-US" w:eastAsia="zh-CN" w:bidi="ar-SA"/>
        </w:rPr>
        <w:t>（三）一般公共预算财政拨款收入支出决算情况说明</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shd w:val="clear" w:color="auto" w:fill="FFFFFF"/>
        </w:rPr>
      </w:pPr>
      <w:r>
        <w:rPr>
          <w:rFonts w:hint="default" w:ascii="Times New Roman" w:hAnsi="Times New Roman" w:eastAsia="方正仿宋_GBK" w:cs="Times New Roman"/>
          <w:b w:val="0"/>
          <w:bCs w:val="0"/>
          <w:sz w:val="32"/>
          <w:szCs w:val="32"/>
          <w:shd w:val="clear" w:color="auto" w:fill="FFFFFF"/>
        </w:rPr>
        <w:t>1.收入情况。2023年度一般公共预算财政拨款收入644.10万元，较上年决算数增加34.05万元，增长5.58%。主要原因是</w:t>
      </w:r>
      <w:r>
        <w:rPr>
          <w:rFonts w:hint="eastAsia" w:ascii="Times New Roman" w:hAnsi="Times New Roman" w:eastAsia="方正仿宋_GBK" w:cs="Times New Roman"/>
          <w:b w:val="0"/>
          <w:bCs w:val="0"/>
          <w:sz w:val="32"/>
          <w:szCs w:val="32"/>
          <w:shd w:val="clear" w:color="auto" w:fill="FFFFFF"/>
          <w:lang w:eastAsia="zh-CN"/>
        </w:rPr>
        <w:t>公卫拨款增加，及正常薪级晋升，</w:t>
      </w:r>
      <w:r>
        <w:rPr>
          <w:rFonts w:hint="default" w:ascii="Times New Roman" w:hAnsi="Times New Roman" w:eastAsia="方正仿宋_GBK" w:cs="Times New Roman"/>
          <w:b w:val="0"/>
          <w:bCs w:val="0"/>
          <w:sz w:val="32"/>
          <w:szCs w:val="32"/>
          <w:shd w:val="clear" w:color="auto" w:fill="FFFFFF"/>
        </w:rPr>
        <w:t>较年初预算数增加183.73万元，增长39.91%。主要原因是</w:t>
      </w:r>
      <w:r>
        <w:rPr>
          <w:rFonts w:hint="eastAsia" w:ascii="Times New Roman" w:hAnsi="Times New Roman" w:eastAsia="方正仿宋_GBK" w:cs="Times New Roman"/>
          <w:b w:val="0"/>
          <w:bCs w:val="0"/>
          <w:sz w:val="32"/>
          <w:szCs w:val="32"/>
          <w:shd w:val="clear" w:color="auto" w:fill="FFFFFF"/>
          <w:lang w:eastAsia="zh-CN"/>
        </w:rPr>
        <w:t>人员结构出现变化，</w:t>
      </w:r>
      <w:r>
        <w:rPr>
          <w:rFonts w:hint="default" w:ascii="Times New Roman" w:hAnsi="Times New Roman" w:eastAsia="方正仿宋_GBK" w:cs="Times New Roman"/>
          <w:b w:val="0"/>
          <w:bCs w:val="0"/>
          <w:sz w:val="32"/>
          <w:szCs w:val="32"/>
          <w:shd w:val="clear" w:color="auto" w:fill="FFFFFF"/>
        </w:rPr>
        <w:t>此外，年初财政拨款结转和结余0.00万元。</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sz w:val="32"/>
          <w:szCs w:val="32"/>
          <w:shd w:val="clear" w:color="auto" w:fill="FFFFFF"/>
          <w:lang w:eastAsia="zh-CN"/>
        </w:rPr>
      </w:pPr>
      <w:r>
        <w:rPr>
          <w:rFonts w:hint="default" w:ascii="Times New Roman" w:hAnsi="Times New Roman" w:eastAsia="方正仿宋_GBK" w:cs="Times New Roman"/>
          <w:b w:val="0"/>
          <w:bCs w:val="0"/>
          <w:sz w:val="32"/>
          <w:szCs w:val="32"/>
          <w:shd w:val="clear" w:color="auto" w:fill="FFFFFF"/>
        </w:rPr>
        <w:t>2.支出情况。2023年度一般公共预算财政拨款支出621.57万元，较上年决算数增加11.52万元，增长1.89%。主要原因是</w:t>
      </w:r>
      <w:r>
        <w:rPr>
          <w:rFonts w:hint="eastAsia" w:ascii="Times New Roman" w:hAnsi="Times New Roman" w:eastAsia="方正仿宋_GBK" w:cs="Times New Roman"/>
          <w:b w:val="0"/>
          <w:bCs w:val="0"/>
          <w:sz w:val="32"/>
          <w:szCs w:val="32"/>
          <w:shd w:val="clear" w:color="auto" w:fill="FFFFFF"/>
          <w:lang w:eastAsia="zh-CN"/>
        </w:rPr>
        <w:t>公卫拨款增加，人员结构变动。</w:t>
      </w:r>
      <w:r>
        <w:rPr>
          <w:rFonts w:hint="default" w:ascii="Times New Roman" w:hAnsi="Times New Roman" w:eastAsia="方正仿宋_GBK" w:cs="Times New Roman"/>
          <w:b w:val="0"/>
          <w:bCs w:val="0"/>
          <w:sz w:val="32"/>
          <w:szCs w:val="32"/>
          <w:shd w:val="clear" w:color="auto" w:fill="FFFFFF"/>
        </w:rPr>
        <w:t>较年初预算数增加161.20万元，增长35.02%。主要原因是</w:t>
      </w:r>
      <w:r>
        <w:rPr>
          <w:rFonts w:hint="eastAsia" w:ascii="Times New Roman" w:hAnsi="Times New Roman" w:eastAsia="方正仿宋_GBK" w:cs="Times New Roman"/>
          <w:b w:val="0"/>
          <w:bCs w:val="0"/>
          <w:sz w:val="32"/>
          <w:szCs w:val="32"/>
          <w:shd w:val="clear" w:color="auto" w:fill="FFFFFF"/>
          <w:lang w:eastAsia="zh-CN"/>
        </w:rPr>
        <w:t>公卫拨款增加，人员结构变动。</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sz w:val="32"/>
          <w:szCs w:val="32"/>
          <w:shd w:val="clear" w:color="auto" w:fill="FFFFFF"/>
          <w:lang w:val="en-US" w:eastAsia="zh-CN"/>
        </w:rPr>
      </w:pPr>
      <w:r>
        <w:rPr>
          <w:rFonts w:hint="default" w:ascii="Times New Roman" w:hAnsi="Times New Roman" w:eastAsia="方正仿宋_GBK" w:cs="Times New Roman"/>
          <w:b w:val="0"/>
          <w:bCs w:val="0"/>
          <w:sz w:val="32"/>
          <w:szCs w:val="32"/>
          <w:shd w:val="clear" w:color="auto" w:fill="FFFFFF"/>
        </w:rPr>
        <w:t>3.结转结余情况。2023年度年末一般公共预算财政拨款结转和结余22.53万元，较上年决算数增加22.53万元，增长100.00%，主要原因是</w:t>
      </w:r>
      <w:r>
        <w:rPr>
          <w:rFonts w:hint="eastAsia" w:ascii="Times New Roman" w:hAnsi="Times New Roman" w:eastAsia="方正仿宋_GBK" w:cs="Times New Roman"/>
          <w:b w:val="0"/>
          <w:bCs w:val="0"/>
          <w:sz w:val="32"/>
          <w:szCs w:val="32"/>
          <w:shd w:val="clear" w:color="auto" w:fill="FFFFFF"/>
          <w:lang w:eastAsia="zh-CN"/>
        </w:rPr>
        <w:t>年底拨入相应款项，由于时间临近扎帐时间，该资金没有及时支付故形成结余。</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shd w:val="clear" w:color="auto" w:fill="FFFFFF"/>
        </w:rPr>
      </w:pPr>
      <w:r>
        <w:rPr>
          <w:rFonts w:hint="default" w:ascii="Times New Roman" w:hAnsi="Times New Roman" w:eastAsia="方正仿宋_GBK" w:cs="Times New Roman"/>
          <w:b w:val="0"/>
          <w:bCs w:val="0"/>
          <w:sz w:val="32"/>
          <w:szCs w:val="32"/>
          <w:shd w:val="clear" w:color="auto" w:fill="FFFFFF"/>
        </w:rPr>
        <w:t>4.比较情况。本单位2023年度一般公共预算财政拨款支出主要用于以下几个方面：</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sz w:val="32"/>
          <w:szCs w:val="32"/>
          <w:shd w:val="clear" w:color="auto" w:fill="FFFFFF"/>
          <w:lang w:eastAsia="zh-CN"/>
        </w:rPr>
      </w:pPr>
      <w:r>
        <w:rPr>
          <w:rFonts w:hint="default" w:ascii="Times New Roman" w:hAnsi="Times New Roman" w:eastAsia="方正仿宋_GBK" w:cs="Times New Roman"/>
          <w:b w:val="0"/>
          <w:bCs w:val="0"/>
          <w:sz w:val="32"/>
          <w:szCs w:val="32"/>
          <w:shd w:val="clear" w:color="auto" w:fill="FFFFFF"/>
        </w:rPr>
        <w:t>（</w:t>
      </w:r>
      <w:r>
        <w:rPr>
          <w:rFonts w:hint="eastAsia" w:ascii="Times New Roman" w:hAnsi="Times New Roman" w:eastAsia="方正仿宋_GBK" w:cs="Times New Roman"/>
          <w:b w:val="0"/>
          <w:bCs w:val="0"/>
          <w:sz w:val="32"/>
          <w:szCs w:val="32"/>
          <w:shd w:val="clear" w:color="auto" w:fill="FFFFFF"/>
          <w:lang w:val="en-US" w:eastAsia="zh-CN"/>
        </w:rPr>
        <w:t>1</w:t>
      </w:r>
      <w:r>
        <w:rPr>
          <w:rFonts w:hint="default" w:ascii="Times New Roman" w:hAnsi="Times New Roman" w:eastAsia="方正仿宋_GBK" w:cs="Times New Roman"/>
          <w:b w:val="0"/>
          <w:bCs w:val="0"/>
          <w:sz w:val="32"/>
          <w:szCs w:val="32"/>
          <w:shd w:val="clear" w:color="auto" w:fill="FFFFFF"/>
        </w:rPr>
        <w:t>）社会保障与就业支出63.90万元，占10.28%，较年初预算数减少21.04万元，下降24.77%，主要原因是</w:t>
      </w:r>
      <w:r>
        <w:rPr>
          <w:rFonts w:hint="eastAsia" w:ascii="Times New Roman" w:hAnsi="Times New Roman" w:eastAsia="方正仿宋_GBK" w:cs="Times New Roman"/>
          <w:b w:val="0"/>
          <w:bCs w:val="0"/>
          <w:sz w:val="32"/>
          <w:szCs w:val="32"/>
          <w:shd w:val="clear" w:color="auto" w:fill="FFFFFF"/>
          <w:lang w:eastAsia="zh-CN"/>
        </w:rPr>
        <w:t>人员出现调整，有退休人员及调离人员。</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sz w:val="32"/>
          <w:szCs w:val="32"/>
          <w:shd w:val="clear" w:color="auto" w:fill="FFFFFF"/>
          <w:lang w:eastAsia="zh-CN"/>
        </w:rPr>
      </w:pPr>
      <w:r>
        <w:rPr>
          <w:rFonts w:hint="default" w:ascii="Times New Roman" w:hAnsi="Times New Roman" w:eastAsia="方正仿宋_GBK" w:cs="Times New Roman"/>
          <w:b w:val="0"/>
          <w:bCs w:val="0"/>
          <w:sz w:val="32"/>
          <w:szCs w:val="32"/>
          <w:shd w:val="clear" w:color="auto" w:fill="FFFFFF"/>
        </w:rPr>
        <w:t>（</w:t>
      </w:r>
      <w:r>
        <w:rPr>
          <w:rFonts w:hint="eastAsia" w:ascii="Times New Roman" w:hAnsi="Times New Roman" w:eastAsia="方正仿宋_GBK" w:cs="Times New Roman"/>
          <w:b w:val="0"/>
          <w:bCs w:val="0"/>
          <w:sz w:val="32"/>
          <w:szCs w:val="32"/>
          <w:shd w:val="clear" w:color="auto" w:fill="FFFFFF"/>
          <w:lang w:val="en-US" w:eastAsia="zh-CN"/>
        </w:rPr>
        <w:t>2</w:t>
      </w:r>
      <w:r>
        <w:rPr>
          <w:rFonts w:hint="default" w:ascii="Times New Roman" w:hAnsi="Times New Roman" w:eastAsia="方正仿宋_GBK" w:cs="Times New Roman"/>
          <w:b w:val="0"/>
          <w:bCs w:val="0"/>
          <w:sz w:val="32"/>
          <w:szCs w:val="32"/>
          <w:shd w:val="clear" w:color="auto" w:fill="FFFFFF"/>
        </w:rPr>
        <w:t>）卫生健康支出537.61万元，占86.49%，较年初预算数增加197.19万元，增长57.93%，主要原因是</w:t>
      </w:r>
      <w:r>
        <w:rPr>
          <w:rFonts w:hint="eastAsia" w:ascii="Times New Roman" w:hAnsi="Times New Roman" w:eastAsia="方正仿宋_GBK" w:cs="Times New Roman"/>
          <w:b w:val="0"/>
          <w:bCs w:val="0"/>
          <w:sz w:val="32"/>
          <w:szCs w:val="32"/>
          <w:shd w:val="clear" w:color="auto" w:fill="FFFFFF"/>
          <w:lang w:eastAsia="zh-CN"/>
        </w:rPr>
        <w:t>对公共卫生投入增加。</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sz w:val="32"/>
          <w:szCs w:val="32"/>
          <w:shd w:val="clear" w:color="auto" w:fill="FFFFFF"/>
          <w:lang w:eastAsia="zh-CN"/>
        </w:rPr>
      </w:pPr>
      <w:r>
        <w:rPr>
          <w:rFonts w:hint="default" w:ascii="Times New Roman" w:hAnsi="Times New Roman" w:eastAsia="方正仿宋_GBK" w:cs="Times New Roman"/>
          <w:b w:val="0"/>
          <w:bCs w:val="0"/>
          <w:sz w:val="32"/>
          <w:szCs w:val="32"/>
          <w:shd w:val="clear" w:color="auto" w:fill="FFFFFF"/>
        </w:rPr>
        <w:t>（</w:t>
      </w:r>
      <w:r>
        <w:rPr>
          <w:rFonts w:hint="eastAsia" w:ascii="Times New Roman" w:hAnsi="Times New Roman" w:eastAsia="方正仿宋_GBK" w:cs="Times New Roman"/>
          <w:b w:val="0"/>
          <w:bCs w:val="0"/>
          <w:sz w:val="32"/>
          <w:szCs w:val="32"/>
          <w:shd w:val="clear" w:color="auto" w:fill="FFFFFF"/>
          <w:lang w:val="en-US" w:eastAsia="zh-CN"/>
        </w:rPr>
        <w:t>3</w:t>
      </w:r>
      <w:r>
        <w:rPr>
          <w:rFonts w:hint="default" w:ascii="Times New Roman" w:hAnsi="Times New Roman" w:eastAsia="方正仿宋_GBK" w:cs="Times New Roman"/>
          <w:b w:val="0"/>
          <w:bCs w:val="0"/>
          <w:sz w:val="32"/>
          <w:szCs w:val="32"/>
          <w:shd w:val="clear" w:color="auto" w:fill="FFFFFF"/>
        </w:rPr>
        <w:t>）住房保障支出20.06万元，占3.23%，较年初预算数减少14.95万元，下降42.70%，主要原因是</w:t>
      </w:r>
      <w:r>
        <w:rPr>
          <w:rFonts w:hint="eastAsia" w:ascii="Times New Roman" w:hAnsi="Times New Roman" w:eastAsia="方正仿宋_GBK" w:cs="Times New Roman"/>
          <w:b w:val="0"/>
          <w:bCs w:val="0"/>
          <w:sz w:val="32"/>
          <w:szCs w:val="32"/>
          <w:shd w:val="clear" w:color="auto" w:fill="FFFFFF"/>
          <w:lang w:eastAsia="zh-CN"/>
        </w:rPr>
        <w:t>人员调整。</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lang w:val="en-US" w:eastAsia="zh-CN" w:bidi="ar-SA"/>
        </w:rPr>
      </w:pPr>
      <w:r>
        <w:rPr>
          <w:rFonts w:hint="eastAsia" w:ascii="方正楷体_GBK" w:hAnsi="方正楷体_GBK" w:eastAsia="方正楷体_GBK" w:cs="方正楷体_GBK"/>
          <w:b w:val="0"/>
          <w:bCs w:val="0"/>
          <w:sz w:val="32"/>
          <w:szCs w:val="32"/>
          <w:shd w:val="clear" w:color="auto" w:fill="FFFFFF"/>
          <w:lang w:val="en-US" w:eastAsia="zh-CN" w:bidi="ar-SA"/>
        </w:rPr>
        <w:t>（四）一般公共预算财政拨款基本支出决算情况说明</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lang w:eastAsia="zh-CN"/>
        </w:rPr>
      </w:pPr>
      <w:r>
        <w:rPr>
          <w:rFonts w:hint="default" w:ascii="Times New Roman" w:hAnsi="Times New Roman" w:eastAsia="方正仿宋_GBK" w:cs="Times New Roman"/>
          <w:b w:val="0"/>
          <w:bCs w:val="0"/>
          <w:sz w:val="32"/>
          <w:szCs w:val="32"/>
          <w:shd w:val="clear" w:color="auto" w:fill="FFFFFF"/>
          <w:lang w:val="en-US" w:eastAsia="zh-CN" w:bidi="ar-SA"/>
        </w:rPr>
        <w:t>2023年度一般公共财政拨款基本支出613.48万元。其中：人员经费553.48万元，较上年决算数减少30.44万元，下降5.21%，主要原因是</w:t>
      </w:r>
      <w:r>
        <w:rPr>
          <w:rFonts w:hint="eastAsia" w:ascii="Times New Roman" w:hAnsi="Times New Roman" w:eastAsia="方正仿宋_GBK" w:cs="Times New Roman"/>
          <w:b w:val="0"/>
          <w:bCs w:val="0"/>
          <w:sz w:val="32"/>
          <w:szCs w:val="32"/>
          <w:shd w:val="clear" w:color="auto" w:fill="FFFFFF"/>
          <w:lang w:val="en-US" w:eastAsia="zh-CN" w:bidi="ar-SA"/>
        </w:rPr>
        <w:t>人员调整。</w:t>
      </w:r>
      <w:r>
        <w:rPr>
          <w:rFonts w:hint="default" w:ascii="Times New Roman" w:hAnsi="Times New Roman" w:eastAsia="方正仿宋_GBK" w:cs="Times New Roman"/>
          <w:b w:val="0"/>
          <w:bCs w:val="0"/>
          <w:sz w:val="32"/>
          <w:szCs w:val="32"/>
          <w:shd w:val="clear" w:color="auto" w:fill="FFFFFF"/>
          <w:lang w:val="en-US" w:eastAsia="zh-CN" w:bidi="ar-SA"/>
        </w:rPr>
        <w:t>人员经费用途主要包括</w:t>
      </w:r>
      <w:r>
        <w:rPr>
          <w:rFonts w:hint="eastAsia" w:ascii="Times New Roman" w:hAnsi="Times New Roman" w:eastAsia="方正仿宋_GBK" w:cs="Times New Roman"/>
          <w:b w:val="0"/>
          <w:bCs w:val="0"/>
          <w:sz w:val="32"/>
          <w:szCs w:val="32"/>
          <w:shd w:val="clear" w:color="auto" w:fill="FFFFFF"/>
          <w:lang w:val="en-US" w:eastAsia="zh-CN" w:bidi="ar-SA"/>
        </w:rPr>
        <w:t>基本工资、补助、基础绩效等。</w:t>
      </w:r>
      <w:r>
        <w:rPr>
          <w:rFonts w:hint="default" w:ascii="Times New Roman" w:hAnsi="Times New Roman" w:eastAsia="方正仿宋_GBK" w:cs="Times New Roman"/>
          <w:b w:val="0"/>
          <w:bCs w:val="0"/>
          <w:sz w:val="32"/>
          <w:szCs w:val="32"/>
          <w:shd w:val="clear" w:color="auto" w:fill="FFFFFF"/>
          <w:lang w:val="en-US" w:eastAsia="zh-CN" w:bidi="ar-SA"/>
        </w:rPr>
        <w:t>公用经费60.00万元，较上年决算数增加33.87万元，增长129.62%，主要原因是</w:t>
      </w:r>
      <w:r>
        <w:rPr>
          <w:rFonts w:hint="eastAsia" w:ascii="Times New Roman" w:hAnsi="Times New Roman" w:eastAsia="方正仿宋_GBK" w:cs="Times New Roman"/>
          <w:b w:val="0"/>
          <w:bCs w:val="0"/>
          <w:sz w:val="32"/>
          <w:szCs w:val="32"/>
          <w:shd w:val="clear" w:color="auto" w:fill="FFFFFF"/>
          <w:lang w:val="en-US" w:eastAsia="zh-CN" w:bidi="ar-SA"/>
        </w:rPr>
        <w:t>增加对公共卫生支出。</w:t>
      </w:r>
      <w:r>
        <w:rPr>
          <w:rFonts w:hint="default" w:ascii="Times New Roman" w:hAnsi="Times New Roman" w:eastAsia="方正仿宋_GBK" w:cs="Times New Roman"/>
          <w:b w:val="0"/>
          <w:bCs w:val="0"/>
          <w:sz w:val="32"/>
          <w:szCs w:val="32"/>
          <w:shd w:val="clear" w:color="auto" w:fill="FFFFFF"/>
          <w:lang w:val="en-US" w:eastAsia="zh-CN" w:bidi="ar-SA"/>
        </w:rPr>
        <w:t>公用经费用途主要包括</w:t>
      </w:r>
      <w:r>
        <w:rPr>
          <w:rFonts w:hint="eastAsia" w:ascii="Times New Roman" w:hAnsi="Times New Roman" w:eastAsia="方正仿宋_GBK" w:cs="Times New Roman"/>
          <w:b w:val="0"/>
          <w:bCs w:val="0"/>
          <w:sz w:val="32"/>
          <w:szCs w:val="32"/>
          <w:shd w:val="clear" w:color="auto" w:fill="FFFFFF"/>
          <w:lang w:val="en-US" w:eastAsia="zh-CN" w:bidi="ar-SA"/>
        </w:rPr>
        <w:t>主要是公共卫生支出。</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lang w:val="en-US" w:eastAsia="zh-CN" w:bidi="ar-SA"/>
        </w:rPr>
      </w:pPr>
      <w:r>
        <w:rPr>
          <w:rFonts w:hint="eastAsia" w:ascii="方正楷体_GBK" w:hAnsi="方正楷体_GBK" w:eastAsia="方正楷体_GBK" w:cs="方正楷体_GBK"/>
          <w:b w:val="0"/>
          <w:bCs w:val="0"/>
          <w:sz w:val="32"/>
          <w:szCs w:val="32"/>
          <w:shd w:val="clear" w:color="auto" w:fill="FFFFFF"/>
          <w:lang w:val="en-US" w:eastAsia="zh-CN" w:bidi="ar-SA"/>
        </w:rPr>
        <w:t>（五）政府性基金预算收支决算情况说明</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shd w:val="clear" w:color="auto" w:fill="FFFFFF"/>
          <w:lang w:val="en-US" w:eastAsia="zh-CN" w:bidi="ar-SA"/>
        </w:rPr>
      </w:pPr>
      <w:r>
        <w:rPr>
          <w:rFonts w:hint="eastAsia" w:ascii="Times New Roman" w:hAnsi="Times New Roman" w:eastAsia="方正仿宋_GBK" w:cs="Times New Roman"/>
          <w:b w:val="0"/>
          <w:bCs w:val="0"/>
          <w:sz w:val="32"/>
          <w:szCs w:val="32"/>
          <w:shd w:val="clear" w:color="auto" w:fill="FFFFFF"/>
          <w:lang w:val="en-US" w:eastAsia="zh-CN" w:bidi="ar-SA"/>
        </w:rPr>
        <w:t>本单位2023年度无政府性基金预算财政拨款收支。</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lang w:val="en-US" w:eastAsia="zh-CN" w:bidi="ar-SA"/>
        </w:rPr>
      </w:pPr>
      <w:r>
        <w:rPr>
          <w:rFonts w:hint="eastAsia" w:ascii="方正楷体_GBK" w:hAnsi="方正楷体_GBK" w:eastAsia="方正楷体_GBK" w:cs="方正楷体_GBK"/>
          <w:b w:val="0"/>
          <w:bCs w:val="0"/>
          <w:sz w:val="32"/>
          <w:szCs w:val="32"/>
          <w:shd w:val="clear" w:color="auto" w:fill="FFFFFF"/>
          <w:lang w:val="en-US" w:eastAsia="zh-CN" w:bidi="ar-SA"/>
        </w:rPr>
        <w:t>（六）国有资本经营预算财政拨款支出决算情况说明</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shd w:val="clear" w:color="auto" w:fill="FFFFFF"/>
          <w:lang w:val="en-US" w:eastAsia="zh-CN" w:bidi="ar-SA"/>
        </w:rPr>
      </w:pPr>
      <w:r>
        <w:rPr>
          <w:rFonts w:hint="eastAsia" w:ascii="Times New Roman" w:hAnsi="Times New Roman" w:eastAsia="方正仿宋_GBK" w:cs="Times New Roman"/>
          <w:b w:val="0"/>
          <w:bCs w:val="0"/>
          <w:sz w:val="32"/>
          <w:szCs w:val="32"/>
          <w:shd w:val="clear" w:color="auto" w:fill="FFFFFF"/>
          <w:lang w:val="en-US" w:eastAsia="zh-CN" w:bidi="ar-SA"/>
        </w:rPr>
        <w:t>本单位2023年度无国有资本经营预算财政拨款支出。</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Style w:val="11"/>
          <w:rFonts w:hint="default" w:ascii="方正黑体_GBK" w:hAnsi="方正黑体_GBK" w:eastAsia="方正黑体_GBK" w:cs="方正黑体_GBK"/>
          <w:b w:val="0"/>
          <w:bCs w:val="0"/>
          <w:sz w:val="32"/>
          <w:szCs w:val="32"/>
          <w:shd w:val="clear" w:color="auto" w:fill="FFFFFF"/>
        </w:rPr>
      </w:pPr>
      <w:r>
        <w:rPr>
          <w:rStyle w:val="11"/>
          <w:rFonts w:hint="eastAsia" w:ascii="方正黑体_GBK" w:hAnsi="方正黑体_GBK" w:eastAsia="方正黑体_GBK" w:cs="方正黑体_GBK"/>
          <w:b w:val="0"/>
          <w:bCs w:val="0"/>
          <w:sz w:val="32"/>
          <w:szCs w:val="32"/>
          <w:shd w:val="clear" w:color="auto" w:fill="FFFFFF"/>
        </w:rPr>
        <w:t>三、“三公”经费情况说明</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lang w:val="en-US" w:eastAsia="zh-CN" w:bidi="ar-SA"/>
        </w:rPr>
      </w:pPr>
      <w:r>
        <w:rPr>
          <w:rFonts w:hint="eastAsia" w:ascii="方正楷体_GBK" w:hAnsi="方正楷体_GBK" w:eastAsia="方正楷体_GBK" w:cs="方正楷体_GBK"/>
          <w:b w:val="0"/>
          <w:bCs w:val="0"/>
          <w:sz w:val="32"/>
          <w:szCs w:val="32"/>
          <w:shd w:val="clear" w:color="auto" w:fill="FFFFFF"/>
          <w:lang w:val="en-US" w:eastAsia="zh-CN" w:bidi="ar-SA"/>
        </w:rPr>
        <w:t>（一）“三公”经费支出总体情况说明</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shd w:val="clear" w:color="auto" w:fill="FFFFFF"/>
          <w:lang w:val="en-US" w:eastAsia="zh-CN" w:bidi="ar-SA"/>
        </w:rPr>
      </w:pPr>
      <w:r>
        <w:rPr>
          <w:rFonts w:hint="eastAsia" w:ascii="Times New Roman" w:hAnsi="Times New Roman" w:eastAsia="方正仿宋_GBK" w:cs="Times New Roman"/>
          <w:b w:val="0"/>
          <w:bCs w:val="0"/>
          <w:sz w:val="32"/>
          <w:szCs w:val="32"/>
          <w:shd w:val="clear" w:color="auto" w:fill="FFFFFF"/>
          <w:lang w:val="en-US" w:eastAsia="zh-CN" w:bidi="ar-SA"/>
        </w:rPr>
        <w:t>本单位</w:t>
      </w:r>
      <w:r>
        <w:rPr>
          <w:rFonts w:hint="default" w:ascii="Times New Roman" w:hAnsi="Times New Roman" w:eastAsia="方正仿宋_GBK" w:cs="Times New Roman"/>
          <w:b w:val="0"/>
          <w:bCs w:val="0"/>
          <w:sz w:val="32"/>
          <w:szCs w:val="32"/>
          <w:shd w:val="clear" w:color="auto" w:fill="FFFFFF"/>
          <w:lang w:val="en-US" w:eastAsia="zh-CN" w:bidi="ar-SA"/>
        </w:rPr>
        <w:t>属于差额拨款单位，财政未保障</w:t>
      </w:r>
      <w:r>
        <w:rPr>
          <w:rFonts w:hint="eastAsia" w:ascii="Times New Roman" w:hAnsi="Times New Roman" w:eastAsia="方正仿宋_GBK" w:cs="Times New Roman"/>
          <w:b w:val="0"/>
          <w:bCs w:val="0"/>
          <w:sz w:val="32"/>
          <w:szCs w:val="32"/>
          <w:shd w:val="clear" w:color="auto" w:fill="FFFFFF"/>
          <w:lang w:val="en-US" w:eastAsia="zh-CN" w:bidi="ar-SA"/>
        </w:rPr>
        <w:t>本单位</w:t>
      </w:r>
      <w:r>
        <w:rPr>
          <w:rFonts w:hint="default" w:ascii="Times New Roman" w:hAnsi="Times New Roman" w:eastAsia="方正仿宋_GBK" w:cs="Times New Roman"/>
          <w:b w:val="0"/>
          <w:bCs w:val="0"/>
          <w:sz w:val="32"/>
          <w:szCs w:val="32"/>
          <w:shd w:val="clear" w:color="auto" w:fill="FFFFFF"/>
          <w:lang w:val="en-US" w:eastAsia="zh-CN" w:bidi="ar-SA"/>
        </w:rPr>
        <w:t>“三公”经费。</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方正楷体_GBK" w:hAnsi="方正楷体_GBK" w:eastAsia="方正楷体_GBK" w:cs="方正楷体_GBK"/>
          <w:b w:val="0"/>
          <w:bCs w:val="0"/>
          <w:sz w:val="32"/>
          <w:szCs w:val="32"/>
          <w:shd w:val="clear" w:color="auto" w:fill="FFFFFF"/>
          <w:lang w:val="en-US" w:eastAsia="zh-CN" w:bidi="ar-SA"/>
        </w:rPr>
      </w:pPr>
      <w:r>
        <w:rPr>
          <w:rFonts w:hint="default" w:ascii="方正楷体_GBK" w:hAnsi="方正楷体_GBK" w:eastAsia="方正楷体_GBK" w:cs="方正楷体_GBK"/>
          <w:b w:val="0"/>
          <w:bCs w:val="0"/>
          <w:sz w:val="32"/>
          <w:szCs w:val="32"/>
          <w:shd w:val="clear" w:color="auto" w:fill="FFFFFF"/>
          <w:lang w:val="en-US" w:eastAsia="zh-CN" w:bidi="ar-SA"/>
        </w:rPr>
        <w:t>（二）“三公”经费分项支出情况</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shd w:val="clear" w:color="auto" w:fill="FFFFFF"/>
          <w:lang w:val="en-US" w:eastAsia="zh-CN" w:bidi="ar-SA"/>
        </w:rPr>
      </w:pPr>
      <w:r>
        <w:rPr>
          <w:rFonts w:hint="default" w:ascii="Times New Roman" w:hAnsi="Times New Roman" w:eastAsia="方正仿宋_GBK" w:cs="Times New Roman"/>
          <w:b w:val="0"/>
          <w:bCs w:val="0"/>
          <w:sz w:val="32"/>
          <w:szCs w:val="32"/>
          <w:shd w:val="clear" w:color="auto" w:fill="FFFFFF"/>
          <w:lang w:val="en-US" w:eastAsia="zh-CN" w:bidi="ar-SA"/>
        </w:rPr>
        <w:t>2023年度本单位无因公出国（境）费</w:t>
      </w:r>
      <w:r>
        <w:rPr>
          <w:rFonts w:hint="eastAsia" w:ascii="Times New Roman" w:hAnsi="Times New Roman" w:eastAsia="方正仿宋_GBK" w:cs="Times New Roman"/>
          <w:b w:val="0"/>
          <w:bCs w:val="0"/>
          <w:sz w:val="32"/>
          <w:szCs w:val="32"/>
          <w:shd w:val="clear" w:color="auto" w:fill="FFFFFF"/>
          <w:lang w:val="en-US" w:eastAsia="zh-CN" w:bidi="ar-SA"/>
        </w:rPr>
        <w:t>，较年初预算数无增减，较上年支出数无增减。</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shd w:val="clear" w:color="auto" w:fill="FFFFFF"/>
          <w:lang w:val="en-US" w:eastAsia="zh-CN" w:bidi="ar-SA"/>
        </w:rPr>
      </w:pPr>
      <w:r>
        <w:rPr>
          <w:rFonts w:hint="default" w:ascii="Times New Roman" w:hAnsi="Times New Roman" w:eastAsia="方正仿宋_GBK" w:cs="Times New Roman"/>
          <w:b w:val="0"/>
          <w:bCs w:val="0"/>
          <w:sz w:val="32"/>
          <w:szCs w:val="32"/>
          <w:shd w:val="clear" w:color="auto" w:fill="FFFFFF"/>
          <w:lang w:val="en-US" w:eastAsia="zh-CN" w:bidi="ar-SA"/>
        </w:rPr>
        <w:t>2023年度本单位无公务车购置费</w:t>
      </w:r>
      <w:r>
        <w:rPr>
          <w:rFonts w:hint="eastAsia" w:ascii="Times New Roman" w:hAnsi="Times New Roman" w:eastAsia="方正仿宋_GBK" w:cs="Times New Roman"/>
          <w:b w:val="0"/>
          <w:bCs w:val="0"/>
          <w:sz w:val="32"/>
          <w:szCs w:val="32"/>
          <w:shd w:val="clear" w:color="auto" w:fill="FFFFFF"/>
          <w:lang w:val="en-US" w:eastAsia="zh-CN" w:bidi="ar-SA"/>
        </w:rPr>
        <w:t>，较年初预算数无增减，较上年支出数无增减。</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shd w:val="clear" w:color="auto" w:fill="FFFFFF"/>
          <w:lang w:val="en-US" w:eastAsia="zh-CN" w:bidi="ar-SA"/>
        </w:rPr>
      </w:pPr>
      <w:r>
        <w:rPr>
          <w:rFonts w:hint="default" w:ascii="Times New Roman" w:hAnsi="Times New Roman" w:eastAsia="方正仿宋_GBK" w:cs="Times New Roman"/>
          <w:b w:val="0"/>
          <w:bCs w:val="0"/>
          <w:sz w:val="32"/>
          <w:szCs w:val="32"/>
          <w:shd w:val="clear" w:color="auto" w:fill="FFFFFF"/>
          <w:lang w:val="en-US" w:eastAsia="zh-CN" w:bidi="ar-SA"/>
        </w:rPr>
        <w:t>2023年度本单位无公务车运行维护费</w:t>
      </w:r>
      <w:r>
        <w:rPr>
          <w:rFonts w:hint="eastAsia" w:ascii="Times New Roman" w:hAnsi="Times New Roman" w:eastAsia="方正仿宋_GBK" w:cs="Times New Roman"/>
          <w:b w:val="0"/>
          <w:bCs w:val="0"/>
          <w:sz w:val="32"/>
          <w:szCs w:val="32"/>
          <w:shd w:val="clear" w:color="auto" w:fill="FFFFFF"/>
          <w:lang w:val="en-US" w:eastAsia="zh-CN" w:bidi="ar-SA"/>
        </w:rPr>
        <w:t>，较年初预算数无增减，较上年支出数无增减。</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shd w:val="clear" w:color="auto" w:fill="FFFFFF"/>
          <w:lang w:val="en-US" w:eastAsia="zh-CN" w:bidi="ar-SA"/>
        </w:rPr>
      </w:pPr>
      <w:r>
        <w:rPr>
          <w:rFonts w:hint="default" w:ascii="Times New Roman" w:hAnsi="Times New Roman" w:eastAsia="方正仿宋_GBK" w:cs="Times New Roman"/>
          <w:b w:val="0"/>
          <w:bCs w:val="0"/>
          <w:sz w:val="32"/>
          <w:szCs w:val="32"/>
          <w:shd w:val="clear" w:color="auto" w:fill="FFFFFF"/>
          <w:lang w:val="en-US" w:eastAsia="zh-CN" w:bidi="ar-SA"/>
        </w:rPr>
        <w:t>2023年度本单位无公务接待费</w:t>
      </w:r>
      <w:r>
        <w:rPr>
          <w:rFonts w:hint="eastAsia" w:ascii="Times New Roman" w:hAnsi="Times New Roman" w:eastAsia="方正仿宋_GBK" w:cs="Times New Roman"/>
          <w:b w:val="0"/>
          <w:bCs w:val="0"/>
          <w:sz w:val="32"/>
          <w:szCs w:val="32"/>
          <w:shd w:val="clear" w:color="auto" w:fill="FFFFFF"/>
          <w:lang w:val="en-US" w:eastAsia="zh-CN" w:bidi="ar-SA"/>
        </w:rPr>
        <w:t>，较年初预算数无增减，较上年支出数无增减。</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方正楷体_GBK" w:hAnsi="方正楷体_GBK" w:eastAsia="方正楷体_GBK" w:cs="方正楷体_GBK"/>
          <w:b w:val="0"/>
          <w:bCs w:val="0"/>
          <w:sz w:val="32"/>
          <w:szCs w:val="32"/>
          <w:shd w:val="clear" w:color="auto" w:fill="FFFFFF"/>
          <w:lang w:val="en-US" w:eastAsia="zh-CN" w:bidi="ar-SA"/>
        </w:rPr>
      </w:pPr>
      <w:r>
        <w:rPr>
          <w:rFonts w:hint="default" w:ascii="方正楷体_GBK" w:hAnsi="方正楷体_GBK" w:eastAsia="方正楷体_GBK" w:cs="方正楷体_GBK"/>
          <w:b w:val="0"/>
          <w:bCs w:val="0"/>
          <w:sz w:val="32"/>
          <w:szCs w:val="32"/>
          <w:shd w:val="clear" w:color="auto" w:fill="FFFFFF"/>
          <w:lang w:val="en-US" w:eastAsia="zh-CN" w:bidi="ar-SA"/>
        </w:rPr>
        <w:t>（三）“三公”经费实物量情况</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shd w:val="clear" w:color="auto" w:fill="FFFFFF"/>
          <w:lang w:val="en-US" w:eastAsia="zh-CN" w:bidi="ar-SA"/>
        </w:rPr>
      </w:pPr>
      <w:r>
        <w:rPr>
          <w:rFonts w:hint="default" w:ascii="Times New Roman" w:hAnsi="Times New Roman" w:eastAsia="方正仿宋_GBK" w:cs="Times New Roman"/>
          <w:b w:val="0"/>
          <w:bCs w:val="0"/>
          <w:sz w:val="32"/>
          <w:szCs w:val="32"/>
          <w:shd w:val="clear" w:color="auto" w:fill="FFFFFF"/>
          <w:lang w:val="en-US" w:eastAsia="zh-CN" w:bidi="ar-SA"/>
        </w:rPr>
        <w:t>2023年度本单位因公出国（境）共计0个团组，0人；公务用车购置0辆，公务车保有量为0辆；国内公务接待0批次0人，其中：国内外事接待0批次，0人；国（境）外公务接待0批次，0人。2023年本单位人均接待费0元，车均购置费0万元，车均维护费0万元。</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Style w:val="11"/>
          <w:rFonts w:hint="eastAsia" w:ascii="方正黑体_GBK" w:hAnsi="方正黑体_GBK" w:eastAsia="方正黑体_GBK" w:cs="方正黑体_GBK"/>
          <w:b w:val="0"/>
          <w:bCs w:val="0"/>
          <w:sz w:val="32"/>
          <w:szCs w:val="32"/>
          <w:shd w:val="clear" w:color="auto" w:fill="FFFFFF"/>
        </w:rPr>
      </w:pPr>
      <w:r>
        <w:rPr>
          <w:rStyle w:val="11"/>
          <w:rFonts w:hint="eastAsia" w:ascii="方正黑体_GBK" w:hAnsi="方正黑体_GBK" w:eastAsia="方正黑体_GBK" w:cs="方正黑体_GBK"/>
          <w:b w:val="0"/>
          <w:bCs w:val="0"/>
          <w:sz w:val="32"/>
          <w:szCs w:val="32"/>
          <w:shd w:val="clear" w:color="auto" w:fill="FFFFFF"/>
        </w:rPr>
        <w:t>四、其他需要说明的事项</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lang w:val="en-US" w:eastAsia="zh-CN" w:bidi="ar-SA"/>
        </w:rPr>
      </w:pPr>
      <w:r>
        <w:rPr>
          <w:rFonts w:hint="eastAsia" w:ascii="方正楷体_GBK" w:hAnsi="方正楷体_GBK" w:eastAsia="方正楷体_GBK" w:cs="方正楷体_GBK"/>
          <w:b w:val="0"/>
          <w:bCs w:val="0"/>
          <w:sz w:val="32"/>
          <w:szCs w:val="32"/>
          <w:shd w:val="clear" w:color="auto" w:fill="FFFFFF"/>
          <w:lang w:val="en-US" w:eastAsia="zh-CN" w:bidi="ar-SA"/>
        </w:rPr>
        <w:t>（一）财政拨款会议费和培训费情况说明</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shd w:val="clear" w:color="auto" w:fill="FFFFFF"/>
          <w:lang w:val="en-US" w:eastAsia="zh-CN" w:bidi="ar-SA"/>
        </w:rPr>
      </w:pPr>
      <w:r>
        <w:rPr>
          <w:rFonts w:hint="default" w:ascii="Times New Roman" w:hAnsi="Times New Roman" w:eastAsia="方正仿宋_GBK" w:cs="Times New Roman"/>
          <w:b w:val="0"/>
          <w:bCs w:val="0"/>
          <w:sz w:val="32"/>
          <w:szCs w:val="32"/>
          <w:shd w:val="clear" w:color="auto" w:fill="FFFFFF"/>
          <w:lang w:val="en-US" w:eastAsia="zh-CN" w:bidi="ar-SA"/>
        </w:rPr>
        <w:t>因</w:t>
      </w:r>
      <w:r>
        <w:rPr>
          <w:rFonts w:hint="eastAsia" w:ascii="Times New Roman" w:hAnsi="Times New Roman" w:eastAsia="方正仿宋_GBK" w:cs="Times New Roman"/>
          <w:b w:val="0"/>
          <w:bCs w:val="0"/>
          <w:sz w:val="32"/>
          <w:szCs w:val="32"/>
          <w:shd w:val="clear" w:color="auto" w:fill="FFFFFF"/>
          <w:lang w:val="en-US" w:eastAsia="zh-CN" w:bidi="ar-SA"/>
        </w:rPr>
        <w:t>本单位</w:t>
      </w:r>
      <w:r>
        <w:rPr>
          <w:rFonts w:hint="default" w:ascii="Times New Roman" w:hAnsi="Times New Roman" w:eastAsia="方正仿宋_GBK" w:cs="Times New Roman"/>
          <w:b w:val="0"/>
          <w:bCs w:val="0"/>
          <w:sz w:val="32"/>
          <w:szCs w:val="32"/>
          <w:shd w:val="clear" w:color="auto" w:fill="FFFFFF"/>
          <w:lang w:val="en-US" w:eastAsia="zh-CN" w:bidi="ar-SA"/>
        </w:rPr>
        <w:t>为差额拨款单位，财政未保障</w:t>
      </w:r>
      <w:r>
        <w:rPr>
          <w:rFonts w:hint="eastAsia" w:ascii="Times New Roman" w:hAnsi="Times New Roman" w:eastAsia="方正仿宋_GBK" w:cs="Times New Roman"/>
          <w:b w:val="0"/>
          <w:bCs w:val="0"/>
          <w:sz w:val="32"/>
          <w:szCs w:val="32"/>
          <w:shd w:val="clear" w:color="auto" w:fill="FFFFFF"/>
          <w:lang w:val="en-US" w:eastAsia="zh-CN" w:bidi="ar-SA"/>
        </w:rPr>
        <w:t>本单位</w:t>
      </w:r>
      <w:r>
        <w:rPr>
          <w:rFonts w:hint="default" w:ascii="Times New Roman" w:hAnsi="Times New Roman" w:eastAsia="方正仿宋_GBK" w:cs="Times New Roman"/>
          <w:b w:val="0"/>
          <w:bCs w:val="0"/>
          <w:sz w:val="32"/>
          <w:szCs w:val="32"/>
          <w:shd w:val="clear" w:color="auto" w:fill="FFFFFF"/>
          <w:lang w:val="en-US" w:eastAsia="zh-CN" w:bidi="ar-SA"/>
        </w:rPr>
        <w:t>会议费和培训费。</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方正楷体_GBK" w:hAnsi="方正楷体_GBK" w:eastAsia="方正楷体_GBK" w:cs="方正楷体_GBK"/>
          <w:b w:val="0"/>
          <w:bCs w:val="0"/>
          <w:sz w:val="32"/>
          <w:szCs w:val="32"/>
          <w:shd w:val="clear" w:color="auto" w:fill="FFFFFF"/>
          <w:lang w:val="en-US" w:eastAsia="zh-CN" w:bidi="ar-SA"/>
        </w:rPr>
      </w:pPr>
      <w:r>
        <w:rPr>
          <w:rFonts w:hint="default" w:ascii="方正楷体_GBK" w:hAnsi="方正楷体_GBK" w:eastAsia="方正楷体_GBK" w:cs="方正楷体_GBK"/>
          <w:b w:val="0"/>
          <w:bCs w:val="0"/>
          <w:sz w:val="32"/>
          <w:szCs w:val="32"/>
          <w:shd w:val="clear" w:color="auto" w:fill="FFFFFF"/>
          <w:lang w:val="en-US" w:eastAsia="zh-CN" w:bidi="ar-SA"/>
        </w:rPr>
        <w:t>（二）机关运行经费情况说明</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rPr>
          <w:rFonts w:hint="default" w:ascii="Times New Roman" w:hAnsi="Times New Roman" w:eastAsia="方正仿宋_GBK" w:cs="Times New Roman"/>
          <w:b w:val="0"/>
          <w:bCs w:val="0"/>
          <w:sz w:val="32"/>
          <w:szCs w:val="32"/>
          <w:shd w:val="clear" w:color="auto" w:fill="FFFFFF"/>
          <w:lang w:val="en-US" w:eastAsia="zh-CN" w:bidi="ar-SA"/>
        </w:rPr>
      </w:pPr>
      <w:r>
        <w:rPr>
          <w:rFonts w:hint="default" w:ascii="Times New Roman" w:hAnsi="Times New Roman" w:eastAsia="方正仿宋_GBK" w:cs="Times New Roman"/>
          <w:sz w:val="32"/>
          <w:szCs w:val="32"/>
        </w:rPr>
        <w:t>按照部门决算列报口径，因</w:t>
      </w:r>
      <w:r>
        <w:rPr>
          <w:rFonts w:hint="eastAsia" w:ascii="Times New Roman" w:hAnsi="Times New Roman" w:eastAsia="方正仿宋_GBK" w:cs="Times New Roman"/>
          <w:sz w:val="32"/>
          <w:szCs w:val="32"/>
          <w:lang w:eastAsia="zh-CN"/>
        </w:rPr>
        <w:t>本</w:t>
      </w:r>
      <w:r>
        <w:rPr>
          <w:rFonts w:hint="default" w:ascii="Times New Roman" w:hAnsi="Times New Roman" w:eastAsia="方正仿宋_GBK" w:cs="Times New Roman"/>
          <w:sz w:val="32"/>
          <w:szCs w:val="32"/>
          <w:lang w:eastAsia="zh-CN"/>
        </w:rPr>
        <w:t>单位</w:t>
      </w:r>
      <w:r>
        <w:rPr>
          <w:rFonts w:hint="default" w:ascii="Times New Roman" w:hAnsi="Times New Roman" w:eastAsia="方正仿宋_GBK" w:cs="Times New Roman"/>
          <w:sz w:val="32"/>
          <w:szCs w:val="32"/>
        </w:rPr>
        <w:t>为差额拨款事业单位不在机关运行经费统计范围之内。</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方正楷体_GBK" w:hAnsi="方正楷体_GBK" w:eastAsia="方正楷体_GBK" w:cs="方正楷体_GBK"/>
          <w:b w:val="0"/>
          <w:bCs w:val="0"/>
          <w:sz w:val="32"/>
          <w:szCs w:val="32"/>
          <w:shd w:val="clear" w:color="auto" w:fill="FFFFFF"/>
          <w:lang w:val="en-US" w:eastAsia="zh-CN" w:bidi="ar-SA"/>
        </w:rPr>
      </w:pPr>
      <w:r>
        <w:rPr>
          <w:rFonts w:hint="eastAsia" w:ascii="方正楷体_GBK" w:hAnsi="方正楷体_GBK" w:eastAsia="方正楷体_GBK" w:cs="方正楷体_GBK"/>
          <w:b w:val="0"/>
          <w:bCs w:val="0"/>
          <w:sz w:val="32"/>
          <w:szCs w:val="32"/>
          <w:shd w:val="clear" w:color="auto" w:fill="FFFFFF"/>
          <w:lang w:val="en-US" w:eastAsia="zh-CN" w:bidi="ar-SA"/>
        </w:rPr>
        <w:t>（三）国有资产占用情况说明</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shd w:val="clear" w:color="auto" w:fill="FFFFFF"/>
          <w:lang w:val="en-US" w:eastAsia="zh-CN" w:bidi="ar-SA"/>
        </w:rPr>
      </w:pPr>
      <w:r>
        <w:rPr>
          <w:rFonts w:hint="default" w:ascii="Times New Roman" w:hAnsi="Times New Roman" w:eastAsia="方正仿宋_GBK" w:cs="Times New Roman"/>
          <w:b w:val="0"/>
          <w:bCs w:val="0"/>
          <w:sz w:val="32"/>
          <w:szCs w:val="32"/>
          <w:shd w:val="clear" w:color="auto" w:fill="FFFFFF"/>
          <w:lang w:val="en-US" w:eastAsia="zh-CN" w:bidi="ar-SA"/>
        </w:rPr>
        <w:t>  截至2023年12月31日，本单位共有车辆3辆，其中，副部（省）级及以上领导用车0辆、主要负责人用车0辆、机要通信用车0辆、应急保障用车0辆、执法执勤用车0辆，特种专业技术用车3辆，离退休干部用车0辆。单价100万元（含）以上专用设备0台（套）。</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lang w:val="en-US" w:eastAsia="zh-CN" w:bidi="ar-SA"/>
        </w:rPr>
      </w:pPr>
      <w:r>
        <w:rPr>
          <w:rFonts w:hint="eastAsia" w:ascii="方正楷体_GBK" w:hAnsi="方正楷体_GBK" w:eastAsia="方正楷体_GBK" w:cs="方正楷体_GBK"/>
          <w:b w:val="0"/>
          <w:bCs w:val="0"/>
          <w:sz w:val="32"/>
          <w:szCs w:val="32"/>
          <w:shd w:val="clear" w:color="auto" w:fill="FFFFFF"/>
          <w:lang w:val="en-US" w:eastAsia="zh-CN" w:bidi="ar-SA"/>
        </w:rPr>
        <w:t>（四）政府采购支出情况说明</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shd w:val="clear" w:color="auto" w:fill="FFFFFF"/>
          <w:lang w:val="en-US" w:eastAsia="zh-CN" w:bidi="ar-SA"/>
        </w:rPr>
      </w:pPr>
      <w:r>
        <w:rPr>
          <w:rFonts w:hint="default" w:ascii="Times New Roman" w:hAnsi="Times New Roman" w:eastAsia="方正仿宋_GBK" w:cs="Times New Roman"/>
          <w:b w:val="0"/>
          <w:bCs w:val="0"/>
          <w:sz w:val="32"/>
          <w:szCs w:val="32"/>
          <w:shd w:val="clear" w:color="auto" w:fill="FFFFFF"/>
          <w:lang w:val="en-US" w:eastAsia="zh-CN" w:bidi="ar-SA"/>
        </w:rPr>
        <w:t> 2023年度</w:t>
      </w:r>
      <w:r>
        <w:rPr>
          <w:rFonts w:hint="eastAsia" w:ascii="Times New Roman" w:hAnsi="Times New Roman" w:eastAsia="方正仿宋_GBK" w:cs="Times New Roman"/>
          <w:b w:val="0"/>
          <w:bCs w:val="0"/>
          <w:sz w:val="32"/>
          <w:szCs w:val="32"/>
          <w:shd w:val="clear" w:color="auto" w:fill="FFFFFF"/>
          <w:lang w:val="en-US" w:eastAsia="zh-CN" w:bidi="ar-SA"/>
        </w:rPr>
        <w:t>本单位</w:t>
      </w:r>
      <w:r>
        <w:rPr>
          <w:rFonts w:hint="default" w:ascii="Times New Roman" w:hAnsi="Times New Roman" w:eastAsia="方正仿宋_GBK" w:cs="Times New Roman"/>
          <w:b w:val="0"/>
          <w:bCs w:val="0"/>
          <w:sz w:val="32"/>
          <w:szCs w:val="32"/>
          <w:shd w:val="clear" w:color="auto" w:fill="FFFFFF"/>
          <w:lang w:val="en-US" w:eastAsia="zh-CN" w:bidi="ar-SA"/>
        </w:rPr>
        <w:t>未发生政府采购事项，无相关经费支出。</w:t>
      </w:r>
    </w:p>
    <w:p>
      <w:pPr>
        <w:pStyle w:val="9"/>
        <w:keepNext w:val="0"/>
        <w:keepLines w:val="0"/>
        <w:pageBreakBefore w:val="0"/>
        <w:widowControl/>
        <w:numPr>
          <w:ilvl w:val="0"/>
          <w:numId w:val="2"/>
        </w:numPr>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Style w:val="11"/>
          <w:rFonts w:hint="eastAsia" w:ascii="方正黑体_GBK" w:hAnsi="方正黑体_GBK" w:eastAsia="方正黑体_GBK" w:cs="方正黑体_GBK"/>
          <w:b w:val="0"/>
          <w:bCs w:val="0"/>
          <w:sz w:val="32"/>
          <w:szCs w:val="32"/>
          <w:shd w:val="clear" w:color="auto" w:fill="FFFFFF"/>
        </w:rPr>
      </w:pPr>
      <w:r>
        <w:rPr>
          <w:rStyle w:val="11"/>
          <w:rFonts w:hint="eastAsia" w:ascii="方正黑体_GBK" w:hAnsi="方正黑体_GBK" w:eastAsia="方正黑体_GBK" w:cs="方正黑体_GBK"/>
          <w:b w:val="0"/>
          <w:bCs w:val="0"/>
          <w:sz w:val="32"/>
          <w:szCs w:val="32"/>
          <w:shd w:val="clear" w:color="auto" w:fill="FFFFFF"/>
        </w:rPr>
        <w:t>预算绩效管理情况说明</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（一）单位自评情况</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r>
        <w:rPr>
          <w:rFonts w:hint="eastAsia" w:ascii="Times New Roman" w:hAnsi="Times New Roman" w:eastAsia="方正仿宋_GBK" w:cs="方正仿宋_GBK"/>
          <w:b w:val="0"/>
          <w:bCs w:val="0"/>
          <w:sz w:val="32"/>
          <w:szCs w:val="32"/>
          <w:shd w:val="clear" w:color="auto" w:fill="FFFFFF"/>
          <w:lang w:eastAsia="zh-CN"/>
        </w:rPr>
        <w:t>本单位为秀山土家族苗族自治县卫生健康委员会二级预算单位，由主管部门统一开展项目支出绩效自评。</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jc w:val="both"/>
        <w:textAlignment w:val="auto"/>
        <w:outlineLvl w:val="9"/>
        <w:rPr>
          <w:rFonts w:hint="eastAsia" w:ascii="Times New Roman" w:hAnsi="Times New Roman" w:eastAsia="方正仿宋_GBK" w:cs="方正仿宋_GBK"/>
          <w:b w:val="0"/>
          <w:bCs w:val="0"/>
          <w:sz w:val="32"/>
          <w:szCs w:val="32"/>
          <w:shd w:val="clear" w:color="auto" w:fill="FFFFFF"/>
          <w:lang w:val="en-US" w:eastAsia="zh-CN"/>
        </w:rPr>
      </w:pP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jc w:val="both"/>
        <w:textAlignment w:val="auto"/>
        <w:outlineLvl w:val="9"/>
        <w:rPr>
          <w:rFonts w:hint="eastAsia" w:ascii="Times New Roman" w:hAnsi="Times New Roman" w:eastAsia="方正仿宋_GBK" w:cs="方正仿宋_GBK"/>
          <w:b w:val="0"/>
          <w:bCs w:val="0"/>
          <w:sz w:val="32"/>
          <w:szCs w:val="32"/>
          <w:shd w:val="clear" w:color="auto" w:fill="FFFFFF"/>
          <w:lang w:val="en-US" w:eastAsia="zh-CN"/>
        </w:rPr>
      </w:pP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jc w:val="both"/>
        <w:textAlignment w:val="auto"/>
        <w:outlineLvl w:val="9"/>
        <w:rPr>
          <w:rFonts w:hint="eastAsia" w:ascii="Times New Roman" w:hAnsi="Times New Roman" w:eastAsia="方正仿宋_GBK" w:cs="方正仿宋_GBK"/>
          <w:b w:val="0"/>
          <w:bCs w:val="0"/>
          <w:sz w:val="32"/>
          <w:szCs w:val="32"/>
          <w:shd w:val="clear" w:color="auto" w:fill="FFFFFF"/>
          <w:lang w:val="en-US" w:eastAsia="zh-CN"/>
        </w:rPr>
      </w:pP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jc w:val="both"/>
        <w:textAlignment w:val="auto"/>
        <w:outlineLvl w:val="9"/>
        <w:rPr>
          <w:rFonts w:hint="eastAsia" w:ascii="Times New Roman" w:hAnsi="Times New Roman" w:eastAsia="方正仿宋_GBK" w:cs="方正仿宋_GBK"/>
          <w:b w:val="0"/>
          <w:bCs w:val="0"/>
          <w:sz w:val="32"/>
          <w:szCs w:val="32"/>
          <w:shd w:val="clear" w:color="auto" w:fill="FFFFFF"/>
          <w:lang w:val="en-US" w:eastAsia="zh-CN"/>
        </w:rPr>
      </w:pP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jc w:val="both"/>
        <w:textAlignment w:val="auto"/>
        <w:outlineLvl w:val="9"/>
        <w:rPr>
          <w:rFonts w:hint="eastAsia" w:ascii="Times New Roman" w:hAnsi="Times New Roman" w:eastAsia="方正仿宋_GBK" w:cs="方正仿宋_GBK"/>
          <w:b w:val="0"/>
          <w:bCs w:val="0"/>
          <w:sz w:val="32"/>
          <w:szCs w:val="32"/>
          <w:shd w:val="clear" w:color="auto" w:fill="FFFFFF"/>
          <w:lang w:val="en-US" w:eastAsia="zh-CN"/>
        </w:rPr>
      </w:pP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jc w:val="both"/>
        <w:textAlignment w:val="auto"/>
        <w:outlineLvl w:val="9"/>
        <w:rPr>
          <w:rFonts w:hint="eastAsia" w:ascii="Times New Roman" w:hAnsi="Times New Roman" w:eastAsia="方正仿宋_GBK" w:cs="方正仿宋_GBK"/>
          <w:b w:val="0"/>
          <w:bCs w:val="0"/>
          <w:sz w:val="32"/>
          <w:szCs w:val="32"/>
          <w:shd w:val="clear" w:color="auto" w:fill="FFFFFF"/>
          <w:lang w:val="en-US" w:eastAsia="zh-CN"/>
        </w:rPr>
      </w:pP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jc w:val="both"/>
        <w:textAlignment w:val="auto"/>
        <w:outlineLvl w:val="9"/>
        <w:rPr>
          <w:rFonts w:hint="eastAsia" w:ascii="Times New Roman" w:hAnsi="Times New Roman" w:eastAsia="方正仿宋_GBK" w:cs="方正仿宋_GBK"/>
          <w:b w:val="0"/>
          <w:bCs w:val="0"/>
          <w:sz w:val="32"/>
          <w:szCs w:val="32"/>
          <w:shd w:val="clear" w:color="auto" w:fill="FFFFFF"/>
          <w:lang w:val="en-US" w:eastAsia="zh-CN"/>
        </w:rPr>
      </w:pP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jc w:val="both"/>
        <w:textAlignment w:val="auto"/>
        <w:outlineLvl w:val="9"/>
        <w:rPr>
          <w:rFonts w:hint="eastAsia" w:ascii="Times New Roman" w:hAnsi="Times New Roman" w:eastAsia="方正仿宋_GBK" w:cs="方正仿宋_GBK"/>
          <w:b w:val="0"/>
          <w:bCs w:val="0"/>
          <w:sz w:val="32"/>
          <w:szCs w:val="32"/>
          <w:shd w:val="clear" w:color="auto" w:fill="FFFFFF"/>
          <w:lang w:val="en-US" w:eastAsia="zh-CN"/>
        </w:rPr>
      </w:pP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jc w:val="both"/>
        <w:textAlignment w:val="auto"/>
        <w:outlineLvl w:val="9"/>
        <w:rPr>
          <w:rFonts w:hint="eastAsia" w:ascii="Times New Roman" w:hAnsi="Times New Roman" w:eastAsia="方正仿宋_GBK" w:cs="方正仿宋_GBK"/>
          <w:b w:val="0"/>
          <w:bCs w:val="0"/>
          <w:sz w:val="32"/>
          <w:szCs w:val="32"/>
          <w:shd w:val="clear" w:color="auto" w:fill="FFFFFF"/>
          <w:lang w:val="en-US" w:eastAsia="zh-CN"/>
        </w:rPr>
      </w:pP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jc w:val="both"/>
        <w:textAlignment w:val="auto"/>
        <w:outlineLvl w:val="9"/>
        <w:rPr>
          <w:rFonts w:hint="eastAsia" w:ascii="Times New Roman" w:hAnsi="Times New Roman" w:eastAsia="方正仿宋_GBK" w:cs="方正仿宋_GBK"/>
          <w:b w:val="0"/>
          <w:bCs w:val="0"/>
          <w:sz w:val="32"/>
          <w:szCs w:val="32"/>
          <w:shd w:val="clear" w:color="auto" w:fill="FFFFFF"/>
          <w:lang w:val="en-US" w:eastAsia="zh-CN"/>
        </w:rPr>
      </w:pP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jc w:val="both"/>
        <w:textAlignment w:val="auto"/>
        <w:outlineLvl w:val="9"/>
        <w:rPr>
          <w:rFonts w:hint="eastAsia" w:ascii="Times New Roman" w:hAnsi="Times New Roman" w:eastAsia="方正仿宋_GBK" w:cs="方正仿宋_GBK"/>
          <w:b w:val="0"/>
          <w:bCs w:val="0"/>
          <w:sz w:val="32"/>
          <w:szCs w:val="32"/>
          <w:shd w:val="clear" w:color="auto" w:fill="FFFFFF"/>
          <w:lang w:val="en-US" w:eastAsia="zh-CN"/>
        </w:rPr>
      </w:pPr>
    </w:p>
    <w:tbl>
      <w:tblPr>
        <w:tblStyle w:val="12"/>
        <w:tblpPr w:leftFromText="180" w:rightFromText="180" w:vertAnchor="text" w:horzAnchor="page" w:tblpX="1906" w:tblpY="115"/>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90" w:hRule="atLeast"/>
        </w:trPr>
        <w:tc>
          <w:tcPr>
            <w:tcW w:w="8400" w:type="dxa"/>
            <w:gridSpan w:val="11"/>
            <w:shd w:val="clear" w:color="auto" w:fill="auto"/>
            <w:vAlign w:val="center"/>
          </w:tcPr>
          <w:p>
            <w:pPr>
              <w:keepNext w:val="0"/>
              <w:keepLines w:val="0"/>
              <w:widowControl/>
              <w:suppressLineNumbers w:val="0"/>
              <w:ind w:firstLine="1285" w:firstLineChars="400"/>
              <w:jc w:val="both"/>
              <w:textAlignment w:val="center"/>
              <w:rPr>
                <w:rFonts w:hint="eastAsia" w:cs="宋体"/>
                <w:b/>
                <w:bCs w:val="0"/>
                <w:i w:val="0"/>
                <w:color w:val="auto"/>
                <w:kern w:val="0"/>
                <w:sz w:val="32"/>
                <w:szCs w:val="32"/>
                <w:highlight w:val="none"/>
                <w:u w:val="none"/>
                <w:lang w:val="en-US" w:eastAsia="zh-CN" w:bidi="ar"/>
              </w:rPr>
            </w:pPr>
            <w:r>
              <w:rPr>
                <w:rFonts w:hint="eastAsia" w:cs="宋体"/>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宋体" w:hAnsi="宋体" w:eastAsia="宋体" w:cs="宋体"/>
                <w:b/>
                <w:bCs w:val="0"/>
                <w:i w:val="0"/>
                <w:color w:val="auto"/>
                <w:kern w:val="0"/>
                <w:sz w:val="32"/>
                <w:szCs w:val="32"/>
                <w:highlight w:val="none"/>
                <w:u w:val="none"/>
                <w:lang w:val="en-US" w:eastAsia="zh-CN" w:bidi="ar"/>
              </w:rPr>
              <w:t>2023年度项目支出绩效自评情况表（</w:t>
            </w:r>
            <w:r>
              <w:rPr>
                <w:rFonts w:hint="eastAsia" w:cs="宋体"/>
                <w:b/>
                <w:bCs w:val="0"/>
                <w:i w:val="0"/>
                <w:color w:val="auto"/>
                <w:kern w:val="0"/>
                <w:sz w:val="32"/>
                <w:szCs w:val="32"/>
                <w:highlight w:val="none"/>
                <w:u w:val="none"/>
                <w:lang w:val="en-US" w:eastAsia="zh-CN" w:bidi="ar"/>
              </w:rPr>
              <w:t>二级项目</w:t>
            </w:r>
            <w:r>
              <w:rPr>
                <w:rFonts w:hint="eastAsia" w:ascii="宋体" w:hAnsi="宋体" w:eastAsia="宋体" w:cs="宋体"/>
                <w:b/>
                <w:bCs w:val="0"/>
                <w:i w:val="0"/>
                <w:color w:val="auto"/>
                <w:kern w:val="0"/>
                <w:sz w:val="32"/>
                <w:szCs w:val="3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bookmarkStart w:id="0" w:name="_GoBack" w:colFirst="2" w:colLast="10"/>
            <w:r>
              <w:rPr>
                <w:rFonts w:hint="eastAsia" w:ascii="方正仿宋_GBK" w:hAnsi="方正仿宋_GBK" w:eastAsia="方正仿宋_GBK" w:cs="方正仿宋_GBK"/>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基本公共卫生服务县级配套</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资金拨付及时率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居民健康水平</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定性</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持续提高</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全部完成</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bookmarkEnd w:id="0"/>
    </w:tbl>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二）</w:t>
      </w:r>
      <w:r>
        <w:rPr>
          <w:rFonts w:hint="default" w:ascii="方正楷体_GBK" w:hAnsi="方正楷体_GBK" w:eastAsia="方正楷体_GBK" w:cs="方正楷体_GBK"/>
          <w:b w:val="0"/>
          <w:bCs w:val="0"/>
          <w:sz w:val="32"/>
          <w:szCs w:val="32"/>
          <w:shd w:val="clear" w:color="auto" w:fill="FFFFFF"/>
        </w:rPr>
        <w:t>单位绩效评价情况</w:t>
      </w:r>
    </w:p>
    <w:p>
      <w:pPr>
        <w:pStyle w:val="14"/>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highlight w:val="none"/>
          <w:shd w:val="clear" w:color="auto" w:fill="FFFFFF"/>
        </w:rPr>
      </w:pP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未组织开展绩效评价。</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三）</w:t>
      </w:r>
      <w:r>
        <w:rPr>
          <w:rFonts w:hint="default" w:ascii="方正楷体_GBK" w:hAnsi="方正楷体_GBK" w:eastAsia="方正楷体_GBK" w:cs="方正楷体_GBK"/>
          <w:b w:val="0"/>
          <w:bCs w:val="0"/>
          <w:sz w:val="32"/>
          <w:szCs w:val="32"/>
          <w:shd w:val="clear" w:color="auto" w:fill="FFFFFF"/>
        </w:rPr>
        <w:t>财政绩效评价情况</w:t>
      </w:r>
    </w:p>
    <w:p>
      <w:pPr>
        <w:pStyle w:val="14"/>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lang w:val="en-US" w:eastAsia="zh-CN" w:bidi="ar-SA"/>
        </w:rPr>
      </w:pPr>
      <w:r>
        <w:rPr>
          <w:rFonts w:hint="eastAsia" w:ascii="Times New Roman" w:hAnsi="Times New Roman" w:eastAsia="方正仿宋_GBK" w:cs="Times New Roman"/>
          <w:b w:val="0"/>
          <w:bCs w:val="0"/>
          <w:kern w:val="0"/>
          <w:sz w:val="32"/>
          <w:szCs w:val="32"/>
          <w:lang w:val="en-US" w:eastAsia="zh-CN" w:bidi="ar-SA"/>
        </w:rPr>
        <w:t>县</w:t>
      </w:r>
      <w:r>
        <w:rPr>
          <w:rFonts w:hint="default" w:ascii="Times New Roman" w:hAnsi="Times New Roman" w:eastAsia="方正仿宋_GBK" w:cs="Times New Roman"/>
          <w:b w:val="0"/>
          <w:bCs w:val="0"/>
          <w:kern w:val="0"/>
          <w:sz w:val="32"/>
          <w:szCs w:val="32"/>
          <w:lang w:val="en-US" w:eastAsia="zh-CN" w:bidi="ar-SA"/>
        </w:rPr>
        <w:t>财政局未委托第三方对</w:t>
      </w: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开展绩效评价。</w:t>
      </w:r>
    </w:p>
    <w:p>
      <w:pPr>
        <w:keepNext w:val="0"/>
        <w:keepLines w:val="0"/>
        <w:pageBreakBefore w:val="0"/>
        <w:widowControl/>
        <w:numPr>
          <w:ilvl w:val="0"/>
          <w:numId w:val="2"/>
        </w:numPr>
        <w:kinsoku/>
        <w:wordWrap/>
        <w:overflowPunct/>
        <w:topLinePunct w:val="0"/>
        <w:autoSpaceDE/>
        <w:autoSpaceDN/>
        <w:bidi w:val="0"/>
        <w:adjustRightInd/>
        <w:snapToGrid/>
        <w:spacing w:beforeAutospacing="0" w:afterAutospacing="0" w:line="560" w:lineRule="exact"/>
        <w:ind w:left="0" w:leftChars="0" w:firstLine="640" w:firstLineChars="200"/>
        <w:jc w:val="both"/>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专业名词解释</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480" w:firstLineChars="200"/>
        <w:jc w:val="both"/>
        <w:textAlignment w:val="auto"/>
        <w:rPr>
          <w:rFonts w:hint="default" w:ascii="Times New Roman" w:hAnsi="Times New Roman" w:eastAsia="方正仿宋_GBK" w:cs="Times New Roman"/>
          <w:sz w:val="32"/>
          <w:szCs w:val="32"/>
        </w:rPr>
      </w:pPr>
      <w:r>
        <w:t> </w:t>
      </w:r>
      <w:r>
        <w:rPr>
          <w:rFonts w:hint="eastAsia" w:ascii="方正楷体_GBK" w:hAnsi="方正楷体_GBK" w:eastAsia="方正楷体_GBK" w:cs="方正楷体_GBK"/>
          <w:b w:val="0"/>
          <w:bCs w:val="0"/>
          <w:sz w:val="32"/>
          <w:szCs w:val="32"/>
          <w:shd w:val="clear" w:color="auto" w:fill="FFFFFF"/>
          <w:lang w:val="en-US" w:eastAsia="zh-CN" w:bidi="ar-SA"/>
        </w:rPr>
        <w:t>（一）财政拨款收入：</w:t>
      </w:r>
      <w:r>
        <w:rPr>
          <w:rFonts w:hint="default" w:ascii="Times New Roman" w:hAnsi="Times New Roman" w:eastAsia="方正仿宋_GBK" w:cs="Times New Roman"/>
          <w:sz w:val="32"/>
          <w:szCs w:val="32"/>
        </w:rPr>
        <w:t>指本年度从本级财政部门取得的财政拨款，包括一般公共预算财政拨款和政府性基金预算财政拨款。</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480" w:firstLineChars="200"/>
        <w:jc w:val="both"/>
        <w:textAlignment w:val="auto"/>
        <w:rPr>
          <w:rFonts w:hint="default" w:ascii="Times New Roman" w:hAnsi="Times New Roman" w:eastAsia="方正仿宋_GBK" w:cs="Times New Roman"/>
          <w:sz w:val="32"/>
          <w:szCs w:val="32"/>
        </w:rPr>
      </w:pPr>
      <w:r>
        <w:t> </w:t>
      </w:r>
      <w:r>
        <w:rPr>
          <w:rFonts w:hint="eastAsia" w:ascii="方正楷体_GBK" w:hAnsi="方正楷体_GBK" w:eastAsia="方正楷体_GBK" w:cs="方正楷体_GBK"/>
          <w:b w:val="0"/>
          <w:bCs w:val="0"/>
          <w:sz w:val="32"/>
          <w:szCs w:val="32"/>
          <w:shd w:val="clear" w:color="auto" w:fill="FFFFFF"/>
          <w:lang w:val="en-US" w:eastAsia="zh-CN" w:bidi="ar-SA"/>
        </w:rPr>
        <w:t>（二）事业收入：</w:t>
      </w:r>
      <w:r>
        <w:rPr>
          <w:rFonts w:hint="default" w:ascii="Times New Roman" w:hAnsi="Times New Roman" w:eastAsia="方正仿宋_GBK" w:cs="Times New Roman"/>
          <w:sz w:val="32"/>
          <w:szCs w:val="32"/>
        </w:rPr>
        <w:t>指事业单位开展专业业务活动及其辅助活动取得的现金流入；事业单位收到的财政专户实际核拨的教育收费等资金在此反映。</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480" w:firstLineChars="200"/>
        <w:jc w:val="both"/>
        <w:textAlignment w:val="auto"/>
        <w:rPr>
          <w:rFonts w:hint="default" w:ascii="Times New Roman" w:hAnsi="Times New Roman" w:eastAsia="方正仿宋_GBK" w:cs="Times New Roman"/>
          <w:sz w:val="32"/>
          <w:szCs w:val="32"/>
        </w:rPr>
      </w:pPr>
      <w:r>
        <w:t> </w:t>
      </w:r>
      <w:r>
        <w:rPr>
          <w:rFonts w:hint="eastAsia" w:ascii="方正楷体_GBK" w:hAnsi="方正楷体_GBK" w:eastAsia="方正楷体_GBK" w:cs="方正楷体_GBK"/>
          <w:b w:val="0"/>
          <w:bCs w:val="0"/>
          <w:sz w:val="32"/>
          <w:szCs w:val="32"/>
          <w:shd w:val="clear" w:color="auto" w:fill="FFFFFF"/>
          <w:lang w:val="en-US" w:eastAsia="zh-CN" w:bidi="ar-SA"/>
        </w:rPr>
        <w:t>（三）经营收入：</w:t>
      </w:r>
      <w:r>
        <w:rPr>
          <w:rFonts w:hint="default" w:ascii="Times New Roman" w:hAnsi="Times New Roman" w:eastAsia="方正仿宋_GBK" w:cs="Times New Roman"/>
          <w:sz w:val="32"/>
          <w:szCs w:val="32"/>
        </w:rPr>
        <w:t>指事业单位在专业业务活动及其辅助活动之外开展非独立核算经营活动取得的现金流入。</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480" w:firstLineChars="200"/>
        <w:jc w:val="both"/>
        <w:textAlignment w:val="auto"/>
        <w:rPr>
          <w:rFonts w:hint="default" w:ascii="Times New Roman" w:hAnsi="Times New Roman" w:eastAsia="方正仿宋_GBK" w:cs="Times New Roman"/>
          <w:sz w:val="32"/>
          <w:szCs w:val="32"/>
        </w:rPr>
      </w:pPr>
      <w:r>
        <w:t> </w:t>
      </w:r>
      <w:r>
        <w:rPr>
          <w:rFonts w:hint="eastAsia" w:ascii="方正楷体_GBK" w:hAnsi="方正楷体_GBK" w:eastAsia="方正楷体_GBK" w:cs="方正楷体_GBK"/>
          <w:b w:val="0"/>
          <w:bCs w:val="0"/>
          <w:sz w:val="32"/>
          <w:szCs w:val="32"/>
          <w:shd w:val="clear" w:color="auto" w:fill="FFFFFF"/>
          <w:lang w:val="en-US" w:eastAsia="zh-CN" w:bidi="ar-SA"/>
        </w:rPr>
        <w:t>（四）其他收入：</w:t>
      </w:r>
      <w:r>
        <w:rPr>
          <w:rFonts w:hint="default" w:ascii="Times New Roman" w:hAnsi="Times New Roman" w:eastAsia="方正仿宋_GBK" w:cs="Times New Roman"/>
          <w:sz w:val="32"/>
          <w:szCs w:val="32"/>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rPr>
      </w:pPr>
      <w:r>
        <w:rPr>
          <w:rFonts w:hint="eastAsia" w:ascii="方正楷体_GBK" w:hAnsi="方正楷体_GBK" w:eastAsia="方正楷体_GBK" w:cs="方正楷体_GBK"/>
          <w:b w:val="0"/>
          <w:bCs w:val="0"/>
          <w:sz w:val="32"/>
          <w:szCs w:val="32"/>
          <w:shd w:val="clear" w:color="auto" w:fill="FFFFFF"/>
          <w:lang w:val="en-US" w:eastAsia="zh-CN" w:bidi="ar-SA"/>
        </w:rPr>
        <w:t>（五）使用非财政拨款结余：</w:t>
      </w:r>
      <w:r>
        <w:rPr>
          <w:rFonts w:hint="default" w:ascii="Times New Roman" w:hAnsi="Times New Roman" w:eastAsia="方正仿宋_GBK" w:cs="Times New Roman"/>
          <w:sz w:val="32"/>
          <w:szCs w:val="32"/>
        </w:rPr>
        <w:t>指单位在当年的“财政拨款收入”、“事业收入”、“经营收入”、“其他收入”等不足以安排当年支出的情况下，使用以前年度积累的非财政拨款结余弥补本年度收支缺口的资金。</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480" w:firstLineChars="200"/>
        <w:jc w:val="both"/>
        <w:textAlignment w:val="auto"/>
        <w:rPr>
          <w:rFonts w:hint="default" w:ascii="Times New Roman" w:hAnsi="Times New Roman" w:eastAsia="方正仿宋_GBK" w:cs="Times New Roman"/>
          <w:sz w:val="32"/>
          <w:szCs w:val="32"/>
        </w:rPr>
      </w:pPr>
      <w:r>
        <w:t> </w:t>
      </w:r>
      <w:r>
        <w:rPr>
          <w:rFonts w:hint="eastAsia" w:ascii="方正楷体_GBK" w:hAnsi="方正楷体_GBK" w:eastAsia="方正楷体_GBK" w:cs="方正楷体_GBK"/>
          <w:b w:val="0"/>
          <w:bCs w:val="0"/>
          <w:sz w:val="32"/>
          <w:szCs w:val="32"/>
          <w:shd w:val="clear" w:color="auto" w:fill="FFFFFF"/>
          <w:lang w:val="en-US" w:eastAsia="zh-CN" w:bidi="ar-SA"/>
        </w:rPr>
        <w:t>（六）年初结转和结余：</w:t>
      </w:r>
      <w:r>
        <w:rPr>
          <w:rFonts w:hint="default" w:ascii="Times New Roman" w:hAnsi="Times New Roman" w:eastAsia="方正仿宋_GBK" w:cs="Times New Roman"/>
          <w:sz w:val="32"/>
          <w:szCs w:val="32"/>
        </w:rPr>
        <w:t>指单位上年结转本年使用的基本支出结转、项目支出结转和结余、经营结余。</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480" w:firstLineChars="200"/>
        <w:jc w:val="both"/>
        <w:textAlignment w:val="auto"/>
        <w:rPr>
          <w:rFonts w:hint="default" w:ascii="Times New Roman" w:hAnsi="Times New Roman" w:eastAsia="方正仿宋_GBK" w:cs="Times New Roman"/>
          <w:sz w:val="32"/>
          <w:szCs w:val="32"/>
        </w:rPr>
      </w:pPr>
      <w:r>
        <w:t> </w:t>
      </w:r>
      <w:r>
        <w:rPr>
          <w:rFonts w:hint="eastAsia" w:ascii="方正楷体_GBK" w:hAnsi="方正楷体_GBK" w:eastAsia="方正楷体_GBK" w:cs="方正楷体_GBK"/>
          <w:b w:val="0"/>
          <w:bCs w:val="0"/>
          <w:sz w:val="32"/>
          <w:szCs w:val="32"/>
          <w:shd w:val="clear" w:color="auto" w:fill="FFFFFF"/>
          <w:lang w:val="en-US" w:eastAsia="zh-CN" w:bidi="ar-SA"/>
        </w:rPr>
        <w:t>（七）结余分配：</w:t>
      </w:r>
      <w:r>
        <w:rPr>
          <w:rFonts w:hint="default" w:ascii="Times New Roman" w:hAnsi="Times New Roman" w:eastAsia="方正仿宋_GBK" w:cs="Times New Roman"/>
          <w:sz w:val="32"/>
          <w:szCs w:val="32"/>
        </w:rPr>
        <w:t>指单位按照国家有关规定，缴纳所得税、提取专用基金、转入非财政拨款结余等当年结余的分配情况。</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480" w:firstLineChars="200"/>
        <w:jc w:val="both"/>
        <w:textAlignment w:val="auto"/>
        <w:rPr>
          <w:rFonts w:hint="default" w:ascii="Times New Roman" w:hAnsi="Times New Roman" w:eastAsia="方正仿宋_GBK" w:cs="Times New Roman"/>
          <w:sz w:val="32"/>
          <w:szCs w:val="32"/>
        </w:rPr>
      </w:pPr>
      <w:r>
        <w:t> </w:t>
      </w:r>
      <w:r>
        <w:rPr>
          <w:rFonts w:hint="eastAsia" w:ascii="方正楷体_GBK" w:hAnsi="方正楷体_GBK" w:eastAsia="方正楷体_GBK" w:cs="方正楷体_GBK"/>
          <w:b w:val="0"/>
          <w:bCs w:val="0"/>
          <w:sz w:val="32"/>
          <w:szCs w:val="32"/>
          <w:shd w:val="clear" w:color="auto" w:fill="FFFFFF"/>
          <w:lang w:val="en-US" w:eastAsia="zh-CN" w:bidi="ar-SA"/>
        </w:rPr>
        <w:t>（八）年末结转和结余：</w:t>
      </w:r>
      <w:r>
        <w:rPr>
          <w:rFonts w:hint="default" w:ascii="Times New Roman" w:hAnsi="Times New Roman" w:eastAsia="方正仿宋_GBK" w:cs="Times New Roman"/>
          <w:sz w:val="32"/>
          <w:szCs w:val="32"/>
        </w:rPr>
        <w:t>指单位结转下年的基本支出结转、项目支出结转和结余、经营结余。</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480" w:firstLineChars="200"/>
        <w:jc w:val="both"/>
        <w:textAlignment w:val="auto"/>
        <w:rPr>
          <w:rFonts w:hint="default"/>
        </w:rPr>
      </w:pPr>
      <w:r>
        <w:t> </w:t>
      </w:r>
      <w:r>
        <w:rPr>
          <w:rFonts w:hint="eastAsia" w:ascii="方正楷体_GBK" w:hAnsi="方正楷体_GBK" w:eastAsia="方正楷体_GBK" w:cs="方正楷体_GBK"/>
          <w:b w:val="0"/>
          <w:bCs w:val="0"/>
          <w:sz w:val="32"/>
          <w:szCs w:val="32"/>
          <w:shd w:val="clear" w:color="auto" w:fill="FFFFFF"/>
          <w:lang w:val="en-US" w:eastAsia="zh-CN" w:bidi="ar-SA"/>
        </w:rPr>
        <w:t>（九）基本支出：</w:t>
      </w:r>
      <w:r>
        <w:rPr>
          <w:rFonts w:hint="default" w:ascii="Times New Roman" w:hAnsi="Times New Roman" w:eastAsia="方正仿宋_GBK" w:cs="Times New Roman"/>
          <w:sz w:val="32"/>
          <w:szCs w:val="32"/>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480" w:firstLineChars="200"/>
        <w:jc w:val="both"/>
        <w:textAlignment w:val="auto"/>
        <w:rPr>
          <w:rFonts w:hint="default" w:ascii="Times New Roman" w:hAnsi="Times New Roman" w:eastAsia="方正仿宋_GBK" w:cs="Times New Roman"/>
          <w:sz w:val="32"/>
          <w:szCs w:val="32"/>
        </w:rPr>
      </w:pPr>
      <w:r>
        <w:t> </w:t>
      </w:r>
      <w:r>
        <w:rPr>
          <w:rFonts w:hint="eastAsia" w:ascii="方正楷体_GBK" w:hAnsi="方正楷体_GBK" w:eastAsia="方正楷体_GBK" w:cs="方正楷体_GBK"/>
          <w:b w:val="0"/>
          <w:bCs w:val="0"/>
          <w:sz w:val="32"/>
          <w:szCs w:val="32"/>
          <w:shd w:val="clear" w:color="auto" w:fill="FFFFFF"/>
          <w:lang w:val="en-US" w:eastAsia="zh-CN" w:bidi="ar-SA"/>
        </w:rPr>
        <w:t>（十）项目支出：</w:t>
      </w:r>
      <w:r>
        <w:rPr>
          <w:rFonts w:hint="default" w:ascii="Times New Roman" w:hAnsi="Times New Roman" w:eastAsia="方正仿宋_GBK" w:cs="Times New Roman"/>
          <w:sz w:val="32"/>
          <w:szCs w:val="32"/>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480" w:firstLineChars="200"/>
        <w:jc w:val="both"/>
        <w:textAlignment w:val="auto"/>
        <w:rPr>
          <w:rFonts w:hint="default" w:ascii="Times New Roman" w:hAnsi="Times New Roman" w:eastAsia="方正仿宋_GBK" w:cs="Times New Roman"/>
          <w:sz w:val="32"/>
          <w:szCs w:val="32"/>
        </w:rPr>
      </w:pPr>
      <w:r>
        <w:t> </w:t>
      </w:r>
      <w:r>
        <w:rPr>
          <w:rFonts w:hint="eastAsia" w:ascii="方正楷体_GBK" w:hAnsi="方正楷体_GBK" w:eastAsia="方正楷体_GBK" w:cs="方正楷体_GBK"/>
          <w:b w:val="0"/>
          <w:bCs w:val="0"/>
          <w:sz w:val="32"/>
          <w:szCs w:val="32"/>
          <w:shd w:val="clear" w:color="auto" w:fill="FFFFFF"/>
          <w:lang w:val="en-US" w:eastAsia="zh-CN" w:bidi="ar-SA"/>
        </w:rPr>
        <w:t>（十一）经营支出：</w:t>
      </w:r>
      <w:r>
        <w:rPr>
          <w:rFonts w:hint="default" w:ascii="Times New Roman" w:hAnsi="Times New Roman" w:eastAsia="方正仿宋_GBK" w:cs="Times New Roman"/>
          <w:sz w:val="32"/>
          <w:szCs w:val="32"/>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480" w:firstLineChars="200"/>
        <w:jc w:val="both"/>
        <w:textAlignment w:val="auto"/>
        <w:rPr>
          <w:rFonts w:hint="default" w:ascii="Times New Roman" w:hAnsi="Times New Roman" w:eastAsia="方正仿宋_GBK" w:cs="Times New Roman"/>
          <w:sz w:val="32"/>
          <w:szCs w:val="32"/>
        </w:rPr>
      </w:pPr>
      <w:r>
        <w:t> </w:t>
      </w:r>
      <w:r>
        <w:rPr>
          <w:rFonts w:hint="eastAsia" w:ascii="方正楷体_GBK" w:hAnsi="方正楷体_GBK" w:eastAsia="方正楷体_GBK" w:cs="方正楷体_GBK"/>
          <w:b w:val="0"/>
          <w:bCs w:val="0"/>
          <w:sz w:val="32"/>
          <w:szCs w:val="32"/>
          <w:shd w:val="clear" w:color="auto" w:fill="FFFFFF"/>
          <w:lang w:val="en-US" w:eastAsia="zh-CN" w:bidi="ar-SA"/>
        </w:rPr>
        <w:t>（十二）“三公”经费：</w:t>
      </w:r>
      <w:r>
        <w:rPr>
          <w:rFonts w:hint="default" w:ascii="Times New Roman" w:hAnsi="Times New Roman" w:eastAsia="方正仿宋_GBK" w:cs="Times New Roman"/>
          <w:sz w:val="32"/>
          <w:szCs w:val="32"/>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480" w:firstLineChars="200"/>
        <w:jc w:val="both"/>
        <w:textAlignment w:val="auto"/>
        <w:rPr>
          <w:rFonts w:hint="default" w:ascii="Times New Roman" w:hAnsi="Times New Roman" w:eastAsia="方正仿宋_GBK" w:cs="Times New Roman"/>
          <w:sz w:val="32"/>
          <w:szCs w:val="32"/>
        </w:rPr>
      </w:pPr>
      <w:r>
        <w:t> </w:t>
      </w:r>
      <w:r>
        <w:rPr>
          <w:rFonts w:hint="eastAsia" w:ascii="方正楷体_GBK" w:hAnsi="方正楷体_GBK" w:eastAsia="方正楷体_GBK" w:cs="方正楷体_GBK"/>
          <w:b w:val="0"/>
          <w:bCs w:val="0"/>
          <w:sz w:val="32"/>
          <w:szCs w:val="32"/>
          <w:shd w:val="clear" w:color="auto" w:fill="FFFFFF"/>
          <w:lang w:val="en-US" w:eastAsia="zh-CN" w:bidi="ar-SA"/>
        </w:rPr>
        <w:t>（十三）机关运行经费：</w:t>
      </w:r>
      <w:r>
        <w:rPr>
          <w:rFonts w:hint="default" w:ascii="Times New Roman" w:hAnsi="Times New Roman" w:eastAsia="方正仿宋_GBK" w:cs="Times New Roman"/>
          <w:sz w:val="32"/>
          <w:szCs w:val="32"/>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480" w:firstLineChars="200"/>
        <w:jc w:val="both"/>
        <w:textAlignment w:val="auto"/>
        <w:rPr>
          <w:rFonts w:hint="default" w:ascii="Times New Roman" w:hAnsi="Times New Roman" w:eastAsia="方正仿宋_GBK" w:cs="Times New Roman"/>
          <w:sz w:val="32"/>
          <w:szCs w:val="32"/>
        </w:rPr>
      </w:pPr>
      <w:r>
        <w:t> </w:t>
      </w:r>
      <w:r>
        <w:rPr>
          <w:rFonts w:hint="eastAsia" w:ascii="方正楷体_GBK" w:hAnsi="方正楷体_GBK" w:eastAsia="方正楷体_GBK" w:cs="方正楷体_GBK"/>
          <w:b w:val="0"/>
          <w:bCs w:val="0"/>
          <w:sz w:val="32"/>
          <w:szCs w:val="32"/>
          <w:shd w:val="clear" w:color="auto" w:fill="FFFFFF"/>
          <w:lang w:val="en-US" w:eastAsia="zh-CN" w:bidi="ar-SA"/>
        </w:rPr>
        <w:t>（十四）工资福利支出（支出经济分类科目类级）：</w:t>
      </w:r>
      <w:r>
        <w:rPr>
          <w:rFonts w:hint="default" w:ascii="Times New Roman" w:hAnsi="Times New Roman" w:eastAsia="方正仿宋_GBK" w:cs="Times New Roman"/>
          <w:sz w:val="32"/>
          <w:szCs w:val="32"/>
        </w:rPr>
        <w:t>反映单位开支的在职职工和编制外长期聘用人员的各类劳动报酬，以及为上述人员缴纳的各项社会保险费等。</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480" w:firstLineChars="200"/>
        <w:jc w:val="both"/>
        <w:textAlignment w:val="auto"/>
        <w:rPr>
          <w:rFonts w:hint="default" w:ascii="Times New Roman" w:hAnsi="Times New Roman" w:eastAsia="方正仿宋_GBK" w:cs="Times New Roman"/>
          <w:sz w:val="32"/>
          <w:szCs w:val="32"/>
        </w:rPr>
      </w:pPr>
      <w:r>
        <w:t> </w:t>
      </w:r>
      <w:r>
        <w:rPr>
          <w:rFonts w:hint="eastAsia" w:ascii="方正楷体_GBK" w:hAnsi="方正楷体_GBK" w:eastAsia="方正楷体_GBK" w:cs="方正楷体_GBK"/>
          <w:b w:val="0"/>
          <w:bCs w:val="0"/>
          <w:sz w:val="32"/>
          <w:szCs w:val="32"/>
          <w:shd w:val="clear" w:color="auto" w:fill="FFFFFF"/>
          <w:lang w:val="en-US" w:eastAsia="zh-CN" w:bidi="ar-SA"/>
        </w:rPr>
        <w:t>（十五）商品和服务支出（支出经济分类科目类级）：</w:t>
      </w:r>
      <w:r>
        <w:rPr>
          <w:rFonts w:hint="default" w:ascii="Times New Roman" w:hAnsi="Times New Roman" w:eastAsia="方正仿宋_GBK" w:cs="Times New Roman"/>
          <w:sz w:val="32"/>
          <w:szCs w:val="32"/>
        </w:rPr>
        <w:t>反映单位购买商品和服务的支出（不包括用于购置固定资产的支出、战略性和应急储备支出）。</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480" w:firstLineChars="200"/>
        <w:jc w:val="both"/>
        <w:textAlignment w:val="auto"/>
        <w:rPr>
          <w:rFonts w:hint="default" w:ascii="Times New Roman" w:hAnsi="Times New Roman" w:eastAsia="方正仿宋_GBK" w:cs="Times New Roman"/>
          <w:sz w:val="32"/>
          <w:szCs w:val="32"/>
        </w:rPr>
      </w:pPr>
      <w:r>
        <w:t> </w:t>
      </w:r>
      <w:r>
        <w:rPr>
          <w:rFonts w:hint="eastAsia" w:ascii="方正楷体_GBK" w:hAnsi="方正楷体_GBK" w:eastAsia="方正楷体_GBK" w:cs="方正楷体_GBK"/>
          <w:b w:val="0"/>
          <w:bCs w:val="0"/>
          <w:sz w:val="32"/>
          <w:szCs w:val="32"/>
          <w:shd w:val="clear" w:color="auto" w:fill="FFFFFF"/>
          <w:lang w:val="en-US" w:eastAsia="zh-CN" w:bidi="ar-SA"/>
        </w:rPr>
        <w:t>（十六）对个人和家庭的补助（支出经济分类科目类级）：</w:t>
      </w:r>
      <w:r>
        <w:rPr>
          <w:rFonts w:hint="default" w:ascii="Times New Roman" w:hAnsi="Times New Roman" w:eastAsia="方正仿宋_GBK" w:cs="Times New Roman"/>
          <w:sz w:val="32"/>
          <w:szCs w:val="32"/>
        </w:rPr>
        <w:t>反映用于对个人和家庭的补助支出。</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480" w:firstLineChars="200"/>
        <w:jc w:val="both"/>
        <w:textAlignment w:val="auto"/>
        <w:rPr>
          <w:rFonts w:hint="default" w:ascii="Times New Roman" w:hAnsi="Times New Roman" w:eastAsia="方正仿宋_GBK" w:cs="Times New Roman"/>
          <w:sz w:val="32"/>
          <w:szCs w:val="32"/>
        </w:rPr>
      </w:pPr>
      <w:r>
        <w:t> </w:t>
      </w:r>
      <w:r>
        <w:rPr>
          <w:rFonts w:hint="eastAsia" w:ascii="方正楷体_GBK" w:hAnsi="方正楷体_GBK" w:eastAsia="方正楷体_GBK" w:cs="方正楷体_GBK"/>
          <w:b w:val="0"/>
          <w:bCs w:val="0"/>
          <w:sz w:val="32"/>
          <w:szCs w:val="32"/>
          <w:shd w:val="clear" w:color="auto" w:fill="FFFFFF"/>
          <w:lang w:val="en-US" w:eastAsia="zh-CN" w:bidi="ar-SA"/>
        </w:rPr>
        <w:t>（十七）其他资本性支出（支出经济分类科目类级）：</w:t>
      </w:r>
      <w:r>
        <w:rPr>
          <w:rFonts w:hint="default" w:ascii="Times New Roman" w:hAnsi="Times New Roman" w:eastAsia="方正仿宋_GBK" w:cs="Times New Roman"/>
          <w:sz w:val="32"/>
          <w:szCs w:val="32"/>
        </w:rPr>
        <w:t>反映非各级发展与改革部门集中安排的用于购置固定资产、战略性和应急性储备、土地和无形资产，以及构建基础设施、大型修缮和财政支持企业更新改造所发生的支出。</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七、决算公开联系方式及信息反馈渠道</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本单位决算公开信息反馈和联系方式：</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eastAsia="方正仿宋_GBK"/>
          <w:lang w:eastAsia="zh-CN"/>
        </w:rPr>
        <w:sectPr>
          <w:footerReference r:id="rId3" w:type="default"/>
          <w:pgSz w:w="11915" w:h="16840"/>
          <w:pgMar w:top="1440" w:right="1800" w:bottom="1440" w:left="1800" w:header="851" w:footer="992" w:gutter="0"/>
          <w:pgNumType w:fmt="numberInDash"/>
          <w:cols w:space="720" w:num="1"/>
          <w:docGrid w:type="lines" w:linePitch="312" w:charSpace="0"/>
        </w:sectPr>
      </w:pPr>
      <w:r>
        <w:rPr>
          <w:rFonts w:hint="eastAsia" w:ascii="Times New Roman" w:hAnsi="Times New Roman" w:eastAsia="方正仿宋_GBK" w:cs="Times New Roman"/>
          <w:sz w:val="32"/>
          <w:szCs w:val="32"/>
          <w:lang w:eastAsia="zh-CN"/>
        </w:rPr>
        <w:t>田雪山</w:t>
      </w:r>
      <w:r>
        <w:rPr>
          <w:rFonts w:hint="eastAsia"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023-</w:t>
      </w:r>
      <w:r>
        <w:rPr>
          <w:rFonts w:hint="eastAsia" w:ascii="Times New Roman" w:hAnsi="Times New Roman" w:eastAsia="方正仿宋_GBK" w:cs="Times New Roman"/>
          <w:sz w:val="32"/>
          <w:szCs w:val="32"/>
        </w:rPr>
        <w:t>76629030</w:t>
      </w:r>
      <w:r>
        <w:rPr>
          <w:rFonts w:hint="eastAsia" w:ascii="Times New Roman" w:hAnsi="Times New Roman" w:eastAsia="方正仿宋_GBK" w:cs="Times New Roman"/>
          <w:sz w:val="32"/>
          <w:szCs w:val="32"/>
          <w:lang w:eastAsia="zh-CN"/>
        </w:rPr>
        <w:t>。</w:t>
      </w:r>
    </w:p>
    <w:p>
      <w:pPr>
        <w:bidi w:val="0"/>
        <w:jc w:val="center"/>
        <w:rPr>
          <w:rFonts w:hint="default"/>
        </w:rPr>
      </w:pPr>
    </w:p>
    <w:tbl>
      <w:tblPr>
        <w:tblStyle w:val="12"/>
        <w:tblW w:w="15393" w:type="dxa"/>
        <w:tblInd w:w="0" w:type="dxa"/>
        <w:tblLayout w:type="fixed"/>
        <w:tblCellMar>
          <w:top w:w="0" w:type="dxa"/>
          <w:left w:w="0" w:type="dxa"/>
          <w:bottom w:w="0" w:type="dxa"/>
          <w:right w:w="0" w:type="dxa"/>
        </w:tblCellMar>
      </w:tblPr>
      <w:tblGrid>
        <w:gridCol w:w="5122"/>
        <w:gridCol w:w="2020"/>
        <w:gridCol w:w="4809"/>
        <w:gridCol w:w="3442"/>
      </w:tblGrid>
      <w:tr>
        <w:tblPrEx>
          <w:tblLayout w:type="fixed"/>
          <w:tblCellMar>
            <w:top w:w="0" w:type="dxa"/>
            <w:left w:w="0" w:type="dxa"/>
            <w:bottom w:w="0" w:type="dxa"/>
            <w:right w:w="0" w:type="dxa"/>
          </w:tblCellMar>
        </w:tblPrEx>
        <w:trPr>
          <w:trHeight w:val="232" w:hRule="atLeast"/>
        </w:trPr>
        <w:tc>
          <w:tcPr>
            <w:tcW w:w="15393" w:type="dxa"/>
            <w:gridSpan w:val="4"/>
            <w:tcBorders>
              <w:top w:val="nil"/>
              <w:left w:val="nil"/>
              <w:bottom w:val="nil"/>
              <w:right w:val="nil"/>
            </w:tcBorders>
            <w:shd w:val="clear" w:color="auto" w:fill="auto"/>
            <w:tcMar>
              <w:top w:w="15" w:type="dxa"/>
              <w:left w:w="15" w:type="dxa"/>
              <w:right w:w="15" w:type="dxa"/>
            </w:tcMar>
            <w:vAlign w:val="bottom"/>
          </w:tcPr>
          <w:p>
            <w:pPr>
              <w:bidi w:val="0"/>
              <w:jc w:val="center"/>
              <w:rPr>
                <w:rFonts w:hint="default"/>
              </w:rPr>
            </w:pPr>
            <w:r>
              <w:t>收入支出决算总表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2020"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4809"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3442"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r>
              <w:t>公开01表</w:t>
            </w:r>
          </w:p>
        </w:tc>
      </w:tr>
      <w:tr>
        <w:tblPrEx>
          <w:tblLayout w:type="fixed"/>
          <w:tblCellMar>
            <w:top w:w="0" w:type="dxa"/>
            <w:left w:w="0" w:type="dxa"/>
            <w:bottom w:w="0" w:type="dxa"/>
            <w:right w:w="0" w:type="dxa"/>
          </w:tblCellMar>
        </w:tblPrEx>
        <w:trPr>
          <w:trHeight w:val="232" w:hRule="atLeast"/>
        </w:trPr>
        <w:tc>
          <w:tcPr>
            <w:tcW w:w="7142" w:type="dxa"/>
            <w:gridSpan w:val="2"/>
            <w:tcBorders>
              <w:top w:val="nil"/>
              <w:left w:val="nil"/>
              <w:bottom w:val="nil"/>
              <w:right w:val="nil"/>
            </w:tcBorders>
            <w:shd w:val="clear" w:color="auto" w:fill="auto"/>
            <w:tcMar>
              <w:top w:w="15" w:type="dxa"/>
              <w:left w:w="15" w:type="dxa"/>
              <w:right w:w="15" w:type="dxa"/>
            </w:tcMar>
            <w:vAlign w:val="bottom"/>
          </w:tcPr>
          <w:p>
            <w:pPr>
              <w:bidi w:val="0"/>
              <w:rPr>
                <w:rFonts w:hint="default"/>
              </w:rPr>
            </w:pPr>
            <w:r>
              <w:t>公开单位：重庆市秀山土家族苗族自治县洪安镇中心卫生院</w:t>
            </w:r>
          </w:p>
        </w:tc>
        <w:tc>
          <w:tcPr>
            <w:tcW w:w="4809"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3442"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r>
              <w:t>单位：万元</w:t>
            </w:r>
          </w:p>
        </w:tc>
      </w:tr>
      <w:tr>
        <w:tblPrEx>
          <w:tblLayout w:type="fixed"/>
          <w:tblCellMar>
            <w:top w:w="0" w:type="dxa"/>
            <w:left w:w="0" w:type="dxa"/>
            <w:bottom w:w="0" w:type="dxa"/>
            <w:right w:w="0" w:type="dxa"/>
          </w:tblCellMar>
        </w:tblPrEx>
        <w:trPr>
          <w:trHeight w:val="243" w:hRule="atLeast"/>
        </w:trPr>
        <w:tc>
          <w:tcPr>
            <w:tcW w:w="71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收入</w:t>
            </w:r>
          </w:p>
        </w:tc>
        <w:tc>
          <w:tcPr>
            <w:tcW w:w="8251" w:type="dxa"/>
            <w:gridSpan w:val="2"/>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支出</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项目</w:t>
            </w:r>
          </w:p>
        </w:tc>
        <w:tc>
          <w:tcPr>
            <w:tcW w:w="202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决算数</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功能分类科目</w:t>
            </w:r>
          </w:p>
        </w:tc>
        <w:tc>
          <w:tcPr>
            <w:tcW w:w="3442"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决算数</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一、一般公共预算财政拨款收入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644.10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一、一般公共服务支出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二、政府性基金预算财政拨款收入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二、外交支出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三、国有资本经营预算财政拨款收入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三、国防支出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四、上级补助收入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四、公共安全支出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五、事业收入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1,884.90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五、教育支出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六、经营收入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六、科学技术支出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七、附属单位上缴收入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七、文化旅游体育与传媒支出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八、其他收入</w:t>
            </w:r>
          </w:p>
        </w:tc>
        <w:tc>
          <w:tcPr>
            <w:tcW w:w="2020" w:type="dxa"/>
            <w:tcBorders>
              <w:top w:val="nil"/>
              <w:left w:val="nil"/>
              <w:bottom w:val="nil"/>
              <w:right w:val="single" w:color="000000" w:sz="4" w:space="0"/>
            </w:tcBorders>
            <w:shd w:val="clear" w:color="auto" w:fill="auto"/>
            <w:tcMar>
              <w:top w:w="15" w:type="dxa"/>
              <w:left w:w="15" w:type="dxa"/>
              <w:right w:w="15" w:type="dxa"/>
            </w:tcMar>
            <w:vAlign w:val="center"/>
          </w:tcPr>
          <w:p>
            <w:pPr>
              <w:bidi w:val="0"/>
              <w:rPr>
                <w:rFonts w:hint="default"/>
              </w:rPr>
            </w:pPr>
            <w:r>
              <w:t xml:space="preserve">20.23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八、社会保障和就业支出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63.90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bidi w:val="0"/>
              <w:rPr>
                <w:rFonts w:hint="default"/>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九、卫生健康支出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2,442.36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bidi w:val="0"/>
              <w:rPr>
                <w:rFonts w:hint="default"/>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十、节能环保支出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bidi w:val="0"/>
              <w:rPr>
                <w:rFonts w:hint="default"/>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十一、城乡社区支出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bidi w:val="0"/>
              <w:rPr>
                <w:rFonts w:hint="default"/>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十二、农林水支出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十三、交通运输支出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十四、资源勘探工业信息等支出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十五、商业服务业等支出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十六、金融支出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十七、援助其他地区支出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十八、自然资源海洋气象等支出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十九、住房保障支出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20.06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二十、粮油物资储备支出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二十一、国有资本经营预算支出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二十二、灾害防治及应急管理支出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二十三、其他支出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二十四、债务还本支出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二十五、债务付息支出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二十六、抗疫特别国债安排的支出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本年收入合计</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2,549.23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本年支出合计</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2,526.32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使用非财政拨款结余和专用结余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结余分配</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年初结转和结余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29.78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年末结转和结余</w:t>
            </w:r>
          </w:p>
        </w:tc>
        <w:tc>
          <w:tcPr>
            <w:tcW w:w="3442"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52.69 </w:t>
            </w:r>
          </w:p>
        </w:tc>
      </w:tr>
      <w:tr>
        <w:tblPrEx>
          <w:tblLayout w:type="fixed"/>
          <w:tblCellMar>
            <w:top w:w="0" w:type="dxa"/>
            <w:left w:w="0" w:type="dxa"/>
            <w:bottom w:w="0" w:type="dxa"/>
            <w:right w:w="0" w:type="dxa"/>
          </w:tblCellMar>
        </w:tblPrEx>
        <w:trPr>
          <w:trHeight w:val="25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总计</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2,579.01 </w:t>
            </w:r>
          </w:p>
        </w:tc>
        <w:tc>
          <w:tcPr>
            <w:tcW w:w="4809" w:type="dxa"/>
            <w:tcBorders>
              <w:top w:val="nil"/>
              <w:left w:val="nil"/>
              <w:bottom w:val="single" w:color="000000" w:sz="4" w:space="0"/>
              <w:right w:val="single" w:color="auto" w:sz="4" w:space="0"/>
            </w:tcBorders>
            <w:shd w:val="clear" w:color="FFFFFF" w:fill="C0C0C0"/>
            <w:tcMar>
              <w:top w:w="15" w:type="dxa"/>
              <w:left w:w="15" w:type="dxa"/>
              <w:right w:w="15" w:type="dxa"/>
            </w:tcMar>
            <w:vAlign w:val="center"/>
          </w:tcPr>
          <w:p>
            <w:pPr>
              <w:bidi w:val="0"/>
              <w:rPr>
                <w:rFonts w:hint="default"/>
              </w:rPr>
            </w:pPr>
            <w:r>
              <w:t>总计</w:t>
            </w:r>
          </w:p>
        </w:tc>
        <w:tc>
          <w:tcPr>
            <w:tcW w:w="34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bidi w:val="0"/>
              <w:rPr>
                <w:rFonts w:hint="default"/>
              </w:rPr>
            </w:pPr>
            <w:r>
              <w:t xml:space="preserve">2,579.01 </w:t>
            </w:r>
          </w:p>
        </w:tc>
      </w:tr>
    </w:tbl>
    <w:p>
      <w:pPr>
        <w:bidi w:val="0"/>
      </w:pPr>
      <w:r>
        <w:t>备注：1.本表反映单位本年度的总收支和年末结转结余情况。</w:t>
      </w:r>
      <w:r>
        <w:br w:type="textWrapping"/>
      </w:r>
      <w:r>
        <w:t xml:space="preserve">      2.本套报表金额单位转换时可能存在尾数误差。</w:t>
      </w:r>
      <w:r>
        <w:br w:type="textWrapping"/>
      </w:r>
      <w:r>
        <w:br w:type="textWrapping"/>
      </w:r>
    </w:p>
    <w:p>
      <w:pPr>
        <w:pStyle w:val="2"/>
      </w:pPr>
    </w:p>
    <w:p>
      <w:pPr>
        <w:pStyle w:val="3"/>
      </w:pPr>
    </w:p>
    <w:p/>
    <w:p>
      <w:pPr>
        <w:pStyle w:val="2"/>
      </w:pPr>
    </w:p>
    <w:p>
      <w:pPr>
        <w:pStyle w:val="3"/>
      </w:pPr>
    </w:p>
    <w:p/>
    <w:p>
      <w:pPr>
        <w:pStyle w:val="2"/>
      </w:pPr>
    </w:p>
    <w:p>
      <w:pPr>
        <w:pStyle w:val="3"/>
      </w:pPr>
    </w:p>
    <w:p/>
    <w:p>
      <w:pPr>
        <w:pStyle w:val="2"/>
      </w:pPr>
    </w:p>
    <w:p>
      <w:pPr>
        <w:pStyle w:val="3"/>
      </w:pPr>
    </w:p>
    <w:p/>
    <w:p>
      <w:pPr>
        <w:pStyle w:val="2"/>
        <w:rPr>
          <w:rFonts w:hint="default"/>
        </w:rPr>
      </w:pPr>
    </w:p>
    <w:tbl>
      <w:tblPr>
        <w:tblStyle w:val="12"/>
        <w:tblW w:w="15378" w:type="dxa"/>
        <w:tblInd w:w="0" w:type="dxa"/>
        <w:tblLayout w:type="fixed"/>
        <w:tblCellMar>
          <w:top w:w="0" w:type="dxa"/>
          <w:left w:w="0" w:type="dxa"/>
          <w:bottom w:w="0" w:type="dxa"/>
          <w:right w:w="0" w:type="dxa"/>
        </w:tblCellMar>
      </w:tblPr>
      <w:tblGrid>
        <w:gridCol w:w="1702"/>
        <w:gridCol w:w="3171"/>
        <w:gridCol w:w="1233"/>
        <w:gridCol w:w="1233"/>
        <w:gridCol w:w="1233"/>
        <w:gridCol w:w="1233"/>
        <w:gridCol w:w="1366"/>
        <w:gridCol w:w="1307"/>
        <w:gridCol w:w="1439"/>
        <w:gridCol w:w="1461"/>
      </w:tblGrid>
      <w:tr>
        <w:tblPrEx>
          <w:tblLayout w:type="fixed"/>
          <w:tblCellMar>
            <w:top w:w="0" w:type="dxa"/>
            <w:left w:w="0" w:type="dxa"/>
            <w:bottom w:w="0" w:type="dxa"/>
            <w:right w:w="0" w:type="dxa"/>
          </w:tblCellMar>
        </w:tblPrEx>
        <w:trPr>
          <w:trHeight w:val="641" w:hRule="atLeast"/>
        </w:trPr>
        <w:tc>
          <w:tcPr>
            <w:tcW w:w="15378" w:type="dxa"/>
            <w:gridSpan w:val="10"/>
            <w:tcBorders>
              <w:top w:val="nil"/>
              <w:left w:val="nil"/>
              <w:bottom w:val="nil"/>
              <w:right w:val="nil"/>
            </w:tcBorders>
            <w:shd w:val="clear" w:color="auto" w:fill="auto"/>
            <w:tcMar>
              <w:top w:w="15" w:type="dxa"/>
              <w:left w:w="15" w:type="dxa"/>
              <w:right w:w="15" w:type="dxa"/>
            </w:tcMar>
            <w:vAlign w:val="bottom"/>
          </w:tcPr>
          <w:p>
            <w:pPr>
              <w:bidi w:val="0"/>
              <w:jc w:val="center"/>
              <w:rPr>
                <w:rFonts w:hint="default"/>
              </w:rPr>
            </w:pPr>
            <w:r>
              <w:t>收入决算表</w:t>
            </w:r>
          </w:p>
        </w:tc>
      </w:tr>
      <w:tr>
        <w:tblPrEx>
          <w:tblLayout w:type="fixed"/>
          <w:tblCellMar>
            <w:top w:w="0" w:type="dxa"/>
            <w:left w:w="0" w:type="dxa"/>
            <w:bottom w:w="0" w:type="dxa"/>
            <w:right w:w="0" w:type="dxa"/>
          </w:tblCellMar>
        </w:tblPrEx>
        <w:trPr>
          <w:trHeight w:val="328" w:hRule="atLeast"/>
        </w:trPr>
        <w:tc>
          <w:tcPr>
            <w:tcW w:w="6106" w:type="dxa"/>
            <w:gridSpan w:val="3"/>
            <w:vMerge w:val="restart"/>
            <w:tcBorders>
              <w:top w:val="nil"/>
              <w:left w:val="nil"/>
              <w:right w:val="nil"/>
            </w:tcBorders>
            <w:shd w:val="clear" w:color="auto" w:fill="auto"/>
            <w:tcMar>
              <w:top w:w="15" w:type="dxa"/>
              <w:left w:w="15" w:type="dxa"/>
              <w:right w:w="15" w:type="dxa"/>
            </w:tcMar>
            <w:vAlign w:val="bottom"/>
          </w:tcPr>
          <w:p>
            <w:pPr>
              <w:bidi w:val="0"/>
              <w:rPr>
                <w:rFonts w:hint="default"/>
              </w:rPr>
            </w:pPr>
            <w:r>
              <w:t>公开单位：重庆市秀山土家族苗族自治县洪安镇中心卫生院</w:t>
            </w:r>
          </w:p>
        </w:tc>
        <w:tc>
          <w:tcPr>
            <w:tcW w:w="1233"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1233"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1233"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1366"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1307"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1439"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1461"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r>
              <w:t>公开02表</w:t>
            </w:r>
          </w:p>
        </w:tc>
      </w:tr>
      <w:tr>
        <w:tblPrEx>
          <w:tblLayout w:type="fixed"/>
          <w:tblCellMar>
            <w:top w:w="0" w:type="dxa"/>
            <w:left w:w="0" w:type="dxa"/>
            <w:bottom w:w="0" w:type="dxa"/>
            <w:right w:w="0" w:type="dxa"/>
          </w:tblCellMar>
        </w:tblPrEx>
        <w:trPr>
          <w:trHeight w:val="328" w:hRule="atLeast"/>
        </w:trPr>
        <w:tc>
          <w:tcPr>
            <w:tcW w:w="6106" w:type="dxa"/>
            <w:gridSpan w:val="3"/>
            <w:vMerge w:val="continue"/>
            <w:tcBorders>
              <w:left w:val="nil"/>
              <w:bottom w:val="nil"/>
              <w:right w:val="nil"/>
            </w:tcBorders>
            <w:shd w:val="clear" w:color="auto" w:fill="auto"/>
            <w:tcMar>
              <w:top w:w="15" w:type="dxa"/>
              <w:left w:w="15" w:type="dxa"/>
              <w:right w:w="15" w:type="dxa"/>
            </w:tcMar>
            <w:vAlign w:val="bottom"/>
          </w:tcPr>
          <w:p>
            <w:pPr>
              <w:bidi w:val="0"/>
              <w:rPr>
                <w:rFonts w:hint="default"/>
              </w:rPr>
            </w:pPr>
          </w:p>
        </w:tc>
        <w:tc>
          <w:tcPr>
            <w:tcW w:w="1233"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1233"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1233"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1366"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1307"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1439"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1461"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r>
              <w:t>单位：万元</w:t>
            </w:r>
          </w:p>
        </w:tc>
      </w:tr>
      <w:tr>
        <w:tblPrEx>
          <w:tblLayout w:type="fixed"/>
          <w:tblCellMar>
            <w:top w:w="0" w:type="dxa"/>
            <w:left w:w="0" w:type="dxa"/>
            <w:bottom w:w="0" w:type="dxa"/>
            <w:right w:w="0" w:type="dxa"/>
          </w:tblCellMar>
        </w:tblPrEx>
        <w:trPr>
          <w:trHeight w:val="431" w:hRule="atLeast"/>
        </w:trPr>
        <w:tc>
          <w:tcPr>
            <w:tcW w:w="4873" w:type="dxa"/>
            <w:gridSpan w:val="2"/>
            <w:tcBorders>
              <w:top w:val="single" w:color="000000" w:sz="4" w:space="0"/>
              <w:left w:val="single" w:color="000000" w:sz="4" w:space="0"/>
              <w:bottom w:val="single" w:color="000000" w:sz="4" w:space="0"/>
              <w:right w:val="nil"/>
            </w:tcBorders>
            <w:shd w:val="clear" w:color="auto" w:fill="D0CECE"/>
            <w:tcMar>
              <w:top w:w="15" w:type="dxa"/>
              <w:left w:w="15" w:type="dxa"/>
              <w:right w:w="15" w:type="dxa"/>
            </w:tcMar>
            <w:vAlign w:val="bottom"/>
          </w:tcPr>
          <w:p>
            <w:pPr>
              <w:bidi w:val="0"/>
              <w:rPr>
                <w:rFonts w:hint="default"/>
              </w:rPr>
            </w:pPr>
            <w:r>
              <w:t>项目</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本年收入合计</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财政拨款收入</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上级补助收入</w:t>
            </w:r>
          </w:p>
        </w:tc>
        <w:tc>
          <w:tcPr>
            <w:tcW w:w="2599"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bidi w:val="0"/>
              <w:rPr>
                <w:rFonts w:hint="default"/>
              </w:rPr>
            </w:pPr>
            <w:r>
              <w:t>事业收入</w:t>
            </w:r>
          </w:p>
        </w:tc>
        <w:tc>
          <w:tcPr>
            <w:tcW w:w="13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经营收入</w:t>
            </w:r>
          </w:p>
        </w:tc>
        <w:tc>
          <w:tcPr>
            <w:tcW w:w="143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附属单位上缴收入</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其他收入</w:t>
            </w:r>
          </w:p>
        </w:tc>
      </w:tr>
      <w:tr>
        <w:tblPrEx>
          <w:tblLayout w:type="fixed"/>
          <w:tblCellMar>
            <w:top w:w="0" w:type="dxa"/>
            <w:left w:w="0" w:type="dxa"/>
            <w:bottom w:w="0" w:type="dxa"/>
            <w:right w:w="0" w:type="dxa"/>
          </w:tblCellMar>
        </w:tblPrEx>
        <w:trPr>
          <w:trHeight w:val="334" w:hRule="atLeast"/>
        </w:trPr>
        <w:tc>
          <w:tcPr>
            <w:tcW w:w="170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功能分类科目编码</w:t>
            </w:r>
          </w:p>
        </w:tc>
        <w:tc>
          <w:tcPr>
            <w:tcW w:w="3171"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bidi w:val="0"/>
              <w:rPr>
                <w:rFonts w:hint="default"/>
              </w:rPr>
            </w:pPr>
            <w:r>
              <w:t>项目（按“项”级功能分类科目）</w:t>
            </w: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小计</w:t>
            </w:r>
          </w:p>
        </w:tc>
        <w:tc>
          <w:tcPr>
            <w:tcW w:w="136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其中：教育收费</w:t>
            </w: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bidi w:val="0"/>
              <w:rPr>
                <w:rFonts w:hint="default"/>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bidi w:val="0"/>
              <w:rPr>
                <w:rFonts w:hint="default"/>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bidi w:val="0"/>
              <w:rPr>
                <w:rFonts w:hint="default"/>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r>
      <w:tr>
        <w:tblPrEx>
          <w:tblLayout w:type="fixed"/>
          <w:tblCellMar>
            <w:top w:w="0" w:type="dxa"/>
            <w:left w:w="0" w:type="dxa"/>
            <w:bottom w:w="0" w:type="dxa"/>
            <w:right w:w="0" w:type="dxa"/>
          </w:tblCellMar>
        </w:tblPrEx>
        <w:trPr>
          <w:trHeight w:val="338" w:hRule="atLeast"/>
        </w:trPr>
        <w:tc>
          <w:tcPr>
            <w:tcW w:w="487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合计</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2,549.23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644.10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1,884.90 </w:t>
            </w:r>
          </w:p>
        </w:tc>
        <w:tc>
          <w:tcPr>
            <w:tcW w:w="136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46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20.23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208</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社会保障和就业支出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63.90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63.90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20805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行政事业单位养老支出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63.90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63.90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2080502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事业单位离退休</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2.69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2.69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2080505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机关事业单位基本养老保险缴费支出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26.71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26.71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2080506</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机关事业单位职业年金缴费支出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13.29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13.29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2080599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其他行政事业单位养老支出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21.21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21.21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210</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2,465.27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560.13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1,884.90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20.23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21001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卫生健康管理事务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1.05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1.05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2100199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其他卫生健康管理事务支出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1.05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1.05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21003</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基层医疗卫生机构</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2,285.21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380.08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1,884.90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20.23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2100302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乡镇卫生院</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2,285.21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380.08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1,884.90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20.23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21004</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公共卫生</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161.63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161.63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2100408</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基本公共卫生服务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153.54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153.54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2100410</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突发公共卫生事件应急处理</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8.09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8.09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21011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行政事业单位医疗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16.70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16.70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2101102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16.70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16.70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21099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其他卫生健康支出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0.68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0.68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2109999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其他卫生健康支出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0.68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0.68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221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住房保障支出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20.06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20.06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22102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住房改革支出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20.06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20.06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2210201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住房公积金</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20.06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20.06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bl>
    <w:p>
      <w:pPr>
        <w:bidi w:val="0"/>
        <w:rPr>
          <w:rFonts w:hint="default"/>
        </w:rPr>
      </w:pPr>
      <w:r>
        <w:t>备注：1.本表反映单位本年度取得的各项收入情况。</w:t>
      </w:r>
      <w:r>
        <w:br w:type="textWrapping"/>
      </w:r>
      <w:r>
        <w:t>2.本套报表金额单位转换时可能存在尾数误差。</w:t>
      </w:r>
      <w:r>
        <w:br w:type="textWrapping"/>
      </w:r>
      <w:r>
        <w:br w:type="textWrapping"/>
      </w:r>
    </w:p>
    <w:p>
      <w:pPr>
        <w:bidi w:val="0"/>
        <w:rPr>
          <w:rFonts w:hint="default"/>
        </w:rPr>
      </w:pPr>
      <w:r>
        <w:br w:type="page"/>
      </w:r>
    </w:p>
    <w:tbl>
      <w:tblPr>
        <w:tblStyle w:val="12"/>
        <w:tblW w:w="15378" w:type="dxa"/>
        <w:tblInd w:w="0" w:type="dxa"/>
        <w:tblLayout w:type="fixed"/>
        <w:tblCellMar>
          <w:top w:w="0" w:type="dxa"/>
          <w:left w:w="0" w:type="dxa"/>
          <w:bottom w:w="0" w:type="dxa"/>
          <w:right w:w="0" w:type="dxa"/>
        </w:tblCellMar>
      </w:tblPr>
      <w:tblGrid>
        <w:gridCol w:w="1950"/>
        <w:gridCol w:w="3870"/>
        <w:gridCol w:w="1590"/>
        <w:gridCol w:w="1590"/>
        <w:gridCol w:w="1591"/>
        <w:gridCol w:w="1575"/>
        <w:gridCol w:w="1575"/>
        <w:gridCol w:w="1637"/>
      </w:tblGrid>
      <w:tr>
        <w:tblPrEx>
          <w:tblLayout w:type="fixed"/>
          <w:tblCellMar>
            <w:top w:w="0" w:type="dxa"/>
            <w:left w:w="0" w:type="dxa"/>
            <w:bottom w:w="0" w:type="dxa"/>
            <w:right w:w="0" w:type="dxa"/>
          </w:tblCellMar>
        </w:tblPrEx>
        <w:trPr>
          <w:trHeight w:val="65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bidi w:val="0"/>
              <w:jc w:val="center"/>
              <w:rPr>
                <w:rFonts w:hint="default"/>
              </w:rPr>
            </w:pPr>
            <w:r>
              <w:t>支出决算表</w:t>
            </w:r>
          </w:p>
        </w:tc>
      </w:tr>
      <w:tr>
        <w:tblPrEx>
          <w:tblLayout w:type="fixed"/>
          <w:tblCellMar>
            <w:top w:w="0" w:type="dxa"/>
            <w:left w:w="0" w:type="dxa"/>
            <w:bottom w:w="0" w:type="dxa"/>
            <w:right w:w="0" w:type="dxa"/>
          </w:tblCellMar>
        </w:tblPrEx>
        <w:trPr>
          <w:trHeight w:val="342" w:hRule="atLeast"/>
        </w:trPr>
        <w:tc>
          <w:tcPr>
            <w:tcW w:w="7410" w:type="dxa"/>
            <w:gridSpan w:val="3"/>
            <w:vMerge w:val="restart"/>
            <w:tcBorders>
              <w:top w:val="nil"/>
              <w:left w:val="nil"/>
              <w:right w:val="nil"/>
            </w:tcBorders>
            <w:shd w:val="clear" w:color="auto" w:fill="auto"/>
            <w:tcMar>
              <w:top w:w="15" w:type="dxa"/>
              <w:left w:w="15" w:type="dxa"/>
              <w:right w:w="15" w:type="dxa"/>
            </w:tcMar>
            <w:vAlign w:val="bottom"/>
          </w:tcPr>
          <w:p>
            <w:pPr>
              <w:bidi w:val="0"/>
              <w:rPr>
                <w:rFonts w:hint="default"/>
              </w:rPr>
            </w:pPr>
            <w:r>
              <w:t xml:space="preserve">公开单位： 重庆市秀山土家族苗族自治县洪安镇中心卫生院 </w:t>
            </w:r>
          </w:p>
        </w:tc>
        <w:tc>
          <w:tcPr>
            <w:tcW w:w="1590"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1591"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1575"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1575"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1637"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r>
              <w:t>公开03表</w:t>
            </w:r>
          </w:p>
        </w:tc>
      </w:tr>
      <w:tr>
        <w:tblPrEx>
          <w:tblLayout w:type="fixed"/>
          <w:tblCellMar>
            <w:top w:w="0" w:type="dxa"/>
            <w:left w:w="0" w:type="dxa"/>
            <w:bottom w:w="0" w:type="dxa"/>
            <w:right w:w="0" w:type="dxa"/>
          </w:tblCellMar>
        </w:tblPrEx>
        <w:trPr>
          <w:trHeight w:val="342" w:hRule="atLeast"/>
        </w:trPr>
        <w:tc>
          <w:tcPr>
            <w:tcW w:w="7410" w:type="dxa"/>
            <w:gridSpan w:val="3"/>
            <w:vMerge w:val="continue"/>
            <w:tcBorders>
              <w:left w:val="nil"/>
              <w:bottom w:val="nil"/>
              <w:right w:val="nil"/>
            </w:tcBorders>
            <w:shd w:val="clear" w:color="auto" w:fill="auto"/>
            <w:tcMar>
              <w:top w:w="15" w:type="dxa"/>
              <w:left w:w="15" w:type="dxa"/>
              <w:right w:w="15" w:type="dxa"/>
            </w:tcMar>
            <w:vAlign w:val="bottom"/>
          </w:tcPr>
          <w:p>
            <w:pPr>
              <w:bidi w:val="0"/>
              <w:rPr>
                <w:rFonts w:hint="default"/>
              </w:rPr>
            </w:pPr>
          </w:p>
        </w:tc>
        <w:tc>
          <w:tcPr>
            <w:tcW w:w="1590"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1591"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1575"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1575"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1637"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r>
              <w:t>单位：万元</w:t>
            </w:r>
          </w:p>
        </w:tc>
      </w:tr>
      <w:tr>
        <w:tblPrEx>
          <w:tblLayout w:type="fixed"/>
          <w:tblCellMar>
            <w:top w:w="0" w:type="dxa"/>
            <w:left w:w="0" w:type="dxa"/>
            <w:bottom w:w="0" w:type="dxa"/>
            <w:right w:w="0" w:type="dxa"/>
          </w:tblCellMar>
        </w:tblPrEx>
        <w:trPr>
          <w:trHeight w:val="362" w:hRule="atLeast"/>
        </w:trPr>
        <w:tc>
          <w:tcPr>
            <w:tcW w:w="5820"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bidi w:val="0"/>
              <w:rPr>
                <w:rFonts w:hint="default"/>
              </w:rPr>
            </w:pPr>
            <w:r>
              <w:t>项目</w:t>
            </w:r>
          </w:p>
        </w:tc>
        <w:tc>
          <w:tcPr>
            <w:tcW w:w="1590"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本年支出合计</w:t>
            </w:r>
          </w:p>
        </w:tc>
        <w:tc>
          <w:tcPr>
            <w:tcW w:w="1590"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基本支出</w:t>
            </w:r>
          </w:p>
        </w:tc>
        <w:tc>
          <w:tcPr>
            <w:tcW w:w="159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项目支出</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上缴上级支出</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经营支出</w:t>
            </w:r>
          </w:p>
        </w:tc>
        <w:tc>
          <w:tcPr>
            <w:tcW w:w="163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对附属单位补助支出</w:t>
            </w:r>
          </w:p>
        </w:tc>
      </w:tr>
      <w:tr>
        <w:tblPrEx>
          <w:tblLayout w:type="fixed"/>
          <w:tblCellMar>
            <w:top w:w="0" w:type="dxa"/>
            <w:left w:w="0" w:type="dxa"/>
            <w:bottom w:w="0" w:type="dxa"/>
            <w:right w:w="0" w:type="dxa"/>
          </w:tblCellMar>
        </w:tblPrEx>
        <w:trPr>
          <w:trHeight w:val="338" w:hRule="atLeast"/>
        </w:trPr>
        <w:tc>
          <w:tcPr>
            <w:tcW w:w="1950"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功能分类科目编码</w:t>
            </w:r>
          </w:p>
        </w:tc>
        <w:tc>
          <w:tcPr>
            <w:tcW w:w="3870"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bidi w:val="0"/>
              <w:rPr>
                <w:rFonts w:hint="default"/>
              </w:rPr>
            </w:pPr>
            <w:r>
              <w:t>项目（按“项”级功能分类科目）</w:t>
            </w:r>
          </w:p>
        </w:tc>
        <w:tc>
          <w:tcPr>
            <w:tcW w:w="159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59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59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63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r>
      <w:tr>
        <w:tblPrEx>
          <w:tblLayout w:type="fixed"/>
          <w:tblCellMar>
            <w:top w:w="0" w:type="dxa"/>
            <w:left w:w="0" w:type="dxa"/>
            <w:bottom w:w="0" w:type="dxa"/>
            <w:right w:w="0" w:type="dxa"/>
          </w:tblCellMar>
        </w:tblPrEx>
        <w:trPr>
          <w:trHeight w:val="338" w:hRule="atLeast"/>
        </w:trPr>
        <w:tc>
          <w:tcPr>
            <w:tcW w:w="1950"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3870"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bidi w:val="0"/>
              <w:rPr>
                <w:rFonts w:hint="default"/>
              </w:rPr>
            </w:pPr>
          </w:p>
        </w:tc>
        <w:tc>
          <w:tcPr>
            <w:tcW w:w="159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59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59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63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r>
      <w:tr>
        <w:tblPrEx>
          <w:tblLayout w:type="fixed"/>
          <w:tblCellMar>
            <w:top w:w="0" w:type="dxa"/>
            <w:left w:w="0" w:type="dxa"/>
            <w:bottom w:w="0" w:type="dxa"/>
            <w:right w:w="0" w:type="dxa"/>
          </w:tblCellMar>
        </w:tblPrEx>
        <w:trPr>
          <w:trHeight w:val="338" w:hRule="atLeast"/>
        </w:trPr>
        <w:tc>
          <w:tcPr>
            <w:tcW w:w="1950"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3870"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bidi w:val="0"/>
              <w:rPr>
                <w:rFonts w:hint="default"/>
              </w:rPr>
            </w:pPr>
          </w:p>
        </w:tc>
        <w:tc>
          <w:tcPr>
            <w:tcW w:w="159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59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59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63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r>
      <w:tr>
        <w:tblPrEx>
          <w:tblLayout w:type="fixed"/>
          <w:tblCellMar>
            <w:top w:w="0" w:type="dxa"/>
            <w:left w:w="0" w:type="dxa"/>
            <w:bottom w:w="0" w:type="dxa"/>
            <w:right w:w="0" w:type="dxa"/>
          </w:tblCellMar>
        </w:tblPrEx>
        <w:trPr>
          <w:trHeight w:val="338" w:hRule="atLeast"/>
        </w:trPr>
        <w:tc>
          <w:tcPr>
            <w:tcW w:w="1950"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3870"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bidi w:val="0"/>
              <w:rPr>
                <w:rFonts w:hint="default"/>
              </w:rPr>
            </w:pPr>
          </w:p>
        </w:tc>
        <w:tc>
          <w:tcPr>
            <w:tcW w:w="159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59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59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63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r>
      <w:tr>
        <w:tblPrEx>
          <w:tblLayout w:type="fixed"/>
          <w:tblCellMar>
            <w:top w:w="0" w:type="dxa"/>
            <w:left w:w="0" w:type="dxa"/>
            <w:bottom w:w="0" w:type="dxa"/>
            <w:right w:w="0" w:type="dxa"/>
          </w:tblCellMar>
        </w:tblPrEx>
        <w:trPr>
          <w:trHeight w:val="362" w:hRule="atLeast"/>
        </w:trPr>
        <w:tc>
          <w:tcPr>
            <w:tcW w:w="5820"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合计</w:t>
            </w:r>
          </w:p>
        </w:tc>
        <w:tc>
          <w:tcPr>
            <w:tcW w:w="15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2,526.32 </w:t>
            </w:r>
          </w:p>
        </w:tc>
        <w:tc>
          <w:tcPr>
            <w:tcW w:w="15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2,518.23 </w:t>
            </w:r>
          </w:p>
        </w:tc>
        <w:tc>
          <w:tcPr>
            <w:tcW w:w="159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8.09 </w:t>
            </w:r>
          </w:p>
        </w:tc>
        <w:tc>
          <w:tcPr>
            <w:tcW w:w="15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6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82" w:hRule="atLeast"/>
        </w:trPr>
        <w:tc>
          <w:tcPr>
            <w:tcW w:w="19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208</w:t>
            </w:r>
          </w:p>
        </w:tc>
        <w:tc>
          <w:tcPr>
            <w:tcW w:w="38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社会保障和就业支出</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63.90 </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63.90 </w:t>
            </w:r>
          </w:p>
        </w:tc>
        <w:tc>
          <w:tcPr>
            <w:tcW w:w="15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6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82" w:hRule="atLeast"/>
        </w:trPr>
        <w:tc>
          <w:tcPr>
            <w:tcW w:w="19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20805</w:t>
            </w:r>
          </w:p>
        </w:tc>
        <w:tc>
          <w:tcPr>
            <w:tcW w:w="38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行政事业单位养老支出</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63.90 </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63.90 </w:t>
            </w:r>
          </w:p>
        </w:tc>
        <w:tc>
          <w:tcPr>
            <w:tcW w:w="15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6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82" w:hRule="atLeast"/>
        </w:trPr>
        <w:tc>
          <w:tcPr>
            <w:tcW w:w="19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2080502</w:t>
            </w:r>
          </w:p>
        </w:tc>
        <w:tc>
          <w:tcPr>
            <w:tcW w:w="38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事业单位离退休</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2.69 </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2.69 </w:t>
            </w:r>
          </w:p>
        </w:tc>
        <w:tc>
          <w:tcPr>
            <w:tcW w:w="15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6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82" w:hRule="atLeast"/>
        </w:trPr>
        <w:tc>
          <w:tcPr>
            <w:tcW w:w="19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2080505</w:t>
            </w:r>
          </w:p>
        </w:tc>
        <w:tc>
          <w:tcPr>
            <w:tcW w:w="38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机关事业单位基本养老保险缴费支出</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26.71 </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26.71 </w:t>
            </w:r>
          </w:p>
        </w:tc>
        <w:tc>
          <w:tcPr>
            <w:tcW w:w="15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6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82" w:hRule="atLeast"/>
        </w:trPr>
        <w:tc>
          <w:tcPr>
            <w:tcW w:w="19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2080506</w:t>
            </w:r>
          </w:p>
        </w:tc>
        <w:tc>
          <w:tcPr>
            <w:tcW w:w="38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机关事业单位职业年金缴费支出</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13.29 </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13.29 </w:t>
            </w:r>
          </w:p>
        </w:tc>
        <w:tc>
          <w:tcPr>
            <w:tcW w:w="15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6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82" w:hRule="atLeast"/>
        </w:trPr>
        <w:tc>
          <w:tcPr>
            <w:tcW w:w="19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2080599</w:t>
            </w:r>
          </w:p>
        </w:tc>
        <w:tc>
          <w:tcPr>
            <w:tcW w:w="38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其他行政事业单位养老支出</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21.21 </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21.21 </w:t>
            </w:r>
          </w:p>
        </w:tc>
        <w:tc>
          <w:tcPr>
            <w:tcW w:w="15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6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82" w:hRule="atLeast"/>
        </w:trPr>
        <w:tc>
          <w:tcPr>
            <w:tcW w:w="19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210</w:t>
            </w:r>
          </w:p>
        </w:tc>
        <w:tc>
          <w:tcPr>
            <w:tcW w:w="38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卫生健康支出</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2,442.36 </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2,434.27 </w:t>
            </w:r>
          </w:p>
        </w:tc>
        <w:tc>
          <w:tcPr>
            <w:tcW w:w="15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8.09 </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6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82" w:hRule="atLeast"/>
        </w:trPr>
        <w:tc>
          <w:tcPr>
            <w:tcW w:w="19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21001</w:t>
            </w:r>
          </w:p>
        </w:tc>
        <w:tc>
          <w:tcPr>
            <w:tcW w:w="38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卫生健康管理事务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1.05 </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1.05 </w:t>
            </w:r>
          </w:p>
        </w:tc>
        <w:tc>
          <w:tcPr>
            <w:tcW w:w="15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6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82" w:hRule="atLeast"/>
        </w:trPr>
        <w:tc>
          <w:tcPr>
            <w:tcW w:w="19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2100199</w:t>
            </w:r>
          </w:p>
        </w:tc>
        <w:tc>
          <w:tcPr>
            <w:tcW w:w="38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其他卫生健康管理事务支出</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1.05 </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1.05 </w:t>
            </w:r>
          </w:p>
        </w:tc>
        <w:tc>
          <w:tcPr>
            <w:tcW w:w="15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6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82" w:hRule="atLeast"/>
        </w:trPr>
        <w:tc>
          <w:tcPr>
            <w:tcW w:w="19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21003</w:t>
            </w:r>
          </w:p>
        </w:tc>
        <w:tc>
          <w:tcPr>
            <w:tcW w:w="38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基层医疗卫生机构</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2,262.30 </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2,262.30 </w:t>
            </w:r>
          </w:p>
        </w:tc>
        <w:tc>
          <w:tcPr>
            <w:tcW w:w="15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6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82" w:hRule="atLeast"/>
        </w:trPr>
        <w:tc>
          <w:tcPr>
            <w:tcW w:w="19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2100302</w:t>
            </w:r>
          </w:p>
        </w:tc>
        <w:tc>
          <w:tcPr>
            <w:tcW w:w="38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乡镇卫生院</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2,262.30 </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2,262.30 </w:t>
            </w:r>
          </w:p>
        </w:tc>
        <w:tc>
          <w:tcPr>
            <w:tcW w:w="15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6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82" w:hRule="atLeast"/>
        </w:trPr>
        <w:tc>
          <w:tcPr>
            <w:tcW w:w="19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21004</w:t>
            </w:r>
          </w:p>
        </w:tc>
        <w:tc>
          <w:tcPr>
            <w:tcW w:w="38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公共卫生</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161.63 </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153.54 </w:t>
            </w:r>
          </w:p>
        </w:tc>
        <w:tc>
          <w:tcPr>
            <w:tcW w:w="15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8.09 </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6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82" w:hRule="atLeast"/>
        </w:trPr>
        <w:tc>
          <w:tcPr>
            <w:tcW w:w="19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2100408</w:t>
            </w:r>
          </w:p>
        </w:tc>
        <w:tc>
          <w:tcPr>
            <w:tcW w:w="38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基本公共卫生服务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153.54 </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153.54 </w:t>
            </w:r>
          </w:p>
        </w:tc>
        <w:tc>
          <w:tcPr>
            <w:tcW w:w="15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6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82" w:hRule="atLeast"/>
        </w:trPr>
        <w:tc>
          <w:tcPr>
            <w:tcW w:w="19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2100410</w:t>
            </w:r>
          </w:p>
        </w:tc>
        <w:tc>
          <w:tcPr>
            <w:tcW w:w="38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突发公共卫生事件应急处理</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8.09 </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8.09 </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6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82" w:hRule="atLeast"/>
        </w:trPr>
        <w:tc>
          <w:tcPr>
            <w:tcW w:w="19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21011</w:t>
            </w:r>
          </w:p>
        </w:tc>
        <w:tc>
          <w:tcPr>
            <w:tcW w:w="38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行政事业单位医疗</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16.70 </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16.70 </w:t>
            </w:r>
          </w:p>
        </w:tc>
        <w:tc>
          <w:tcPr>
            <w:tcW w:w="15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6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82" w:hRule="atLeast"/>
        </w:trPr>
        <w:tc>
          <w:tcPr>
            <w:tcW w:w="19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2101102</w:t>
            </w:r>
          </w:p>
        </w:tc>
        <w:tc>
          <w:tcPr>
            <w:tcW w:w="38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事业单位医疗</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16.70 </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16.70 </w:t>
            </w:r>
          </w:p>
        </w:tc>
        <w:tc>
          <w:tcPr>
            <w:tcW w:w="15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6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82" w:hRule="atLeast"/>
        </w:trPr>
        <w:tc>
          <w:tcPr>
            <w:tcW w:w="19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21099</w:t>
            </w:r>
          </w:p>
        </w:tc>
        <w:tc>
          <w:tcPr>
            <w:tcW w:w="38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其他卫生健康支出</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0.68 </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0.68 </w:t>
            </w:r>
          </w:p>
        </w:tc>
        <w:tc>
          <w:tcPr>
            <w:tcW w:w="15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6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82" w:hRule="atLeast"/>
        </w:trPr>
        <w:tc>
          <w:tcPr>
            <w:tcW w:w="19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2109999</w:t>
            </w:r>
          </w:p>
        </w:tc>
        <w:tc>
          <w:tcPr>
            <w:tcW w:w="38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其他卫生健康支出</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0.68 </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0.68 </w:t>
            </w:r>
          </w:p>
        </w:tc>
        <w:tc>
          <w:tcPr>
            <w:tcW w:w="15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6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82" w:hRule="atLeast"/>
        </w:trPr>
        <w:tc>
          <w:tcPr>
            <w:tcW w:w="19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221</w:t>
            </w:r>
          </w:p>
        </w:tc>
        <w:tc>
          <w:tcPr>
            <w:tcW w:w="38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住房保障支出</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20.06 </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20.06 </w:t>
            </w:r>
          </w:p>
        </w:tc>
        <w:tc>
          <w:tcPr>
            <w:tcW w:w="15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6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82" w:hRule="atLeast"/>
        </w:trPr>
        <w:tc>
          <w:tcPr>
            <w:tcW w:w="19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22102</w:t>
            </w:r>
          </w:p>
        </w:tc>
        <w:tc>
          <w:tcPr>
            <w:tcW w:w="38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住房改革支出</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20.06 </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20.06 </w:t>
            </w:r>
          </w:p>
        </w:tc>
        <w:tc>
          <w:tcPr>
            <w:tcW w:w="15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6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82" w:hRule="atLeast"/>
        </w:trPr>
        <w:tc>
          <w:tcPr>
            <w:tcW w:w="19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2210201</w:t>
            </w:r>
          </w:p>
        </w:tc>
        <w:tc>
          <w:tcPr>
            <w:tcW w:w="38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住房公积金</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20.06 </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20.06 </w:t>
            </w:r>
          </w:p>
        </w:tc>
        <w:tc>
          <w:tcPr>
            <w:tcW w:w="15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6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bl>
    <w:p>
      <w:pPr>
        <w:bidi w:val="0"/>
        <w:rPr>
          <w:rFonts w:hint="default"/>
        </w:rPr>
      </w:pPr>
      <w:r>
        <w:t>备注：1.本表反映单位本年度各项支出情况。</w:t>
      </w:r>
      <w:r>
        <w:br w:type="textWrapping"/>
      </w:r>
      <w:r>
        <w:t xml:space="preserve">      2.本套报表金额单位转换时可能存在尾数误差。</w:t>
      </w:r>
      <w:r>
        <w:br w:type="textWrapping"/>
      </w:r>
      <w:r>
        <w:br w:type="textWrapping"/>
      </w:r>
    </w:p>
    <w:p>
      <w:pPr>
        <w:bidi w:val="0"/>
        <w:rPr>
          <w:rFonts w:hint="default"/>
        </w:rPr>
      </w:pPr>
      <w:r>
        <w:br w:type="page"/>
      </w:r>
    </w:p>
    <w:p>
      <w:pPr>
        <w:bidi w:val="0"/>
        <w:rPr>
          <w:rFonts w:hint="default"/>
        </w:rPr>
      </w:pPr>
    </w:p>
    <w:tbl>
      <w:tblPr>
        <w:tblStyle w:val="12"/>
        <w:tblW w:w="14732" w:type="dxa"/>
        <w:tblInd w:w="0" w:type="dxa"/>
        <w:tblLayout w:type="fixed"/>
        <w:tblCellMar>
          <w:top w:w="0" w:type="dxa"/>
          <w:left w:w="0" w:type="dxa"/>
          <w:bottom w:w="0" w:type="dxa"/>
          <w:right w:w="0" w:type="dxa"/>
        </w:tblCellMar>
      </w:tblPr>
      <w:tblGrid>
        <w:gridCol w:w="3390"/>
        <w:gridCol w:w="1356"/>
        <w:gridCol w:w="3630"/>
        <w:gridCol w:w="1530"/>
        <w:gridCol w:w="1530"/>
        <w:gridCol w:w="1530"/>
        <w:gridCol w:w="1766"/>
      </w:tblGrid>
      <w:tr>
        <w:tblPrEx>
          <w:tblLayout w:type="fixed"/>
          <w:tblCellMar>
            <w:top w:w="0" w:type="dxa"/>
            <w:left w:w="0" w:type="dxa"/>
            <w:bottom w:w="0" w:type="dxa"/>
            <w:right w:w="0" w:type="dxa"/>
          </w:tblCellMar>
        </w:tblPrEx>
        <w:trPr>
          <w:trHeight w:val="90" w:hRule="atLeast"/>
        </w:trPr>
        <w:tc>
          <w:tcPr>
            <w:tcW w:w="14732" w:type="dxa"/>
            <w:gridSpan w:val="7"/>
            <w:tcBorders>
              <w:top w:val="nil"/>
              <w:left w:val="nil"/>
              <w:bottom w:val="nil"/>
              <w:right w:val="nil"/>
            </w:tcBorders>
            <w:shd w:val="clear" w:color="auto" w:fill="auto"/>
            <w:tcMar>
              <w:top w:w="15" w:type="dxa"/>
              <w:left w:w="15" w:type="dxa"/>
              <w:right w:w="15" w:type="dxa"/>
            </w:tcMar>
            <w:vAlign w:val="bottom"/>
          </w:tcPr>
          <w:p>
            <w:pPr>
              <w:bidi w:val="0"/>
              <w:jc w:val="center"/>
              <w:rPr>
                <w:rFonts w:hint="default"/>
              </w:rPr>
            </w:pPr>
            <w:r>
              <w:t>财政拨款收入支出决算总表</w:t>
            </w:r>
          </w:p>
        </w:tc>
      </w:tr>
      <w:tr>
        <w:tblPrEx>
          <w:tblLayout w:type="fixed"/>
          <w:tblCellMar>
            <w:top w:w="0" w:type="dxa"/>
            <w:left w:w="0" w:type="dxa"/>
            <w:bottom w:w="0" w:type="dxa"/>
            <w:right w:w="0" w:type="dxa"/>
          </w:tblCellMar>
        </w:tblPrEx>
        <w:trPr>
          <w:trHeight w:val="90" w:hRule="atLeast"/>
        </w:trPr>
        <w:tc>
          <w:tcPr>
            <w:tcW w:w="8376" w:type="dxa"/>
            <w:gridSpan w:val="3"/>
            <w:vMerge w:val="restart"/>
            <w:tcBorders>
              <w:top w:val="nil"/>
              <w:left w:val="nil"/>
              <w:right w:val="nil"/>
            </w:tcBorders>
            <w:shd w:val="clear" w:color="auto" w:fill="auto"/>
            <w:tcMar>
              <w:top w:w="15" w:type="dxa"/>
              <w:left w:w="15" w:type="dxa"/>
              <w:right w:w="15" w:type="dxa"/>
            </w:tcMar>
            <w:vAlign w:val="bottom"/>
          </w:tcPr>
          <w:p>
            <w:pPr>
              <w:bidi w:val="0"/>
              <w:rPr>
                <w:rFonts w:hint="default"/>
              </w:rPr>
            </w:pPr>
            <w:r>
              <w:t>公开单位： 重庆市秀山土家族苗族自治县洪安镇中心卫生院</w:t>
            </w:r>
          </w:p>
        </w:tc>
        <w:tc>
          <w:tcPr>
            <w:tcW w:w="1530"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1530"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1530"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1766"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r>
              <w:t>公开04表</w:t>
            </w:r>
          </w:p>
        </w:tc>
      </w:tr>
      <w:tr>
        <w:tblPrEx>
          <w:tblLayout w:type="fixed"/>
          <w:tblCellMar>
            <w:top w:w="0" w:type="dxa"/>
            <w:left w:w="0" w:type="dxa"/>
            <w:bottom w:w="0" w:type="dxa"/>
            <w:right w:w="0" w:type="dxa"/>
          </w:tblCellMar>
        </w:tblPrEx>
        <w:trPr>
          <w:trHeight w:val="90" w:hRule="atLeast"/>
        </w:trPr>
        <w:tc>
          <w:tcPr>
            <w:tcW w:w="8376" w:type="dxa"/>
            <w:gridSpan w:val="3"/>
            <w:vMerge w:val="continue"/>
            <w:tcBorders>
              <w:left w:val="nil"/>
              <w:bottom w:val="nil"/>
              <w:right w:val="nil"/>
            </w:tcBorders>
            <w:shd w:val="clear" w:color="auto" w:fill="auto"/>
            <w:tcMar>
              <w:top w:w="15" w:type="dxa"/>
              <w:left w:w="15" w:type="dxa"/>
              <w:right w:w="15" w:type="dxa"/>
            </w:tcMar>
            <w:vAlign w:val="bottom"/>
          </w:tcPr>
          <w:p>
            <w:pPr>
              <w:bidi w:val="0"/>
              <w:rPr>
                <w:rFonts w:hint="default"/>
              </w:rPr>
            </w:pPr>
          </w:p>
        </w:tc>
        <w:tc>
          <w:tcPr>
            <w:tcW w:w="1530"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1530"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1530"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1766"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r>
              <w:t>单位：万元</w:t>
            </w:r>
          </w:p>
        </w:tc>
      </w:tr>
      <w:tr>
        <w:tblPrEx>
          <w:tblLayout w:type="fixed"/>
          <w:tblCellMar>
            <w:top w:w="0" w:type="dxa"/>
            <w:left w:w="0" w:type="dxa"/>
            <w:bottom w:w="0" w:type="dxa"/>
            <w:right w:w="0" w:type="dxa"/>
          </w:tblCellMar>
        </w:tblPrEx>
        <w:trPr>
          <w:trHeight w:val="90" w:hRule="atLeast"/>
        </w:trPr>
        <w:tc>
          <w:tcPr>
            <w:tcW w:w="474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收     入</w:t>
            </w:r>
          </w:p>
        </w:tc>
        <w:tc>
          <w:tcPr>
            <w:tcW w:w="9986" w:type="dxa"/>
            <w:gridSpan w:val="5"/>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支     出</w:t>
            </w:r>
          </w:p>
        </w:tc>
      </w:tr>
      <w:tr>
        <w:tblPrEx>
          <w:tblLayout w:type="fixed"/>
          <w:tblCellMar>
            <w:top w:w="0" w:type="dxa"/>
            <w:left w:w="0" w:type="dxa"/>
            <w:bottom w:w="0" w:type="dxa"/>
            <w:right w:w="0" w:type="dxa"/>
          </w:tblCellMar>
        </w:tblPrEx>
        <w:trPr>
          <w:trHeight w:val="90" w:hRule="atLeast"/>
        </w:trPr>
        <w:tc>
          <w:tcPr>
            <w:tcW w:w="3390"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项目</w:t>
            </w:r>
          </w:p>
        </w:tc>
        <w:tc>
          <w:tcPr>
            <w:tcW w:w="135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决算数</w:t>
            </w:r>
          </w:p>
        </w:tc>
        <w:tc>
          <w:tcPr>
            <w:tcW w:w="363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功能分类科目</w:t>
            </w:r>
          </w:p>
        </w:tc>
        <w:tc>
          <w:tcPr>
            <w:tcW w:w="6356" w:type="dxa"/>
            <w:gridSpan w:val="4"/>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决算数</w:t>
            </w:r>
          </w:p>
        </w:tc>
      </w:tr>
      <w:tr>
        <w:tblPrEx>
          <w:tblLayout w:type="fixed"/>
          <w:tblCellMar>
            <w:top w:w="0" w:type="dxa"/>
            <w:left w:w="0" w:type="dxa"/>
            <w:bottom w:w="0" w:type="dxa"/>
            <w:right w:w="0" w:type="dxa"/>
          </w:tblCellMar>
        </w:tblPrEx>
        <w:trPr>
          <w:trHeight w:val="90" w:hRule="atLeast"/>
        </w:trPr>
        <w:tc>
          <w:tcPr>
            <w:tcW w:w="339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363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5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小计</w:t>
            </w:r>
          </w:p>
        </w:tc>
        <w:tc>
          <w:tcPr>
            <w:tcW w:w="15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一般公共预算财政拨款</w:t>
            </w:r>
          </w:p>
        </w:tc>
        <w:tc>
          <w:tcPr>
            <w:tcW w:w="15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政府性基金预算财政拨款</w:t>
            </w:r>
          </w:p>
        </w:tc>
        <w:tc>
          <w:tcPr>
            <w:tcW w:w="176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国有资本经营预算财政拨款</w:t>
            </w:r>
          </w:p>
        </w:tc>
      </w:tr>
      <w:tr>
        <w:tblPrEx>
          <w:tblLayout w:type="fixed"/>
          <w:tblCellMar>
            <w:top w:w="0" w:type="dxa"/>
            <w:left w:w="0" w:type="dxa"/>
            <w:bottom w:w="0" w:type="dxa"/>
            <w:right w:w="0" w:type="dxa"/>
          </w:tblCellMar>
        </w:tblPrEx>
        <w:trPr>
          <w:trHeight w:val="90" w:hRule="atLeast"/>
        </w:trPr>
        <w:tc>
          <w:tcPr>
            <w:tcW w:w="339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一、一般公共预算财政拨款</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644.10 </w:t>
            </w:r>
          </w:p>
        </w:tc>
        <w:tc>
          <w:tcPr>
            <w:tcW w:w="36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一、一般公共服务支出</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339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二、政府性基金预算财政拨款</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36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二、外交支出</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339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三、国有资本经营预算财政拨款</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36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三、国防支出</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339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bidi w:val="0"/>
              <w:rPr>
                <w:rFonts w:hint="default"/>
              </w:rPr>
            </w:pPr>
          </w:p>
        </w:tc>
        <w:tc>
          <w:tcPr>
            <w:tcW w:w="36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四、公共安全支出</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339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bidi w:val="0"/>
              <w:rPr>
                <w:rFonts w:hint="default"/>
              </w:rPr>
            </w:pPr>
          </w:p>
        </w:tc>
        <w:tc>
          <w:tcPr>
            <w:tcW w:w="36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五、教育支出</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339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bidi w:val="0"/>
              <w:rPr>
                <w:rFonts w:hint="default"/>
              </w:rPr>
            </w:pPr>
          </w:p>
        </w:tc>
        <w:tc>
          <w:tcPr>
            <w:tcW w:w="36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六、科学技术支出</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339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bidi w:val="0"/>
              <w:rPr>
                <w:rFonts w:hint="default"/>
              </w:rPr>
            </w:pPr>
          </w:p>
        </w:tc>
        <w:tc>
          <w:tcPr>
            <w:tcW w:w="36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七、文化旅游体育与传媒支出</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339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bidi w:val="0"/>
              <w:rPr>
                <w:rFonts w:hint="default"/>
              </w:rPr>
            </w:pPr>
          </w:p>
        </w:tc>
        <w:tc>
          <w:tcPr>
            <w:tcW w:w="36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八、社会保障和就业支出</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63.90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63.90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339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bidi w:val="0"/>
              <w:rPr>
                <w:rFonts w:hint="default"/>
              </w:rPr>
            </w:pPr>
          </w:p>
        </w:tc>
        <w:tc>
          <w:tcPr>
            <w:tcW w:w="36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九、卫生健康支出</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537.61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537.61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339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p>
        </w:tc>
        <w:tc>
          <w:tcPr>
            <w:tcW w:w="36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十、节能环保支出</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339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p>
        </w:tc>
        <w:tc>
          <w:tcPr>
            <w:tcW w:w="36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十一、城乡社区支出</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339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p>
        </w:tc>
        <w:tc>
          <w:tcPr>
            <w:tcW w:w="36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十二、农林水支出</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339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p>
        </w:tc>
        <w:tc>
          <w:tcPr>
            <w:tcW w:w="36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十三、交通运输支出</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339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p>
        </w:tc>
        <w:tc>
          <w:tcPr>
            <w:tcW w:w="36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十四、资源勘探工业信息等支出</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339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p>
        </w:tc>
        <w:tc>
          <w:tcPr>
            <w:tcW w:w="36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十五、商业服务业等支出</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339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p>
        </w:tc>
        <w:tc>
          <w:tcPr>
            <w:tcW w:w="36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十六、金融支出</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339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p>
        </w:tc>
        <w:tc>
          <w:tcPr>
            <w:tcW w:w="36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十七、援助其他地区支出</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339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p>
        </w:tc>
        <w:tc>
          <w:tcPr>
            <w:tcW w:w="36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十八、自然资源海洋气象等支出</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339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p>
        </w:tc>
        <w:tc>
          <w:tcPr>
            <w:tcW w:w="36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十九、住房保障支出</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20.06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20.06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339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p>
        </w:tc>
        <w:tc>
          <w:tcPr>
            <w:tcW w:w="36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二十、粮油物资储备支出</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339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p>
        </w:tc>
        <w:tc>
          <w:tcPr>
            <w:tcW w:w="36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二十一、国有资本经营预算支出</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339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p>
        </w:tc>
        <w:tc>
          <w:tcPr>
            <w:tcW w:w="36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二十二、灾害防治及应急管理支出</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339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p>
        </w:tc>
        <w:tc>
          <w:tcPr>
            <w:tcW w:w="36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二十三、其他支出</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3390"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bidi w:val="0"/>
              <w:rPr>
                <w:rFonts w:hint="default"/>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p>
        </w:tc>
        <w:tc>
          <w:tcPr>
            <w:tcW w:w="36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二十四、债务还本支出</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3390"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bidi w:val="0"/>
              <w:rPr>
                <w:rFonts w:hint="default"/>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p>
        </w:tc>
        <w:tc>
          <w:tcPr>
            <w:tcW w:w="36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二十五、债务付息支出</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3390"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bidi w:val="0"/>
              <w:rPr>
                <w:rFonts w:hint="default"/>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p>
        </w:tc>
        <w:tc>
          <w:tcPr>
            <w:tcW w:w="36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二十六、抗疫特别国债安排的支出</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339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本年收入合计</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644.10 </w:t>
            </w:r>
          </w:p>
        </w:tc>
        <w:tc>
          <w:tcPr>
            <w:tcW w:w="36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本年支出合计</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621.57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621.57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339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年初财政拨款结转和结余</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36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年末财政拨款结转和结余</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22.53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22.53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339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一般公共预算财政拨款</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3630"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bidi w:val="0"/>
              <w:rPr>
                <w:rFonts w:hint="default"/>
              </w:rPr>
            </w:pP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bidi w:val="0"/>
              <w:rPr>
                <w:rFonts w:hint="default"/>
              </w:rPr>
            </w:pP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bidi w:val="0"/>
              <w:rPr>
                <w:rFonts w:hint="default"/>
              </w:rPr>
            </w:pP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bidi w:val="0"/>
              <w:rPr>
                <w:rFonts w:hint="default"/>
              </w:rPr>
            </w:pP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bidi w:val="0"/>
              <w:rPr>
                <w:rFonts w:hint="default"/>
              </w:rPr>
            </w:pPr>
          </w:p>
        </w:tc>
      </w:tr>
      <w:tr>
        <w:tblPrEx>
          <w:tblLayout w:type="fixed"/>
          <w:tblCellMar>
            <w:top w:w="0" w:type="dxa"/>
            <w:left w:w="0" w:type="dxa"/>
            <w:bottom w:w="0" w:type="dxa"/>
            <w:right w:w="0" w:type="dxa"/>
          </w:tblCellMar>
        </w:tblPrEx>
        <w:trPr>
          <w:trHeight w:val="90" w:hRule="atLeast"/>
        </w:trPr>
        <w:tc>
          <w:tcPr>
            <w:tcW w:w="339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政府性基金预算财政拨款</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36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p>
        </w:tc>
      </w:tr>
      <w:tr>
        <w:tblPrEx>
          <w:tblLayout w:type="fixed"/>
          <w:tblCellMar>
            <w:top w:w="0" w:type="dxa"/>
            <w:left w:w="0" w:type="dxa"/>
            <w:bottom w:w="0" w:type="dxa"/>
            <w:right w:w="0" w:type="dxa"/>
          </w:tblCellMar>
        </w:tblPrEx>
        <w:trPr>
          <w:trHeight w:val="90" w:hRule="atLeast"/>
        </w:trPr>
        <w:tc>
          <w:tcPr>
            <w:tcW w:w="339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国有资本经营预算财政拨款</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36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p>
        </w:tc>
      </w:tr>
      <w:tr>
        <w:tblPrEx>
          <w:tblLayout w:type="fixed"/>
          <w:tblCellMar>
            <w:top w:w="0" w:type="dxa"/>
            <w:left w:w="0" w:type="dxa"/>
            <w:bottom w:w="0" w:type="dxa"/>
            <w:right w:w="0" w:type="dxa"/>
          </w:tblCellMar>
        </w:tblPrEx>
        <w:trPr>
          <w:trHeight w:val="90" w:hRule="atLeast"/>
        </w:trPr>
        <w:tc>
          <w:tcPr>
            <w:tcW w:w="339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总计</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644.10 </w:t>
            </w:r>
          </w:p>
        </w:tc>
        <w:tc>
          <w:tcPr>
            <w:tcW w:w="36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总计</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644.10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644.10 </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7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bl>
    <w:p>
      <w:pPr>
        <w:bidi w:val="0"/>
        <w:rPr>
          <w:rFonts w:hint="default"/>
        </w:rPr>
      </w:pPr>
      <w:r>
        <w:t>备注：1.本表反映单位本年度一般公共预算财政拨款、政府性基金预算财政拨款及国有资本经营预算财政拨款的总收支和年末结转结余情况。</w:t>
      </w:r>
      <w:r>
        <w:br w:type="textWrapping"/>
      </w:r>
      <w:r>
        <w:t xml:space="preserve">      2.本套报表金额单位转换时可能存在尾数误差。</w:t>
      </w:r>
      <w:r>
        <w:br w:type="textWrapping"/>
      </w:r>
      <w:r>
        <w:br w:type="textWrapping"/>
      </w:r>
      <w:r>
        <w:br w:type="page"/>
      </w:r>
    </w:p>
    <w:tbl>
      <w:tblPr>
        <w:tblStyle w:val="12"/>
        <w:tblW w:w="15378" w:type="dxa"/>
        <w:tblInd w:w="0" w:type="dxa"/>
        <w:tblLayout w:type="fixed"/>
        <w:tblCellMar>
          <w:top w:w="0" w:type="dxa"/>
          <w:left w:w="0" w:type="dxa"/>
          <w:bottom w:w="0" w:type="dxa"/>
          <w:right w:w="0" w:type="dxa"/>
        </w:tblCellMar>
      </w:tblPr>
      <w:tblGrid>
        <w:gridCol w:w="1777"/>
        <w:gridCol w:w="3870"/>
        <w:gridCol w:w="3238"/>
        <w:gridCol w:w="3239"/>
        <w:gridCol w:w="3254"/>
      </w:tblGrid>
      <w:tr>
        <w:tblPrEx>
          <w:tblLayout w:type="fixed"/>
          <w:tblCellMar>
            <w:top w:w="0" w:type="dxa"/>
            <w:left w:w="0" w:type="dxa"/>
            <w:bottom w:w="0" w:type="dxa"/>
            <w:right w:w="0" w:type="dxa"/>
          </w:tblCellMar>
        </w:tblPrEx>
        <w:trPr>
          <w:trHeight w:val="510" w:hRule="atLeast"/>
        </w:trPr>
        <w:tc>
          <w:tcPr>
            <w:tcW w:w="15378" w:type="dxa"/>
            <w:gridSpan w:val="5"/>
            <w:tcBorders>
              <w:top w:val="nil"/>
              <w:left w:val="nil"/>
              <w:bottom w:val="nil"/>
              <w:right w:val="nil"/>
            </w:tcBorders>
            <w:shd w:val="clear" w:color="auto" w:fill="auto"/>
            <w:tcMar>
              <w:top w:w="15" w:type="dxa"/>
              <w:left w:w="15" w:type="dxa"/>
              <w:right w:w="15" w:type="dxa"/>
            </w:tcMar>
            <w:vAlign w:val="bottom"/>
          </w:tcPr>
          <w:p>
            <w:pPr>
              <w:bidi w:val="0"/>
              <w:jc w:val="center"/>
              <w:rPr>
                <w:rFonts w:hint="default"/>
              </w:rPr>
            </w:pPr>
            <w:r>
              <w:t>一般公共预算财政拨款支出决算表</w:t>
            </w:r>
          </w:p>
        </w:tc>
      </w:tr>
      <w:tr>
        <w:tblPrEx>
          <w:tblLayout w:type="fixed"/>
          <w:tblCellMar>
            <w:top w:w="0" w:type="dxa"/>
            <w:left w:w="0" w:type="dxa"/>
            <w:bottom w:w="0" w:type="dxa"/>
            <w:right w:w="0" w:type="dxa"/>
          </w:tblCellMar>
        </w:tblPrEx>
        <w:trPr>
          <w:trHeight w:val="255" w:hRule="atLeast"/>
        </w:trPr>
        <w:tc>
          <w:tcPr>
            <w:tcW w:w="8885" w:type="dxa"/>
            <w:gridSpan w:val="3"/>
            <w:vMerge w:val="restart"/>
            <w:tcBorders>
              <w:top w:val="nil"/>
              <w:left w:val="nil"/>
              <w:right w:val="nil"/>
            </w:tcBorders>
            <w:shd w:val="clear" w:color="auto" w:fill="auto"/>
            <w:tcMar>
              <w:top w:w="15" w:type="dxa"/>
              <w:left w:w="15" w:type="dxa"/>
              <w:right w:w="15" w:type="dxa"/>
            </w:tcMar>
            <w:vAlign w:val="bottom"/>
          </w:tcPr>
          <w:p>
            <w:pPr>
              <w:bidi w:val="0"/>
              <w:rPr>
                <w:rFonts w:hint="default"/>
              </w:rPr>
            </w:pPr>
            <w:r>
              <w:t>公开单位： 重庆市秀山土家族苗族自治县洪安镇中心卫生院</w:t>
            </w:r>
          </w:p>
        </w:tc>
        <w:tc>
          <w:tcPr>
            <w:tcW w:w="3239"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3254"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r>
              <w:t>公开05表</w:t>
            </w:r>
          </w:p>
        </w:tc>
      </w:tr>
      <w:tr>
        <w:tblPrEx>
          <w:tblLayout w:type="fixed"/>
          <w:tblCellMar>
            <w:top w:w="0" w:type="dxa"/>
            <w:left w:w="0" w:type="dxa"/>
            <w:bottom w:w="0" w:type="dxa"/>
            <w:right w:w="0" w:type="dxa"/>
          </w:tblCellMar>
        </w:tblPrEx>
        <w:trPr>
          <w:trHeight w:val="241" w:hRule="atLeast"/>
        </w:trPr>
        <w:tc>
          <w:tcPr>
            <w:tcW w:w="8885" w:type="dxa"/>
            <w:gridSpan w:val="3"/>
            <w:vMerge w:val="continue"/>
            <w:tcBorders>
              <w:left w:val="nil"/>
              <w:bottom w:val="nil"/>
              <w:right w:val="nil"/>
            </w:tcBorders>
            <w:shd w:val="clear" w:color="auto" w:fill="auto"/>
            <w:tcMar>
              <w:top w:w="15" w:type="dxa"/>
              <w:left w:w="15" w:type="dxa"/>
              <w:right w:w="15" w:type="dxa"/>
            </w:tcMar>
            <w:vAlign w:val="bottom"/>
          </w:tcPr>
          <w:p>
            <w:pPr>
              <w:bidi w:val="0"/>
              <w:rPr>
                <w:rFonts w:hint="default"/>
              </w:rPr>
            </w:pPr>
          </w:p>
        </w:tc>
        <w:tc>
          <w:tcPr>
            <w:tcW w:w="3239"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3254"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r>
              <w:t>单位：万元</w:t>
            </w:r>
          </w:p>
        </w:tc>
      </w:tr>
      <w:tr>
        <w:tblPrEx>
          <w:tblLayout w:type="fixed"/>
          <w:tblCellMar>
            <w:top w:w="0" w:type="dxa"/>
            <w:left w:w="0" w:type="dxa"/>
            <w:bottom w:w="0" w:type="dxa"/>
            <w:right w:w="0" w:type="dxa"/>
          </w:tblCellMar>
        </w:tblPrEx>
        <w:trPr>
          <w:trHeight w:val="308" w:hRule="atLeast"/>
        </w:trPr>
        <w:tc>
          <w:tcPr>
            <w:tcW w:w="564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项目</w:t>
            </w:r>
          </w:p>
        </w:tc>
        <w:tc>
          <w:tcPr>
            <w:tcW w:w="9731"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本年支出</w:t>
            </w:r>
          </w:p>
        </w:tc>
      </w:tr>
      <w:tr>
        <w:tblPrEx>
          <w:tblLayout w:type="fixed"/>
          <w:tblCellMar>
            <w:top w:w="0" w:type="dxa"/>
            <w:left w:w="0" w:type="dxa"/>
            <w:bottom w:w="0" w:type="dxa"/>
            <w:right w:w="0" w:type="dxa"/>
          </w:tblCellMar>
        </w:tblPrEx>
        <w:trPr>
          <w:trHeight w:val="326" w:hRule="atLeast"/>
        </w:trPr>
        <w:tc>
          <w:tcPr>
            <w:tcW w:w="1777"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功能分类科目编码</w:t>
            </w:r>
          </w:p>
        </w:tc>
        <w:tc>
          <w:tcPr>
            <w:tcW w:w="387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项目（按“项”级功能分类科目）</w:t>
            </w:r>
          </w:p>
        </w:tc>
        <w:tc>
          <w:tcPr>
            <w:tcW w:w="3238"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合计</w:t>
            </w:r>
          </w:p>
        </w:tc>
        <w:tc>
          <w:tcPr>
            <w:tcW w:w="323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基本支出</w:t>
            </w:r>
          </w:p>
        </w:tc>
        <w:tc>
          <w:tcPr>
            <w:tcW w:w="3254"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项目支出</w:t>
            </w:r>
          </w:p>
        </w:tc>
      </w:tr>
      <w:tr>
        <w:tblPrEx>
          <w:tblLayout w:type="fixed"/>
          <w:tblCellMar>
            <w:top w:w="0" w:type="dxa"/>
            <w:left w:w="0" w:type="dxa"/>
            <w:bottom w:w="0" w:type="dxa"/>
            <w:right w:w="0" w:type="dxa"/>
          </w:tblCellMar>
        </w:tblPrEx>
        <w:trPr>
          <w:trHeight w:val="326" w:hRule="atLeast"/>
        </w:trPr>
        <w:tc>
          <w:tcPr>
            <w:tcW w:w="177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387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3238"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323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325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r>
      <w:tr>
        <w:tblPrEx>
          <w:tblLayout w:type="fixed"/>
          <w:tblCellMar>
            <w:top w:w="0" w:type="dxa"/>
            <w:left w:w="0" w:type="dxa"/>
            <w:bottom w:w="0" w:type="dxa"/>
            <w:right w:w="0" w:type="dxa"/>
          </w:tblCellMar>
        </w:tblPrEx>
        <w:trPr>
          <w:trHeight w:val="312" w:hRule="atLeast"/>
        </w:trPr>
        <w:tc>
          <w:tcPr>
            <w:tcW w:w="177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387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3238"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323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325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r>
      <w:tr>
        <w:tblPrEx>
          <w:tblLayout w:type="fixed"/>
          <w:tblCellMar>
            <w:top w:w="0" w:type="dxa"/>
            <w:left w:w="0" w:type="dxa"/>
            <w:bottom w:w="0" w:type="dxa"/>
            <w:right w:w="0" w:type="dxa"/>
          </w:tblCellMar>
        </w:tblPrEx>
        <w:trPr>
          <w:trHeight w:val="308" w:hRule="atLeast"/>
        </w:trPr>
        <w:tc>
          <w:tcPr>
            <w:tcW w:w="5647"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合计</w:t>
            </w:r>
          </w:p>
        </w:tc>
        <w:tc>
          <w:tcPr>
            <w:tcW w:w="32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621.57 </w:t>
            </w:r>
          </w:p>
        </w:tc>
        <w:tc>
          <w:tcPr>
            <w:tcW w:w="32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613.48 </w:t>
            </w:r>
          </w:p>
        </w:tc>
        <w:tc>
          <w:tcPr>
            <w:tcW w:w="32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8.09 </w:t>
            </w:r>
          </w:p>
        </w:tc>
      </w:tr>
      <w:tr>
        <w:tblPrEx>
          <w:tblLayout w:type="fixed"/>
          <w:tblCellMar>
            <w:top w:w="0" w:type="dxa"/>
            <w:left w:w="0" w:type="dxa"/>
            <w:bottom w:w="0" w:type="dxa"/>
            <w:right w:w="0" w:type="dxa"/>
          </w:tblCellMar>
        </w:tblPrEx>
        <w:trPr>
          <w:trHeight w:val="308" w:hRule="atLeast"/>
        </w:trPr>
        <w:tc>
          <w:tcPr>
            <w:tcW w:w="177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208</w:t>
            </w:r>
          </w:p>
        </w:tc>
        <w:tc>
          <w:tcPr>
            <w:tcW w:w="38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社会保障和就业支出</w:t>
            </w:r>
          </w:p>
        </w:tc>
        <w:tc>
          <w:tcPr>
            <w:tcW w:w="32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63.90 </w:t>
            </w:r>
          </w:p>
        </w:tc>
        <w:tc>
          <w:tcPr>
            <w:tcW w:w="32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63.90 </w:t>
            </w:r>
          </w:p>
        </w:tc>
        <w:tc>
          <w:tcPr>
            <w:tcW w:w="32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08" w:hRule="atLeast"/>
        </w:trPr>
        <w:tc>
          <w:tcPr>
            <w:tcW w:w="177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20805</w:t>
            </w:r>
          </w:p>
        </w:tc>
        <w:tc>
          <w:tcPr>
            <w:tcW w:w="38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行政事业单位养老支出</w:t>
            </w:r>
          </w:p>
        </w:tc>
        <w:tc>
          <w:tcPr>
            <w:tcW w:w="32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63.90 </w:t>
            </w:r>
          </w:p>
        </w:tc>
        <w:tc>
          <w:tcPr>
            <w:tcW w:w="32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63.90 </w:t>
            </w:r>
          </w:p>
        </w:tc>
        <w:tc>
          <w:tcPr>
            <w:tcW w:w="32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08" w:hRule="atLeast"/>
        </w:trPr>
        <w:tc>
          <w:tcPr>
            <w:tcW w:w="177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2080502</w:t>
            </w:r>
          </w:p>
        </w:tc>
        <w:tc>
          <w:tcPr>
            <w:tcW w:w="38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事业单位离退休</w:t>
            </w:r>
          </w:p>
        </w:tc>
        <w:tc>
          <w:tcPr>
            <w:tcW w:w="32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2.69 </w:t>
            </w:r>
          </w:p>
        </w:tc>
        <w:tc>
          <w:tcPr>
            <w:tcW w:w="32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2.69 </w:t>
            </w:r>
          </w:p>
        </w:tc>
        <w:tc>
          <w:tcPr>
            <w:tcW w:w="32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08" w:hRule="atLeast"/>
        </w:trPr>
        <w:tc>
          <w:tcPr>
            <w:tcW w:w="177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2080505</w:t>
            </w:r>
          </w:p>
        </w:tc>
        <w:tc>
          <w:tcPr>
            <w:tcW w:w="38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机关事业单位基本养老保险缴费支出</w:t>
            </w:r>
          </w:p>
        </w:tc>
        <w:tc>
          <w:tcPr>
            <w:tcW w:w="32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26.71 </w:t>
            </w:r>
          </w:p>
        </w:tc>
        <w:tc>
          <w:tcPr>
            <w:tcW w:w="32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26.71 </w:t>
            </w:r>
          </w:p>
        </w:tc>
        <w:tc>
          <w:tcPr>
            <w:tcW w:w="32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08" w:hRule="atLeast"/>
        </w:trPr>
        <w:tc>
          <w:tcPr>
            <w:tcW w:w="177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2080506</w:t>
            </w:r>
          </w:p>
        </w:tc>
        <w:tc>
          <w:tcPr>
            <w:tcW w:w="38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机关事业单位职业年金缴费支出</w:t>
            </w:r>
          </w:p>
        </w:tc>
        <w:tc>
          <w:tcPr>
            <w:tcW w:w="32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13.29 </w:t>
            </w:r>
          </w:p>
        </w:tc>
        <w:tc>
          <w:tcPr>
            <w:tcW w:w="32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13.29 </w:t>
            </w:r>
          </w:p>
        </w:tc>
        <w:tc>
          <w:tcPr>
            <w:tcW w:w="32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08" w:hRule="atLeast"/>
        </w:trPr>
        <w:tc>
          <w:tcPr>
            <w:tcW w:w="177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2080599</w:t>
            </w:r>
          </w:p>
        </w:tc>
        <w:tc>
          <w:tcPr>
            <w:tcW w:w="38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其他行政事业单位养老支出</w:t>
            </w:r>
          </w:p>
        </w:tc>
        <w:tc>
          <w:tcPr>
            <w:tcW w:w="32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21.21 </w:t>
            </w:r>
          </w:p>
        </w:tc>
        <w:tc>
          <w:tcPr>
            <w:tcW w:w="32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21.21 </w:t>
            </w:r>
          </w:p>
        </w:tc>
        <w:tc>
          <w:tcPr>
            <w:tcW w:w="32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08" w:hRule="atLeast"/>
        </w:trPr>
        <w:tc>
          <w:tcPr>
            <w:tcW w:w="177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210</w:t>
            </w:r>
          </w:p>
        </w:tc>
        <w:tc>
          <w:tcPr>
            <w:tcW w:w="38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卫生健康支出</w:t>
            </w:r>
          </w:p>
        </w:tc>
        <w:tc>
          <w:tcPr>
            <w:tcW w:w="32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537.61 </w:t>
            </w:r>
          </w:p>
        </w:tc>
        <w:tc>
          <w:tcPr>
            <w:tcW w:w="32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529.52 </w:t>
            </w:r>
          </w:p>
        </w:tc>
        <w:tc>
          <w:tcPr>
            <w:tcW w:w="32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8.09 </w:t>
            </w:r>
          </w:p>
        </w:tc>
      </w:tr>
      <w:tr>
        <w:tblPrEx>
          <w:tblLayout w:type="fixed"/>
          <w:tblCellMar>
            <w:top w:w="0" w:type="dxa"/>
            <w:left w:w="0" w:type="dxa"/>
            <w:bottom w:w="0" w:type="dxa"/>
            <w:right w:w="0" w:type="dxa"/>
          </w:tblCellMar>
        </w:tblPrEx>
        <w:trPr>
          <w:trHeight w:val="308" w:hRule="atLeast"/>
        </w:trPr>
        <w:tc>
          <w:tcPr>
            <w:tcW w:w="177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21001</w:t>
            </w:r>
          </w:p>
        </w:tc>
        <w:tc>
          <w:tcPr>
            <w:tcW w:w="38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卫生健康管理事务</w:t>
            </w:r>
          </w:p>
        </w:tc>
        <w:tc>
          <w:tcPr>
            <w:tcW w:w="32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1.05 </w:t>
            </w:r>
          </w:p>
        </w:tc>
        <w:tc>
          <w:tcPr>
            <w:tcW w:w="32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1.05 </w:t>
            </w:r>
          </w:p>
        </w:tc>
        <w:tc>
          <w:tcPr>
            <w:tcW w:w="32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08" w:hRule="atLeast"/>
        </w:trPr>
        <w:tc>
          <w:tcPr>
            <w:tcW w:w="177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2100199</w:t>
            </w:r>
          </w:p>
        </w:tc>
        <w:tc>
          <w:tcPr>
            <w:tcW w:w="38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其他卫生健康管理事务支出</w:t>
            </w:r>
          </w:p>
        </w:tc>
        <w:tc>
          <w:tcPr>
            <w:tcW w:w="32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1.05 </w:t>
            </w:r>
          </w:p>
        </w:tc>
        <w:tc>
          <w:tcPr>
            <w:tcW w:w="32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1.05 </w:t>
            </w:r>
          </w:p>
        </w:tc>
        <w:tc>
          <w:tcPr>
            <w:tcW w:w="32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08" w:hRule="atLeast"/>
        </w:trPr>
        <w:tc>
          <w:tcPr>
            <w:tcW w:w="177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21003</w:t>
            </w:r>
          </w:p>
        </w:tc>
        <w:tc>
          <w:tcPr>
            <w:tcW w:w="38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基层医疗卫生机构</w:t>
            </w:r>
          </w:p>
        </w:tc>
        <w:tc>
          <w:tcPr>
            <w:tcW w:w="32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357.55 </w:t>
            </w:r>
          </w:p>
        </w:tc>
        <w:tc>
          <w:tcPr>
            <w:tcW w:w="32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357.55 </w:t>
            </w:r>
          </w:p>
        </w:tc>
        <w:tc>
          <w:tcPr>
            <w:tcW w:w="32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08" w:hRule="atLeast"/>
        </w:trPr>
        <w:tc>
          <w:tcPr>
            <w:tcW w:w="177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2100302</w:t>
            </w:r>
          </w:p>
        </w:tc>
        <w:tc>
          <w:tcPr>
            <w:tcW w:w="38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乡镇卫生院</w:t>
            </w:r>
          </w:p>
        </w:tc>
        <w:tc>
          <w:tcPr>
            <w:tcW w:w="32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357.55 </w:t>
            </w:r>
          </w:p>
        </w:tc>
        <w:tc>
          <w:tcPr>
            <w:tcW w:w="32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357.55 </w:t>
            </w:r>
          </w:p>
        </w:tc>
        <w:tc>
          <w:tcPr>
            <w:tcW w:w="32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08" w:hRule="atLeast"/>
        </w:trPr>
        <w:tc>
          <w:tcPr>
            <w:tcW w:w="177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21004</w:t>
            </w:r>
          </w:p>
        </w:tc>
        <w:tc>
          <w:tcPr>
            <w:tcW w:w="38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公共卫生</w:t>
            </w:r>
          </w:p>
        </w:tc>
        <w:tc>
          <w:tcPr>
            <w:tcW w:w="32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161.63 </w:t>
            </w:r>
          </w:p>
        </w:tc>
        <w:tc>
          <w:tcPr>
            <w:tcW w:w="32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153.54 </w:t>
            </w:r>
          </w:p>
        </w:tc>
        <w:tc>
          <w:tcPr>
            <w:tcW w:w="32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8.09 </w:t>
            </w:r>
          </w:p>
        </w:tc>
      </w:tr>
      <w:tr>
        <w:tblPrEx>
          <w:tblLayout w:type="fixed"/>
          <w:tblCellMar>
            <w:top w:w="0" w:type="dxa"/>
            <w:left w:w="0" w:type="dxa"/>
            <w:bottom w:w="0" w:type="dxa"/>
            <w:right w:w="0" w:type="dxa"/>
          </w:tblCellMar>
        </w:tblPrEx>
        <w:trPr>
          <w:trHeight w:val="308" w:hRule="atLeast"/>
        </w:trPr>
        <w:tc>
          <w:tcPr>
            <w:tcW w:w="177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2100408</w:t>
            </w:r>
          </w:p>
        </w:tc>
        <w:tc>
          <w:tcPr>
            <w:tcW w:w="38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基本公共卫生服务</w:t>
            </w:r>
          </w:p>
        </w:tc>
        <w:tc>
          <w:tcPr>
            <w:tcW w:w="32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153.54 </w:t>
            </w:r>
          </w:p>
        </w:tc>
        <w:tc>
          <w:tcPr>
            <w:tcW w:w="32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153.54 </w:t>
            </w:r>
          </w:p>
        </w:tc>
        <w:tc>
          <w:tcPr>
            <w:tcW w:w="32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08" w:hRule="atLeast"/>
        </w:trPr>
        <w:tc>
          <w:tcPr>
            <w:tcW w:w="177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2100410</w:t>
            </w:r>
          </w:p>
        </w:tc>
        <w:tc>
          <w:tcPr>
            <w:tcW w:w="38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突发公共卫生事件应急处理</w:t>
            </w:r>
          </w:p>
        </w:tc>
        <w:tc>
          <w:tcPr>
            <w:tcW w:w="32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8.09 </w:t>
            </w:r>
          </w:p>
        </w:tc>
        <w:tc>
          <w:tcPr>
            <w:tcW w:w="32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32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8.09 </w:t>
            </w:r>
          </w:p>
        </w:tc>
      </w:tr>
      <w:tr>
        <w:tblPrEx>
          <w:tblLayout w:type="fixed"/>
          <w:tblCellMar>
            <w:top w:w="0" w:type="dxa"/>
            <w:left w:w="0" w:type="dxa"/>
            <w:bottom w:w="0" w:type="dxa"/>
            <w:right w:w="0" w:type="dxa"/>
          </w:tblCellMar>
        </w:tblPrEx>
        <w:trPr>
          <w:trHeight w:val="308" w:hRule="atLeast"/>
        </w:trPr>
        <w:tc>
          <w:tcPr>
            <w:tcW w:w="177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21011</w:t>
            </w:r>
          </w:p>
        </w:tc>
        <w:tc>
          <w:tcPr>
            <w:tcW w:w="38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行政事业单位医疗</w:t>
            </w:r>
          </w:p>
        </w:tc>
        <w:tc>
          <w:tcPr>
            <w:tcW w:w="32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16.70 </w:t>
            </w:r>
          </w:p>
        </w:tc>
        <w:tc>
          <w:tcPr>
            <w:tcW w:w="32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16.70 </w:t>
            </w:r>
          </w:p>
        </w:tc>
        <w:tc>
          <w:tcPr>
            <w:tcW w:w="32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08" w:hRule="atLeast"/>
        </w:trPr>
        <w:tc>
          <w:tcPr>
            <w:tcW w:w="177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2101102</w:t>
            </w:r>
          </w:p>
        </w:tc>
        <w:tc>
          <w:tcPr>
            <w:tcW w:w="38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事业单位医疗</w:t>
            </w:r>
          </w:p>
        </w:tc>
        <w:tc>
          <w:tcPr>
            <w:tcW w:w="32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16.70 </w:t>
            </w:r>
          </w:p>
        </w:tc>
        <w:tc>
          <w:tcPr>
            <w:tcW w:w="32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16.70 </w:t>
            </w:r>
          </w:p>
        </w:tc>
        <w:tc>
          <w:tcPr>
            <w:tcW w:w="32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08" w:hRule="atLeast"/>
        </w:trPr>
        <w:tc>
          <w:tcPr>
            <w:tcW w:w="177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21099</w:t>
            </w:r>
          </w:p>
        </w:tc>
        <w:tc>
          <w:tcPr>
            <w:tcW w:w="38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其他卫生健康支出</w:t>
            </w:r>
          </w:p>
        </w:tc>
        <w:tc>
          <w:tcPr>
            <w:tcW w:w="32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0.68 </w:t>
            </w:r>
          </w:p>
        </w:tc>
        <w:tc>
          <w:tcPr>
            <w:tcW w:w="32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0.68 </w:t>
            </w:r>
          </w:p>
        </w:tc>
        <w:tc>
          <w:tcPr>
            <w:tcW w:w="32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08" w:hRule="atLeast"/>
        </w:trPr>
        <w:tc>
          <w:tcPr>
            <w:tcW w:w="177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2109999</w:t>
            </w:r>
          </w:p>
        </w:tc>
        <w:tc>
          <w:tcPr>
            <w:tcW w:w="38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其他卫生健康支出</w:t>
            </w:r>
          </w:p>
        </w:tc>
        <w:tc>
          <w:tcPr>
            <w:tcW w:w="32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0.68 </w:t>
            </w:r>
          </w:p>
        </w:tc>
        <w:tc>
          <w:tcPr>
            <w:tcW w:w="32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0.68 </w:t>
            </w:r>
          </w:p>
        </w:tc>
        <w:tc>
          <w:tcPr>
            <w:tcW w:w="32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08" w:hRule="atLeast"/>
        </w:trPr>
        <w:tc>
          <w:tcPr>
            <w:tcW w:w="177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221</w:t>
            </w:r>
          </w:p>
        </w:tc>
        <w:tc>
          <w:tcPr>
            <w:tcW w:w="38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住房保障支出</w:t>
            </w:r>
          </w:p>
        </w:tc>
        <w:tc>
          <w:tcPr>
            <w:tcW w:w="32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20.06 </w:t>
            </w:r>
          </w:p>
        </w:tc>
        <w:tc>
          <w:tcPr>
            <w:tcW w:w="32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20.06 </w:t>
            </w:r>
          </w:p>
        </w:tc>
        <w:tc>
          <w:tcPr>
            <w:tcW w:w="32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08" w:hRule="atLeast"/>
        </w:trPr>
        <w:tc>
          <w:tcPr>
            <w:tcW w:w="177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22102</w:t>
            </w:r>
          </w:p>
        </w:tc>
        <w:tc>
          <w:tcPr>
            <w:tcW w:w="38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住房改革支出</w:t>
            </w:r>
          </w:p>
        </w:tc>
        <w:tc>
          <w:tcPr>
            <w:tcW w:w="32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20.06 </w:t>
            </w:r>
          </w:p>
        </w:tc>
        <w:tc>
          <w:tcPr>
            <w:tcW w:w="32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20.06 </w:t>
            </w:r>
          </w:p>
        </w:tc>
        <w:tc>
          <w:tcPr>
            <w:tcW w:w="32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308" w:hRule="atLeast"/>
        </w:trPr>
        <w:tc>
          <w:tcPr>
            <w:tcW w:w="177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2210201</w:t>
            </w:r>
          </w:p>
        </w:tc>
        <w:tc>
          <w:tcPr>
            <w:tcW w:w="38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住房公积金</w:t>
            </w:r>
          </w:p>
        </w:tc>
        <w:tc>
          <w:tcPr>
            <w:tcW w:w="32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20.06 </w:t>
            </w:r>
          </w:p>
        </w:tc>
        <w:tc>
          <w:tcPr>
            <w:tcW w:w="32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20.06 </w:t>
            </w:r>
          </w:p>
        </w:tc>
        <w:tc>
          <w:tcPr>
            <w:tcW w:w="32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bl>
    <w:p>
      <w:pPr>
        <w:bidi w:val="0"/>
        <w:rPr>
          <w:rFonts w:hint="default"/>
        </w:rPr>
      </w:pPr>
      <w:r>
        <w:t>备注：1.本表反映单位本年度一般公共预算财政拨款支出情况。</w:t>
      </w:r>
      <w:r>
        <w:br w:type="textWrapping"/>
      </w:r>
      <w:r>
        <w:t xml:space="preserve">      2.本套报表金额单位转换时可能存在尾数误差。</w:t>
      </w:r>
      <w:r>
        <w:br w:type="textWrapping"/>
      </w:r>
      <w:r>
        <w:br w:type="textWrapping"/>
      </w:r>
    </w:p>
    <w:p>
      <w:pPr>
        <w:bidi w:val="0"/>
        <w:jc w:val="center"/>
        <w:rPr>
          <w:rFonts w:hint="default"/>
        </w:rPr>
      </w:pPr>
    </w:p>
    <w:tbl>
      <w:tblPr>
        <w:tblStyle w:val="12"/>
        <w:tblW w:w="15360" w:type="dxa"/>
        <w:tblInd w:w="0" w:type="dxa"/>
        <w:tblLayout w:type="fixed"/>
        <w:tblCellMar>
          <w:top w:w="0" w:type="dxa"/>
          <w:left w:w="0" w:type="dxa"/>
          <w:bottom w:w="0" w:type="dxa"/>
          <w:right w:w="0" w:type="dxa"/>
        </w:tblCellMar>
      </w:tblPr>
      <w:tblGrid>
        <w:gridCol w:w="681"/>
        <w:gridCol w:w="2664"/>
        <w:gridCol w:w="1376"/>
        <w:gridCol w:w="836"/>
        <w:gridCol w:w="1923"/>
        <w:gridCol w:w="1656"/>
        <w:gridCol w:w="808"/>
        <w:gridCol w:w="3527"/>
        <w:gridCol w:w="1889"/>
      </w:tblGrid>
      <w:tr>
        <w:tblPrEx>
          <w:tblLayout w:type="fixed"/>
          <w:tblCellMar>
            <w:top w:w="0" w:type="dxa"/>
            <w:left w:w="0" w:type="dxa"/>
            <w:bottom w:w="0" w:type="dxa"/>
            <w:right w:w="0" w:type="dxa"/>
          </w:tblCellMar>
        </w:tblPrEx>
        <w:trPr>
          <w:trHeight w:val="90" w:hRule="atLeast"/>
        </w:trPr>
        <w:tc>
          <w:tcPr>
            <w:tcW w:w="15360" w:type="dxa"/>
            <w:gridSpan w:val="9"/>
            <w:tcBorders>
              <w:top w:val="nil"/>
              <w:left w:val="nil"/>
              <w:bottom w:val="nil"/>
              <w:right w:val="nil"/>
            </w:tcBorders>
            <w:shd w:val="clear" w:color="auto" w:fill="auto"/>
            <w:tcMar>
              <w:top w:w="15" w:type="dxa"/>
              <w:left w:w="15" w:type="dxa"/>
              <w:right w:w="15" w:type="dxa"/>
            </w:tcMar>
            <w:vAlign w:val="bottom"/>
          </w:tcPr>
          <w:p>
            <w:pPr>
              <w:bidi w:val="0"/>
              <w:jc w:val="center"/>
              <w:rPr>
                <w:rFonts w:hint="default"/>
              </w:rPr>
            </w:pPr>
            <w:r>
              <w:t>一般公共预算财政拨款基本支出决算表</w:t>
            </w:r>
          </w:p>
        </w:tc>
      </w:tr>
      <w:tr>
        <w:tblPrEx>
          <w:tblLayout w:type="fixed"/>
          <w:tblCellMar>
            <w:top w:w="0" w:type="dxa"/>
            <w:left w:w="0" w:type="dxa"/>
            <w:bottom w:w="0" w:type="dxa"/>
            <w:right w:w="0" w:type="dxa"/>
          </w:tblCellMar>
        </w:tblPrEx>
        <w:trPr>
          <w:trHeight w:val="90" w:hRule="atLeast"/>
        </w:trPr>
        <w:tc>
          <w:tcPr>
            <w:tcW w:w="5557" w:type="dxa"/>
            <w:gridSpan w:val="4"/>
            <w:vMerge w:val="restart"/>
            <w:tcBorders>
              <w:top w:val="nil"/>
              <w:left w:val="nil"/>
              <w:right w:val="nil"/>
            </w:tcBorders>
            <w:shd w:val="clear" w:color="auto" w:fill="auto"/>
            <w:tcMar>
              <w:top w:w="15" w:type="dxa"/>
              <w:left w:w="15" w:type="dxa"/>
              <w:right w:w="15" w:type="dxa"/>
            </w:tcMar>
            <w:vAlign w:val="bottom"/>
          </w:tcPr>
          <w:p>
            <w:pPr>
              <w:bidi w:val="0"/>
              <w:rPr>
                <w:rFonts w:hint="default"/>
              </w:rPr>
            </w:pPr>
            <w:r>
              <w:t>公开单位： 重庆市秀山土家族苗族自治县洪安镇中心卫生院</w:t>
            </w:r>
          </w:p>
        </w:tc>
        <w:tc>
          <w:tcPr>
            <w:tcW w:w="1923"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1656"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808"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3527"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1889"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r>
              <w:t>公开06表</w:t>
            </w:r>
          </w:p>
        </w:tc>
      </w:tr>
      <w:tr>
        <w:tblPrEx>
          <w:tblLayout w:type="fixed"/>
          <w:tblCellMar>
            <w:top w:w="0" w:type="dxa"/>
            <w:left w:w="0" w:type="dxa"/>
            <w:bottom w:w="0" w:type="dxa"/>
            <w:right w:w="0" w:type="dxa"/>
          </w:tblCellMar>
        </w:tblPrEx>
        <w:trPr>
          <w:trHeight w:val="90" w:hRule="atLeast"/>
        </w:trPr>
        <w:tc>
          <w:tcPr>
            <w:tcW w:w="5557" w:type="dxa"/>
            <w:gridSpan w:val="4"/>
            <w:vMerge w:val="continue"/>
            <w:tcBorders>
              <w:left w:val="nil"/>
              <w:bottom w:val="nil"/>
              <w:right w:val="nil"/>
            </w:tcBorders>
            <w:shd w:val="clear" w:color="auto" w:fill="auto"/>
            <w:tcMar>
              <w:top w:w="15" w:type="dxa"/>
              <w:left w:w="15" w:type="dxa"/>
              <w:right w:w="15" w:type="dxa"/>
            </w:tcMar>
            <w:vAlign w:val="bottom"/>
          </w:tcPr>
          <w:p>
            <w:pPr>
              <w:bidi w:val="0"/>
              <w:rPr>
                <w:rFonts w:hint="default"/>
              </w:rPr>
            </w:pPr>
          </w:p>
        </w:tc>
        <w:tc>
          <w:tcPr>
            <w:tcW w:w="1923"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1656"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808"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3527"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1889"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r>
              <w:t>单位：万元</w:t>
            </w:r>
          </w:p>
        </w:tc>
      </w:tr>
      <w:tr>
        <w:tblPrEx>
          <w:tblLayout w:type="fixed"/>
          <w:tblCellMar>
            <w:top w:w="0" w:type="dxa"/>
            <w:left w:w="0" w:type="dxa"/>
            <w:bottom w:w="0" w:type="dxa"/>
            <w:right w:w="0" w:type="dxa"/>
          </w:tblCellMar>
        </w:tblPrEx>
        <w:trPr>
          <w:trHeight w:val="90" w:hRule="atLeast"/>
        </w:trPr>
        <w:tc>
          <w:tcPr>
            <w:tcW w:w="4721" w:type="dxa"/>
            <w:gridSpan w:val="3"/>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人员经费</w:t>
            </w:r>
          </w:p>
        </w:tc>
        <w:tc>
          <w:tcPr>
            <w:tcW w:w="10639" w:type="dxa"/>
            <w:gridSpan w:val="6"/>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公用经费</w:t>
            </w:r>
          </w:p>
        </w:tc>
      </w:tr>
      <w:tr>
        <w:tblPrEx>
          <w:tblLayout w:type="fixed"/>
          <w:tblCellMar>
            <w:top w:w="0" w:type="dxa"/>
            <w:left w:w="0" w:type="dxa"/>
            <w:bottom w:w="0" w:type="dxa"/>
            <w:right w:w="0" w:type="dxa"/>
          </w:tblCellMar>
        </w:tblPrEx>
        <w:trPr>
          <w:trHeight w:val="312" w:hRule="atLeast"/>
        </w:trPr>
        <w:tc>
          <w:tcPr>
            <w:tcW w:w="681"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经济分类科目编码</w:t>
            </w:r>
          </w:p>
        </w:tc>
        <w:tc>
          <w:tcPr>
            <w:tcW w:w="2664"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经济分类科目（按“款”级功能分类科目）</w:t>
            </w:r>
          </w:p>
        </w:tc>
        <w:tc>
          <w:tcPr>
            <w:tcW w:w="137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金额</w:t>
            </w:r>
          </w:p>
        </w:tc>
        <w:tc>
          <w:tcPr>
            <w:tcW w:w="836"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经济分类科目编码</w:t>
            </w:r>
          </w:p>
        </w:tc>
        <w:tc>
          <w:tcPr>
            <w:tcW w:w="192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经济分类科目（按“款”级功能分类科目）</w:t>
            </w:r>
          </w:p>
        </w:tc>
        <w:tc>
          <w:tcPr>
            <w:tcW w:w="165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金额</w:t>
            </w:r>
          </w:p>
        </w:tc>
        <w:tc>
          <w:tcPr>
            <w:tcW w:w="808"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经济分类科目编码</w:t>
            </w:r>
          </w:p>
        </w:tc>
        <w:tc>
          <w:tcPr>
            <w:tcW w:w="352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经济分类科目（按“款”级功能分类科目）</w:t>
            </w:r>
          </w:p>
        </w:tc>
        <w:tc>
          <w:tcPr>
            <w:tcW w:w="188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金额</w:t>
            </w:r>
          </w:p>
        </w:tc>
      </w:tr>
      <w:tr>
        <w:tblPrEx>
          <w:tblLayout w:type="fixed"/>
          <w:tblCellMar>
            <w:top w:w="0" w:type="dxa"/>
            <w:left w:w="0" w:type="dxa"/>
            <w:bottom w:w="0" w:type="dxa"/>
            <w:right w:w="0" w:type="dxa"/>
          </w:tblCellMar>
        </w:tblPrEx>
        <w:trPr>
          <w:trHeight w:val="312" w:hRule="atLeast"/>
        </w:trPr>
        <w:tc>
          <w:tcPr>
            <w:tcW w:w="681"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266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37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83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92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65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808"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352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88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r>
      <w:tr>
        <w:tblPrEx>
          <w:tblLayout w:type="fixed"/>
          <w:tblCellMar>
            <w:top w:w="0" w:type="dxa"/>
            <w:left w:w="0" w:type="dxa"/>
            <w:bottom w:w="0" w:type="dxa"/>
            <w:right w:w="0" w:type="dxa"/>
          </w:tblCellMar>
        </w:tblPrEx>
        <w:trPr>
          <w:trHeight w:val="90" w:hRule="atLeast"/>
        </w:trPr>
        <w:tc>
          <w:tcPr>
            <w:tcW w:w="68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301</w:t>
            </w:r>
          </w:p>
        </w:tc>
        <w:tc>
          <w:tcPr>
            <w:tcW w:w="26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529.59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60.00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68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30101</w:t>
            </w:r>
          </w:p>
        </w:tc>
        <w:tc>
          <w:tcPr>
            <w:tcW w:w="26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基本工资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179.56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30201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办公费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31001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房屋建筑物购建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68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30102</w:t>
            </w:r>
          </w:p>
        </w:tc>
        <w:tc>
          <w:tcPr>
            <w:tcW w:w="26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津贴补贴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40.68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30202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印刷费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31002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办公设备购置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68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30103</w:t>
            </w:r>
          </w:p>
        </w:tc>
        <w:tc>
          <w:tcPr>
            <w:tcW w:w="26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奖金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30203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咨询费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31003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专用设备购置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68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30106</w:t>
            </w:r>
          </w:p>
        </w:tc>
        <w:tc>
          <w:tcPr>
            <w:tcW w:w="26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伙食补助费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30204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手续费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31005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基础设施建设</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68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30107</w:t>
            </w:r>
          </w:p>
        </w:tc>
        <w:tc>
          <w:tcPr>
            <w:tcW w:w="26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绩效工资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232.58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30205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水费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31006</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大型修缮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68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30108</w:t>
            </w:r>
          </w:p>
        </w:tc>
        <w:tc>
          <w:tcPr>
            <w:tcW w:w="26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机关事业单位基本养老保险缴费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26.71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30206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31007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信息网络及软件购置更新</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68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30109</w:t>
            </w:r>
          </w:p>
        </w:tc>
        <w:tc>
          <w:tcPr>
            <w:tcW w:w="26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职业年金缴费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13.29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30207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邮电费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31008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物资储备</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68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30110</w:t>
            </w:r>
          </w:p>
        </w:tc>
        <w:tc>
          <w:tcPr>
            <w:tcW w:w="26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职工基本医疗保险缴费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16.70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30208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取暖费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31009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土地补偿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68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30111</w:t>
            </w:r>
          </w:p>
        </w:tc>
        <w:tc>
          <w:tcPr>
            <w:tcW w:w="26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公务员医疗补助缴费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30209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物业管理费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31010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安置补助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68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30112</w:t>
            </w:r>
          </w:p>
        </w:tc>
        <w:tc>
          <w:tcPr>
            <w:tcW w:w="26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其他社会保障缴费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30211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差旅费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31011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地上附着物和青苗补偿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68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30113</w:t>
            </w:r>
          </w:p>
        </w:tc>
        <w:tc>
          <w:tcPr>
            <w:tcW w:w="26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住房公积金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20.06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30212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因公出国（境）费用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31012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拆迁补偿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68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30114</w:t>
            </w:r>
          </w:p>
        </w:tc>
        <w:tc>
          <w:tcPr>
            <w:tcW w:w="26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医疗费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30213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维修（护）费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31013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公务用车购置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68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30199</w:t>
            </w:r>
          </w:p>
        </w:tc>
        <w:tc>
          <w:tcPr>
            <w:tcW w:w="26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其他工资福利支出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30214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租赁费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31019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其他交通工具购置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68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303</w:t>
            </w:r>
          </w:p>
        </w:tc>
        <w:tc>
          <w:tcPr>
            <w:tcW w:w="26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23.89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30215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会议费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31021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文物和陈列品购置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68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30301</w:t>
            </w:r>
          </w:p>
        </w:tc>
        <w:tc>
          <w:tcPr>
            <w:tcW w:w="26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离休费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30216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培训费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31022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无形资产购置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68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30302</w:t>
            </w:r>
          </w:p>
        </w:tc>
        <w:tc>
          <w:tcPr>
            <w:tcW w:w="26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退休费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30217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公务接待费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31099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其他资本性支出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68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30303</w:t>
            </w:r>
          </w:p>
        </w:tc>
        <w:tc>
          <w:tcPr>
            <w:tcW w:w="26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退职（役）费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30218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专用材料费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68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30304</w:t>
            </w:r>
          </w:p>
        </w:tc>
        <w:tc>
          <w:tcPr>
            <w:tcW w:w="26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抚恤金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30224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被装购置费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31201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资本金注入</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68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30305</w:t>
            </w:r>
          </w:p>
        </w:tc>
        <w:tc>
          <w:tcPr>
            <w:tcW w:w="26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生活补助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30225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专用燃料费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31203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政府投资基金股权投资</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68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30306</w:t>
            </w:r>
          </w:p>
        </w:tc>
        <w:tc>
          <w:tcPr>
            <w:tcW w:w="26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救济费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30226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劳务费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60.00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31204</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费用补贴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68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30307</w:t>
            </w:r>
          </w:p>
        </w:tc>
        <w:tc>
          <w:tcPr>
            <w:tcW w:w="26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医疗费补助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23.89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30227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委托业务费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31205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利息补贴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68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30308</w:t>
            </w:r>
          </w:p>
        </w:tc>
        <w:tc>
          <w:tcPr>
            <w:tcW w:w="26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助学金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30228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工会经费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31299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其他对企业补助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68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30309</w:t>
            </w:r>
          </w:p>
        </w:tc>
        <w:tc>
          <w:tcPr>
            <w:tcW w:w="26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奖励金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30229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福利费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68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30310</w:t>
            </w:r>
          </w:p>
        </w:tc>
        <w:tc>
          <w:tcPr>
            <w:tcW w:w="26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个人农业生产补贴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30231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公务用车运行维护费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39907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国家赔偿费用支出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68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30311</w:t>
            </w:r>
          </w:p>
        </w:tc>
        <w:tc>
          <w:tcPr>
            <w:tcW w:w="26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代缴社会保险费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30239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其他交通费用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39908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对民间非营利组织和群众性自治组织补贴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68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30399</w:t>
            </w:r>
          </w:p>
        </w:tc>
        <w:tc>
          <w:tcPr>
            <w:tcW w:w="26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其他对个人和家庭的补助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30240</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税金及附加费用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39909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经常性赠与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68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26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bidi w:val="0"/>
              <w:rPr>
                <w:rFonts w:hint="default"/>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30299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其他商品和服务支出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39910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资本性赠与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68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26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bidi w:val="0"/>
              <w:rPr>
                <w:rFonts w:hint="default"/>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债务利息及费用支出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39999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r>
        <w:tblPrEx>
          <w:tblLayout w:type="fixed"/>
          <w:tblCellMar>
            <w:top w:w="0" w:type="dxa"/>
            <w:left w:w="0" w:type="dxa"/>
            <w:bottom w:w="0" w:type="dxa"/>
            <w:right w:w="0" w:type="dxa"/>
          </w:tblCellMar>
        </w:tblPrEx>
        <w:trPr>
          <w:trHeight w:val="90" w:hRule="atLeast"/>
        </w:trPr>
        <w:tc>
          <w:tcPr>
            <w:tcW w:w="68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26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bidi w:val="0"/>
              <w:rPr>
                <w:rFonts w:hint="default"/>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30701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国内债务付息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p>
        </w:tc>
      </w:tr>
      <w:tr>
        <w:tblPrEx>
          <w:tblLayout w:type="fixed"/>
          <w:tblCellMar>
            <w:top w:w="0" w:type="dxa"/>
            <w:left w:w="0" w:type="dxa"/>
            <w:bottom w:w="0" w:type="dxa"/>
            <w:right w:w="0" w:type="dxa"/>
          </w:tblCellMar>
        </w:tblPrEx>
        <w:trPr>
          <w:trHeight w:val="90" w:hRule="atLeast"/>
        </w:trPr>
        <w:tc>
          <w:tcPr>
            <w:tcW w:w="68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26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bidi w:val="0"/>
              <w:rPr>
                <w:rFonts w:hint="default"/>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30702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国外债务付息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p>
        </w:tc>
      </w:tr>
      <w:tr>
        <w:tblPrEx>
          <w:tblLayout w:type="fixed"/>
          <w:tblCellMar>
            <w:top w:w="0" w:type="dxa"/>
            <w:left w:w="0" w:type="dxa"/>
            <w:bottom w:w="0" w:type="dxa"/>
            <w:right w:w="0" w:type="dxa"/>
          </w:tblCellMar>
        </w:tblPrEx>
        <w:trPr>
          <w:trHeight w:val="90" w:hRule="atLeast"/>
        </w:trPr>
        <w:tc>
          <w:tcPr>
            <w:tcW w:w="68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26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bidi w:val="0"/>
              <w:rPr>
                <w:rFonts w:hint="default"/>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30703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国内债务发行费用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p>
        </w:tc>
      </w:tr>
      <w:tr>
        <w:tblPrEx>
          <w:tblLayout w:type="fixed"/>
          <w:tblCellMar>
            <w:top w:w="0" w:type="dxa"/>
            <w:left w:w="0" w:type="dxa"/>
            <w:bottom w:w="0" w:type="dxa"/>
            <w:right w:w="0" w:type="dxa"/>
          </w:tblCellMar>
        </w:tblPrEx>
        <w:trPr>
          <w:trHeight w:val="90" w:hRule="atLeast"/>
        </w:trPr>
        <w:tc>
          <w:tcPr>
            <w:tcW w:w="68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26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bidi w:val="0"/>
              <w:rPr>
                <w:rFonts w:hint="default"/>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30704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 xml:space="preserve">  国外债务发行费用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p>
        </w:tc>
      </w:tr>
      <w:tr>
        <w:tblPrEx>
          <w:tblLayout w:type="fixed"/>
          <w:tblCellMar>
            <w:top w:w="0" w:type="dxa"/>
            <w:left w:w="0" w:type="dxa"/>
            <w:bottom w:w="0" w:type="dxa"/>
            <w:right w:w="0" w:type="dxa"/>
          </w:tblCellMar>
        </w:tblPrEx>
        <w:trPr>
          <w:trHeight w:val="90" w:hRule="atLeast"/>
        </w:trPr>
        <w:tc>
          <w:tcPr>
            <w:tcW w:w="3345"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人员经费合计</w:t>
            </w:r>
          </w:p>
        </w:tc>
        <w:tc>
          <w:tcPr>
            <w:tcW w:w="137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bidi w:val="0"/>
              <w:rPr>
                <w:rFonts w:hint="default"/>
              </w:rPr>
            </w:pPr>
            <w:r>
              <w:t xml:space="preserve">553.48 </w:t>
            </w:r>
          </w:p>
        </w:tc>
        <w:tc>
          <w:tcPr>
            <w:tcW w:w="8750" w:type="dxa"/>
            <w:gridSpan w:val="5"/>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公用经费合计</w:t>
            </w:r>
          </w:p>
        </w:tc>
        <w:tc>
          <w:tcPr>
            <w:tcW w:w="18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60.00 </w:t>
            </w:r>
          </w:p>
        </w:tc>
      </w:tr>
    </w:tbl>
    <w:p>
      <w:pPr>
        <w:bidi w:val="0"/>
        <w:rPr>
          <w:rFonts w:hint="default"/>
        </w:rPr>
      </w:pPr>
      <w:r>
        <w:t>备注：1.本表反映单位本年度一般公共预算财政拨款基本支出明细情况。</w:t>
      </w:r>
      <w:r>
        <w:br w:type="textWrapping"/>
      </w:r>
      <w:r>
        <w:t xml:space="preserve">      2.本套报表金额单位转换时可能存在尾数误差。</w:t>
      </w:r>
      <w:r>
        <w:br w:type="textWrapping"/>
      </w:r>
      <w:r>
        <w:br w:type="textWrapping"/>
      </w:r>
      <w:r>
        <w:br w:type="page"/>
      </w:r>
    </w:p>
    <w:tbl>
      <w:tblPr>
        <w:tblStyle w:val="12"/>
        <w:tblW w:w="15378" w:type="dxa"/>
        <w:tblInd w:w="0" w:type="dxa"/>
        <w:tblLayout w:type="fixed"/>
        <w:tblCellMar>
          <w:top w:w="0" w:type="dxa"/>
          <w:left w:w="0" w:type="dxa"/>
          <w:bottom w:w="0" w:type="dxa"/>
          <w:right w:w="0" w:type="dxa"/>
        </w:tblCellMar>
      </w:tblPr>
      <w:tblGrid>
        <w:gridCol w:w="1854"/>
        <w:gridCol w:w="3088"/>
        <w:gridCol w:w="1707"/>
        <w:gridCol w:w="1707"/>
        <w:gridCol w:w="1707"/>
        <w:gridCol w:w="1707"/>
        <w:gridCol w:w="1772"/>
        <w:gridCol w:w="1836"/>
      </w:tblGrid>
      <w:tr>
        <w:tblPrEx>
          <w:tblLayout w:type="fixed"/>
          <w:tblCellMar>
            <w:top w:w="0" w:type="dxa"/>
            <w:left w:w="0" w:type="dxa"/>
            <w:bottom w:w="0" w:type="dxa"/>
            <w:right w:w="0" w:type="dxa"/>
          </w:tblCellMar>
        </w:tblPrEx>
        <w:trPr>
          <w:trHeight w:val="64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bidi w:val="0"/>
              <w:jc w:val="center"/>
              <w:rPr>
                <w:rFonts w:hint="default"/>
              </w:rPr>
            </w:pPr>
            <w: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49" w:type="dxa"/>
            <w:gridSpan w:val="3"/>
            <w:vMerge w:val="restart"/>
            <w:tcBorders>
              <w:top w:val="nil"/>
              <w:left w:val="nil"/>
              <w:right w:val="nil"/>
            </w:tcBorders>
            <w:shd w:val="clear" w:color="auto" w:fill="auto"/>
            <w:tcMar>
              <w:top w:w="15" w:type="dxa"/>
              <w:left w:w="15" w:type="dxa"/>
              <w:right w:w="15" w:type="dxa"/>
            </w:tcMar>
            <w:vAlign w:val="bottom"/>
          </w:tcPr>
          <w:p>
            <w:pPr>
              <w:bidi w:val="0"/>
              <w:rPr>
                <w:rFonts w:hint="default"/>
              </w:rPr>
            </w:pPr>
            <w:r>
              <w:t>公开单位： 重庆市秀山土家族苗族自治县洪安镇中心卫生院</w:t>
            </w:r>
          </w:p>
        </w:tc>
        <w:tc>
          <w:tcPr>
            <w:tcW w:w="1707"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1707"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1707"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1772"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1836"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r>
              <w:t>公开07表</w:t>
            </w:r>
          </w:p>
        </w:tc>
      </w:tr>
      <w:tr>
        <w:tblPrEx>
          <w:tblLayout w:type="fixed"/>
          <w:tblCellMar>
            <w:top w:w="0" w:type="dxa"/>
            <w:left w:w="0" w:type="dxa"/>
            <w:bottom w:w="0" w:type="dxa"/>
            <w:right w:w="0" w:type="dxa"/>
          </w:tblCellMar>
        </w:tblPrEx>
        <w:trPr>
          <w:trHeight w:val="329" w:hRule="atLeast"/>
        </w:trPr>
        <w:tc>
          <w:tcPr>
            <w:tcW w:w="6649" w:type="dxa"/>
            <w:gridSpan w:val="3"/>
            <w:vMerge w:val="continue"/>
            <w:tcBorders>
              <w:left w:val="nil"/>
              <w:bottom w:val="nil"/>
              <w:right w:val="nil"/>
            </w:tcBorders>
            <w:shd w:val="clear" w:color="auto" w:fill="auto"/>
            <w:tcMar>
              <w:top w:w="15" w:type="dxa"/>
              <w:left w:w="15" w:type="dxa"/>
              <w:right w:w="15" w:type="dxa"/>
            </w:tcMar>
            <w:vAlign w:val="bottom"/>
          </w:tcPr>
          <w:p>
            <w:pPr>
              <w:bidi w:val="0"/>
              <w:rPr>
                <w:rFonts w:hint="default"/>
              </w:rPr>
            </w:pPr>
          </w:p>
        </w:tc>
        <w:tc>
          <w:tcPr>
            <w:tcW w:w="1707"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1707"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1707"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1772"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1836"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r>
              <w:t>单位：万元</w:t>
            </w:r>
          </w:p>
        </w:tc>
      </w:tr>
      <w:tr>
        <w:tblPrEx>
          <w:tblLayout w:type="fixed"/>
          <w:tblCellMar>
            <w:top w:w="0" w:type="dxa"/>
            <w:left w:w="0" w:type="dxa"/>
            <w:bottom w:w="0" w:type="dxa"/>
            <w:right w:w="0" w:type="dxa"/>
          </w:tblCellMar>
        </w:tblPrEx>
        <w:trPr>
          <w:trHeight w:val="339"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项目</w:t>
            </w:r>
          </w:p>
        </w:tc>
        <w:tc>
          <w:tcPr>
            <w:tcW w:w="1707"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年初结转和结余</w:t>
            </w:r>
          </w:p>
        </w:tc>
        <w:tc>
          <w:tcPr>
            <w:tcW w:w="17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本年收入</w:t>
            </w:r>
          </w:p>
        </w:tc>
        <w:tc>
          <w:tcPr>
            <w:tcW w:w="5186"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本年支出</w:t>
            </w:r>
          </w:p>
        </w:tc>
        <w:tc>
          <w:tcPr>
            <w:tcW w:w="183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年末结转和结余</w:t>
            </w:r>
          </w:p>
        </w:tc>
      </w:tr>
      <w:tr>
        <w:tblPrEx>
          <w:tblLayout w:type="fixed"/>
          <w:tblCellMar>
            <w:top w:w="0" w:type="dxa"/>
            <w:left w:w="0" w:type="dxa"/>
            <w:bottom w:w="0" w:type="dxa"/>
            <w:right w:w="0" w:type="dxa"/>
          </w:tblCellMar>
        </w:tblPrEx>
        <w:trPr>
          <w:trHeight w:val="335" w:hRule="atLeast"/>
        </w:trPr>
        <w:tc>
          <w:tcPr>
            <w:tcW w:w="185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功能分类科目编码</w:t>
            </w:r>
          </w:p>
        </w:tc>
        <w:tc>
          <w:tcPr>
            <w:tcW w:w="308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项目（按“项”级功能分类科目）</w:t>
            </w: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合计</w:t>
            </w: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基本支出</w:t>
            </w:r>
          </w:p>
        </w:tc>
        <w:tc>
          <w:tcPr>
            <w:tcW w:w="177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项目支出</w:t>
            </w: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r>
      <w:tr>
        <w:tblPrEx>
          <w:tblLayout w:type="fixed"/>
          <w:tblCellMar>
            <w:top w:w="0" w:type="dxa"/>
            <w:left w:w="0" w:type="dxa"/>
            <w:bottom w:w="0" w:type="dxa"/>
            <w:right w:w="0" w:type="dxa"/>
          </w:tblCellMar>
        </w:tblPrEx>
        <w:trPr>
          <w:trHeight w:val="33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r>
      <w:tr>
        <w:tblPrEx>
          <w:tblLayout w:type="fixed"/>
          <w:tblCellMar>
            <w:top w:w="0" w:type="dxa"/>
            <w:left w:w="0" w:type="dxa"/>
            <w:bottom w:w="0" w:type="dxa"/>
            <w:right w:w="0" w:type="dxa"/>
          </w:tblCellMar>
        </w:tblPrEx>
        <w:trPr>
          <w:trHeight w:val="64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r>
      <w:tr>
        <w:tblPrEx>
          <w:tblLayout w:type="fixed"/>
          <w:tblCellMar>
            <w:top w:w="0" w:type="dxa"/>
            <w:left w:w="0" w:type="dxa"/>
            <w:bottom w:w="0" w:type="dxa"/>
            <w:right w:w="0" w:type="dxa"/>
          </w:tblCellMar>
        </w:tblPrEx>
        <w:trPr>
          <w:trHeight w:val="339" w:hRule="atLeast"/>
        </w:trPr>
        <w:tc>
          <w:tcPr>
            <w:tcW w:w="4942"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合计</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77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18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bl>
    <w:p>
      <w:pPr>
        <w:bidi w:val="0"/>
        <w:rPr>
          <w:rFonts w:hint="default"/>
        </w:rPr>
      </w:pPr>
      <w:r>
        <w:t>备注：本表反映单位本年度政府性基金预算财政拨款收入支出及结转和结余情况。本单位无政府性基金收支，故本表无数据。</w:t>
      </w:r>
      <w:r>
        <w:br w:type="textWrapping"/>
      </w:r>
      <w:r>
        <w:br w:type="textWrapping"/>
      </w:r>
    </w:p>
    <w:p>
      <w:pPr>
        <w:bidi w:val="0"/>
        <w:rPr>
          <w:rFonts w:hint="default"/>
        </w:rPr>
      </w:pPr>
      <w:r>
        <w:br w:type="page"/>
      </w:r>
    </w:p>
    <w:tbl>
      <w:tblPr>
        <w:tblStyle w:val="12"/>
        <w:tblW w:w="15378" w:type="dxa"/>
        <w:tblInd w:w="0" w:type="dxa"/>
        <w:tblLayout w:type="fixed"/>
        <w:tblCellMar>
          <w:top w:w="0" w:type="dxa"/>
          <w:left w:w="0" w:type="dxa"/>
          <w:bottom w:w="0" w:type="dxa"/>
          <w:right w:w="0" w:type="dxa"/>
        </w:tblCellMar>
      </w:tblPr>
      <w:tblGrid>
        <w:gridCol w:w="1882"/>
        <w:gridCol w:w="3060"/>
        <w:gridCol w:w="3276"/>
        <w:gridCol w:w="200"/>
        <w:gridCol w:w="3475"/>
        <w:gridCol w:w="77"/>
        <w:gridCol w:w="3408"/>
      </w:tblGrid>
      <w:tr>
        <w:tblPrEx>
          <w:tblLayout w:type="fixed"/>
          <w:tblCellMar>
            <w:top w:w="0" w:type="dxa"/>
            <w:left w:w="0" w:type="dxa"/>
            <w:bottom w:w="0" w:type="dxa"/>
            <w:right w:w="0" w:type="dxa"/>
          </w:tblCellMar>
        </w:tblPrEx>
        <w:trPr>
          <w:trHeight w:val="650" w:hRule="atLeast"/>
        </w:trPr>
        <w:tc>
          <w:tcPr>
            <w:tcW w:w="15378" w:type="dxa"/>
            <w:gridSpan w:val="7"/>
            <w:tcBorders>
              <w:top w:val="nil"/>
              <w:left w:val="nil"/>
              <w:bottom w:val="nil"/>
              <w:right w:val="nil"/>
            </w:tcBorders>
            <w:shd w:val="clear" w:color="auto" w:fill="auto"/>
            <w:tcMar>
              <w:top w:w="15" w:type="dxa"/>
              <w:left w:w="15" w:type="dxa"/>
              <w:right w:w="15" w:type="dxa"/>
            </w:tcMar>
            <w:vAlign w:val="bottom"/>
          </w:tcPr>
          <w:p>
            <w:pPr>
              <w:bidi w:val="0"/>
              <w:jc w:val="center"/>
              <w:rPr>
                <w:rFonts w:hint="default"/>
              </w:rPr>
            </w:pPr>
            <w: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218" w:type="dxa"/>
            <w:gridSpan w:val="3"/>
            <w:vMerge w:val="restart"/>
            <w:tcBorders>
              <w:top w:val="nil"/>
              <w:left w:val="nil"/>
              <w:right w:val="nil"/>
            </w:tcBorders>
            <w:shd w:val="clear" w:color="auto" w:fill="auto"/>
            <w:tcMar>
              <w:top w:w="15" w:type="dxa"/>
              <w:left w:w="15" w:type="dxa"/>
              <w:right w:w="15" w:type="dxa"/>
            </w:tcMar>
            <w:vAlign w:val="bottom"/>
          </w:tcPr>
          <w:p>
            <w:pPr>
              <w:bidi w:val="0"/>
              <w:rPr>
                <w:rFonts w:hint="default"/>
              </w:rPr>
            </w:pPr>
            <w:r>
              <w:t>公开单位： 重庆市秀山土家族苗族自治县洪安镇中心卫生院</w:t>
            </w: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3408"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r>
              <w:t>公开08表</w:t>
            </w:r>
          </w:p>
        </w:tc>
      </w:tr>
      <w:tr>
        <w:tblPrEx>
          <w:tblLayout w:type="fixed"/>
          <w:tblCellMar>
            <w:top w:w="0" w:type="dxa"/>
            <w:left w:w="0" w:type="dxa"/>
            <w:bottom w:w="0" w:type="dxa"/>
            <w:right w:w="0" w:type="dxa"/>
          </w:tblCellMar>
        </w:tblPrEx>
        <w:trPr>
          <w:trHeight w:val="332" w:hRule="atLeast"/>
        </w:trPr>
        <w:tc>
          <w:tcPr>
            <w:tcW w:w="8218" w:type="dxa"/>
            <w:gridSpan w:val="3"/>
            <w:vMerge w:val="continue"/>
            <w:tcBorders>
              <w:left w:val="nil"/>
              <w:bottom w:val="nil"/>
              <w:right w:val="nil"/>
            </w:tcBorders>
            <w:shd w:val="clear" w:color="auto" w:fill="auto"/>
            <w:tcMar>
              <w:top w:w="15" w:type="dxa"/>
              <w:left w:w="15" w:type="dxa"/>
              <w:right w:w="15" w:type="dxa"/>
            </w:tcMar>
            <w:vAlign w:val="bottom"/>
          </w:tcPr>
          <w:p>
            <w:pPr>
              <w:bidi w:val="0"/>
              <w:rPr>
                <w:rFonts w:hint="default"/>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3408"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r>
              <w:t>单位：万元</w:t>
            </w:r>
          </w:p>
        </w:tc>
      </w:tr>
      <w:tr>
        <w:tblPrEx>
          <w:tblLayout w:type="fixed"/>
          <w:tblCellMar>
            <w:top w:w="0" w:type="dxa"/>
            <w:left w:w="0" w:type="dxa"/>
            <w:bottom w:w="0" w:type="dxa"/>
            <w:right w:w="0" w:type="dxa"/>
          </w:tblCellMar>
        </w:tblPrEx>
        <w:trPr>
          <w:trHeight w:val="422"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bidi w:val="0"/>
              <w:rPr>
                <w:rFonts w:hint="default"/>
              </w:rPr>
            </w:pPr>
            <w:r>
              <w:t>项目</w:t>
            </w:r>
          </w:p>
        </w:tc>
        <w:tc>
          <w:tcPr>
            <w:tcW w:w="10436" w:type="dxa"/>
            <w:gridSpan w:val="5"/>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bidi w:val="0"/>
              <w:rPr>
                <w:rFonts w:hint="default"/>
              </w:rPr>
            </w:pPr>
            <w:r>
              <w:t>本年支出</w:t>
            </w:r>
          </w:p>
        </w:tc>
      </w:tr>
      <w:tr>
        <w:tblPrEx>
          <w:tblLayout w:type="fixed"/>
          <w:tblCellMar>
            <w:top w:w="0" w:type="dxa"/>
            <w:left w:w="0" w:type="dxa"/>
            <w:bottom w:w="0" w:type="dxa"/>
            <w:right w:w="0" w:type="dxa"/>
          </w:tblCellMar>
        </w:tblPrEx>
        <w:trPr>
          <w:trHeight w:val="339" w:hRule="atLeast"/>
        </w:trPr>
        <w:tc>
          <w:tcPr>
            <w:tcW w:w="188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功能分类科目编码</w:t>
            </w:r>
          </w:p>
        </w:tc>
        <w:tc>
          <w:tcPr>
            <w:tcW w:w="306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科目名称</w:t>
            </w:r>
          </w:p>
        </w:tc>
        <w:tc>
          <w:tcPr>
            <w:tcW w:w="3476"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合计</w:t>
            </w:r>
          </w:p>
        </w:tc>
        <w:tc>
          <w:tcPr>
            <w:tcW w:w="347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基本支出</w:t>
            </w:r>
          </w:p>
        </w:tc>
        <w:tc>
          <w:tcPr>
            <w:tcW w:w="3485"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项目支出</w:t>
            </w: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r>
      <w:tr>
        <w:tblPrEx>
          <w:tblLayout w:type="fixed"/>
          <w:tblCellMar>
            <w:top w:w="0" w:type="dxa"/>
            <w:left w:w="0" w:type="dxa"/>
            <w:bottom w:w="0" w:type="dxa"/>
            <w:right w:w="0" w:type="dxa"/>
          </w:tblCellMar>
        </w:tblPrEx>
        <w:trPr>
          <w:trHeight w:val="326"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p>
        </w:tc>
      </w:tr>
      <w:tr>
        <w:tblPrEx>
          <w:tblLayout w:type="fixed"/>
          <w:tblCellMar>
            <w:top w:w="0" w:type="dxa"/>
            <w:left w:w="0" w:type="dxa"/>
            <w:bottom w:w="0" w:type="dxa"/>
            <w:right w:w="0" w:type="dxa"/>
          </w:tblCellMar>
        </w:tblPrEx>
        <w:trPr>
          <w:trHeight w:val="611"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bidi w:val="0"/>
              <w:rPr>
                <w:rFonts w:hint="default"/>
              </w:rPr>
            </w:pPr>
            <w:r>
              <w:t>合计</w:t>
            </w:r>
          </w:p>
        </w:tc>
        <w:tc>
          <w:tcPr>
            <w:tcW w:w="3476"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c>
          <w:tcPr>
            <w:tcW w:w="34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bidi w:val="0"/>
              <w:rPr>
                <w:rFonts w:hint="default"/>
              </w:rPr>
            </w:pPr>
            <w:r>
              <w:t xml:space="preserve"> </w:t>
            </w:r>
          </w:p>
        </w:tc>
      </w:tr>
    </w:tbl>
    <w:p>
      <w:pPr>
        <w:bidi w:val="0"/>
        <w:rPr>
          <w:rFonts w:hint="default"/>
        </w:rPr>
      </w:pPr>
      <w:r>
        <w:t>备注：本表反映单位本年度国有资本经营预算财政拨款支出情况。本单位无国有资本经营收支，故本表无数据。</w:t>
      </w:r>
      <w:r>
        <w:br w:type="textWrapping"/>
      </w:r>
      <w:r>
        <w:br w:type="textWrapping"/>
      </w:r>
      <w:r>
        <w:rPr>
          <w:rFonts w:hint="default"/>
        </w:rPr>
        <w:br w:type="page"/>
      </w:r>
    </w:p>
    <w:tbl>
      <w:tblPr>
        <w:tblStyle w:val="12"/>
        <w:tblW w:w="15120" w:type="dxa"/>
        <w:tblInd w:w="0" w:type="dxa"/>
        <w:tblLayout w:type="fixed"/>
        <w:tblCellMar>
          <w:top w:w="0" w:type="dxa"/>
          <w:left w:w="170" w:type="dxa"/>
          <w:bottom w:w="0" w:type="dxa"/>
          <w:right w:w="170" w:type="dxa"/>
        </w:tblCellMar>
      </w:tblPr>
      <w:tblGrid>
        <w:gridCol w:w="4073"/>
        <w:gridCol w:w="2184"/>
        <w:gridCol w:w="2132"/>
        <w:gridCol w:w="4560"/>
        <w:gridCol w:w="2171"/>
      </w:tblGrid>
      <w:tr>
        <w:tblPrEx>
          <w:tblLayout w:type="fixed"/>
          <w:tblCellMar>
            <w:top w:w="0" w:type="dxa"/>
            <w:left w:w="170" w:type="dxa"/>
            <w:bottom w:w="0" w:type="dxa"/>
            <w:right w:w="170" w:type="dxa"/>
          </w:tblCellMar>
        </w:tblPrEx>
        <w:trPr>
          <w:trHeight w:val="318" w:hRule="atLeast"/>
        </w:trPr>
        <w:tc>
          <w:tcPr>
            <w:tcW w:w="15120" w:type="dxa"/>
            <w:gridSpan w:val="5"/>
            <w:tcBorders>
              <w:top w:val="nil"/>
              <w:left w:val="nil"/>
              <w:bottom w:val="nil"/>
              <w:right w:val="nil"/>
            </w:tcBorders>
            <w:shd w:val="clear" w:color="auto" w:fill="auto"/>
            <w:tcMar>
              <w:top w:w="15" w:type="dxa"/>
              <w:left w:w="15" w:type="dxa"/>
              <w:right w:w="15" w:type="dxa"/>
            </w:tcMar>
            <w:vAlign w:val="bottom"/>
          </w:tcPr>
          <w:p>
            <w:pPr>
              <w:bidi w:val="0"/>
              <w:jc w:val="center"/>
              <w:rPr>
                <w:rFonts w:hint="default"/>
              </w:rPr>
            </w:pPr>
            <w:r>
              <w:t>机构运行信息表</w:t>
            </w:r>
          </w:p>
        </w:tc>
      </w:tr>
      <w:tr>
        <w:tblPrEx>
          <w:tblLayout w:type="fixed"/>
          <w:tblCellMar>
            <w:top w:w="0" w:type="dxa"/>
            <w:left w:w="170" w:type="dxa"/>
            <w:bottom w:w="0" w:type="dxa"/>
            <w:right w:w="170" w:type="dxa"/>
          </w:tblCellMar>
        </w:tblPrEx>
        <w:trPr>
          <w:trHeight w:val="303" w:hRule="atLeast"/>
        </w:trPr>
        <w:tc>
          <w:tcPr>
            <w:tcW w:w="4073"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2184"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2132"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4560"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p>
        </w:tc>
        <w:tc>
          <w:tcPr>
            <w:tcW w:w="2171" w:type="dxa"/>
            <w:tcBorders>
              <w:top w:val="nil"/>
              <w:left w:val="nil"/>
              <w:bottom w:val="nil"/>
              <w:right w:val="nil"/>
            </w:tcBorders>
            <w:shd w:val="clear" w:color="auto" w:fill="auto"/>
            <w:tcMar>
              <w:top w:w="15" w:type="dxa"/>
              <w:left w:w="15" w:type="dxa"/>
              <w:right w:w="15" w:type="dxa"/>
            </w:tcMar>
            <w:vAlign w:val="bottom"/>
          </w:tcPr>
          <w:p>
            <w:pPr>
              <w:bidi w:val="0"/>
              <w:rPr>
                <w:rFonts w:hint="default"/>
              </w:rPr>
            </w:pPr>
            <w:r>
              <w:t>公开09表</w:t>
            </w:r>
          </w:p>
        </w:tc>
      </w:tr>
      <w:tr>
        <w:tblPrEx>
          <w:tblLayout w:type="fixed"/>
          <w:tblCellMar>
            <w:top w:w="0" w:type="dxa"/>
            <w:left w:w="170" w:type="dxa"/>
            <w:bottom w:w="0" w:type="dxa"/>
            <w:right w:w="170" w:type="dxa"/>
          </w:tblCellMar>
        </w:tblPrEx>
        <w:trPr>
          <w:trHeight w:val="592" w:hRule="atLeast"/>
        </w:trPr>
        <w:tc>
          <w:tcPr>
            <w:tcW w:w="6257" w:type="dxa"/>
            <w:gridSpan w:val="2"/>
            <w:tcBorders>
              <w:top w:val="nil"/>
              <w:left w:val="nil"/>
              <w:bottom w:val="single" w:color="auto" w:sz="4" w:space="0"/>
              <w:right w:val="nil"/>
            </w:tcBorders>
            <w:shd w:val="clear" w:color="auto" w:fill="auto"/>
            <w:tcMar>
              <w:top w:w="15" w:type="dxa"/>
              <w:left w:w="15" w:type="dxa"/>
              <w:right w:w="15" w:type="dxa"/>
            </w:tcMar>
            <w:vAlign w:val="bottom"/>
          </w:tcPr>
          <w:p>
            <w:pPr>
              <w:bidi w:val="0"/>
              <w:rPr>
                <w:rFonts w:hint="default"/>
              </w:rPr>
            </w:pPr>
            <w:r>
              <w:t>公开单位： 重庆市秀山土家族苗族自治县洪安镇中心卫生院</w:t>
            </w:r>
          </w:p>
        </w:tc>
        <w:tc>
          <w:tcPr>
            <w:tcW w:w="2132" w:type="dxa"/>
            <w:tcBorders>
              <w:top w:val="nil"/>
              <w:left w:val="nil"/>
              <w:bottom w:val="single" w:color="auto" w:sz="4" w:space="0"/>
              <w:right w:val="nil"/>
            </w:tcBorders>
            <w:shd w:val="clear" w:color="auto" w:fill="auto"/>
            <w:tcMar>
              <w:top w:w="15" w:type="dxa"/>
              <w:left w:w="15" w:type="dxa"/>
              <w:right w:w="15" w:type="dxa"/>
            </w:tcMar>
            <w:vAlign w:val="bottom"/>
          </w:tcPr>
          <w:p>
            <w:pPr>
              <w:bidi w:val="0"/>
              <w:rPr>
                <w:rFonts w:hint="default"/>
              </w:rPr>
            </w:pPr>
          </w:p>
        </w:tc>
        <w:tc>
          <w:tcPr>
            <w:tcW w:w="4560" w:type="dxa"/>
            <w:tcBorders>
              <w:top w:val="nil"/>
              <w:left w:val="nil"/>
              <w:bottom w:val="single" w:color="auto" w:sz="4" w:space="0"/>
              <w:right w:val="nil"/>
            </w:tcBorders>
            <w:shd w:val="clear" w:color="auto" w:fill="auto"/>
            <w:tcMar>
              <w:top w:w="15" w:type="dxa"/>
              <w:left w:w="15" w:type="dxa"/>
              <w:right w:w="15" w:type="dxa"/>
            </w:tcMar>
            <w:vAlign w:val="bottom"/>
          </w:tcPr>
          <w:p>
            <w:pPr>
              <w:bidi w:val="0"/>
              <w:rPr>
                <w:rFonts w:hint="default"/>
              </w:rPr>
            </w:pPr>
          </w:p>
        </w:tc>
        <w:tc>
          <w:tcPr>
            <w:tcW w:w="2171" w:type="dxa"/>
            <w:tcBorders>
              <w:top w:val="nil"/>
              <w:left w:val="nil"/>
              <w:bottom w:val="single" w:color="auto" w:sz="4" w:space="0"/>
              <w:right w:val="nil"/>
            </w:tcBorders>
            <w:shd w:val="clear" w:color="auto" w:fill="auto"/>
            <w:tcMar>
              <w:top w:w="15" w:type="dxa"/>
              <w:left w:w="15" w:type="dxa"/>
              <w:right w:w="15" w:type="dxa"/>
            </w:tcMar>
            <w:vAlign w:val="bottom"/>
          </w:tcPr>
          <w:p>
            <w:pPr>
              <w:bidi w:val="0"/>
              <w:rPr>
                <w:rFonts w:hint="default"/>
              </w:rPr>
            </w:pPr>
            <w:r>
              <w:t>单位：万元</w:t>
            </w:r>
          </w:p>
        </w:tc>
      </w:tr>
      <w:tr>
        <w:tblPrEx>
          <w:tblLayout w:type="fixed"/>
          <w:tblCellMar>
            <w:top w:w="0" w:type="dxa"/>
            <w:left w:w="170" w:type="dxa"/>
            <w:bottom w:w="0" w:type="dxa"/>
            <w:right w:w="170" w:type="dxa"/>
          </w:tblCellMar>
        </w:tblPrEx>
        <w:trPr>
          <w:trHeight w:val="312" w:hRule="atLeast"/>
        </w:trPr>
        <w:tc>
          <w:tcPr>
            <w:tcW w:w="407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bidi w:val="0"/>
              <w:rPr>
                <w:rFonts w:hint="default"/>
              </w:rPr>
            </w:pPr>
            <w:r>
              <w:t>项  目</w:t>
            </w:r>
          </w:p>
        </w:tc>
        <w:tc>
          <w:tcPr>
            <w:tcW w:w="218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bidi w:val="0"/>
              <w:rPr>
                <w:rFonts w:hint="default"/>
              </w:rPr>
            </w:pPr>
            <w:r>
              <w:t>预算数</w:t>
            </w:r>
          </w:p>
        </w:tc>
        <w:tc>
          <w:tcPr>
            <w:tcW w:w="2132"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bidi w:val="0"/>
              <w:rPr>
                <w:rFonts w:hint="default"/>
              </w:rPr>
            </w:pPr>
            <w:r>
              <w:t>决算数</w:t>
            </w:r>
          </w:p>
        </w:tc>
        <w:tc>
          <w:tcPr>
            <w:tcW w:w="45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bidi w:val="0"/>
              <w:rPr>
                <w:rFonts w:hint="default"/>
              </w:rPr>
            </w:pPr>
            <w:r>
              <w:t>项  目</w:t>
            </w:r>
          </w:p>
        </w:tc>
        <w:tc>
          <w:tcPr>
            <w:tcW w:w="217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bidi w:val="0"/>
              <w:rPr>
                <w:rFonts w:hint="default"/>
              </w:rPr>
            </w:pPr>
            <w:r>
              <w:t>决算数</w:t>
            </w:r>
          </w:p>
        </w:tc>
      </w:tr>
      <w:tr>
        <w:tblPrEx>
          <w:tblLayout w:type="fixed"/>
          <w:tblCellMar>
            <w:top w:w="0" w:type="dxa"/>
            <w:left w:w="170" w:type="dxa"/>
            <w:bottom w:w="0" w:type="dxa"/>
            <w:right w:w="170" w:type="dxa"/>
          </w:tblCellMar>
        </w:tblPrEx>
        <w:trPr>
          <w:trHeight w:val="312" w:hRule="atLeast"/>
        </w:trPr>
        <w:tc>
          <w:tcPr>
            <w:tcW w:w="407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bidi w:val="0"/>
              <w:rPr>
                <w:rFonts w:hint="default"/>
              </w:rPr>
            </w:pPr>
            <w:r>
              <w:t>一、“三公”经费支出</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bidi w:val="0"/>
              <w:rPr>
                <w:rFonts w:hint="default"/>
              </w:rPr>
            </w:pPr>
            <w:r>
              <w:t>—</w:t>
            </w:r>
          </w:p>
        </w:tc>
        <w:tc>
          <w:tcPr>
            <w:tcW w:w="213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bidi w:val="0"/>
              <w:rPr>
                <w:rFonts w:hint="default"/>
              </w:rPr>
            </w:pPr>
            <w:r>
              <w:t>—</w:t>
            </w:r>
          </w:p>
        </w:tc>
        <w:tc>
          <w:tcPr>
            <w:tcW w:w="45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bidi w:val="0"/>
              <w:rPr>
                <w:rFonts w:hint="default"/>
              </w:rPr>
            </w:pPr>
            <w:r>
              <w:t>四、机关运行经费</w:t>
            </w:r>
          </w:p>
        </w:tc>
        <w:tc>
          <w:tcPr>
            <w:tcW w:w="21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bidi w:val="0"/>
              <w:rPr>
                <w:rFonts w:hint="default"/>
              </w:rPr>
            </w:pPr>
            <w:r>
              <w:t xml:space="preserve"> </w:t>
            </w:r>
          </w:p>
        </w:tc>
      </w:tr>
      <w:tr>
        <w:tblPrEx>
          <w:tblLayout w:type="fixed"/>
          <w:tblCellMar>
            <w:top w:w="0" w:type="dxa"/>
            <w:left w:w="170" w:type="dxa"/>
            <w:bottom w:w="0" w:type="dxa"/>
            <w:right w:w="170" w:type="dxa"/>
          </w:tblCellMar>
        </w:tblPrEx>
        <w:trPr>
          <w:trHeight w:val="312" w:hRule="atLeast"/>
        </w:trPr>
        <w:tc>
          <w:tcPr>
            <w:tcW w:w="407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bidi w:val="0"/>
              <w:rPr>
                <w:rFonts w:hint="default"/>
              </w:rPr>
            </w:pPr>
            <w:r>
              <w:t xml:space="preserve">  （一）支出合计</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bidi w:val="0"/>
              <w:rPr>
                <w:rFonts w:hint="default"/>
              </w:rPr>
            </w:pPr>
            <w:r>
              <w:t xml:space="preserve"> </w:t>
            </w:r>
          </w:p>
        </w:tc>
        <w:tc>
          <w:tcPr>
            <w:tcW w:w="213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bidi w:val="0"/>
              <w:rPr>
                <w:rFonts w:hint="default"/>
              </w:rPr>
            </w:pPr>
            <w:r>
              <w:t xml:space="preserve"> </w:t>
            </w:r>
          </w:p>
        </w:tc>
        <w:tc>
          <w:tcPr>
            <w:tcW w:w="45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bidi w:val="0"/>
              <w:rPr>
                <w:rFonts w:hint="default"/>
              </w:rPr>
            </w:pPr>
            <w:r>
              <w:t xml:space="preserve">  （一）行政单位</w:t>
            </w:r>
          </w:p>
        </w:tc>
        <w:tc>
          <w:tcPr>
            <w:tcW w:w="21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bidi w:val="0"/>
              <w:rPr>
                <w:rFonts w:hint="default"/>
              </w:rPr>
            </w:pPr>
            <w:r>
              <w:t xml:space="preserve"> </w:t>
            </w:r>
          </w:p>
        </w:tc>
      </w:tr>
      <w:tr>
        <w:tblPrEx>
          <w:tblLayout w:type="fixed"/>
          <w:tblCellMar>
            <w:top w:w="0" w:type="dxa"/>
            <w:left w:w="170" w:type="dxa"/>
            <w:bottom w:w="0" w:type="dxa"/>
            <w:right w:w="170" w:type="dxa"/>
          </w:tblCellMar>
        </w:tblPrEx>
        <w:trPr>
          <w:trHeight w:val="312" w:hRule="atLeast"/>
        </w:trPr>
        <w:tc>
          <w:tcPr>
            <w:tcW w:w="407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bidi w:val="0"/>
              <w:rPr>
                <w:rFonts w:hint="default"/>
              </w:rPr>
            </w:pPr>
            <w:r>
              <w:t xml:space="preserve">     1．因公出国（境）费</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bidi w:val="0"/>
              <w:rPr>
                <w:rFonts w:hint="default"/>
              </w:rPr>
            </w:pPr>
            <w:r>
              <w:t xml:space="preserve"> </w:t>
            </w:r>
          </w:p>
        </w:tc>
        <w:tc>
          <w:tcPr>
            <w:tcW w:w="213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bidi w:val="0"/>
              <w:rPr>
                <w:rFonts w:hint="default"/>
              </w:rPr>
            </w:pPr>
            <w:r>
              <w:t xml:space="preserve"> </w:t>
            </w:r>
          </w:p>
        </w:tc>
        <w:tc>
          <w:tcPr>
            <w:tcW w:w="45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bidi w:val="0"/>
              <w:rPr>
                <w:rFonts w:hint="default"/>
              </w:rPr>
            </w:pPr>
            <w:r>
              <w:t xml:space="preserve">  （二）参照公务员法管理事业单位</w:t>
            </w:r>
          </w:p>
        </w:tc>
        <w:tc>
          <w:tcPr>
            <w:tcW w:w="21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bidi w:val="0"/>
              <w:rPr>
                <w:rFonts w:hint="default"/>
              </w:rPr>
            </w:pPr>
            <w:r>
              <w:t xml:space="preserve"> </w:t>
            </w:r>
          </w:p>
        </w:tc>
      </w:tr>
      <w:tr>
        <w:tblPrEx>
          <w:tblLayout w:type="fixed"/>
          <w:tblCellMar>
            <w:top w:w="0" w:type="dxa"/>
            <w:left w:w="170" w:type="dxa"/>
            <w:bottom w:w="0" w:type="dxa"/>
            <w:right w:w="170" w:type="dxa"/>
          </w:tblCellMar>
        </w:tblPrEx>
        <w:trPr>
          <w:trHeight w:val="312" w:hRule="atLeast"/>
        </w:trPr>
        <w:tc>
          <w:tcPr>
            <w:tcW w:w="407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bidi w:val="0"/>
              <w:rPr>
                <w:rFonts w:hint="default"/>
              </w:rPr>
            </w:pPr>
            <w:r>
              <w:t xml:space="preserve">     2．公务用车购置及运行维护费</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bidi w:val="0"/>
              <w:rPr>
                <w:rFonts w:hint="default"/>
              </w:rPr>
            </w:pPr>
            <w:r>
              <w:t xml:space="preserve"> </w:t>
            </w:r>
          </w:p>
        </w:tc>
        <w:tc>
          <w:tcPr>
            <w:tcW w:w="213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bidi w:val="0"/>
              <w:rPr>
                <w:rFonts w:hint="default"/>
              </w:rPr>
            </w:pPr>
            <w:r>
              <w:t xml:space="preserve"> </w:t>
            </w:r>
          </w:p>
        </w:tc>
        <w:tc>
          <w:tcPr>
            <w:tcW w:w="45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bidi w:val="0"/>
              <w:rPr>
                <w:rFonts w:hint="default"/>
              </w:rPr>
            </w:pPr>
            <w:r>
              <w:t>五、资产信息</w:t>
            </w:r>
          </w:p>
        </w:tc>
        <w:tc>
          <w:tcPr>
            <w:tcW w:w="21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bidi w:val="0"/>
              <w:rPr>
                <w:rFonts w:hint="default"/>
              </w:rPr>
            </w:pPr>
            <w:r>
              <w:t>—</w:t>
            </w:r>
          </w:p>
        </w:tc>
      </w:tr>
      <w:tr>
        <w:tblPrEx>
          <w:tblLayout w:type="fixed"/>
          <w:tblCellMar>
            <w:top w:w="0" w:type="dxa"/>
            <w:left w:w="170" w:type="dxa"/>
            <w:bottom w:w="0" w:type="dxa"/>
            <w:right w:w="170" w:type="dxa"/>
          </w:tblCellMar>
        </w:tblPrEx>
        <w:trPr>
          <w:trHeight w:val="312" w:hRule="atLeast"/>
        </w:trPr>
        <w:tc>
          <w:tcPr>
            <w:tcW w:w="407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bidi w:val="0"/>
              <w:rPr>
                <w:rFonts w:hint="default"/>
              </w:rPr>
            </w:pPr>
            <w:r>
              <w:t xml:space="preserve">      （1）公务用车购置费</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bidi w:val="0"/>
              <w:rPr>
                <w:rFonts w:hint="default"/>
              </w:rPr>
            </w:pPr>
            <w:r>
              <w:t xml:space="preserve"> </w:t>
            </w:r>
          </w:p>
        </w:tc>
        <w:tc>
          <w:tcPr>
            <w:tcW w:w="213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bidi w:val="0"/>
              <w:rPr>
                <w:rFonts w:hint="default"/>
              </w:rPr>
            </w:pPr>
            <w:r>
              <w:t xml:space="preserve"> </w:t>
            </w:r>
          </w:p>
        </w:tc>
        <w:tc>
          <w:tcPr>
            <w:tcW w:w="45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bidi w:val="0"/>
              <w:rPr>
                <w:rFonts w:hint="default"/>
              </w:rPr>
            </w:pPr>
            <w:r>
              <w:t xml:space="preserve">  （一）车辆数合计（辆）</w:t>
            </w:r>
          </w:p>
        </w:tc>
        <w:tc>
          <w:tcPr>
            <w:tcW w:w="21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bidi w:val="0"/>
              <w:rPr>
                <w:rFonts w:hint="default"/>
              </w:rPr>
            </w:pPr>
            <w:r>
              <w:t xml:space="preserve">3   </w:t>
            </w:r>
          </w:p>
        </w:tc>
      </w:tr>
      <w:tr>
        <w:tblPrEx>
          <w:tblLayout w:type="fixed"/>
          <w:tblCellMar>
            <w:top w:w="0" w:type="dxa"/>
            <w:left w:w="170" w:type="dxa"/>
            <w:bottom w:w="0" w:type="dxa"/>
            <w:right w:w="170" w:type="dxa"/>
          </w:tblCellMar>
        </w:tblPrEx>
        <w:trPr>
          <w:trHeight w:val="312" w:hRule="atLeast"/>
        </w:trPr>
        <w:tc>
          <w:tcPr>
            <w:tcW w:w="407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bidi w:val="0"/>
              <w:rPr>
                <w:rFonts w:hint="default"/>
              </w:rPr>
            </w:pPr>
            <w:r>
              <w:t xml:space="preserve">      （2）公务用车运行维护费</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bidi w:val="0"/>
              <w:rPr>
                <w:rFonts w:hint="default"/>
              </w:rPr>
            </w:pPr>
            <w:r>
              <w:t xml:space="preserve"> </w:t>
            </w:r>
          </w:p>
        </w:tc>
        <w:tc>
          <w:tcPr>
            <w:tcW w:w="213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bidi w:val="0"/>
              <w:rPr>
                <w:rFonts w:hint="default"/>
              </w:rPr>
            </w:pPr>
            <w:r>
              <w:t xml:space="preserve"> </w:t>
            </w:r>
          </w:p>
        </w:tc>
        <w:tc>
          <w:tcPr>
            <w:tcW w:w="45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bidi w:val="0"/>
              <w:rPr>
                <w:rFonts w:hint="default"/>
              </w:rPr>
            </w:pPr>
            <w:r>
              <w:t xml:space="preserve">     1．副部（省）级及以上领导用车</w:t>
            </w:r>
          </w:p>
        </w:tc>
        <w:tc>
          <w:tcPr>
            <w:tcW w:w="21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bidi w:val="0"/>
              <w:rPr>
                <w:rFonts w:hint="default"/>
              </w:rPr>
            </w:pPr>
            <w:r>
              <w:t xml:space="preserve"> </w:t>
            </w:r>
          </w:p>
        </w:tc>
      </w:tr>
      <w:tr>
        <w:tblPrEx>
          <w:tblLayout w:type="fixed"/>
          <w:tblCellMar>
            <w:top w:w="0" w:type="dxa"/>
            <w:left w:w="170" w:type="dxa"/>
            <w:bottom w:w="0" w:type="dxa"/>
            <w:right w:w="170" w:type="dxa"/>
          </w:tblCellMar>
        </w:tblPrEx>
        <w:trPr>
          <w:trHeight w:val="312" w:hRule="atLeast"/>
        </w:trPr>
        <w:tc>
          <w:tcPr>
            <w:tcW w:w="407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bidi w:val="0"/>
              <w:rPr>
                <w:rFonts w:hint="default"/>
              </w:rPr>
            </w:pPr>
            <w:r>
              <w:t xml:space="preserve">     3．公务接待费</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bidi w:val="0"/>
              <w:rPr>
                <w:rFonts w:hint="default"/>
              </w:rPr>
            </w:pPr>
            <w:r>
              <w:t xml:space="preserve"> </w:t>
            </w:r>
          </w:p>
        </w:tc>
        <w:tc>
          <w:tcPr>
            <w:tcW w:w="213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bidi w:val="0"/>
              <w:rPr>
                <w:rFonts w:hint="default"/>
              </w:rPr>
            </w:pPr>
            <w:r>
              <w:t xml:space="preserve"> </w:t>
            </w:r>
          </w:p>
        </w:tc>
        <w:tc>
          <w:tcPr>
            <w:tcW w:w="45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bidi w:val="0"/>
              <w:rPr>
                <w:rFonts w:hint="default"/>
              </w:rPr>
            </w:pPr>
            <w:r>
              <w:t xml:space="preserve">     2．主要领导干部用车</w:t>
            </w:r>
          </w:p>
        </w:tc>
        <w:tc>
          <w:tcPr>
            <w:tcW w:w="21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bidi w:val="0"/>
              <w:rPr>
                <w:rFonts w:hint="default"/>
              </w:rPr>
            </w:pPr>
            <w:r>
              <w:t xml:space="preserve"> </w:t>
            </w:r>
          </w:p>
        </w:tc>
      </w:tr>
      <w:tr>
        <w:tblPrEx>
          <w:tblLayout w:type="fixed"/>
          <w:tblCellMar>
            <w:top w:w="0" w:type="dxa"/>
            <w:left w:w="170" w:type="dxa"/>
            <w:bottom w:w="0" w:type="dxa"/>
            <w:right w:w="170" w:type="dxa"/>
          </w:tblCellMar>
        </w:tblPrEx>
        <w:trPr>
          <w:trHeight w:val="312" w:hRule="atLeast"/>
        </w:trPr>
        <w:tc>
          <w:tcPr>
            <w:tcW w:w="407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bidi w:val="0"/>
              <w:rPr>
                <w:rFonts w:hint="default"/>
              </w:rPr>
            </w:pPr>
            <w:r>
              <w:t xml:space="preserve">      （1）国内接待费</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bidi w:val="0"/>
              <w:rPr>
                <w:rFonts w:hint="default"/>
              </w:rPr>
            </w:pPr>
            <w:r>
              <w:t>—</w:t>
            </w:r>
          </w:p>
        </w:tc>
        <w:tc>
          <w:tcPr>
            <w:tcW w:w="213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bidi w:val="0"/>
              <w:rPr>
                <w:rFonts w:hint="default"/>
              </w:rPr>
            </w:pPr>
            <w:r>
              <w:t xml:space="preserve"> </w:t>
            </w:r>
          </w:p>
        </w:tc>
        <w:tc>
          <w:tcPr>
            <w:tcW w:w="45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bidi w:val="0"/>
              <w:rPr>
                <w:rFonts w:hint="default"/>
              </w:rPr>
            </w:pPr>
            <w:r>
              <w:t xml:space="preserve">     3．机要通信用车</w:t>
            </w:r>
          </w:p>
        </w:tc>
        <w:tc>
          <w:tcPr>
            <w:tcW w:w="21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bidi w:val="0"/>
              <w:rPr>
                <w:rFonts w:hint="default"/>
              </w:rPr>
            </w:pPr>
            <w:r>
              <w:t xml:space="preserve"> </w:t>
            </w:r>
          </w:p>
        </w:tc>
      </w:tr>
      <w:tr>
        <w:tblPrEx>
          <w:tblLayout w:type="fixed"/>
          <w:tblCellMar>
            <w:top w:w="0" w:type="dxa"/>
            <w:left w:w="170" w:type="dxa"/>
            <w:bottom w:w="0" w:type="dxa"/>
            <w:right w:w="170" w:type="dxa"/>
          </w:tblCellMar>
        </w:tblPrEx>
        <w:trPr>
          <w:trHeight w:val="312" w:hRule="atLeast"/>
        </w:trPr>
        <w:tc>
          <w:tcPr>
            <w:tcW w:w="407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bidi w:val="0"/>
              <w:rPr>
                <w:rFonts w:hint="default"/>
              </w:rPr>
            </w:pPr>
            <w:r>
              <w:t xml:space="preserve">           其中：外事接待费</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bidi w:val="0"/>
              <w:rPr>
                <w:rFonts w:hint="default"/>
              </w:rPr>
            </w:pPr>
            <w:r>
              <w:t>—</w:t>
            </w:r>
          </w:p>
        </w:tc>
        <w:tc>
          <w:tcPr>
            <w:tcW w:w="213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bidi w:val="0"/>
              <w:rPr>
                <w:rFonts w:hint="default"/>
              </w:rPr>
            </w:pPr>
            <w:r>
              <w:t xml:space="preserve"> </w:t>
            </w:r>
          </w:p>
        </w:tc>
        <w:tc>
          <w:tcPr>
            <w:tcW w:w="45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bidi w:val="0"/>
              <w:rPr>
                <w:rFonts w:hint="default"/>
              </w:rPr>
            </w:pPr>
            <w:r>
              <w:t xml:space="preserve">     4．应急保障用车</w:t>
            </w:r>
          </w:p>
        </w:tc>
        <w:tc>
          <w:tcPr>
            <w:tcW w:w="21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bidi w:val="0"/>
              <w:rPr>
                <w:rFonts w:hint="default"/>
              </w:rPr>
            </w:pPr>
            <w:r>
              <w:t xml:space="preserve"> </w:t>
            </w:r>
          </w:p>
        </w:tc>
      </w:tr>
      <w:tr>
        <w:tblPrEx>
          <w:tblLayout w:type="fixed"/>
          <w:tblCellMar>
            <w:top w:w="0" w:type="dxa"/>
            <w:left w:w="170" w:type="dxa"/>
            <w:bottom w:w="0" w:type="dxa"/>
            <w:right w:w="170" w:type="dxa"/>
          </w:tblCellMar>
        </w:tblPrEx>
        <w:trPr>
          <w:trHeight w:val="312" w:hRule="atLeast"/>
        </w:trPr>
        <w:tc>
          <w:tcPr>
            <w:tcW w:w="407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bidi w:val="0"/>
              <w:rPr>
                <w:rFonts w:hint="default"/>
              </w:rPr>
            </w:pPr>
            <w:r>
              <w:t xml:space="preserve">      （2）国（境）外接待费</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bidi w:val="0"/>
              <w:rPr>
                <w:rFonts w:hint="default"/>
              </w:rPr>
            </w:pPr>
            <w:r>
              <w:t>—</w:t>
            </w:r>
          </w:p>
        </w:tc>
        <w:tc>
          <w:tcPr>
            <w:tcW w:w="213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bidi w:val="0"/>
              <w:rPr>
                <w:rFonts w:hint="default"/>
              </w:rPr>
            </w:pPr>
            <w:r>
              <w:t xml:space="preserve"> </w:t>
            </w:r>
          </w:p>
        </w:tc>
        <w:tc>
          <w:tcPr>
            <w:tcW w:w="45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bidi w:val="0"/>
              <w:rPr>
                <w:rFonts w:hint="default"/>
              </w:rPr>
            </w:pPr>
            <w:r>
              <w:t xml:space="preserve">     5．执法执勤用车</w:t>
            </w:r>
          </w:p>
        </w:tc>
        <w:tc>
          <w:tcPr>
            <w:tcW w:w="21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bidi w:val="0"/>
              <w:rPr>
                <w:rFonts w:hint="default"/>
              </w:rPr>
            </w:pPr>
            <w:r>
              <w:t xml:space="preserve"> </w:t>
            </w:r>
          </w:p>
        </w:tc>
      </w:tr>
      <w:tr>
        <w:tblPrEx>
          <w:tblLayout w:type="fixed"/>
          <w:tblCellMar>
            <w:top w:w="0" w:type="dxa"/>
            <w:left w:w="170" w:type="dxa"/>
            <w:bottom w:w="0" w:type="dxa"/>
            <w:right w:w="170" w:type="dxa"/>
          </w:tblCellMar>
        </w:tblPrEx>
        <w:trPr>
          <w:trHeight w:val="312" w:hRule="atLeast"/>
        </w:trPr>
        <w:tc>
          <w:tcPr>
            <w:tcW w:w="407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bidi w:val="0"/>
              <w:rPr>
                <w:rFonts w:hint="default"/>
              </w:rPr>
            </w:pPr>
            <w:r>
              <w:t xml:space="preserve">  （二）相关统计数</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bidi w:val="0"/>
              <w:rPr>
                <w:rFonts w:hint="default"/>
              </w:rPr>
            </w:pPr>
            <w:r>
              <w:t>—</w:t>
            </w:r>
          </w:p>
        </w:tc>
        <w:tc>
          <w:tcPr>
            <w:tcW w:w="213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bidi w:val="0"/>
              <w:rPr>
                <w:rFonts w:hint="default"/>
              </w:rPr>
            </w:pPr>
            <w:r>
              <w:t>—</w:t>
            </w:r>
          </w:p>
        </w:tc>
        <w:tc>
          <w:tcPr>
            <w:tcW w:w="45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bidi w:val="0"/>
              <w:rPr>
                <w:rFonts w:hint="default"/>
              </w:rPr>
            </w:pPr>
            <w:r>
              <w:t xml:space="preserve">     6．特种专业技术用车</w:t>
            </w:r>
          </w:p>
        </w:tc>
        <w:tc>
          <w:tcPr>
            <w:tcW w:w="21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bidi w:val="0"/>
              <w:rPr>
                <w:rFonts w:hint="default"/>
              </w:rPr>
            </w:pPr>
            <w:r>
              <w:t xml:space="preserve">3 </w:t>
            </w:r>
          </w:p>
        </w:tc>
      </w:tr>
      <w:tr>
        <w:tblPrEx>
          <w:tblLayout w:type="fixed"/>
          <w:tblCellMar>
            <w:top w:w="0" w:type="dxa"/>
            <w:left w:w="170" w:type="dxa"/>
            <w:bottom w:w="0" w:type="dxa"/>
            <w:right w:w="170" w:type="dxa"/>
          </w:tblCellMar>
        </w:tblPrEx>
        <w:trPr>
          <w:trHeight w:val="312" w:hRule="atLeast"/>
        </w:trPr>
        <w:tc>
          <w:tcPr>
            <w:tcW w:w="4073"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bidi w:val="0"/>
              <w:rPr>
                <w:rFonts w:hint="default"/>
              </w:rPr>
            </w:pPr>
            <w:r>
              <w:t xml:space="preserve">     1．因公出国（境）团组数（个）</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bidi w:val="0"/>
              <w:rPr>
                <w:rFonts w:hint="default"/>
              </w:rPr>
            </w:pPr>
            <w:r>
              <w:t>—</w:t>
            </w:r>
          </w:p>
        </w:tc>
        <w:tc>
          <w:tcPr>
            <w:tcW w:w="2132"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bidi w:val="0"/>
              <w:rPr>
                <w:rFonts w:hint="default"/>
              </w:rPr>
            </w:pPr>
            <w:r>
              <w:t xml:space="preserve"> </w:t>
            </w:r>
          </w:p>
        </w:tc>
        <w:tc>
          <w:tcPr>
            <w:tcW w:w="45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bidi w:val="0"/>
              <w:rPr>
                <w:rFonts w:hint="default"/>
              </w:rPr>
            </w:pPr>
            <w:r>
              <w:t xml:space="preserve">     7．离退休干部用车</w:t>
            </w:r>
          </w:p>
        </w:tc>
        <w:tc>
          <w:tcPr>
            <w:tcW w:w="21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bidi w:val="0"/>
              <w:rPr>
                <w:rFonts w:hint="default"/>
              </w:rPr>
            </w:pPr>
            <w:r>
              <w:t xml:space="preserve"> </w:t>
            </w:r>
          </w:p>
        </w:tc>
      </w:tr>
      <w:tr>
        <w:tblPrEx>
          <w:tblLayout w:type="fixed"/>
          <w:tblCellMar>
            <w:top w:w="0" w:type="dxa"/>
            <w:left w:w="170" w:type="dxa"/>
            <w:bottom w:w="0" w:type="dxa"/>
            <w:right w:w="170" w:type="dxa"/>
          </w:tblCellMar>
        </w:tblPrEx>
        <w:trPr>
          <w:trHeight w:val="312" w:hRule="atLeast"/>
        </w:trPr>
        <w:tc>
          <w:tcPr>
            <w:tcW w:w="4073"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bidi w:val="0"/>
              <w:rPr>
                <w:rFonts w:hint="default"/>
              </w:rPr>
            </w:pPr>
            <w:r>
              <w:t xml:space="preserve">     2．因公出国（境）人次数（人）</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bidi w:val="0"/>
              <w:rPr>
                <w:rFonts w:hint="default"/>
              </w:rPr>
            </w:pPr>
            <w:r>
              <w:t>—</w:t>
            </w:r>
          </w:p>
        </w:tc>
        <w:tc>
          <w:tcPr>
            <w:tcW w:w="2132"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bidi w:val="0"/>
              <w:rPr>
                <w:rFonts w:hint="default"/>
              </w:rPr>
            </w:pPr>
            <w:r>
              <w:t xml:space="preserve"> </w:t>
            </w:r>
          </w:p>
        </w:tc>
        <w:tc>
          <w:tcPr>
            <w:tcW w:w="45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bidi w:val="0"/>
              <w:rPr>
                <w:rFonts w:hint="default"/>
              </w:rPr>
            </w:pPr>
            <w:r>
              <w:t xml:space="preserve">     8．其他用车</w:t>
            </w:r>
          </w:p>
        </w:tc>
        <w:tc>
          <w:tcPr>
            <w:tcW w:w="21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bidi w:val="0"/>
              <w:rPr>
                <w:rFonts w:hint="default"/>
              </w:rPr>
            </w:pPr>
            <w:r>
              <w:t xml:space="preserve"> </w:t>
            </w:r>
          </w:p>
        </w:tc>
      </w:tr>
      <w:tr>
        <w:tblPrEx>
          <w:tblLayout w:type="fixed"/>
          <w:tblCellMar>
            <w:top w:w="0" w:type="dxa"/>
            <w:left w:w="170" w:type="dxa"/>
            <w:bottom w:w="0" w:type="dxa"/>
            <w:right w:w="170" w:type="dxa"/>
          </w:tblCellMar>
        </w:tblPrEx>
        <w:trPr>
          <w:trHeight w:val="601" w:hRule="atLeast"/>
        </w:trPr>
        <w:tc>
          <w:tcPr>
            <w:tcW w:w="4073"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bidi w:val="0"/>
              <w:rPr>
                <w:rFonts w:hint="default"/>
              </w:rPr>
            </w:pPr>
            <w:r>
              <w:t xml:space="preserve">     3．公务用车购置数（辆）</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bidi w:val="0"/>
              <w:rPr>
                <w:rFonts w:hint="default"/>
              </w:rPr>
            </w:pPr>
            <w:r>
              <w:t>—</w:t>
            </w:r>
          </w:p>
        </w:tc>
        <w:tc>
          <w:tcPr>
            <w:tcW w:w="2132"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bidi w:val="0"/>
              <w:rPr>
                <w:rFonts w:hint="default"/>
              </w:rPr>
            </w:pPr>
            <w:r>
              <w:t xml:space="preserve"> </w:t>
            </w:r>
          </w:p>
        </w:tc>
        <w:tc>
          <w:tcPr>
            <w:tcW w:w="45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bidi w:val="0"/>
              <w:rPr>
                <w:rFonts w:hint="default"/>
              </w:rPr>
            </w:pPr>
            <w:r>
              <w:t xml:space="preserve">  （二）单价100万元（含）以上设备（不含车辆）</w:t>
            </w:r>
          </w:p>
        </w:tc>
        <w:tc>
          <w:tcPr>
            <w:tcW w:w="21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bidi w:val="0"/>
              <w:rPr>
                <w:rFonts w:hint="default"/>
              </w:rPr>
            </w:pPr>
            <w:r>
              <w:t xml:space="preserve"> </w:t>
            </w:r>
          </w:p>
        </w:tc>
      </w:tr>
      <w:tr>
        <w:tblPrEx>
          <w:tblLayout w:type="fixed"/>
          <w:tblCellMar>
            <w:top w:w="0" w:type="dxa"/>
            <w:left w:w="170" w:type="dxa"/>
            <w:bottom w:w="0" w:type="dxa"/>
            <w:right w:w="170" w:type="dxa"/>
          </w:tblCellMar>
        </w:tblPrEx>
        <w:trPr>
          <w:trHeight w:val="312" w:hRule="atLeast"/>
        </w:trPr>
        <w:tc>
          <w:tcPr>
            <w:tcW w:w="4073"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bidi w:val="0"/>
              <w:rPr>
                <w:rFonts w:hint="default"/>
              </w:rPr>
            </w:pPr>
            <w:r>
              <w:t xml:space="preserve">     4．公务用车保有量（辆）</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bidi w:val="0"/>
              <w:rPr>
                <w:rFonts w:hint="default"/>
              </w:rPr>
            </w:pPr>
            <w:r>
              <w:t>—</w:t>
            </w:r>
          </w:p>
        </w:tc>
        <w:tc>
          <w:tcPr>
            <w:tcW w:w="2132"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bidi w:val="0"/>
              <w:rPr>
                <w:rFonts w:hint="default"/>
              </w:rPr>
            </w:pPr>
            <w:r>
              <w:t xml:space="preserve"> </w:t>
            </w:r>
          </w:p>
        </w:tc>
        <w:tc>
          <w:tcPr>
            <w:tcW w:w="45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bidi w:val="0"/>
              <w:rPr>
                <w:rFonts w:hint="default"/>
              </w:rPr>
            </w:pPr>
            <w:r>
              <w:t>六、政府采购支出信息</w:t>
            </w:r>
          </w:p>
        </w:tc>
        <w:tc>
          <w:tcPr>
            <w:tcW w:w="21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bidi w:val="0"/>
              <w:rPr>
                <w:rFonts w:hint="default"/>
              </w:rPr>
            </w:pPr>
            <w:r>
              <w:t>—</w:t>
            </w:r>
          </w:p>
        </w:tc>
      </w:tr>
      <w:tr>
        <w:tblPrEx>
          <w:tblLayout w:type="fixed"/>
          <w:tblCellMar>
            <w:top w:w="0" w:type="dxa"/>
            <w:left w:w="170" w:type="dxa"/>
            <w:bottom w:w="0" w:type="dxa"/>
            <w:right w:w="170" w:type="dxa"/>
          </w:tblCellMar>
        </w:tblPrEx>
        <w:trPr>
          <w:trHeight w:val="312" w:hRule="atLeast"/>
        </w:trPr>
        <w:tc>
          <w:tcPr>
            <w:tcW w:w="4073"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bidi w:val="0"/>
              <w:rPr>
                <w:rFonts w:hint="default"/>
              </w:rPr>
            </w:pPr>
            <w:r>
              <w:t xml:space="preserve">     5．国内公务接待批次（个）</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bidi w:val="0"/>
              <w:rPr>
                <w:rFonts w:hint="default"/>
              </w:rPr>
            </w:pPr>
            <w:r>
              <w:t>—</w:t>
            </w:r>
          </w:p>
        </w:tc>
        <w:tc>
          <w:tcPr>
            <w:tcW w:w="2132"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bidi w:val="0"/>
              <w:rPr>
                <w:rFonts w:hint="default"/>
              </w:rPr>
            </w:pPr>
            <w:r>
              <w:t xml:space="preserve"> </w:t>
            </w:r>
          </w:p>
        </w:tc>
        <w:tc>
          <w:tcPr>
            <w:tcW w:w="45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bidi w:val="0"/>
              <w:rPr>
                <w:rFonts w:hint="default"/>
              </w:rPr>
            </w:pPr>
            <w:r>
              <w:t xml:space="preserve">  （一）政府采购支出合计</w:t>
            </w:r>
          </w:p>
        </w:tc>
        <w:tc>
          <w:tcPr>
            <w:tcW w:w="21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bidi w:val="0"/>
              <w:rPr>
                <w:rFonts w:hint="default"/>
              </w:rPr>
            </w:pPr>
            <w:r>
              <w:t xml:space="preserve"> </w:t>
            </w:r>
          </w:p>
        </w:tc>
      </w:tr>
      <w:tr>
        <w:tblPrEx>
          <w:tblLayout w:type="fixed"/>
          <w:tblCellMar>
            <w:top w:w="0" w:type="dxa"/>
            <w:left w:w="170" w:type="dxa"/>
            <w:bottom w:w="0" w:type="dxa"/>
            <w:right w:w="170" w:type="dxa"/>
          </w:tblCellMar>
        </w:tblPrEx>
        <w:trPr>
          <w:trHeight w:val="312" w:hRule="atLeast"/>
        </w:trPr>
        <w:tc>
          <w:tcPr>
            <w:tcW w:w="4073"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bidi w:val="0"/>
              <w:rPr>
                <w:rFonts w:hint="default"/>
              </w:rPr>
            </w:pPr>
            <w:r>
              <w:t xml:space="preserve">        其中：外事接待批次（个）</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bidi w:val="0"/>
              <w:rPr>
                <w:rFonts w:hint="default"/>
              </w:rPr>
            </w:pPr>
            <w:r>
              <w:t>—</w:t>
            </w:r>
          </w:p>
        </w:tc>
        <w:tc>
          <w:tcPr>
            <w:tcW w:w="2132"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bidi w:val="0"/>
              <w:rPr>
                <w:rFonts w:hint="default"/>
              </w:rPr>
            </w:pPr>
            <w:r>
              <w:t xml:space="preserve"> </w:t>
            </w:r>
          </w:p>
        </w:tc>
        <w:tc>
          <w:tcPr>
            <w:tcW w:w="45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bidi w:val="0"/>
              <w:rPr>
                <w:rFonts w:hint="default"/>
              </w:rPr>
            </w:pPr>
            <w:r>
              <w:t xml:space="preserve">     1．政府采购货物支出</w:t>
            </w:r>
          </w:p>
        </w:tc>
        <w:tc>
          <w:tcPr>
            <w:tcW w:w="21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bidi w:val="0"/>
              <w:rPr>
                <w:rFonts w:hint="default"/>
              </w:rPr>
            </w:pPr>
            <w:r>
              <w:t xml:space="preserve"> </w:t>
            </w:r>
          </w:p>
        </w:tc>
      </w:tr>
      <w:tr>
        <w:tblPrEx>
          <w:tblLayout w:type="fixed"/>
          <w:tblCellMar>
            <w:top w:w="0" w:type="dxa"/>
            <w:left w:w="170" w:type="dxa"/>
            <w:bottom w:w="0" w:type="dxa"/>
            <w:right w:w="170" w:type="dxa"/>
          </w:tblCellMar>
        </w:tblPrEx>
        <w:trPr>
          <w:trHeight w:val="312" w:hRule="atLeast"/>
        </w:trPr>
        <w:tc>
          <w:tcPr>
            <w:tcW w:w="4073"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bidi w:val="0"/>
              <w:rPr>
                <w:rFonts w:hint="default"/>
              </w:rPr>
            </w:pPr>
            <w:r>
              <w:t xml:space="preserve">     6．国内公务接待人次（人）</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bidi w:val="0"/>
              <w:rPr>
                <w:rFonts w:hint="default"/>
              </w:rPr>
            </w:pPr>
            <w:r>
              <w:t>—</w:t>
            </w:r>
          </w:p>
        </w:tc>
        <w:tc>
          <w:tcPr>
            <w:tcW w:w="2132"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bidi w:val="0"/>
              <w:rPr>
                <w:rFonts w:hint="default"/>
              </w:rPr>
            </w:pPr>
            <w:r>
              <w:t xml:space="preserve"> </w:t>
            </w:r>
          </w:p>
        </w:tc>
        <w:tc>
          <w:tcPr>
            <w:tcW w:w="45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bidi w:val="0"/>
              <w:rPr>
                <w:rFonts w:hint="default"/>
              </w:rPr>
            </w:pPr>
            <w:r>
              <w:t xml:space="preserve">     2．政府采购工程支出</w:t>
            </w:r>
          </w:p>
        </w:tc>
        <w:tc>
          <w:tcPr>
            <w:tcW w:w="21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bidi w:val="0"/>
              <w:rPr>
                <w:rFonts w:hint="default"/>
              </w:rPr>
            </w:pPr>
            <w:r>
              <w:t xml:space="preserve"> </w:t>
            </w:r>
          </w:p>
        </w:tc>
      </w:tr>
      <w:tr>
        <w:tblPrEx>
          <w:tblLayout w:type="fixed"/>
          <w:tblCellMar>
            <w:top w:w="0" w:type="dxa"/>
            <w:left w:w="170" w:type="dxa"/>
            <w:bottom w:w="0" w:type="dxa"/>
            <w:right w:w="170" w:type="dxa"/>
          </w:tblCellMar>
        </w:tblPrEx>
        <w:trPr>
          <w:trHeight w:val="312" w:hRule="atLeast"/>
        </w:trPr>
        <w:tc>
          <w:tcPr>
            <w:tcW w:w="4073"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bidi w:val="0"/>
              <w:rPr>
                <w:rFonts w:hint="default"/>
              </w:rPr>
            </w:pPr>
            <w:r>
              <w:t xml:space="preserve">        其中：外事接待人次（人）</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bidi w:val="0"/>
              <w:rPr>
                <w:rFonts w:hint="default"/>
              </w:rPr>
            </w:pPr>
            <w:r>
              <w:t>—</w:t>
            </w:r>
          </w:p>
        </w:tc>
        <w:tc>
          <w:tcPr>
            <w:tcW w:w="2132"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bidi w:val="0"/>
              <w:rPr>
                <w:rFonts w:hint="default"/>
              </w:rPr>
            </w:pPr>
            <w:r>
              <w:t xml:space="preserve"> </w:t>
            </w:r>
          </w:p>
        </w:tc>
        <w:tc>
          <w:tcPr>
            <w:tcW w:w="45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bidi w:val="0"/>
              <w:rPr>
                <w:rFonts w:hint="default"/>
              </w:rPr>
            </w:pPr>
            <w:r>
              <w:t xml:space="preserve">     3．政府采购服务支出</w:t>
            </w:r>
          </w:p>
        </w:tc>
        <w:tc>
          <w:tcPr>
            <w:tcW w:w="21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bidi w:val="0"/>
              <w:rPr>
                <w:rFonts w:hint="default"/>
              </w:rPr>
            </w:pPr>
            <w:r>
              <w:t xml:space="preserve"> </w:t>
            </w:r>
          </w:p>
        </w:tc>
      </w:tr>
      <w:tr>
        <w:tblPrEx>
          <w:tblLayout w:type="fixed"/>
          <w:tblCellMar>
            <w:top w:w="0" w:type="dxa"/>
            <w:left w:w="170" w:type="dxa"/>
            <w:bottom w:w="0" w:type="dxa"/>
            <w:right w:w="170" w:type="dxa"/>
          </w:tblCellMar>
        </w:tblPrEx>
        <w:trPr>
          <w:trHeight w:val="312" w:hRule="atLeast"/>
        </w:trPr>
        <w:tc>
          <w:tcPr>
            <w:tcW w:w="4073"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bidi w:val="0"/>
              <w:rPr>
                <w:rFonts w:hint="default"/>
              </w:rPr>
            </w:pPr>
            <w:r>
              <w:t xml:space="preserve">     7．国（境）外公务接待批次（个）</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bidi w:val="0"/>
              <w:rPr>
                <w:rFonts w:hint="default"/>
              </w:rPr>
            </w:pPr>
            <w:r>
              <w:t>—</w:t>
            </w:r>
          </w:p>
        </w:tc>
        <w:tc>
          <w:tcPr>
            <w:tcW w:w="2132"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bidi w:val="0"/>
              <w:rPr>
                <w:rFonts w:hint="default"/>
              </w:rPr>
            </w:pPr>
            <w:r>
              <w:t xml:space="preserve"> </w:t>
            </w:r>
          </w:p>
        </w:tc>
        <w:tc>
          <w:tcPr>
            <w:tcW w:w="45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bidi w:val="0"/>
              <w:rPr>
                <w:rFonts w:hint="default"/>
              </w:rPr>
            </w:pPr>
            <w:r>
              <w:t xml:space="preserve">  （二）政府采购授予中小企业合同金额</w:t>
            </w:r>
          </w:p>
        </w:tc>
        <w:tc>
          <w:tcPr>
            <w:tcW w:w="21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bidi w:val="0"/>
              <w:rPr>
                <w:rFonts w:hint="default"/>
              </w:rPr>
            </w:pPr>
            <w:r>
              <w:t xml:space="preserve"> </w:t>
            </w:r>
          </w:p>
        </w:tc>
      </w:tr>
      <w:tr>
        <w:tblPrEx>
          <w:tblLayout w:type="fixed"/>
          <w:tblCellMar>
            <w:top w:w="0" w:type="dxa"/>
            <w:left w:w="170" w:type="dxa"/>
            <w:bottom w:w="0" w:type="dxa"/>
            <w:right w:w="170" w:type="dxa"/>
          </w:tblCellMar>
        </w:tblPrEx>
        <w:trPr>
          <w:trHeight w:val="312" w:hRule="atLeast"/>
        </w:trPr>
        <w:tc>
          <w:tcPr>
            <w:tcW w:w="4073"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bidi w:val="0"/>
              <w:rPr>
                <w:rFonts w:hint="default"/>
              </w:rPr>
            </w:pPr>
            <w:r>
              <w:t xml:space="preserve">     8．国（境）外公务接待人次（人）</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bidi w:val="0"/>
              <w:rPr>
                <w:rFonts w:hint="default"/>
              </w:rPr>
            </w:pPr>
            <w:r>
              <w:t>—</w:t>
            </w:r>
          </w:p>
        </w:tc>
        <w:tc>
          <w:tcPr>
            <w:tcW w:w="2132"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bidi w:val="0"/>
              <w:rPr>
                <w:rFonts w:hint="default"/>
              </w:rPr>
            </w:pPr>
            <w:r>
              <w:t xml:space="preserve"> </w:t>
            </w:r>
          </w:p>
        </w:tc>
        <w:tc>
          <w:tcPr>
            <w:tcW w:w="45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bidi w:val="0"/>
              <w:rPr>
                <w:rFonts w:hint="default"/>
              </w:rPr>
            </w:pPr>
            <w:r>
              <w:t xml:space="preserve">        其中：授予小微企业合同金额</w:t>
            </w:r>
          </w:p>
        </w:tc>
        <w:tc>
          <w:tcPr>
            <w:tcW w:w="21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bidi w:val="0"/>
              <w:rPr>
                <w:rFonts w:hint="default"/>
              </w:rPr>
            </w:pPr>
            <w:r>
              <w:t xml:space="preserve"> </w:t>
            </w:r>
          </w:p>
        </w:tc>
      </w:tr>
      <w:tr>
        <w:tblPrEx>
          <w:tblLayout w:type="fixed"/>
          <w:tblCellMar>
            <w:top w:w="0" w:type="dxa"/>
            <w:left w:w="170" w:type="dxa"/>
            <w:bottom w:w="0" w:type="dxa"/>
            <w:right w:w="170" w:type="dxa"/>
          </w:tblCellMar>
        </w:tblPrEx>
        <w:trPr>
          <w:trHeight w:val="312" w:hRule="atLeast"/>
        </w:trPr>
        <w:tc>
          <w:tcPr>
            <w:tcW w:w="407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bidi w:val="0"/>
              <w:rPr>
                <w:rFonts w:hint="default"/>
              </w:rPr>
            </w:pPr>
            <w:r>
              <w:t>二、会议费</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bidi w:val="0"/>
              <w:rPr>
                <w:rFonts w:hint="default"/>
              </w:rPr>
            </w:pPr>
            <w:r>
              <w:t>—</w:t>
            </w:r>
          </w:p>
        </w:tc>
        <w:tc>
          <w:tcPr>
            <w:tcW w:w="213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bidi w:val="0"/>
              <w:rPr>
                <w:rFonts w:hint="default"/>
              </w:rPr>
            </w:pPr>
            <w:r>
              <w:t xml:space="preserve"> </w:t>
            </w:r>
          </w:p>
        </w:tc>
        <w:tc>
          <w:tcPr>
            <w:tcW w:w="45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bidi w:val="0"/>
              <w:rPr>
                <w:rFonts w:hint="default"/>
              </w:rPr>
            </w:pPr>
          </w:p>
        </w:tc>
        <w:tc>
          <w:tcPr>
            <w:tcW w:w="21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bidi w:val="0"/>
              <w:rPr>
                <w:rFonts w:hint="default"/>
              </w:rPr>
            </w:pPr>
          </w:p>
        </w:tc>
      </w:tr>
      <w:tr>
        <w:tblPrEx>
          <w:tblLayout w:type="fixed"/>
          <w:tblCellMar>
            <w:top w:w="0" w:type="dxa"/>
            <w:left w:w="170" w:type="dxa"/>
            <w:bottom w:w="0" w:type="dxa"/>
            <w:right w:w="170" w:type="dxa"/>
          </w:tblCellMar>
        </w:tblPrEx>
        <w:trPr>
          <w:trHeight w:val="377" w:hRule="atLeast"/>
        </w:trPr>
        <w:tc>
          <w:tcPr>
            <w:tcW w:w="407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bidi w:val="0"/>
              <w:rPr>
                <w:rFonts w:hint="default"/>
              </w:rPr>
            </w:pPr>
            <w:r>
              <w:t>三、培训费</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bidi w:val="0"/>
              <w:rPr>
                <w:rFonts w:hint="default"/>
              </w:rPr>
            </w:pPr>
            <w:r>
              <w:t>—</w:t>
            </w:r>
          </w:p>
        </w:tc>
        <w:tc>
          <w:tcPr>
            <w:tcW w:w="213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bidi w:val="0"/>
              <w:rPr>
                <w:rFonts w:hint="default"/>
              </w:rPr>
            </w:pPr>
            <w:r>
              <w:t xml:space="preserve"> </w:t>
            </w:r>
          </w:p>
        </w:tc>
        <w:tc>
          <w:tcPr>
            <w:tcW w:w="45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bidi w:val="0"/>
              <w:rPr>
                <w:rFonts w:hint="default"/>
              </w:rPr>
            </w:pPr>
          </w:p>
        </w:tc>
        <w:tc>
          <w:tcPr>
            <w:tcW w:w="21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bidi w:val="0"/>
              <w:rPr>
                <w:rFonts w:hint="default"/>
              </w:rPr>
            </w:pPr>
          </w:p>
        </w:tc>
      </w:tr>
    </w:tbl>
    <w:p>
      <w:pPr>
        <w:bidi w:val="0"/>
        <w:rPr>
          <w:rFonts w:hint="default"/>
        </w:rPr>
      </w:pPr>
      <w:r>
        <w:t>备注：1.本表反映单位本年度财政拨款“三公”经费支出预决算情况。其中，预算数为“三公”经费全年预算数，反映按规定程序调整后的预算数；决算数为包括本年度财政拨款和以前年度结转资金安排的实际支出。</w:t>
      </w:r>
      <w:r>
        <w:br w:type="textWrapping"/>
      </w:r>
      <w:r>
        <w:t xml:space="preserve">      2.本套报表金额单位转换时可能存在尾数误差。</w:t>
      </w:r>
      <w:r>
        <w:br w:type="textWrapping"/>
      </w:r>
      <w:r>
        <w:br w:type="textWrapping"/>
      </w:r>
    </w:p>
    <w:sectPr>
      <w:headerReference r:id="rId4" w:type="default"/>
      <w:footerReference r:id="rId5" w:type="default"/>
      <w:pgSz w:w="16839" w:h="11907"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fldChar w:fldCharType="begin"/>
                          </w:r>
                          <w:r>
                            <w:instrText xml:space="preserve"> PAGE  \* MERGEFORMAT </w:instrText>
                          </w:r>
                          <w:r>
                            <w:fldChar w:fldCharType="separate"/>
                          </w:r>
                          <w:r>
                            <w:rPr>
                              <w:rFonts w:hint="default"/>
                            </w:rPr>
                            <w:t>- 4 -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6"/>
                      <w:rPr>
                        <w:rFonts w:hint="default"/>
                      </w:rPr>
                    </w:pPr>
                    <w:r>
                      <w:fldChar w:fldCharType="begin"/>
                    </w:r>
                    <w:r>
                      <w:instrText xml:space="preserve"> PAGE  \* MERGEFORMAT </w:instrText>
                    </w:r>
                    <w:r>
                      <w:fldChar w:fldCharType="separate"/>
                    </w:r>
                    <w:r>
                      <w:rPr>
                        <w:rFonts w:hint="default"/>
                      </w:rPr>
                      <w:t>- 4 -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30 -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30 -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6"/>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6"/>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D39C90"/>
    <w:multiLevelType w:val="singleLevel"/>
    <w:tmpl w:val="C5D39C90"/>
    <w:lvl w:ilvl="0" w:tentative="0">
      <w:start w:val="2"/>
      <w:numFmt w:val="chineseCounting"/>
      <w:suff w:val="nothing"/>
      <w:lvlText w:val="（%1）"/>
      <w:lvlJc w:val="left"/>
      <w:rPr>
        <w:rFonts w:hint="eastAsia"/>
      </w:rPr>
    </w:lvl>
  </w:abstractNum>
  <w:abstractNum w:abstractNumId="1">
    <w:nsid w:val="2F690C2A"/>
    <w:multiLevelType w:val="singleLevel"/>
    <w:tmpl w:val="2F690C2A"/>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HorizontalSpacing w:val="120"/>
  <w:drawingGridVerticalSpacing w:val="163"/>
  <w:displayHorizontalDrawingGridEvery w:val="2"/>
  <w:displayVerticalDrawingGridEvery w:val="2"/>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iMTI0YjdhOGE5OTRhOTI2Y2Q2ZDBiZmFmM2ZjNjkifQ=="/>
  </w:docVars>
  <w:rsids>
    <w:rsidRoot w:val="00B03CCD"/>
    <w:rsid w:val="001D3BB7"/>
    <w:rsid w:val="002B254B"/>
    <w:rsid w:val="00466C9B"/>
    <w:rsid w:val="00550ABE"/>
    <w:rsid w:val="00770383"/>
    <w:rsid w:val="007819D4"/>
    <w:rsid w:val="007B419D"/>
    <w:rsid w:val="007B7C4B"/>
    <w:rsid w:val="007D3D39"/>
    <w:rsid w:val="00994AF7"/>
    <w:rsid w:val="009B67B8"/>
    <w:rsid w:val="009D2B67"/>
    <w:rsid w:val="00A566F9"/>
    <w:rsid w:val="00AF2751"/>
    <w:rsid w:val="00B03CCD"/>
    <w:rsid w:val="00BE2B89"/>
    <w:rsid w:val="00C10E9E"/>
    <w:rsid w:val="00C20C3E"/>
    <w:rsid w:val="00F73F90"/>
    <w:rsid w:val="01474EBF"/>
    <w:rsid w:val="01F3521E"/>
    <w:rsid w:val="032C057E"/>
    <w:rsid w:val="03B87EA0"/>
    <w:rsid w:val="03E3214F"/>
    <w:rsid w:val="044C50BA"/>
    <w:rsid w:val="05BC6D49"/>
    <w:rsid w:val="06194FF1"/>
    <w:rsid w:val="06A2550B"/>
    <w:rsid w:val="06F80EE2"/>
    <w:rsid w:val="07001CCA"/>
    <w:rsid w:val="075678DB"/>
    <w:rsid w:val="079D7CC7"/>
    <w:rsid w:val="08051BCA"/>
    <w:rsid w:val="086C12F4"/>
    <w:rsid w:val="08705944"/>
    <w:rsid w:val="08BA052C"/>
    <w:rsid w:val="08DB07BA"/>
    <w:rsid w:val="0969353F"/>
    <w:rsid w:val="098305D0"/>
    <w:rsid w:val="0A3317EA"/>
    <w:rsid w:val="0A5C4B69"/>
    <w:rsid w:val="0A86124A"/>
    <w:rsid w:val="0AB54CC0"/>
    <w:rsid w:val="0B9335CE"/>
    <w:rsid w:val="0BF2311A"/>
    <w:rsid w:val="0C7927C4"/>
    <w:rsid w:val="0C9B098C"/>
    <w:rsid w:val="0D673E11"/>
    <w:rsid w:val="0DDA54E4"/>
    <w:rsid w:val="0E3A5F83"/>
    <w:rsid w:val="0F836721"/>
    <w:rsid w:val="0FA25D96"/>
    <w:rsid w:val="107B59E5"/>
    <w:rsid w:val="10EC0126"/>
    <w:rsid w:val="10F70B9A"/>
    <w:rsid w:val="111445C7"/>
    <w:rsid w:val="114278C6"/>
    <w:rsid w:val="1158083A"/>
    <w:rsid w:val="11643A4B"/>
    <w:rsid w:val="11ED0F98"/>
    <w:rsid w:val="11F03528"/>
    <w:rsid w:val="122A778F"/>
    <w:rsid w:val="12C921C4"/>
    <w:rsid w:val="13871C70"/>
    <w:rsid w:val="13A71CB4"/>
    <w:rsid w:val="13AF1D43"/>
    <w:rsid w:val="13CE1647"/>
    <w:rsid w:val="13FD55AB"/>
    <w:rsid w:val="14200702"/>
    <w:rsid w:val="15247004"/>
    <w:rsid w:val="163A6CEE"/>
    <w:rsid w:val="173708E3"/>
    <w:rsid w:val="17C374FC"/>
    <w:rsid w:val="182E4AB6"/>
    <w:rsid w:val="189079DC"/>
    <w:rsid w:val="189B0D0B"/>
    <w:rsid w:val="18B43F7C"/>
    <w:rsid w:val="194A1770"/>
    <w:rsid w:val="19B906A4"/>
    <w:rsid w:val="1B6F15B6"/>
    <w:rsid w:val="1BAA2EDC"/>
    <w:rsid w:val="1CA55E64"/>
    <w:rsid w:val="1D014A01"/>
    <w:rsid w:val="1D022362"/>
    <w:rsid w:val="1D1B04B0"/>
    <w:rsid w:val="1DA52501"/>
    <w:rsid w:val="1DBD6767"/>
    <w:rsid w:val="1DC52125"/>
    <w:rsid w:val="1DD26311"/>
    <w:rsid w:val="1E374ACB"/>
    <w:rsid w:val="1ECF0A66"/>
    <w:rsid w:val="1EF67CA4"/>
    <w:rsid w:val="1F020D3A"/>
    <w:rsid w:val="1F2C5189"/>
    <w:rsid w:val="1F4B0B02"/>
    <w:rsid w:val="1FBB35CD"/>
    <w:rsid w:val="1FCD26AF"/>
    <w:rsid w:val="20642787"/>
    <w:rsid w:val="21556F04"/>
    <w:rsid w:val="22403BD3"/>
    <w:rsid w:val="2366189C"/>
    <w:rsid w:val="24B92327"/>
    <w:rsid w:val="24C14514"/>
    <w:rsid w:val="2533755C"/>
    <w:rsid w:val="25791755"/>
    <w:rsid w:val="261461E5"/>
    <w:rsid w:val="26396DF4"/>
    <w:rsid w:val="26B9266C"/>
    <w:rsid w:val="27167136"/>
    <w:rsid w:val="271B442C"/>
    <w:rsid w:val="27B23302"/>
    <w:rsid w:val="29310A5F"/>
    <w:rsid w:val="29C37A35"/>
    <w:rsid w:val="2A076083"/>
    <w:rsid w:val="2A73162E"/>
    <w:rsid w:val="2B167953"/>
    <w:rsid w:val="2B200583"/>
    <w:rsid w:val="2B8209DE"/>
    <w:rsid w:val="2C022AB6"/>
    <w:rsid w:val="2C636760"/>
    <w:rsid w:val="2C6762A3"/>
    <w:rsid w:val="2D2A52B8"/>
    <w:rsid w:val="2DCC667E"/>
    <w:rsid w:val="2FCA4B37"/>
    <w:rsid w:val="2FE029D7"/>
    <w:rsid w:val="2FF06E00"/>
    <w:rsid w:val="30586FEC"/>
    <w:rsid w:val="315F0B22"/>
    <w:rsid w:val="31D84415"/>
    <w:rsid w:val="32285F6F"/>
    <w:rsid w:val="32770556"/>
    <w:rsid w:val="329C0913"/>
    <w:rsid w:val="32AA0460"/>
    <w:rsid w:val="3337290D"/>
    <w:rsid w:val="33E31118"/>
    <w:rsid w:val="33EF7674"/>
    <w:rsid w:val="34290D74"/>
    <w:rsid w:val="342D7BC6"/>
    <w:rsid w:val="352930DB"/>
    <w:rsid w:val="35573069"/>
    <w:rsid w:val="355F6038"/>
    <w:rsid w:val="358C217E"/>
    <w:rsid w:val="36C9128A"/>
    <w:rsid w:val="37841E99"/>
    <w:rsid w:val="37BF1123"/>
    <w:rsid w:val="383C3F15"/>
    <w:rsid w:val="38BE4696"/>
    <w:rsid w:val="3939115E"/>
    <w:rsid w:val="39B82A39"/>
    <w:rsid w:val="39C42CA8"/>
    <w:rsid w:val="39DC4FD6"/>
    <w:rsid w:val="39F03D7A"/>
    <w:rsid w:val="39F33306"/>
    <w:rsid w:val="3A2C1C67"/>
    <w:rsid w:val="3ADD7F09"/>
    <w:rsid w:val="3B1705E5"/>
    <w:rsid w:val="3B18334B"/>
    <w:rsid w:val="3B36794F"/>
    <w:rsid w:val="3B6F6EE0"/>
    <w:rsid w:val="3C566AD6"/>
    <w:rsid w:val="3C594871"/>
    <w:rsid w:val="3C6A5B02"/>
    <w:rsid w:val="3D2757A1"/>
    <w:rsid w:val="3D3D4FC4"/>
    <w:rsid w:val="3DDF3AB1"/>
    <w:rsid w:val="3E1D0952"/>
    <w:rsid w:val="3E42660A"/>
    <w:rsid w:val="3E7555B1"/>
    <w:rsid w:val="3E787ED9"/>
    <w:rsid w:val="3F032E93"/>
    <w:rsid w:val="3F0527E5"/>
    <w:rsid w:val="3F694D83"/>
    <w:rsid w:val="3F885DCC"/>
    <w:rsid w:val="3FCD675E"/>
    <w:rsid w:val="4004000C"/>
    <w:rsid w:val="40BD5482"/>
    <w:rsid w:val="411B6CE5"/>
    <w:rsid w:val="412070D7"/>
    <w:rsid w:val="41314E40"/>
    <w:rsid w:val="41E0734B"/>
    <w:rsid w:val="426C1EA8"/>
    <w:rsid w:val="42736402"/>
    <w:rsid w:val="42E86A87"/>
    <w:rsid w:val="43306658"/>
    <w:rsid w:val="43307B09"/>
    <w:rsid w:val="439A3EB9"/>
    <w:rsid w:val="43BB152F"/>
    <w:rsid w:val="44C37687"/>
    <w:rsid w:val="45CB699A"/>
    <w:rsid w:val="465B470D"/>
    <w:rsid w:val="469D6AD4"/>
    <w:rsid w:val="471E6C84"/>
    <w:rsid w:val="4748792B"/>
    <w:rsid w:val="475D719D"/>
    <w:rsid w:val="47674801"/>
    <w:rsid w:val="48225EF7"/>
    <w:rsid w:val="488F422B"/>
    <w:rsid w:val="48E36915"/>
    <w:rsid w:val="48EB6572"/>
    <w:rsid w:val="495C4A24"/>
    <w:rsid w:val="497135DF"/>
    <w:rsid w:val="4A263DF2"/>
    <w:rsid w:val="4A6F6675"/>
    <w:rsid w:val="4B135857"/>
    <w:rsid w:val="4B7951CB"/>
    <w:rsid w:val="4B7C315C"/>
    <w:rsid w:val="4DAC4ACA"/>
    <w:rsid w:val="4DBE01D2"/>
    <w:rsid w:val="4F0C6BA3"/>
    <w:rsid w:val="4F186D58"/>
    <w:rsid w:val="50F06B6E"/>
    <w:rsid w:val="51D21804"/>
    <w:rsid w:val="52234D33"/>
    <w:rsid w:val="522F6E0C"/>
    <w:rsid w:val="52463BA1"/>
    <w:rsid w:val="52F163D4"/>
    <w:rsid w:val="531A2DB4"/>
    <w:rsid w:val="53AB7723"/>
    <w:rsid w:val="53C0244D"/>
    <w:rsid w:val="53DD4D4E"/>
    <w:rsid w:val="53E578CE"/>
    <w:rsid w:val="541330F0"/>
    <w:rsid w:val="54272666"/>
    <w:rsid w:val="543B029D"/>
    <w:rsid w:val="54861779"/>
    <w:rsid w:val="552256E1"/>
    <w:rsid w:val="554E5773"/>
    <w:rsid w:val="555829E0"/>
    <w:rsid w:val="555A3CBC"/>
    <w:rsid w:val="5582012B"/>
    <w:rsid w:val="558E4E05"/>
    <w:rsid w:val="55BE2E85"/>
    <w:rsid w:val="56530F5D"/>
    <w:rsid w:val="567700D3"/>
    <w:rsid w:val="56FF7E9E"/>
    <w:rsid w:val="578867FC"/>
    <w:rsid w:val="5842572D"/>
    <w:rsid w:val="5A3B59D6"/>
    <w:rsid w:val="5AD134D8"/>
    <w:rsid w:val="5C263CE4"/>
    <w:rsid w:val="5C5D2777"/>
    <w:rsid w:val="5CF66BF3"/>
    <w:rsid w:val="5D290C69"/>
    <w:rsid w:val="5F2D4A41"/>
    <w:rsid w:val="60C74F6C"/>
    <w:rsid w:val="61025A59"/>
    <w:rsid w:val="613D5BBC"/>
    <w:rsid w:val="61536C39"/>
    <w:rsid w:val="61EC02EB"/>
    <w:rsid w:val="62944DD7"/>
    <w:rsid w:val="6319381F"/>
    <w:rsid w:val="63C25DC5"/>
    <w:rsid w:val="63C62057"/>
    <w:rsid w:val="64571EF5"/>
    <w:rsid w:val="64FB113D"/>
    <w:rsid w:val="656152C6"/>
    <w:rsid w:val="6587477F"/>
    <w:rsid w:val="658C3A08"/>
    <w:rsid w:val="65C031CA"/>
    <w:rsid w:val="65CE6852"/>
    <w:rsid w:val="66267C04"/>
    <w:rsid w:val="663F505A"/>
    <w:rsid w:val="66EE5541"/>
    <w:rsid w:val="67924660"/>
    <w:rsid w:val="68407834"/>
    <w:rsid w:val="6883293E"/>
    <w:rsid w:val="688412AD"/>
    <w:rsid w:val="68EB1B71"/>
    <w:rsid w:val="6A6C7940"/>
    <w:rsid w:val="6AAD2300"/>
    <w:rsid w:val="6B474EF5"/>
    <w:rsid w:val="6C0A5AC5"/>
    <w:rsid w:val="6C560CAE"/>
    <w:rsid w:val="6C576495"/>
    <w:rsid w:val="6D903FF5"/>
    <w:rsid w:val="6DA955B8"/>
    <w:rsid w:val="6DE346AB"/>
    <w:rsid w:val="6DE5391A"/>
    <w:rsid w:val="6EFD1324"/>
    <w:rsid w:val="6F5A53AC"/>
    <w:rsid w:val="6FAC003D"/>
    <w:rsid w:val="6FE55E12"/>
    <w:rsid w:val="6FFB2E76"/>
    <w:rsid w:val="708F6F7F"/>
    <w:rsid w:val="70D94BD3"/>
    <w:rsid w:val="71C34D91"/>
    <w:rsid w:val="72DB435C"/>
    <w:rsid w:val="72E2613A"/>
    <w:rsid w:val="72F771F4"/>
    <w:rsid w:val="73473809"/>
    <w:rsid w:val="73934AD2"/>
    <w:rsid w:val="750837F0"/>
    <w:rsid w:val="754758CF"/>
    <w:rsid w:val="764F62AB"/>
    <w:rsid w:val="765C45EC"/>
    <w:rsid w:val="768A7619"/>
    <w:rsid w:val="772E1EBA"/>
    <w:rsid w:val="781926BC"/>
    <w:rsid w:val="796D60A4"/>
    <w:rsid w:val="79A031D5"/>
    <w:rsid w:val="7A1525F7"/>
    <w:rsid w:val="7B420052"/>
    <w:rsid w:val="7BD06A28"/>
    <w:rsid w:val="7C3A7C0B"/>
    <w:rsid w:val="7C5248E4"/>
    <w:rsid w:val="7C566698"/>
    <w:rsid w:val="7C5866A3"/>
    <w:rsid w:val="7D7406BB"/>
    <w:rsid w:val="7DE94331"/>
    <w:rsid w:val="7EB42376"/>
    <w:rsid w:val="7F446A19"/>
    <w:rsid w:val="7F7452B9"/>
    <w:rsid w:val="7FB200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paragraph" w:styleId="4">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widowControl/>
      <w:spacing w:before="100" w:beforeAutospacing="1" w:after="100" w:afterAutospacing="1"/>
      <w:jc w:val="left"/>
    </w:pPr>
    <w:rPr>
      <w:rFonts w:ascii="宋体" w:hAnsi="宋体" w:cs="宋体"/>
      <w:kern w:val="0"/>
      <w:sz w:val="24"/>
    </w:rPr>
  </w:style>
  <w:style w:type="paragraph" w:styleId="3">
    <w:name w:val="Date"/>
    <w:basedOn w:val="1"/>
    <w:next w:val="1"/>
    <w:qFormat/>
    <w:uiPriority w:val="0"/>
    <w:pPr>
      <w:ind w:left="100" w:leftChars="2500"/>
    </w:pPr>
  </w:style>
  <w:style w:type="paragraph" w:styleId="5">
    <w:name w:val="Balloon Text"/>
    <w:basedOn w:val="1"/>
    <w:link w:val="18"/>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9">
    <w:name w:val="Normal (Web)"/>
    <w:basedOn w:val="1"/>
    <w:unhideWhenUsed/>
    <w:qFormat/>
    <w:uiPriority w:val="0"/>
    <w:pPr>
      <w:spacing w:before="100" w:beforeAutospacing="1" w:after="100" w:afterAutospacing="1"/>
    </w:pPr>
  </w:style>
  <w:style w:type="character" w:styleId="11">
    <w:name w:val="Strong"/>
    <w:qFormat/>
    <w:uiPriority w:val="0"/>
    <w:rPr>
      <w:b/>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列出段落1"/>
    <w:basedOn w:val="1"/>
    <w:qFormat/>
    <w:uiPriority w:val="99"/>
    <w:pPr>
      <w:ind w:firstLine="420" w:firstLineChars="200"/>
    </w:pPr>
    <w:rPr>
      <w:rFonts w:hint="default"/>
    </w:rPr>
  </w:style>
  <w:style w:type="paragraph" w:customStyle="1" w:styleId="15">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6">
    <w:name w:val="21"/>
    <w:qFormat/>
    <w:uiPriority w:val="0"/>
    <w:rPr>
      <w:rFonts w:hint="default" w:ascii="Wingdings" w:hAnsi="Wingdings" w:cs="Wingdings"/>
      <w:b/>
      <w:bCs/>
    </w:rPr>
  </w:style>
  <w:style w:type="paragraph" w:customStyle="1" w:styleId="17">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8">
    <w:name w:val="批注框文本 Char"/>
    <w:basedOn w:val="10"/>
    <w:link w:val="5"/>
    <w:qFormat/>
    <w:uiPriority w:val="0"/>
    <w:rPr>
      <w:rFonts w:ascii="宋体" w:hAnsi="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25</Pages>
  <Words>8072</Words>
  <Characters>9976</Characters>
  <Lines>190</Lines>
  <Paragraphs>53</Paragraphs>
  <TotalTime>2</TotalTime>
  <ScaleCrop>false</ScaleCrop>
  <LinksUpToDate>false</LinksUpToDate>
  <CharactersWithSpaces>11100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龚盼</cp:lastModifiedBy>
  <dcterms:modified xsi:type="dcterms:W3CDTF">2024-09-30T02:32:48Z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