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kinsoku/>
        <w:wordWrap/>
        <w:overflowPunct/>
        <w:topLinePunct w:val="0"/>
        <w:autoSpaceDN/>
        <w:bidi w:val="0"/>
        <w:adjustRightInd/>
        <w:spacing w:before="0" w:beforeAutospacing="0" w:afterAutospacing="0" w:line="560" w:lineRule="exact"/>
        <w:jc w:val="center"/>
        <w:textAlignment w:val="auto"/>
        <w:outlineLvl w:val="9"/>
        <w:rPr>
          <w:rFonts w:hint="eastAsia" w:ascii="方正小标宋_GBK" w:hAnsi="方正小标宋_GBK" w:eastAsia="方正小标宋_GBK" w:cs="方正小标宋_GBK"/>
          <w:b w:val="0"/>
          <w:bCs w:val="0"/>
          <w:sz w:val="44"/>
          <w:szCs w:val="44"/>
          <w:shd w:val="clear" w:color="auto" w:fill="FFFFFF"/>
        </w:rPr>
      </w:pPr>
      <w:r>
        <w:rPr>
          <w:rFonts w:hint="eastAsia" w:ascii="方正小标宋_GBK" w:hAnsi="方正小标宋_GBK" w:eastAsia="方正小标宋_GBK" w:cs="方正小标宋_GBK"/>
          <w:b w:val="0"/>
          <w:bCs w:val="0"/>
          <w:sz w:val="44"/>
          <w:szCs w:val="44"/>
        </w:rPr>
        <w:t>重庆市秀山土家族苗族自治县膏田镇卫生院</w:t>
      </w:r>
      <w:r>
        <w:rPr>
          <w:rFonts w:hint="eastAsia" w:ascii="方正小标宋_GBK" w:hAnsi="方正小标宋_GBK" w:eastAsia="方正小标宋_GBK" w:cs="方正小标宋_GBK"/>
          <w:b w:val="0"/>
          <w:bCs w:val="0"/>
          <w:sz w:val="44"/>
          <w:szCs w:val="44"/>
          <w:shd w:val="clear" w:color="auto" w:fill="FFFFFF"/>
        </w:rPr>
        <w:t>2023年度决算公开说明</w:t>
      </w:r>
    </w:p>
    <w:p>
      <w:pPr>
        <w:pStyle w:val="9"/>
        <w:keepNext w:val="0"/>
        <w:keepLines w:val="0"/>
        <w:pageBreakBefore w:val="0"/>
        <w:widowControl/>
        <w:kinsoku/>
        <w:wordWrap/>
        <w:overflowPunct/>
        <w:topLinePunct w:val="0"/>
        <w:autoSpaceDN/>
        <w:bidi w:val="0"/>
        <w:adjustRightInd/>
        <w:spacing w:before="0" w:beforeAutospacing="0" w:afterAutospacing="0" w:line="560" w:lineRule="exact"/>
        <w:jc w:val="center"/>
        <w:textAlignment w:val="auto"/>
        <w:outlineLvl w:val="9"/>
        <w:rPr>
          <w:rFonts w:hint="eastAsia" w:ascii="方正小标宋_GBK" w:hAnsi="方正小标宋_GBK" w:eastAsia="方正小标宋_GBK" w:cs="方正小标宋_GBK"/>
          <w:b w:val="0"/>
          <w:bCs w:val="0"/>
          <w:sz w:val="44"/>
          <w:szCs w:val="44"/>
          <w:shd w:val="clear" w:color="auto" w:fill="FFFFFF"/>
        </w:rPr>
      </w:pP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黑体_GBK" w:hAnsi="方正黑体_GBK" w:eastAsia="方正黑体_GBK" w:cs="方正黑体_GBK"/>
          <w:b w:val="0"/>
          <w:bCs w:val="0"/>
          <w:sz w:val="32"/>
          <w:szCs w:val="32"/>
        </w:rPr>
      </w:pPr>
      <w:r>
        <w:rPr>
          <w:rStyle w:val="11"/>
          <w:rFonts w:hint="eastAsia" w:ascii="方正黑体_GBK" w:hAnsi="方正黑体_GBK" w:eastAsia="方正黑体_GBK" w:cs="方正黑体_GBK"/>
          <w:b w:val="0"/>
          <w:bCs w:val="0"/>
          <w:sz w:val="32"/>
          <w:szCs w:val="32"/>
          <w:shd w:val="clear" w:color="auto" w:fill="FFFFFF"/>
        </w:rPr>
        <w:t>一、单位基本情况</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（一）职能职责</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仿宋_GBK" w:cs="Times New Roman"/>
          <w:b w:val="0"/>
          <w:bCs w:val="0"/>
          <w:sz w:val="32"/>
          <w:szCs w:val="32"/>
          <w:shd w:val="clear" w:color="auto" w:fill="FFFFFF"/>
        </w:rPr>
      </w:pPr>
      <w:bookmarkStart w:id="0" w:name="OLE_LINK1"/>
      <w:r>
        <w:rPr>
          <w:rStyle w:val="11"/>
          <w:rFonts w:hint="default" w:ascii="Times New Roman" w:hAnsi="Times New Roman" w:eastAsia="方正仿宋_GBK" w:cs="Times New Roman"/>
          <w:b w:val="0"/>
          <w:bCs w:val="0"/>
          <w:sz w:val="32"/>
          <w:szCs w:val="32"/>
          <w:shd w:val="clear" w:color="auto" w:fill="FFFFFF"/>
        </w:rPr>
        <w:t>本单位属基层医疗卫生机构，为非</w:t>
      </w:r>
      <w:r>
        <w:rPr>
          <w:rStyle w:val="11"/>
          <w:rFonts w:hint="default" w:ascii="Times New Roman" w:hAnsi="Times New Roman" w:eastAsia="方正仿宋_GBK" w:cs="Times New Roman"/>
          <w:b w:val="0"/>
          <w:bCs w:val="0"/>
          <w:sz w:val="32"/>
          <w:szCs w:val="32"/>
          <w:shd w:val="clear" w:color="auto" w:fill="FFFFFF"/>
          <w:lang w:eastAsia="zh-CN"/>
        </w:rPr>
        <w:t>营</w:t>
      </w:r>
      <w:r>
        <w:rPr>
          <w:rStyle w:val="11"/>
          <w:rFonts w:hint="default" w:ascii="Times New Roman" w:hAnsi="Times New Roman" w:eastAsia="方正仿宋_GBK" w:cs="Times New Roman"/>
          <w:b w:val="0"/>
          <w:bCs w:val="0"/>
          <w:sz w:val="32"/>
          <w:szCs w:val="32"/>
          <w:shd w:val="clear" w:color="auto" w:fill="FFFFFF"/>
        </w:rPr>
        <w:t>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乡镇卫生院，应当履行以下公共卫生职责：</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1.根据国家和本市规定收集、报送辖区内卫生健康信息，建立和管理居民健康档案，提出改进辖区公共卫生状况的建议；</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2.开展健康教育</w:t>
      </w:r>
      <w:r>
        <w:rPr>
          <w:rStyle w:val="11"/>
          <w:rFonts w:hint="eastAsia" w:ascii="Times New Roman" w:hAnsi="Times New Roman" w:eastAsia="方正仿宋_GBK" w:cs="Times New Roman"/>
          <w:b w:val="0"/>
          <w:bCs w:val="0"/>
          <w:sz w:val="32"/>
          <w:szCs w:val="32"/>
          <w:shd w:val="clear" w:color="auto" w:fill="FFFFFF"/>
          <w:lang w:eastAsia="zh-CN"/>
        </w:rPr>
        <w:t>，</w:t>
      </w:r>
      <w:r>
        <w:rPr>
          <w:rStyle w:val="11"/>
          <w:rFonts w:hint="default" w:ascii="Times New Roman" w:hAnsi="Times New Roman" w:eastAsia="方正仿宋_GBK" w:cs="Times New Roman"/>
          <w:b w:val="0"/>
          <w:bCs w:val="0"/>
          <w:sz w:val="32"/>
          <w:szCs w:val="32"/>
          <w:shd w:val="clear" w:color="auto" w:fill="FFFFFF"/>
        </w:rPr>
        <w:t>普及健康知识；</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3.协助开展传染病以及地方病、寄生虫病的预防控制，配合开展爱国卫生工作；</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4.做好高危人群、重点慢性病患者的筛查和病例管理；</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5.提供心理健康指导服务，实施精神病社区管理；</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6.为妇女、儿童、老年人、残疾人等重点人群提供保健和康复服务；</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7.提供计划生育技术服务，协助处置辖区内突发公共卫生事件等；</w:t>
      </w:r>
    </w:p>
    <w:p>
      <w:pPr>
        <w:pStyle w:val="9"/>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Style w:val="11"/>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8.按要求提供其他公共卫生服务。</w:t>
      </w:r>
    </w:p>
    <w:bookmarkEnd w:id="0"/>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（二）机构设置</w:t>
      </w:r>
    </w:p>
    <w:p>
      <w:pPr>
        <w:pStyle w:val="15"/>
        <w:keepNext w:val="0"/>
        <w:keepLines w:val="0"/>
        <w:pageBreakBefore w:val="0"/>
        <w:widowControl w:val="0"/>
        <w:shd w:val="clear" w:color="auto" w:fill="FFFFFF"/>
        <w:kinsoku/>
        <w:wordWrap/>
        <w:overflowPunct/>
        <w:topLinePunct w:val="0"/>
        <w:autoSpaceDE w:val="0"/>
        <w:autoSpaceDN/>
        <w:bidi w:val="0"/>
        <w:adjustRightInd/>
        <w:spacing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shd w:val="clear" w:color="auto" w:fill="FFFFFF"/>
        </w:rPr>
      </w:pPr>
      <w:r>
        <w:rPr>
          <w:rFonts w:hint="default" w:ascii="方正仿宋_GBK" w:hAnsi="方正仿宋_GBK" w:eastAsia="方正仿宋_GBK" w:cs="方正仿宋_GBK"/>
          <w:sz w:val="32"/>
          <w:szCs w:val="32"/>
          <w:shd w:val="clear" w:color="auto" w:fill="FFFFFF"/>
        </w:rPr>
        <w:t>本单位下设办公室、财务科、医务科、门诊部、中医科、医技科、库房、药房、收费室、综合住院部。本单位为秀山县卫生健康委员会二级预算单位，无下级预算单位。</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黑体_GBK" w:hAnsi="方正黑体_GBK" w:eastAsia="方正黑体_GBK" w:cs="方正黑体_GBK"/>
          <w:b w:val="0"/>
          <w:bCs w:val="0"/>
          <w:sz w:val="32"/>
          <w:szCs w:val="32"/>
          <w:shd w:val="clear" w:color="auto" w:fill="FFFFFF"/>
        </w:rPr>
        <w:t>二、单位决算情况说明</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（一）收入支出决算总体情况说明</w:t>
      </w:r>
    </w:p>
    <w:p>
      <w:pPr>
        <w:pStyle w:val="15"/>
        <w:keepNext w:val="0"/>
        <w:keepLines w:val="0"/>
        <w:pageBreakBefore w:val="0"/>
        <w:widowControl w:val="0"/>
        <w:kinsoku/>
        <w:wordWrap/>
        <w:overflowPunct/>
        <w:topLinePunct w:val="0"/>
        <w:autoSpaceDE w:val="0"/>
        <w:autoSpaceDN/>
        <w:bidi w:val="0"/>
        <w:adjustRightInd/>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b w:val="0"/>
          <w:bCs w:val="0"/>
          <w:sz w:val="32"/>
          <w:szCs w:val="32"/>
        </w:rPr>
      </w:pPr>
      <w:r>
        <w:rPr>
          <w:rStyle w:val="11"/>
          <w:rFonts w:hint="default" w:ascii="Times New Roman" w:hAnsi="Times New Roman" w:eastAsia="方正仿宋_GBK" w:cs="Times New Roman"/>
          <w:b/>
          <w:bCs/>
          <w:sz w:val="32"/>
          <w:szCs w:val="32"/>
          <w:shd w:val="clear" w:color="auto" w:fill="FFFFFF"/>
        </w:rPr>
        <w:t>1.总体情况。</w:t>
      </w:r>
      <w:r>
        <w:rPr>
          <w:rFonts w:hint="default" w:ascii="Times New Roman" w:hAnsi="Times New Roman" w:eastAsia="方正仿宋_GBK" w:cs="Times New Roman"/>
          <w:b w:val="0"/>
          <w:bCs w:val="0"/>
          <w:sz w:val="32"/>
          <w:szCs w:val="32"/>
          <w:shd w:val="clear" w:color="auto" w:fill="FFFFFF"/>
        </w:rPr>
        <w:t>2023年度收入总计519.09万元，支出总计</w:t>
      </w:r>
      <w:r>
        <w:rPr>
          <w:rFonts w:hint="default" w:ascii="Times New Roman" w:hAnsi="Times New Roman" w:eastAsia="方正仿宋_GBK" w:cs="Times New Roman"/>
          <w:b w:val="0"/>
          <w:bCs w:val="0"/>
          <w:sz w:val="32"/>
          <w:szCs w:val="32"/>
        </w:rPr>
        <w:t>519.09</w:t>
      </w:r>
      <w:r>
        <w:rPr>
          <w:rFonts w:hint="default" w:ascii="Times New Roman" w:hAnsi="Times New Roman" w:eastAsia="方正仿宋_GBK" w:cs="Times New Roman"/>
          <w:b w:val="0"/>
          <w:bCs w:val="0"/>
          <w:sz w:val="32"/>
          <w:szCs w:val="32"/>
          <w:shd w:val="clear" w:color="auto" w:fill="FFFFFF"/>
        </w:rPr>
        <w:t>万元。收支较上年决算数增加36.26万元，增长7.51%，主要原因是</w:t>
      </w:r>
      <w:r>
        <w:rPr>
          <w:rFonts w:hint="default" w:ascii="Times New Roman" w:hAnsi="Times New Roman" w:eastAsia="方正仿宋_GBK" w:cs="Times New Roman"/>
          <w:sz w:val="32"/>
          <w:szCs w:val="32"/>
        </w:rPr>
        <w:t>本单位202</w:t>
      </w:r>
      <w:r>
        <w:rPr>
          <w:rFonts w:hint="eastAsia"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年度事业收入及财政拨款收入增加，同时院内人员支出、医疗支出等相应增加。</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bCs/>
          <w:sz w:val="32"/>
          <w:szCs w:val="32"/>
          <w:shd w:val="clear" w:color="auto" w:fill="FFFFFF"/>
        </w:rPr>
        <w:t>2.收入情况。</w:t>
      </w:r>
      <w:r>
        <w:rPr>
          <w:rFonts w:hint="default" w:ascii="Times New Roman" w:hAnsi="Times New Roman" w:eastAsia="方正仿宋_GBK" w:cs="Times New Roman"/>
          <w:b w:val="0"/>
          <w:bCs w:val="0"/>
          <w:sz w:val="32"/>
          <w:szCs w:val="32"/>
          <w:shd w:val="clear" w:color="auto" w:fill="FFFFFF"/>
        </w:rPr>
        <w:t>2023年度收入合计512.89万元，较上年决算数增加30.06万元，增长6.23%，主要原因是</w:t>
      </w:r>
      <w:r>
        <w:rPr>
          <w:rFonts w:hint="default" w:ascii="Times New Roman" w:hAnsi="Times New Roman" w:eastAsia="方正仿宋_GBK" w:cs="Times New Roman"/>
          <w:sz w:val="32"/>
          <w:szCs w:val="32"/>
        </w:rPr>
        <w:t>财政拨款收入</w:t>
      </w:r>
      <w:r>
        <w:rPr>
          <w:rFonts w:hint="eastAsia" w:ascii="Times New Roman" w:hAnsi="Times New Roman" w:eastAsia="方正仿宋_GBK" w:cs="Times New Roman"/>
          <w:sz w:val="32"/>
          <w:szCs w:val="32"/>
          <w:lang w:val="en-US" w:eastAsia="zh-CN"/>
        </w:rPr>
        <w:t>和事业收入</w:t>
      </w:r>
      <w:r>
        <w:rPr>
          <w:rFonts w:hint="default" w:ascii="Times New Roman" w:hAnsi="Times New Roman" w:eastAsia="方正仿宋_GBK" w:cs="Times New Roman"/>
          <w:sz w:val="32"/>
          <w:szCs w:val="32"/>
        </w:rPr>
        <w:t>增加</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b w:val="0"/>
          <w:bCs w:val="0"/>
          <w:sz w:val="32"/>
          <w:szCs w:val="32"/>
          <w:shd w:val="clear" w:color="auto" w:fill="FFFFFF"/>
        </w:rPr>
        <w:t>其中：财政拨款收入</w:t>
      </w:r>
      <w:r>
        <w:rPr>
          <w:rFonts w:hint="default" w:ascii="Times New Roman" w:hAnsi="Times New Roman" w:eastAsia="方正仿宋_GBK" w:cs="Times New Roman"/>
          <w:b w:val="0"/>
          <w:bCs w:val="0"/>
          <w:sz w:val="32"/>
          <w:szCs w:val="32"/>
        </w:rPr>
        <w:t>270.16</w:t>
      </w:r>
      <w:r>
        <w:rPr>
          <w:rFonts w:hint="default" w:ascii="Times New Roman" w:hAnsi="Times New Roman" w:eastAsia="方正仿宋_GBK" w:cs="Times New Roman"/>
          <w:b w:val="0"/>
          <w:bCs w:val="0"/>
          <w:sz w:val="32"/>
          <w:szCs w:val="32"/>
          <w:shd w:val="clear" w:color="auto" w:fill="FFFFFF"/>
        </w:rPr>
        <w:t>万元，占</w:t>
      </w:r>
      <w:r>
        <w:rPr>
          <w:rFonts w:hint="default" w:ascii="Times New Roman" w:hAnsi="Times New Roman" w:eastAsia="方正仿宋_GBK" w:cs="Times New Roman"/>
          <w:b w:val="0"/>
          <w:bCs w:val="0"/>
          <w:sz w:val="32"/>
          <w:szCs w:val="32"/>
        </w:rPr>
        <w:t>52.67</w:t>
      </w:r>
      <w:r>
        <w:rPr>
          <w:rFonts w:hint="default" w:ascii="Times New Roman" w:hAnsi="Times New Roman" w:eastAsia="方正仿宋_GBK" w:cs="Times New Roman"/>
          <w:b w:val="0"/>
          <w:bCs w:val="0"/>
          <w:sz w:val="32"/>
          <w:szCs w:val="32"/>
          <w:shd w:val="clear" w:color="auto" w:fill="FFFFFF"/>
        </w:rPr>
        <w:t>%；事业收入</w:t>
      </w:r>
      <w:r>
        <w:rPr>
          <w:rFonts w:hint="default" w:ascii="Times New Roman" w:hAnsi="Times New Roman" w:eastAsia="方正仿宋_GBK" w:cs="Times New Roman"/>
          <w:b w:val="0"/>
          <w:bCs w:val="0"/>
          <w:sz w:val="32"/>
          <w:szCs w:val="32"/>
        </w:rPr>
        <w:t>226.44</w:t>
      </w:r>
      <w:r>
        <w:rPr>
          <w:rFonts w:hint="default" w:ascii="Times New Roman" w:hAnsi="Times New Roman" w:eastAsia="方正仿宋_GBK" w:cs="Times New Roman"/>
          <w:b w:val="0"/>
          <w:bCs w:val="0"/>
          <w:sz w:val="32"/>
          <w:szCs w:val="32"/>
          <w:shd w:val="clear" w:color="auto" w:fill="FFFFFF"/>
        </w:rPr>
        <w:t>万元，占44.15%；经营收入</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万元，占0.00%；其他收入</w:t>
      </w:r>
      <w:r>
        <w:rPr>
          <w:rFonts w:hint="default" w:ascii="Times New Roman" w:hAnsi="Times New Roman" w:eastAsia="方正仿宋_GBK" w:cs="Times New Roman"/>
          <w:b w:val="0"/>
          <w:bCs w:val="0"/>
          <w:sz w:val="32"/>
          <w:szCs w:val="32"/>
        </w:rPr>
        <w:t>16.29</w:t>
      </w:r>
      <w:r>
        <w:rPr>
          <w:rFonts w:hint="default" w:ascii="Times New Roman" w:hAnsi="Times New Roman" w:eastAsia="方正仿宋_GBK" w:cs="Times New Roman"/>
          <w:b w:val="0"/>
          <w:bCs w:val="0"/>
          <w:sz w:val="32"/>
          <w:szCs w:val="32"/>
          <w:shd w:val="clear" w:color="auto" w:fill="FFFFFF"/>
        </w:rPr>
        <w:t>万元，占3.18%。此外，使用非财政拨款结余和专用结余</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万元，年初结转和结余</w:t>
      </w:r>
      <w:r>
        <w:rPr>
          <w:rFonts w:hint="default" w:ascii="Times New Roman" w:hAnsi="Times New Roman" w:eastAsia="方正仿宋_GBK" w:cs="Times New Roman"/>
          <w:b w:val="0"/>
          <w:bCs w:val="0"/>
          <w:sz w:val="32"/>
          <w:szCs w:val="32"/>
        </w:rPr>
        <w:t>6.20</w:t>
      </w:r>
      <w:r>
        <w:rPr>
          <w:rFonts w:hint="default" w:ascii="Times New Roman" w:hAnsi="Times New Roman" w:eastAsia="方正仿宋_GBK" w:cs="Times New Roman"/>
          <w:b w:val="0"/>
          <w:bCs w:val="0"/>
          <w:sz w:val="32"/>
          <w:szCs w:val="32"/>
          <w:shd w:val="clear" w:color="auto" w:fill="FFFFFF"/>
        </w:rPr>
        <w:t>万元。</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bCs/>
          <w:sz w:val="32"/>
          <w:szCs w:val="32"/>
          <w:shd w:val="clear" w:color="auto" w:fill="FFFFFF"/>
        </w:rPr>
        <w:t>3.支出情况。</w:t>
      </w:r>
      <w:r>
        <w:rPr>
          <w:rFonts w:hint="default" w:ascii="Times New Roman" w:hAnsi="Times New Roman" w:eastAsia="方正仿宋_GBK" w:cs="Times New Roman"/>
          <w:b w:val="0"/>
          <w:bCs w:val="0"/>
          <w:sz w:val="32"/>
          <w:szCs w:val="32"/>
          <w:shd w:val="clear" w:color="auto" w:fill="FFFFFF"/>
        </w:rPr>
        <w:t>2023年度支出合计</w:t>
      </w:r>
      <w:r>
        <w:rPr>
          <w:rFonts w:hint="default" w:ascii="Times New Roman" w:hAnsi="Times New Roman" w:eastAsia="方正仿宋_GBK" w:cs="Times New Roman"/>
          <w:b w:val="0"/>
          <w:bCs w:val="0"/>
          <w:sz w:val="32"/>
          <w:szCs w:val="32"/>
        </w:rPr>
        <w:t>491.69</w:t>
      </w:r>
      <w:r>
        <w:rPr>
          <w:rFonts w:hint="default" w:ascii="Times New Roman" w:hAnsi="Times New Roman" w:eastAsia="方正仿宋_GBK" w:cs="Times New Roman"/>
          <w:b w:val="0"/>
          <w:bCs w:val="0"/>
          <w:sz w:val="32"/>
          <w:szCs w:val="32"/>
          <w:shd w:val="clear" w:color="auto" w:fill="FFFFFF"/>
        </w:rPr>
        <w:t>万元，较上年决算数增加15.06万元，增长3.16%，主要原因是</w:t>
      </w:r>
      <w:r>
        <w:rPr>
          <w:rFonts w:hint="eastAsia" w:ascii="Times New Roman" w:hAnsi="Times New Roman" w:eastAsia="方正仿宋_GBK" w:cs="Times New Roman"/>
          <w:b w:val="0"/>
          <w:bCs w:val="0"/>
          <w:sz w:val="32"/>
          <w:szCs w:val="32"/>
          <w:shd w:val="clear" w:color="auto" w:fill="FFFFFF"/>
          <w:lang w:val="en-US" w:eastAsia="zh-CN"/>
        </w:rPr>
        <w:t>基本支出增加，社会保障和就业支出和住房保障支出增幅较大。</w:t>
      </w:r>
      <w:r>
        <w:rPr>
          <w:rFonts w:hint="default" w:ascii="Times New Roman" w:hAnsi="Times New Roman" w:eastAsia="方正仿宋_GBK" w:cs="Times New Roman"/>
          <w:b w:val="0"/>
          <w:bCs w:val="0"/>
          <w:sz w:val="32"/>
          <w:szCs w:val="32"/>
          <w:shd w:val="clear" w:color="auto" w:fill="FFFFFF"/>
        </w:rPr>
        <w:t>其中：基本支出</w:t>
      </w:r>
      <w:r>
        <w:rPr>
          <w:rFonts w:hint="default" w:ascii="Times New Roman" w:hAnsi="Times New Roman" w:eastAsia="方正仿宋_GBK" w:cs="Times New Roman"/>
          <w:b w:val="0"/>
          <w:bCs w:val="0"/>
          <w:sz w:val="32"/>
          <w:szCs w:val="32"/>
        </w:rPr>
        <w:t>469.95</w:t>
      </w:r>
      <w:r>
        <w:rPr>
          <w:rFonts w:hint="default" w:ascii="Times New Roman" w:hAnsi="Times New Roman" w:eastAsia="方正仿宋_GBK" w:cs="Times New Roman"/>
          <w:b w:val="0"/>
          <w:bCs w:val="0"/>
          <w:sz w:val="32"/>
          <w:szCs w:val="32"/>
          <w:shd w:val="clear" w:color="auto" w:fill="FFFFFF"/>
        </w:rPr>
        <w:t>万元，占95.58%；项目支出</w:t>
      </w:r>
      <w:r>
        <w:rPr>
          <w:rFonts w:hint="default" w:ascii="Times New Roman" w:hAnsi="Times New Roman" w:eastAsia="方正仿宋_GBK" w:cs="Times New Roman"/>
          <w:b w:val="0"/>
          <w:bCs w:val="0"/>
          <w:sz w:val="32"/>
          <w:szCs w:val="32"/>
        </w:rPr>
        <w:t>21.74</w:t>
      </w:r>
      <w:r>
        <w:rPr>
          <w:rFonts w:hint="default" w:ascii="Times New Roman" w:hAnsi="Times New Roman" w:eastAsia="方正仿宋_GBK" w:cs="Times New Roman"/>
          <w:b w:val="0"/>
          <w:bCs w:val="0"/>
          <w:sz w:val="32"/>
          <w:szCs w:val="32"/>
          <w:shd w:val="clear" w:color="auto" w:fill="FFFFFF"/>
        </w:rPr>
        <w:t>万元，占4.42%；经营支出</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万元，占0.00%。此外，结余分配</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w:t>
      </w:r>
    </w:p>
    <w:p>
      <w:pPr>
        <w:pStyle w:val="15"/>
        <w:keepNext w:val="0"/>
        <w:keepLines w:val="0"/>
        <w:pageBreakBefore w:val="0"/>
        <w:widowControl w:val="0"/>
        <w:shd w:val="clear" w:color="auto" w:fill="FFFFFF"/>
        <w:kinsoku/>
        <w:wordWrap/>
        <w:overflowPunct/>
        <w:topLinePunct w:val="0"/>
        <w:autoSpaceDE w:val="0"/>
        <w:autoSpaceDN/>
        <w:bidi w:val="0"/>
        <w:adjustRightInd/>
        <w:spacing w:beforeAutospacing="0" w:after="0" w:afterAutospacing="0" w:line="560" w:lineRule="exact"/>
        <w:ind w:firstLine="643" w:firstLineChars="200"/>
        <w:jc w:val="both"/>
        <w:textAlignment w:val="auto"/>
        <w:rPr>
          <w:rFonts w:hint="default" w:ascii="Times New Roman" w:hAnsi="Times New Roman" w:eastAsia="方正仿宋_GBK" w:cs="Times New Roman"/>
          <w:b w:val="0"/>
          <w:bCs w:val="0"/>
          <w:sz w:val="32"/>
          <w:szCs w:val="32"/>
        </w:rPr>
      </w:pPr>
      <w:r>
        <w:rPr>
          <w:rStyle w:val="11"/>
          <w:rFonts w:hint="default" w:ascii="Times New Roman" w:hAnsi="Times New Roman" w:eastAsia="方正仿宋_GBK" w:cs="Times New Roman"/>
          <w:b/>
          <w:bCs/>
          <w:sz w:val="32"/>
          <w:szCs w:val="32"/>
          <w:shd w:val="clear" w:color="auto" w:fill="FFFFFF"/>
        </w:rPr>
        <w:t>4.结转结余情况。</w:t>
      </w:r>
      <w:r>
        <w:rPr>
          <w:rFonts w:hint="default" w:ascii="Times New Roman" w:hAnsi="Times New Roman" w:eastAsia="方正仿宋_GBK" w:cs="Times New Roman"/>
          <w:b w:val="0"/>
          <w:bCs w:val="0"/>
          <w:sz w:val="32"/>
          <w:szCs w:val="32"/>
          <w:shd w:val="clear" w:color="auto" w:fill="FFFFFF"/>
        </w:rPr>
        <w:t>2023年度年末结转和结余</w:t>
      </w:r>
      <w:r>
        <w:rPr>
          <w:rFonts w:hint="default" w:ascii="Times New Roman" w:hAnsi="Times New Roman" w:eastAsia="方正仿宋_GBK" w:cs="Times New Roman"/>
          <w:b w:val="0"/>
          <w:bCs w:val="0"/>
          <w:sz w:val="32"/>
          <w:szCs w:val="32"/>
        </w:rPr>
        <w:t>27.40</w:t>
      </w:r>
      <w:r>
        <w:rPr>
          <w:rFonts w:hint="default" w:ascii="Times New Roman" w:hAnsi="Times New Roman" w:eastAsia="方正仿宋_GBK" w:cs="Times New Roman"/>
          <w:b w:val="0"/>
          <w:bCs w:val="0"/>
          <w:sz w:val="32"/>
          <w:szCs w:val="32"/>
          <w:shd w:val="clear" w:color="auto" w:fill="FFFFFF"/>
        </w:rPr>
        <w:t>万元，较上年决算数增加21.20万元，增长341.94%，主要原因是</w:t>
      </w:r>
      <w:r>
        <w:rPr>
          <w:rStyle w:val="19"/>
          <w:rFonts w:hint="eastAsia" w:ascii="Times New Roman" w:hAnsi="Times New Roman" w:eastAsia="方正仿宋_GBK" w:cs="Times New Roman"/>
          <w:b w:val="0"/>
          <w:bCs/>
          <w:color w:val="auto"/>
          <w:sz w:val="32"/>
          <w:szCs w:val="32"/>
          <w:shd w:val="clear" w:color="auto" w:fill="FFFFFF"/>
          <w:lang w:eastAsia="zh-CN"/>
        </w:rPr>
        <w:t>财政拨款收入及事业收入增加</w:t>
      </w:r>
      <w:r>
        <w:rPr>
          <w:rStyle w:val="19"/>
          <w:rFonts w:hint="default" w:ascii="Times New Roman" w:hAnsi="Times New Roman" w:eastAsia="方正仿宋_GBK" w:cs="Times New Roman"/>
          <w:b w:val="0"/>
          <w:bCs/>
          <w:color w:val="auto"/>
          <w:sz w:val="32"/>
          <w:szCs w:val="32"/>
          <w:shd w:val="clear" w:color="auto" w:fill="FFFFFF"/>
        </w:rPr>
        <w:t>。</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（二）财政拨款收入支出决算总体情况说明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shd w:val="clear" w:color="auto" w:fill="FFFFFF"/>
        </w:rPr>
        <w:t>2023年度财政拨款收、支总计270.16万元。与2022年相比，财政拨款收、支总计各增加15.17万元，增长5.95%。主要原因是</w:t>
      </w:r>
      <w:bookmarkStart w:id="1" w:name="OLE_LINK2"/>
      <w:r>
        <w:rPr>
          <w:rFonts w:hint="eastAsia" w:ascii="Times New Roman" w:hAnsi="Times New Roman" w:eastAsia="方正仿宋_GBK" w:cs="Times New Roman"/>
          <w:b w:val="0"/>
          <w:bCs w:val="0"/>
          <w:sz w:val="32"/>
          <w:szCs w:val="32"/>
          <w:shd w:val="clear" w:color="auto" w:fill="FFFFFF"/>
          <w:lang w:val="en-US" w:eastAsia="zh-CN"/>
        </w:rPr>
        <w:t>2023年财政拨入和发放临时性工作补助</w:t>
      </w:r>
      <w:bookmarkEnd w:id="1"/>
      <w:r>
        <w:rPr>
          <w:rFonts w:hint="eastAsia" w:ascii="Times New Roman" w:hAnsi="Times New Roman" w:eastAsia="方正仿宋_GBK" w:cs="Times New Roman"/>
          <w:b w:val="0"/>
          <w:bCs w:val="0"/>
          <w:sz w:val="32"/>
          <w:szCs w:val="32"/>
          <w:shd w:val="clear" w:color="auto" w:fill="FFFFFF"/>
          <w:lang w:val="en-US" w:eastAsia="zh-CN"/>
        </w:rPr>
        <w:t>。</w:t>
      </w:r>
    </w:p>
    <w:p>
      <w:pPr>
        <w:pStyle w:val="14"/>
        <w:keepNext w:val="0"/>
        <w:keepLines w:val="0"/>
        <w:pageBreakBefore w:val="0"/>
        <w:widowControl/>
        <w:numPr>
          <w:ilvl w:val="0"/>
          <w:numId w:val="1"/>
        </w:numPr>
        <w:kinsoku/>
        <w:wordWrap/>
        <w:overflowPunct/>
        <w:topLinePunct w:val="0"/>
        <w:autoSpaceDE w:val="0"/>
        <w:autoSpaceDN/>
        <w:bidi w:val="0"/>
        <w:adjustRightInd/>
        <w:spacing w:beforeAutospacing="0" w:afterAutospacing="0" w:line="560" w:lineRule="exact"/>
        <w:ind w:firstLine="643"/>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一般公共预算财政拨款收入支出决算情况说明</w:t>
      </w:r>
    </w:p>
    <w:p>
      <w:pPr>
        <w:pStyle w:val="14"/>
        <w:keepNext w:val="0"/>
        <w:keepLines w:val="0"/>
        <w:pageBreakBefore w:val="0"/>
        <w:widowControl/>
        <w:numPr>
          <w:ilvl w:val="0"/>
          <w:numId w:val="0"/>
        </w:numPr>
        <w:kinsoku/>
        <w:wordWrap/>
        <w:overflowPunct/>
        <w:topLinePunct w:val="0"/>
        <w:autoSpaceDE w:val="0"/>
        <w:autoSpaceDN/>
        <w:bidi w:val="0"/>
        <w:adjustRightInd/>
        <w:spacing w:beforeAutospacing="0" w:afterAutospacing="0" w:line="560" w:lineRule="exact"/>
        <w:ind w:firstLine="643"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仿宋_GBK" w:cs="Times New Roman"/>
          <w:b/>
          <w:bCs/>
          <w:sz w:val="32"/>
          <w:szCs w:val="32"/>
          <w:shd w:val="clear" w:color="auto" w:fill="FFFFFF"/>
        </w:rPr>
        <w:t>1.收入情况。</w:t>
      </w:r>
      <w:r>
        <w:rPr>
          <w:rFonts w:hint="default" w:ascii="Times New Roman" w:hAnsi="Times New Roman" w:eastAsia="方正仿宋_GBK" w:cs="Times New Roman"/>
          <w:b w:val="0"/>
          <w:bCs w:val="0"/>
          <w:sz w:val="32"/>
          <w:szCs w:val="32"/>
          <w:shd w:val="clear" w:color="auto" w:fill="FFFFFF"/>
        </w:rPr>
        <w:t>2023年度一般公共预算财政拨款收入</w:t>
      </w:r>
      <w:r>
        <w:rPr>
          <w:rFonts w:hint="default" w:ascii="Times New Roman" w:hAnsi="Times New Roman" w:eastAsia="方正仿宋_GBK" w:cs="Times New Roman"/>
          <w:b w:val="0"/>
          <w:bCs w:val="0"/>
          <w:sz w:val="32"/>
          <w:szCs w:val="32"/>
        </w:rPr>
        <w:t>270.16</w:t>
      </w:r>
      <w:r>
        <w:rPr>
          <w:rFonts w:hint="default" w:ascii="Times New Roman" w:hAnsi="Times New Roman" w:eastAsia="方正仿宋_GBK" w:cs="Times New Roman"/>
          <w:b w:val="0"/>
          <w:bCs w:val="0"/>
          <w:sz w:val="32"/>
          <w:szCs w:val="32"/>
          <w:shd w:val="clear" w:color="auto" w:fill="FFFFFF"/>
        </w:rPr>
        <w:t>万元，较上年决算数增加15.17万元，增长5.95%。主要原因是</w:t>
      </w:r>
      <w:r>
        <w:rPr>
          <w:rFonts w:hint="eastAsia" w:ascii="Times New Roman" w:hAnsi="Times New Roman" w:eastAsia="方正仿宋_GBK" w:cs="Times New Roman"/>
          <w:b w:val="0"/>
          <w:bCs w:val="0"/>
          <w:sz w:val="32"/>
          <w:szCs w:val="32"/>
          <w:shd w:val="clear" w:color="auto" w:fill="FFFFFF"/>
          <w:lang w:val="en-US" w:eastAsia="zh-CN"/>
        </w:rPr>
        <w:t>2023年财政拨入临时性工作补助。</w:t>
      </w:r>
      <w:r>
        <w:rPr>
          <w:rFonts w:hint="default" w:ascii="Times New Roman" w:hAnsi="Times New Roman" w:eastAsia="方正仿宋_GBK" w:cs="Times New Roman"/>
          <w:b w:val="0"/>
          <w:bCs w:val="0"/>
          <w:sz w:val="32"/>
          <w:szCs w:val="32"/>
          <w:shd w:val="clear" w:color="auto" w:fill="FFFFFF"/>
        </w:rPr>
        <w:t>较年初预算数增加107.51万元，增长66.10%。</w:t>
      </w:r>
      <w:r>
        <w:rPr>
          <w:rFonts w:hint="default" w:ascii="方正仿宋_GBK" w:hAnsi="方正仿宋_GBK" w:eastAsia="方正仿宋_GBK" w:cs="方正仿宋_GBK"/>
          <w:sz w:val="32"/>
          <w:szCs w:val="32"/>
          <w:shd w:val="clear" w:color="auto" w:fill="FFFFFF"/>
        </w:rPr>
        <w:t>主要原因是年初预算主要是根据单位情况预估核算，实际财政拨款收入由财政根据资金分配情况统一安排拨款。</w:t>
      </w:r>
      <w:r>
        <w:rPr>
          <w:rFonts w:hint="default" w:ascii="Times New Roman" w:hAnsi="Times New Roman" w:eastAsia="方正仿宋_GBK" w:cs="Times New Roman"/>
          <w:b w:val="0"/>
          <w:bCs w:val="0"/>
          <w:sz w:val="32"/>
          <w:szCs w:val="32"/>
          <w:shd w:val="clear" w:color="auto" w:fill="FFFFFF"/>
        </w:rPr>
        <w:t>此外，年初财政拨款结转和结余</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w:t>
      </w:r>
    </w:p>
    <w:p>
      <w:pPr>
        <w:pStyle w:val="15"/>
        <w:keepNext w:val="0"/>
        <w:keepLines w:val="0"/>
        <w:pageBreakBefore w:val="0"/>
        <w:widowControl w:val="0"/>
        <w:kinsoku/>
        <w:wordWrap/>
        <w:overflowPunct/>
        <w:topLinePunct w:val="0"/>
        <w:autoSpaceDE w:val="0"/>
        <w:autoSpaceDN/>
        <w:bidi w:val="0"/>
        <w:adjustRightInd/>
        <w:spacing w:before="0" w:beforeAutospacing="0" w:after="0" w:afterAutospacing="0" w:line="560" w:lineRule="exact"/>
        <w:ind w:firstLine="643" w:firstLineChars="200"/>
        <w:jc w:val="both"/>
        <w:textAlignment w:val="auto"/>
        <w:rPr>
          <w:rFonts w:hint="default" w:ascii="Times New Roman" w:hAnsi="Times New Roman" w:eastAsia="方正仿宋_GBK"/>
          <w:sz w:val="32"/>
          <w:szCs w:val="32"/>
        </w:rPr>
      </w:pPr>
      <w:r>
        <w:rPr>
          <w:rStyle w:val="11"/>
          <w:rFonts w:hint="default" w:ascii="Times New Roman" w:hAnsi="Times New Roman" w:eastAsia="方正仿宋_GBK" w:cs="Times New Roman"/>
          <w:b/>
          <w:bCs/>
          <w:sz w:val="32"/>
          <w:szCs w:val="32"/>
          <w:shd w:val="clear" w:color="auto" w:fill="FFFFFF"/>
        </w:rPr>
        <w:t>2.支出情况。</w:t>
      </w:r>
      <w:r>
        <w:rPr>
          <w:rFonts w:hint="default" w:ascii="Times New Roman" w:hAnsi="Times New Roman" w:eastAsia="方正仿宋_GBK" w:cs="Times New Roman"/>
          <w:b w:val="0"/>
          <w:bCs w:val="0"/>
          <w:sz w:val="32"/>
          <w:szCs w:val="32"/>
          <w:shd w:val="clear" w:color="auto" w:fill="FFFFFF"/>
        </w:rPr>
        <w:t>2023年度一般公共预算财政拨款支出</w:t>
      </w:r>
      <w:r>
        <w:rPr>
          <w:rFonts w:hint="default" w:ascii="Times New Roman" w:hAnsi="Times New Roman" w:eastAsia="方正仿宋_GBK" w:cs="Times New Roman"/>
          <w:b w:val="0"/>
          <w:bCs w:val="0"/>
          <w:sz w:val="32"/>
          <w:szCs w:val="32"/>
        </w:rPr>
        <w:t>257.79</w:t>
      </w:r>
      <w:r>
        <w:rPr>
          <w:rFonts w:hint="default" w:ascii="Times New Roman" w:hAnsi="Times New Roman" w:eastAsia="方正仿宋_GBK" w:cs="Times New Roman"/>
          <w:b w:val="0"/>
          <w:bCs w:val="0"/>
          <w:sz w:val="32"/>
          <w:szCs w:val="32"/>
          <w:shd w:val="clear" w:color="auto" w:fill="FFFFFF"/>
        </w:rPr>
        <w:t>万元，较上年决算数增加2.80万元，增长1.10%。主要原因是</w:t>
      </w:r>
      <w:r>
        <w:rPr>
          <w:rFonts w:hint="eastAsia" w:ascii="Times New Roman" w:hAnsi="Times New Roman" w:eastAsia="方正仿宋_GBK" w:cs="Times New Roman"/>
          <w:b w:val="0"/>
          <w:bCs w:val="0"/>
          <w:sz w:val="32"/>
          <w:szCs w:val="32"/>
          <w:shd w:val="clear" w:color="auto" w:fill="FFFFFF"/>
          <w:lang w:val="en-US" w:eastAsia="zh-CN"/>
        </w:rPr>
        <w:t>2023年发放临时性工作补助。</w:t>
      </w:r>
      <w:r>
        <w:rPr>
          <w:rFonts w:hint="default" w:ascii="Times New Roman" w:hAnsi="Times New Roman" w:eastAsia="方正仿宋_GBK" w:cs="Times New Roman"/>
          <w:b w:val="0"/>
          <w:bCs w:val="0"/>
          <w:sz w:val="32"/>
          <w:szCs w:val="32"/>
          <w:shd w:val="clear" w:color="auto" w:fill="FFFFFF"/>
        </w:rPr>
        <w:t>较年初预算数增加95.14万元，增长58.49%。主要原因是</w:t>
      </w:r>
      <w:r>
        <w:rPr>
          <w:rFonts w:hint="default" w:ascii="方正仿宋_GBK" w:hAnsi="方正仿宋_GBK" w:eastAsia="方正仿宋_GBK" w:cs="方正仿宋_GBK"/>
          <w:sz w:val="32"/>
          <w:szCs w:val="32"/>
        </w:rPr>
        <w:t>根据单位情况预估核算，实际财政拨款收入由财政根据资金分配情况统一安排拨款，因此财政拨款支出与年初预算有相应增加。</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eastAsia" w:ascii="Times New Roman" w:hAnsi="Times New Roman" w:eastAsia="方正仿宋_GBK" w:cs="Times New Roman"/>
          <w:b w:val="0"/>
          <w:bCs w:val="0"/>
          <w:sz w:val="32"/>
          <w:szCs w:val="32"/>
          <w:shd w:val="clear" w:color="auto" w:fill="FFFFFF"/>
          <w:lang w:val="en-US" w:eastAsia="zh-CN"/>
        </w:rPr>
      </w:pPr>
      <w:r>
        <w:rPr>
          <w:rStyle w:val="11"/>
          <w:rFonts w:hint="default" w:ascii="Times New Roman" w:hAnsi="Times New Roman" w:eastAsia="方正仿宋_GBK" w:cs="Times New Roman"/>
          <w:b/>
          <w:bCs/>
          <w:sz w:val="32"/>
          <w:szCs w:val="32"/>
          <w:shd w:val="clear" w:color="auto" w:fill="FFFFFF"/>
        </w:rPr>
        <w:t>3.结转结余情况。</w:t>
      </w:r>
      <w:r>
        <w:rPr>
          <w:rFonts w:hint="default" w:ascii="Times New Roman" w:hAnsi="Times New Roman" w:eastAsia="方正仿宋_GBK" w:cs="Times New Roman"/>
          <w:b w:val="0"/>
          <w:bCs w:val="0"/>
          <w:sz w:val="32"/>
          <w:szCs w:val="32"/>
          <w:shd w:val="clear" w:color="auto" w:fill="FFFFFF"/>
        </w:rPr>
        <w:t>2023年度年末一般公共预算财政拨款结转和结余</w:t>
      </w:r>
      <w:r>
        <w:rPr>
          <w:rFonts w:hint="default" w:ascii="Times New Roman" w:hAnsi="Times New Roman" w:eastAsia="方正仿宋_GBK" w:cs="Times New Roman"/>
          <w:b w:val="0"/>
          <w:bCs w:val="0"/>
          <w:sz w:val="32"/>
          <w:szCs w:val="32"/>
        </w:rPr>
        <w:t>12.37</w:t>
      </w:r>
      <w:r>
        <w:rPr>
          <w:rFonts w:hint="default" w:ascii="Times New Roman" w:hAnsi="Times New Roman" w:eastAsia="方正仿宋_GBK" w:cs="Times New Roman"/>
          <w:b w:val="0"/>
          <w:bCs w:val="0"/>
          <w:sz w:val="32"/>
          <w:szCs w:val="32"/>
          <w:shd w:val="clear" w:color="auto" w:fill="FFFFFF"/>
        </w:rPr>
        <w:t>万元，较上年决算数增加12.37万元，增长100.00%，主要原因是</w:t>
      </w:r>
      <w:r>
        <w:rPr>
          <w:rFonts w:hint="eastAsia" w:ascii="Times New Roman" w:hAnsi="Times New Roman" w:eastAsia="方正仿宋_GBK" w:cs="Times New Roman"/>
          <w:b w:val="0"/>
          <w:bCs w:val="0"/>
          <w:sz w:val="32"/>
          <w:szCs w:val="32"/>
          <w:shd w:val="clear" w:color="auto" w:fill="FFFFFF"/>
          <w:lang w:val="en-US" w:eastAsia="zh-CN"/>
        </w:rPr>
        <w:t>财政拨入的2023年人员超额绩效未发放。</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eastAsia" w:ascii="Times New Roman" w:hAnsi="Times New Roman" w:eastAsia="方正仿宋_GBK" w:cs="Times New Roman"/>
          <w:b w:val="0"/>
          <w:bCs w:val="0"/>
          <w:sz w:val="32"/>
          <w:szCs w:val="32"/>
          <w:shd w:val="clear" w:color="auto" w:fill="FFFFFF"/>
          <w:lang w:val="en-US" w:eastAsia="zh-CN"/>
        </w:rPr>
      </w:pPr>
      <w:r>
        <w:rPr>
          <w:rStyle w:val="11"/>
          <w:rFonts w:hint="default" w:ascii="Times New Roman" w:hAnsi="Times New Roman" w:eastAsia="方正仿宋_GBK" w:cs="Times New Roman"/>
          <w:b/>
          <w:bCs/>
          <w:sz w:val="32"/>
          <w:szCs w:val="32"/>
          <w:shd w:val="clear" w:color="auto" w:fill="FFFFFF"/>
        </w:rPr>
        <w:t>4.比较情况。</w:t>
      </w:r>
      <w:r>
        <w:rPr>
          <w:rFonts w:hint="default" w:ascii="Times New Roman" w:hAnsi="Times New Roman" w:eastAsia="方正仿宋_GBK" w:cs="Times New Roman"/>
          <w:b w:val="0"/>
          <w:bCs w:val="0"/>
          <w:sz w:val="32"/>
          <w:szCs w:val="32"/>
          <w:shd w:val="clear" w:color="auto" w:fill="FFFFFF"/>
        </w:rPr>
        <w:t>本单位2023年度一般公共预算财政拨款支</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出主要用于以下几个方面：</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Times New Roman"/>
          <w:b w:val="0"/>
          <w:bCs w:val="0"/>
          <w:sz w:val="32"/>
          <w:szCs w:val="32"/>
          <w:shd w:val="clear" w:color="auto" w:fill="FFFFFF"/>
          <w:lang w:val="en-US" w:eastAsia="zh-CN"/>
        </w:rPr>
      </w:pPr>
      <w:r>
        <w:rPr>
          <w:rFonts w:hint="default" w:ascii="Times New Roman" w:hAnsi="Times New Roman" w:eastAsia="方正仿宋_GBK" w:cs="Times New Roman"/>
          <w:b w:val="0"/>
          <w:bCs w:val="0"/>
          <w:sz w:val="32"/>
          <w:szCs w:val="32"/>
          <w:shd w:val="clear" w:color="auto" w:fill="FFFFFF"/>
        </w:rPr>
        <w:t>（</w:t>
      </w:r>
      <w:r>
        <w:rPr>
          <w:rFonts w:hint="eastAsia" w:ascii="Times New Roman" w:hAnsi="Times New Roman" w:eastAsia="方正仿宋_GBK" w:cs="Times New Roman"/>
          <w:b w:val="0"/>
          <w:bCs w:val="0"/>
          <w:sz w:val="32"/>
          <w:szCs w:val="32"/>
          <w:shd w:val="clear" w:color="auto" w:fill="FFFFFF"/>
          <w:lang w:val="en-US" w:eastAsia="zh-CN"/>
        </w:rPr>
        <w:t>1</w:t>
      </w:r>
      <w:r>
        <w:rPr>
          <w:rFonts w:hint="default" w:ascii="Times New Roman" w:hAnsi="Times New Roman" w:eastAsia="方正仿宋_GBK" w:cs="Times New Roman"/>
          <w:b w:val="0"/>
          <w:bCs w:val="0"/>
          <w:sz w:val="32"/>
          <w:szCs w:val="32"/>
          <w:shd w:val="clear" w:color="auto" w:fill="FFFFFF"/>
        </w:rPr>
        <w:t>）社会保障与就业支出</w:t>
      </w:r>
      <w:r>
        <w:rPr>
          <w:rFonts w:hint="default" w:ascii="Times New Roman" w:hAnsi="Times New Roman" w:eastAsia="方正仿宋_GBK" w:cs="Times New Roman"/>
          <w:b w:val="0"/>
          <w:bCs w:val="0"/>
          <w:sz w:val="32"/>
          <w:szCs w:val="32"/>
        </w:rPr>
        <w:t>15.95</w:t>
      </w:r>
      <w:r>
        <w:rPr>
          <w:rFonts w:hint="default" w:ascii="Times New Roman" w:hAnsi="Times New Roman" w:eastAsia="方正仿宋_GBK" w:cs="Times New Roman"/>
          <w:b w:val="0"/>
          <w:bCs w:val="0"/>
          <w:sz w:val="32"/>
          <w:szCs w:val="32"/>
          <w:shd w:val="clear" w:color="auto" w:fill="FFFFFF"/>
        </w:rPr>
        <w:t>万元，占</w:t>
      </w:r>
      <w:r>
        <w:rPr>
          <w:rFonts w:hint="default" w:ascii="Times New Roman" w:hAnsi="Times New Roman" w:eastAsia="方正仿宋_GBK" w:cs="Times New Roman"/>
          <w:b w:val="0"/>
          <w:bCs w:val="0"/>
          <w:sz w:val="32"/>
          <w:szCs w:val="32"/>
        </w:rPr>
        <w:t>6.19</w:t>
      </w:r>
      <w:r>
        <w:rPr>
          <w:rFonts w:hint="default" w:ascii="Times New Roman" w:hAnsi="Times New Roman" w:eastAsia="方正仿宋_GBK" w:cs="Times New Roman"/>
          <w:b w:val="0"/>
          <w:bCs w:val="0"/>
          <w:sz w:val="32"/>
          <w:szCs w:val="32"/>
          <w:shd w:val="clear" w:color="auto" w:fill="FFFFFF"/>
        </w:rPr>
        <w:t>%，较年初预算数减少6.84万元，下降30.01%，主要原因是</w:t>
      </w:r>
      <w:bookmarkStart w:id="2" w:name="OLE_LINK3"/>
      <w:r>
        <w:rPr>
          <w:rFonts w:hint="eastAsia" w:ascii="Times New Roman" w:hAnsi="Times New Roman" w:eastAsia="方正仿宋_GBK" w:cs="Times New Roman"/>
          <w:b w:val="0"/>
          <w:bCs w:val="0"/>
          <w:sz w:val="32"/>
          <w:szCs w:val="32"/>
          <w:shd w:val="clear" w:color="auto" w:fill="FFFFFF"/>
          <w:lang w:val="en-US" w:eastAsia="zh-CN"/>
        </w:rPr>
        <w:t>2023年人员减少，支出相应减少。</w:t>
      </w:r>
      <w:bookmarkEnd w:id="2"/>
    </w:p>
    <w:p>
      <w:pPr>
        <w:pStyle w:val="15"/>
        <w:keepNext w:val="0"/>
        <w:keepLines w:val="0"/>
        <w:pageBreakBefore w:val="0"/>
        <w:widowControl w:val="0"/>
        <w:kinsoku/>
        <w:wordWrap/>
        <w:overflowPunct/>
        <w:topLinePunct w:val="0"/>
        <w:autoSpaceDE w:val="0"/>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val="0"/>
          <w:sz w:val="32"/>
          <w:szCs w:val="32"/>
          <w:shd w:val="clear" w:color="auto" w:fill="FFFFFF"/>
        </w:rPr>
        <w:t>（</w:t>
      </w:r>
      <w:r>
        <w:rPr>
          <w:rFonts w:hint="eastAsia" w:ascii="Times New Roman" w:hAnsi="Times New Roman" w:eastAsia="方正仿宋_GBK" w:cs="Times New Roman"/>
          <w:b w:val="0"/>
          <w:bCs w:val="0"/>
          <w:sz w:val="32"/>
          <w:szCs w:val="32"/>
          <w:shd w:val="clear" w:color="auto" w:fill="FFFFFF"/>
          <w:lang w:val="en-US" w:eastAsia="zh-CN"/>
        </w:rPr>
        <w:t>2</w:t>
      </w:r>
      <w:r>
        <w:rPr>
          <w:rFonts w:hint="default" w:ascii="Times New Roman" w:hAnsi="Times New Roman" w:eastAsia="方正仿宋_GBK" w:cs="Times New Roman"/>
          <w:b w:val="0"/>
          <w:bCs w:val="0"/>
          <w:sz w:val="32"/>
          <w:szCs w:val="32"/>
          <w:shd w:val="clear" w:color="auto" w:fill="FFFFFF"/>
        </w:rPr>
        <w:t>）卫生健康支出</w:t>
      </w:r>
      <w:r>
        <w:rPr>
          <w:rFonts w:hint="default" w:ascii="Times New Roman" w:hAnsi="Times New Roman" w:eastAsia="方正仿宋_GBK" w:cs="Times New Roman"/>
          <w:b w:val="0"/>
          <w:bCs w:val="0"/>
          <w:sz w:val="32"/>
          <w:szCs w:val="32"/>
        </w:rPr>
        <w:t>234.63</w:t>
      </w:r>
      <w:r>
        <w:rPr>
          <w:rFonts w:hint="default" w:ascii="Times New Roman" w:hAnsi="Times New Roman" w:eastAsia="方正仿宋_GBK" w:cs="Times New Roman"/>
          <w:b w:val="0"/>
          <w:bCs w:val="0"/>
          <w:sz w:val="32"/>
          <w:szCs w:val="32"/>
          <w:shd w:val="clear" w:color="auto" w:fill="FFFFFF"/>
        </w:rPr>
        <w:t>万元，占</w:t>
      </w:r>
      <w:r>
        <w:rPr>
          <w:rFonts w:hint="default" w:ascii="Times New Roman" w:hAnsi="Times New Roman" w:eastAsia="方正仿宋_GBK" w:cs="Times New Roman"/>
          <w:b w:val="0"/>
          <w:bCs w:val="0"/>
          <w:sz w:val="32"/>
          <w:szCs w:val="32"/>
        </w:rPr>
        <w:t>91.01</w:t>
      </w:r>
      <w:r>
        <w:rPr>
          <w:rFonts w:hint="default" w:ascii="Times New Roman" w:hAnsi="Times New Roman" w:eastAsia="方正仿宋_GBK" w:cs="Times New Roman"/>
          <w:b w:val="0"/>
          <w:bCs w:val="0"/>
          <w:sz w:val="32"/>
          <w:szCs w:val="32"/>
          <w:shd w:val="clear" w:color="auto" w:fill="FFFFFF"/>
        </w:rPr>
        <w:t>%，较年初预算数增加107.19万元，增长84.11%，主要原因是</w:t>
      </w:r>
      <w:r>
        <w:rPr>
          <w:rFonts w:hint="default" w:ascii="Times New Roman" w:hAnsi="Times New Roman" w:eastAsia="方正仿宋_GBK" w:cs="Times New Roman"/>
          <w:sz w:val="32"/>
          <w:szCs w:val="32"/>
        </w:rPr>
        <w:t>根据单位情况预估核算，实际财政拨款收入由财政根据资金分配情况统一安排拨款，因此财政拨款支出与年初预算有相应差异。</w:t>
      </w:r>
    </w:p>
    <w:p>
      <w:pPr>
        <w:keepNext w:val="0"/>
        <w:keepLines w:val="0"/>
        <w:pageBreakBefore w:val="0"/>
        <w:widowControl/>
        <w:kinsoku/>
        <w:wordWrap/>
        <w:overflowPunct/>
        <w:topLinePunct w:val="0"/>
        <w:autoSpaceDN/>
        <w:bidi w:val="0"/>
        <w:adjustRightIn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FF000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w:t>
      </w:r>
      <w:r>
        <w:rPr>
          <w:rFonts w:hint="eastAsia" w:ascii="Times New Roman" w:hAnsi="Times New Roman" w:eastAsia="方正仿宋_GBK" w:cs="Times New Roman"/>
          <w:b w:val="0"/>
          <w:bCs w:val="0"/>
          <w:sz w:val="32"/>
          <w:szCs w:val="32"/>
          <w:shd w:val="clear" w:color="auto" w:fill="FFFFFF"/>
          <w:lang w:val="en-US" w:eastAsia="zh-CN"/>
        </w:rPr>
        <w:t>3</w:t>
      </w: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rPr>
        <w:t>住房保障支出7.21</w:t>
      </w:r>
      <w:r>
        <w:rPr>
          <w:rFonts w:hint="default" w:ascii="Times New Roman" w:hAnsi="Times New Roman" w:eastAsia="方正仿宋_GBK" w:cs="Times New Roman"/>
          <w:b w:val="0"/>
          <w:bCs w:val="0"/>
          <w:sz w:val="32"/>
          <w:szCs w:val="32"/>
          <w:shd w:val="clear" w:color="auto" w:fill="FFFFFF"/>
        </w:rPr>
        <w:t>万元，占</w:t>
      </w:r>
      <w:r>
        <w:rPr>
          <w:rFonts w:hint="default" w:ascii="Times New Roman" w:hAnsi="Times New Roman" w:eastAsia="方正仿宋_GBK" w:cs="Times New Roman"/>
          <w:b w:val="0"/>
          <w:bCs w:val="0"/>
          <w:sz w:val="32"/>
          <w:szCs w:val="32"/>
        </w:rPr>
        <w:t>2.80</w:t>
      </w:r>
      <w:r>
        <w:rPr>
          <w:rFonts w:hint="default" w:ascii="Times New Roman" w:hAnsi="Times New Roman" w:eastAsia="方正仿宋_GBK" w:cs="Times New Roman"/>
          <w:b w:val="0"/>
          <w:bCs w:val="0"/>
          <w:sz w:val="32"/>
          <w:szCs w:val="32"/>
          <w:shd w:val="clear" w:color="auto" w:fill="FFFFFF"/>
        </w:rPr>
        <w:t>%，较年初预算数减少5.21万元，下降41.95%，主要原因是</w:t>
      </w:r>
      <w:r>
        <w:rPr>
          <w:rFonts w:hint="eastAsia" w:ascii="Times New Roman" w:hAnsi="Times New Roman" w:eastAsia="方正仿宋_GBK" w:cs="Times New Roman"/>
          <w:b w:val="0"/>
          <w:bCs w:val="0"/>
          <w:sz w:val="32"/>
          <w:szCs w:val="32"/>
          <w:shd w:val="clear" w:color="auto" w:fill="FFFFFF"/>
          <w:lang w:val="en-US" w:eastAsia="zh-CN"/>
        </w:rPr>
        <w:t>2023年人员减少，支出相应减少。</w:t>
      </w:r>
    </w:p>
    <w:p>
      <w:pPr>
        <w:pStyle w:val="14"/>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（四）一般公共预算财政拨款基本支出决算情况说明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2023年度一般公共财政拨款基本支出</w:t>
      </w:r>
      <w:r>
        <w:rPr>
          <w:rFonts w:hint="default" w:ascii="Times New Roman" w:hAnsi="Times New Roman" w:eastAsia="方正仿宋_GBK" w:cs="Times New Roman"/>
          <w:b w:val="0"/>
          <w:bCs w:val="0"/>
          <w:sz w:val="32"/>
          <w:szCs w:val="32"/>
        </w:rPr>
        <w:t>236.05</w:t>
      </w:r>
      <w:r>
        <w:rPr>
          <w:rFonts w:hint="default" w:ascii="Times New Roman" w:hAnsi="Times New Roman" w:eastAsia="方正仿宋_GBK" w:cs="Times New Roman"/>
          <w:b w:val="0"/>
          <w:bCs w:val="0"/>
          <w:sz w:val="32"/>
          <w:szCs w:val="32"/>
          <w:shd w:val="clear" w:color="auto" w:fill="FFFFFF"/>
        </w:rPr>
        <w:t>万元。其中：人员经费</w:t>
      </w:r>
      <w:r>
        <w:rPr>
          <w:rFonts w:hint="default" w:ascii="Times New Roman" w:hAnsi="Times New Roman" w:eastAsia="方正仿宋_GBK" w:cs="Times New Roman"/>
          <w:b w:val="0"/>
          <w:bCs w:val="0"/>
          <w:sz w:val="32"/>
          <w:szCs w:val="32"/>
        </w:rPr>
        <w:t>213.01</w:t>
      </w:r>
      <w:r>
        <w:rPr>
          <w:rFonts w:hint="default" w:ascii="Times New Roman" w:hAnsi="Times New Roman" w:eastAsia="方正仿宋_GBK" w:cs="Times New Roman"/>
          <w:b w:val="0"/>
          <w:bCs w:val="0"/>
          <w:sz w:val="32"/>
          <w:szCs w:val="32"/>
          <w:shd w:val="clear" w:color="auto" w:fill="FFFFFF"/>
        </w:rPr>
        <w:t>万元，较上年决算数增加25.32万元，增长13.49%，主要原因是</w:t>
      </w:r>
      <w:r>
        <w:rPr>
          <w:rFonts w:hint="eastAsia" w:ascii="Times New Roman" w:hAnsi="Times New Roman" w:eastAsia="方正仿宋_GBK" w:cs="Times New Roman"/>
          <w:b w:val="0"/>
          <w:bCs w:val="0"/>
          <w:sz w:val="32"/>
          <w:szCs w:val="32"/>
          <w:shd w:val="clear" w:color="auto" w:fill="FFFFFF"/>
          <w:lang w:val="en-US" w:eastAsia="zh-CN"/>
        </w:rPr>
        <w:t>2023年绩效发放增加</w:t>
      </w:r>
      <w:r>
        <w:rPr>
          <w:rFonts w:hint="default" w:ascii="方正仿宋_GBK" w:hAnsi="方正仿宋_GBK" w:eastAsia="方正仿宋_GBK" w:cs="方正仿宋_GBK"/>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人员经费用途主要包括</w:t>
      </w:r>
      <w:bookmarkStart w:id="3" w:name="OLE_LINK10"/>
      <w:r>
        <w:rPr>
          <w:rFonts w:hint="default" w:ascii="方正仿宋_GBK" w:hAnsi="方正仿宋_GBK" w:eastAsia="方正仿宋_GBK" w:cs="方正仿宋_GBK"/>
          <w:sz w:val="32"/>
          <w:szCs w:val="32"/>
          <w:shd w:val="clear" w:color="auto" w:fill="FFFFFF"/>
        </w:rPr>
        <w:t>人员经费用途主要包括人员社会保障、工资、绩效、津补贴支出等。</w:t>
      </w:r>
      <w:bookmarkEnd w:id="3"/>
      <w:r>
        <w:rPr>
          <w:rFonts w:hint="default" w:ascii="Times New Roman" w:hAnsi="Times New Roman" w:eastAsia="方正仿宋_GBK" w:cs="Times New Roman"/>
          <w:b w:val="0"/>
          <w:bCs w:val="0"/>
          <w:sz w:val="32"/>
          <w:szCs w:val="32"/>
          <w:shd w:val="clear" w:color="auto" w:fill="FFFFFF"/>
        </w:rPr>
        <w:t>公用经费</w:t>
      </w:r>
      <w:r>
        <w:rPr>
          <w:rFonts w:hint="default" w:ascii="Times New Roman" w:hAnsi="Times New Roman" w:eastAsia="方正仿宋_GBK" w:cs="Times New Roman"/>
          <w:b w:val="0"/>
          <w:bCs w:val="0"/>
          <w:sz w:val="32"/>
          <w:szCs w:val="32"/>
        </w:rPr>
        <w:t>23.04</w:t>
      </w:r>
      <w:r>
        <w:rPr>
          <w:rFonts w:hint="default" w:ascii="Times New Roman" w:hAnsi="Times New Roman" w:eastAsia="方正仿宋_GBK" w:cs="Times New Roman"/>
          <w:b w:val="0"/>
          <w:bCs w:val="0"/>
          <w:sz w:val="32"/>
          <w:szCs w:val="32"/>
          <w:shd w:val="clear" w:color="auto" w:fill="FFFFFF"/>
        </w:rPr>
        <w:t>万元，较上年决算数增加10.74万元，增长87.32%，主要原因是</w:t>
      </w:r>
      <w:r>
        <w:rPr>
          <w:rFonts w:hint="default" w:ascii="Times New Roman" w:hAnsi="Times New Roman" w:eastAsia="方正仿宋_GBK" w:cs="Times New Roman"/>
          <w:sz w:val="32"/>
          <w:szCs w:val="32"/>
          <w:shd w:val="clear" w:color="auto" w:fill="FFFFFF"/>
          <w:lang w:eastAsia="zh-CN"/>
        </w:rPr>
        <w:t>办公费支出</w:t>
      </w:r>
      <w:r>
        <w:rPr>
          <w:rFonts w:hint="eastAsia" w:ascii="Times New Roman" w:hAnsi="Times New Roman" w:eastAsia="方正仿宋_GBK" w:cs="Times New Roman"/>
          <w:sz w:val="32"/>
          <w:szCs w:val="32"/>
          <w:shd w:val="clear" w:color="auto" w:fill="FFFFFF"/>
          <w:lang w:val="en-US" w:eastAsia="zh-CN"/>
        </w:rPr>
        <w:t>增多</w:t>
      </w:r>
      <w:r>
        <w:rPr>
          <w:rFonts w:hint="default" w:ascii="方正仿宋_GBK" w:hAnsi="方正仿宋_GBK" w:eastAsia="方正仿宋_GBK" w:cs="方正仿宋_GBK"/>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公用经费用途主要包括</w:t>
      </w:r>
      <w:r>
        <w:rPr>
          <w:rFonts w:hint="eastAsia" w:ascii="Times New Roman" w:hAnsi="Times New Roman" w:eastAsia="方正仿宋_GBK" w:cs="Times New Roman"/>
          <w:b w:val="0"/>
          <w:bCs w:val="0"/>
          <w:sz w:val="32"/>
          <w:szCs w:val="32"/>
          <w:shd w:val="clear" w:color="auto" w:fill="FFFFFF"/>
          <w:lang w:val="en-US" w:eastAsia="zh-CN"/>
        </w:rPr>
        <w:t>办公费、水费、电费、邮电费、差旅费、维修费、劳务费等。</w:t>
      </w:r>
    </w:p>
    <w:p>
      <w:pPr>
        <w:pStyle w:val="14"/>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（五）政府性基金预算收支决算情况说明</w:t>
      </w:r>
    </w:p>
    <w:p>
      <w:pPr>
        <w:pStyle w:val="14"/>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jc w:val="both"/>
        <w:textAlignment w:val="auto"/>
        <w:outlineLvl w:val="9"/>
        <w:rPr>
          <w:rFonts w:hint="default" w:ascii="Times New Roman" w:hAnsi="Times New Roman" w:eastAsia="方正仿宋_GBK"/>
          <w:sz w:val="32"/>
          <w:szCs w:val="32"/>
          <w:shd w:val="clear" w:color="auto" w:fill="FFFFFF"/>
        </w:rPr>
      </w:pPr>
      <w:r>
        <w:rPr>
          <w:rFonts w:hint="default" w:ascii="Times New Roman" w:hAnsi="Times New Roman" w:eastAsia="方正仿宋_GBK"/>
          <w:sz w:val="32"/>
          <w:szCs w:val="32"/>
          <w:shd w:val="clear" w:color="auto" w:fill="FFFFFF"/>
        </w:rPr>
        <w:t>本</w:t>
      </w:r>
      <w:r>
        <w:rPr>
          <w:rFonts w:hint="eastAsia" w:ascii="Times New Roman" w:hAnsi="Times New Roman" w:eastAsia="方正仿宋_GBK"/>
          <w:sz w:val="32"/>
          <w:szCs w:val="32"/>
          <w:shd w:val="clear" w:color="auto" w:fill="FFFFFF"/>
          <w:lang w:eastAsia="zh-CN"/>
        </w:rPr>
        <w:t>单位</w:t>
      </w:r>
      <w:r>
        <w:rPr>
          <w:rFonts w:hint="default" w:ascii="Times New Roman" w:hAnsi="Times New Roman" w:eastAsia="方正仿宋_GBK"/>
          <w:sz w:val="32"/>
          <w:szCs w:val="32"/>
          <w:shd w:val="clear" w:color="auto" w:fill="FFFFFF"/>
        </w:rPr>
        <w:t>202</w:t>
      </w:r>
      <w:r>
        <w:rPr>
          <w:rFonts w:hint="eastAsia" w:ascii="Times New Roman" w:hAnsi="Times New Roman" w:eastAsia="方正仿宋_GBK"/>
          <w:sz w:val="32"/>
          <w:szCs w:val="32"/>
          <w:shd w:val="clear" w:color="auto" w:fill="FFFFFF"/>
          <w:lang w:val="en-US" w:eastAsia="zh-CN"/>
        </w:rPr>
        <w:t>3</w:t>
      </w:r>
      <w:r>
        <w:rPr>
          <w:rFonts w:hint="default" w:ascii="Times New Roman" w:hAnsi="Times New Roman" w:eastAsia="方正仿宋_GBK"/>
          <w:sz w:val="32"/>
          <w:szCs w:val="32"/>
          <w:shd w:val="clear" w:color="auto" w:fill="FFFFFF"/>
        </w:rPr>
        <w:t>年度无政府性基金预算财政拨款收支。</w:t>
      </w:r>
    </w:p>
    <w:p>
      <w:pPr>
        <w:pStyle w:val="14"/>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（六）国有资本经营预算财政拨款支出决算情况说明</w:t>
      </w:r>
    </w:p>
    <w:p>
      <w:pPr>
        <w:pStyle w:val="15"/>
        <w:keepNext w:val="0"/>
        <w:keepLines w:val="0"/>
        <w:pageBreakBefore w:val="0"/>
        <w:widowControl w:val="0"/>
        <w:kinsoku/>
        <w:wordWrap/>
        <w:overflowPunct/>
        <w:topLinePunct w:val="0"/>
        <w:autoSpaceDE w:val="0"/>
        <w:autoSpaceDN/>
        <w:bidi w:val="0"/>
        <w:adjustRightInd/>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rPr>
      </w:pPr>
      <w:r>
        <w:rPr>
          <w:rFonts w:hint="default" w:ascii="方正仿宋_GBK" w:hAnsi="方正仿宋_GBK" w:eastAsia="方正仿宋_GBK" w:cs="方正仿宋_GBK"/>
          <w:sz w:val="32"/>
          <w:szCs w:val="32"/>
          <w:shd w:val="clear" w:color="auto" w:fill="FFFFFF"/>
        </w:rPr>
        <w:t>本单位</w:t>
      </w:r>
      <w:r>
        <w:rPr>
          <w:rFonts w:hint="default" w:ascii="Times New Roman" w:hAnsi="Times New Roman" w:eastAsia="方正仿宋_GBK"/>
          <w:sz w:val="32"/>
          <w:szCs w:val="32"/>
          <w:shd w:val="clear" w:color="auto" w:fill="FFFFFF"/>
        </w:rPr>
        <w:t>202</w:t>
      </w:r>
      <w:r>
        <w:rPr>
          <w:rFonts w:hint="eastAsia" w:ascii="Times New Roman" w:hAnsi="Times New Roman" w:eastAsia="方正仿宋_GBK"/>
          <w:sz w:val="32"/>
          <w:szCs w:val="32"/>
          <w:shd w:val="clear" w:color="auto" w:fill="FFFFFF"/>
          <w:lang w:val="en-US" w:eastAsia="zh-CN"/>
        </w:rPr>
        <w:t>3</w:t>
      </w:r>
      <w:r>
        <w:rPr>
          <w:rFonts w:hint="default" w:ascii="方正仿宋_GBK" w:hAnsi="方正仿宋_GBK" w:eastAsia="方正仿宋_GBK" w:cs="方正仿宋_GBK"/>
          <w:sz w:val="32"/>
          <w:szCs w:val="32"/>
          <w:shd w:val="clear" w:color="auto" w:fill="FFFFFF"/>
        </w:rPr>
        <w:t>年度无国有资本经营预算财政拨款支出。</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rPr>
        <w:t>三、“三公”经费情况说明</w:t>
      </w:r>
    </w:p>
    <w:p>
      <w:pPr>
        <w:pStyle w:val="15"/>
        <w:keepNext w:val="0"/>
        <w:keepLines w:val="0"/>
        <w:pageBreakBefore w:val="0"/>
        <w:widowControl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方正楷体_GBK" w:hAnsi="方正楷体_GBK" w:eastAsia="方正楷体_GBK" w:cs="方正楷体_GBK"/>
          <w:sz w:val="32"/>
          <w:szCs w:val="32"/>
        </w:rPr>
      </w:pPr>
      <w:r>
        <w:rPr>
          <w:rStyle w:val="19"/>
          <w:rFonts w:ascii="方正楷体_GBK" w:hAnsi="方正楷体_GBK" w:eastAsia="方正楷体_GBK" w:cs="方正楷体_GBK"/>
          <w:b w:val="0"/>
          <w:sz w:val="32"/>
          <w:szCs w:val="32"/>
          <w:shd w:val="clear" w:color="auto" w:fill="FFFFFF"/>
        </w:rPr>
        <w:t>（一）“三公”经费支出总体情况说明</w:t>
      </w:r>
    </w:p>
    <w:p>
      <w:pPr>
        <w:pStyle w:val="15"/>
        <w:keepNext w:val="0"/>
        <w:keepLines w:val="0"/>
        <w:pageBreakBefore w:val="0"/>
        <w:widowControl w:val="0"/>
        <w:kinsoku/>
        <w:wordWrap/>
        <w:overflowPunct/>
        <w:topLinePunct w:val="0"/>
        <w:autoSpaceDE w:val="0"/>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lang w:eastAsia="zh-CN"/>
        </w:rPr>
      </w:pPr>
      <w:bookmarkStart w:id="4" w:name="OLE_LINK14"/>
      <w:r>
        <w:rPr>
          <w:rFonts w:hint="eastAsia" w:ascii="Times New Roman" w:hAnsi="Times New Roman" w:eastAsia="方正仿宋_GBK" w:cs="Times New Roman"/>
          <w:sz w:val="32"/>
          <w:szCs w:val="32"/>
          <w:shd w:val="clear" w:color="auto" w:fill="FFFFFF"/>
          <w:lang w:val="en-US" w:eastAsia="zh-CN"/>
        </w:rPr>
        <w:t>本</w:t>
      </w:r>
      <w:r>
        <w:rPr>
          <w:rFonts w:hint="default" w:ascii="Times New Roman" w:hAnsi="Times New Roman" w:eastAsia="方正仿宋_GBK" w:cs="Times New Roman"/>
          <w:sz w:val="32"/>
          <w:szCs w:val="32"/>
          <w:shd w:val="clear" w:color="auto" w:fill="FFFFFF"/>
        </w:rPr>
        <w:t>单位属于</w:t>
      </w:r>
      <w:r>
        <w:rPr>
          <w:rFonts w:hint="eastAsia" w:ascii="Times New Roman" w:hAnsi="Times New Roman" w:eastAsia="方正仿宋_GBK" w:cs="Times New Roman"/>
          <w:sz w:val="32"/>
          <w:szCs w:val="32"/>
          <w:shd w:val="clear" w:color="auto" w:fill="FFFFFF"/>
          <w:lang w:eastAsia="zh-CN"/>
        </w:rPr>
        <w:t>差额拨款单位</w:t>
      </w:r>
      <w:r>
        <w:rPr>
          <w:rFonts w:hint="default" w:ascii="Times New Roman" w:hAnsi="Times New Roman" w:eastAsia="方正仿宋_GBK" w:cs="Times New Roman"/>
          <w:sz w:val="32"/>
          <w:szCs w:val="32"/>
          <w:shd w:val="clear" w:color="auto" w:fill="FFFFFF"/>
        </w:rPr>
        <w:t>，财政未保障</w:t>
      </w:r>
      <w:r>
        <w:rPr>
          <w:rFonts w:hint="eastAsia" w:ascii="Times New Roman" w:hAnsi="Times New Roman" w:eastAsia="方正仿宋_GBK" w:cs="Times New Roman"/>
          <w:sz w:val="32"/>
          <w:szCs w:val="32"/>
          <w:shd w:val="clear" w:color="auto" w:fill="FFFFFF"/>
          <w:lang w:val="en-US" w:eastAsia="zh-CN"/>
        </w:rPr>
        <w:t>本</w:t>
      </w:r>
      <w:r>
        <w:rPr>
          <w:rFonts w:hint="default" w:ascii="Times New Roman" w:hAnsi="Times New Roman" w:eastAsia="方正仿宋_GBK" w:cs="Times New Roman"/>
          <w:sz w:val="32"/>
          <w:szCs w:val="32"/>
          <w:shd w:val="clear" w:color="auto" w:fill="FFFFFF"/>
        </w:rPr>
        <w:t>单位“三公”经费</w:t>
      </w:r>
      <w:r>
        <w:rPr>
          <w:rFonts w:hint="eastAsia" w:ascii="Times New Roman" w:hAnsi="Times New Roman" w:eastAsia="方正仿宋_GBK" w:cs="Times New Roman"/>
          <w:sz w:val="32"/>
          <w:szCs w:val="32"/>
          <w:shd w:val="clear" w:color="auto" w:fill="FFFFFF"/>
          <w:lang w:eastAsia="zh-CN"/>
        </w:rPr>
        <w:t>。</w:t>
      </w:r>
    </w:p>
    <w:bookmarkEnd w:id="4"/>
    <w:p>
      <w:pPr>
        <w:pStyle w:val="15"/>
        <w:keepNext w:val="0"/>
        <w:keepLines w:val="0"/>
        <w:pageBreakBefore w:val="0"/>
        <w:widowControl w:val="0"/>
        <w:kinsoku/>
        <w:wordWrap/>
        <w:overflowPunct/>
        <w:topLinePunct w:val="0"/>
        <w:autoSpaceDE w:val="0"/>
        <w:autoSpaceDN/>
        <w:bidi w:val="0"/>
        <w:adjustRightInd/>
        <w:spacing w:before="0" w:beforeAutospacing="0" w:after="0" w:afterAutospacing="0" w:line="560" w:lineRule="exact"/>
        <w:ind w:firstLine="640" w:firstLineChars="200"/>
        <w:jc w:val="both"/>
        <w:textAlignment w:val="auto"/>
        <w:rPr>
          <w:rFonts w:hint="default" w:ascii="方正楷体_GBK" w:hAnsi="方正楷体_GBK" w:eastAsia="方正楷体_GBK" w:cs="方正楷体_GBK"/>
          <w:sz w:val="32"/>
          <w:szCs w:val="32"/>
        </w:rPr>
      </w:pPr>
      <w:r>
        <w:rPr>
          <w:rStyle w:val="19"/>
          <w:rFonts w:ascii="方正楷体_GBK" w:hAnsi="方正楷体_GBK" w:eastAsia="方正楷体_GBK" w:cs="方正楷体_GBK"/>
          <w:b w:val="0"/>
          <w:sz w:val="32"/>
          <w:szCs w:val="32"/>
          <w:shd w:val="clear" w:color="auto" w:fill="FFFFFF"/>
        </w:rPr>
        <w:t>（二）“三公”经费分项支出情况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4"/>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方正仿宋_GBK" w:hAnsi="方正仿宋_GBK" w:eastAsia="方正仿宋_GBK" w:cs="方正仿宋_GBK"/>
          <w:i w:val="0"/>
          <w:color w:val="auto"/>
          <w:kern w:val="0"/>
          <w:sz w:val="24"/>
          <w:szCs w:val="24"/>
          <w:highlight w:val="none"/>
          <w:u w:val="none"/>
          <w:lang w:val="en-US" w:eastAsia="zh-CN" w:bidi="ar"/>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4"/>
        <w:keepNext w:val="0"/>
        <w:keepLines w:val="0"/>
        <w:pageBreakBefore w:val="0"/>
        <w:widowControl/>
        <w:kinsoku/>
        <w:wordWrap/>
        <w:overflowPunct/>
        <w:topLinePunct w:val="0"/>
        <w:autoSpaceDE w:val="0"/>
        <w:autoSpaceDN/>
        <w:bidi w:val="0"/>
        <w:adjustRightInd/>
        <w:spacing w:beforeAutospacing="0" w:afterAutospacing="0" w:line="560" w:lineRule="exact"/>
        <w:ind w:firstLine="643"/>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（三）“三公”经费实物量情况</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2023年度本单位因公出国（境）共计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个团组，</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人；公务用车购置</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辆，公务车保有量为</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辆；国内公务接待</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批次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人，其中：国内外事接待</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批次，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人；国（境）外公务接待</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批次，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人。2023年本单位人均接待费</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元，车均购置费</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万元，车均维护费</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万元。</w:t>
      </w:r>
    </w:p>
    <w:p>
      <w:pPr>
        <w:pStyle w:val="9"/>
        <w:keepNext w:val="0"/>
        <w:keepLines w:val="0"/>
        <w:pageBreakBefore w:val="0"/>
        <w:widowControl/>
        <w:numPr>
          <w:ilvl w:val="0"/>
          <w:numId w:val="2"/>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rPr>
        <w:t>其他需要说明的事项</w:t>
      </w:r>
    </w:p>
    <w:p>
      <w:pPr>
        <w:pStyle w:val="9"/>
        <w:keepNext w:val="0"/>
        <w:keepLines w:val="0"/>
        <w:pageBreakBefore w:val="0"/>
        <w:widowControl/>
        <w:numPr>
          <w:ilvl w:val="0"/>
          <w:numId w:val="3"/>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财政拨款会议费和培训费情况说明</w:t>
      </w:r>
    </w:p>
    <w:p>
      <w:pPr>
        <w:pStyle w:val="15"/>
        <w:keepNext w:val="0"/>
        <w:keepLines w:val="0"/>
        <w:pageBreakBefore w:val="0"/>
        <w:widowControl w:val="0"/>
        <w:kinsoku/>
        <w:wordWrap/>
        <w:overflowPunct/>
        <w:topLinePunct w:val="0"/>
        <w:autoSpaceDE w:val="0"/>
        <w:autoSpaceDN/>
        <w:bidi w:val="0"/>
        <w:adjustRightInd/>
        <w:spacing w:before="0" w:beforeAutospacing="0" w:after="0" w:afterAutospacing="0" w:line="560" w:lineRule="exact"/>
        <w:ind w:firstLine="640" w:firstLineChars="200"/>
        <w:jc w:val="both"/>
        <w:textAlignment w:val="auto"/>
        <w:rPr>
          <w:rStyle w:val="19"/>
          <w:rFonts w:hint="eastAsia" w:ascii="方正仿宋_GBK" w:hAnsi="方正仿宋_GBK" w:eastAsia="方正仿宋_GBK" w:cs="方正仿宋_GBK"/>
          <w:b w:val="0"/>
          <w:sz w:val="32"/>
          <w:szCs w:val="32"/>
          <w:shd w:val="clear" w:color="auto" w:fill="FFFFFF"/>
        </w:rPr>
      </w:pPr>
      <w:bookmarkStart w:id="5" w:name="OLE_LINK5"/>
      <w:r>
        <w:rPr>
          <w:rFonts w:hint="default" w:ascii="方正仿宋_GBK" w:hAnsi="方正仿宋_GBK" w:eastAsia="方正仿宋_GBK" w:cs="方正仿宋_GBK"/>
          <w:sz w:val="32"/>
          <w:szCs w:val="32"/>
          <w:shd w:val="clear" w:color="auto" w:fill="FFFFFF"/>
        </w:rPr>
        <w:t>因</w:t>
      </w:r>
      <w:r>
        <w:rPr>
          <w:rFonts w:ascii="方正仿宋_GBK" w:hAnsi="方正仿宋_GBK" w:eastAsia="方正仿宋_GBK" w:cs="方正仿宋_GBK"/>
          <w:sz w:val="32"/>
          <w:szCs w:val="32"/>
          <w:shd w:val="clear" w:color="auto" w:fill="FFFFFF"/>
        </w:rPr>
        <w:t>本</w:t>
      </w:r>
      <w:r>
        <w:rPr>
          <w:rFonts w:hint="default" w:ascii="方正仿宋_GBK" w:hAnsi="方正仿宋_GBK" w:eastAsia="方正仿宋_GBK" w:cs="方正仿宋_GBK"/>
          <w:sz w:val="32"/>
          <w:szCs w:val="32"/>
          <w:shd w:val="clear" w:color="auto" w:fill="FFFFFF"/>
        </w:rPr>
        <w:t>单位为差额拨款事业单位</w:t>
      </w:r>
      <w:bookmarkEnd w:id="5"/>
      <w:r>
        <w:rPr>
          <w:rFonts w:hint="default" w:ascii="方正仿宋_GBK" w:hAnsi="方正仿宋_GBK" w:eastAsia="方正仿宋_GBK" w:cs="方正仿宋_GBK"/>
          <w:sz w:val="32"/>
          <w:szCs w:val="32"/>
          <w:shd w:val="clear" w:color="auto" w:fill="FFFFFF"/>
        </w:rPr>
        <w:t>，财政未保障</w:t>
      </w:r>
      <w:r>
        <w:rPr>
          <w:rFonts w:hint="eastAsia" w:ascii="方正仿宋_GBK" w:hAnsi="方正仿宋_GBK" w:eastAsia="方正仿宋_GBK" w:cs="方正仿宋_GBK"/>
          <w:sz w:val="32"/>
          <w:szCs w:val="32"/>
          <w:shd w:val="clear" w:color="auto" w:fill="FFFFFF"/>
          <w:lang w:val="en-US" w:eastAsia="zh-CN"/>
        </w:rPr>
        <w:t>本</w:t>
      </w:r>
      <w:r>
        <w:rPr>
          <w:rFonts w:hint="default" w:ascii="方正仿宋_GBK" w:hAnsi="方正仿宋_GBK" w:eastAsia="方正仿宋_GBK" w:cs="方正仿宋_GBK"/>
          <w:sz w:val="32"/>
          <w:szCs w:val="32"/>
          <w:shd w:val="clear" w:color="auto" w:fill="FFFFFF"/>
        </w:rPr>
        <w:t>单位会议费和培训费。</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（二）机关运行经费情况说明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sz w:val="32"/>
          <w:szCs w:val="32"/>
        </w:rPr>
        <w:t>按照部门决算列报口径，因</w:t>
      </w:r>
      <w:r>
        <w:rPr>
          <w:rFonts w:hint="eastAsia" w:ascii="Times New Roman" w:hAnsi="Times New Roman" w:eastAsia="方正仿宋_GBK" w:cs="Times New Roman"/>
          <w:sz w:val="32"/>
          <w:szCs w:val="32"/>
          <w:lang w:eastAsia="zh-CN"/>
        </w:rPr>
        <w:t>本</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为差额拨款事业单位不在机关运行经费统计范围之内。</w:t>
      </w:r>
    </w:p>
    <w:p>
      <w:pPr>
        <w:pStyle w:val="14"/>
        <w:keepNext w:val="0"/>
        <w:keepLines w:val="0"/>
        <w:pageBreakBefore w:val="0"/>
        <w:widowControl/>
        <w:kinsoku/>
        <w:wordWrap/>
        <w:overflowPunct/>
        <w:topLinePunct w:val="0"/>
        <w:autoSpaceDE w:val="0"/>
        <w:autoSpaceDN/>
        <w:bidi w:val="0"/>
        <w:adjustRightInd/>
        <w:spacing w:beforeAutospacing="0" w:afterAutospacing="0" w:line="560" w:lineRule="exact"/>
        <w:ind w:firstLine="643"/>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（三）国有资产占用情况说明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截至2023年12月31日，本单位共有车辆</w:t>
      </w:r>
      <w:r>
        <w:rPr>
          <w:rFonts w:hint="default" w:ascii="Times New Roman" w:hAnsi="Times New Roman" w:eastAsia="方正仿宋_GBK" w:cs="Times New Roman"/>
          <w:b w:val="0"/>
          <w:bCs w:val="0"/>
          <w:sz w:val="32"/>
          <w:szCs w:val="32"/>
        </w:rPr>
        <w:t>1</w:t>
      </w:r>
      <w:r>
        <w:rPr>
          <w:rFonts w:hint="default" w:ascii="Times New Roman" w:hAnsi="Times New Roman" w:eastAsia="方正仿宋_GBK" w:cs="Times New Roman"/>
          <w:b w:val="0"/>
          <w:bCs w:val="0"/>
          <w:sz w:val="32"/>
          <w:szCs w:val="32"/>
          <w:shd w:val="clear" w:color="auto" w:fill="FFFFFF"/>
        </w:rPr>
        <w:t>辆，其中，副部（省）级及以上领导用车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辆、主要负责人用车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辆、机要通信用车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辆、应急保障用车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辆、执法执勤用车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辆，特种专业技术用车</w:t>
      </w:r>
      <w:r>
        <w:rPr>
          <w:rFonts w:hint="default" w:ascii="Times New Roman" w:hAnsi="Times New Roman" w:eastAsia="方正仿宋_GBK" w:cs="Times New Roman"/>
          <w:b w:val="0"/>
          <w:bCs w:val="0"/>
          <w:sz w:val="32"/>
          <w:szCs w:val="32"/>
        </w:rPr>
        <w:t>1</w:t>
      </w:r>
      <w:r>
        <w:rPr>
          <w:rFonts w:hint="default" w:ascii="Times New Roman" w:hAnsi="Times New Roman" w:eastAsia="方正仿宋_GBK" w:cs="Times New Roman"/>
          <w:b w:val="0"/>
          <w:bCs w:val="0"/>
          <w:sz w:val="32"/>
          <w:szCs w:val="32"/>
          <w:shd w:val="clear" w:color="auto" w:fill="FFFFFF"/>
        </w:rPr>
        <w:t>辆，离退休干部用车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辆。单价100万元（含）以上专用设备</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台（套）。</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（四）政府采购支出情况说明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FF000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2023年度本单位政府采购支出总额</w:t>
      </w:r>
      <w:r>
        <w:rPr>
          <w:rFonts w:hint="default" w:ascii="Times New Roman" w:hAnsi="Times New Roman" w:eastAsia="方正仿宋_GBK" w:cs="Times New Roman"/>
          <w:b w:val="0"/>
          <w:bCs w:val="0"/>
          <w:sz w:val="32"/>
          <w:szCs w:val="32"/>
        </w:rPr>
        <w:t>1.56</w:t>
      </w:r>
      <w:r>
        <w:rPr>
          <w:rFonts w:hint="default" w:ascii="Times New Roman" w:hAnsi="Times New Roman" w:eastAsia="方正仿宋_GBK" w:cs="Times New Roman"/>
          <w:b w:val="0"/>
          <w:bCs w:val="0"/>
          <w:sz w:val="32"/>
          <w:szCs w:val="32"/>
          <w:shd w:val="clear" w:color="auto" w:fill="FFFFFF"/>
        </w:rPr>
        <w:t>万元，其中：政府采购货物支出</w:t>
      </w:r>
      <w:r>
        <w:rPr>
          <w:rFonts w:hint="default" w:ascii="Times New Roman" w:hAnsi="Times New Roman" w:eastAsia="方正仿宋_GBK" w:cs="Times New Roman"/>
          <w:b w:val="0"/>
          <w:bCs w:val="0"/>
          <w:sz w:val="32"/>
          <w:szCs w:val="32"/>
        </w:rPr>
        <w:t>1.56</w:t>
      </w:r>
      <w:r>
        <w:rPr>
          <w:rFonts w:hint="default" w:ascii="Times New Roman" w:hAnsi="Times New Roman" w:eastAsia="方正仿宋_GBK" w:cs="Times New Roman"/>
          <w:b w:val="0"/>
          <w:bCs w:val="0"/>
          <w:sz w:val="32"/>
          <w:szCs w:val="32"/>
          <w:shd w:val="clear" w:color="auto" w:fill="FFFFFF"/>
        </w:rPr>
        <w:t>万元、政府采购工程支出</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万元、政府采购服务支出</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万元。授予中小企业合同金额</w:t>
      </w:r>
      <w:r>
        <w:rPr>
          <w:rFonts w:hint="default" w:ascii="Times New Roman" w:hAnsi="Times New Roman" w:eastAsia="方正仿宋_GBK" w:cs="Times New Roman"/>
          <w:b w:val="0"/>
          <w:bCs w:val="0"/>
          <w:sz w:val="32"/>
          <w:szCs w:val="32"/>
        </w:rPr>
        <w:t>1.56万</w:t>
      </w:r>
      <w:r>
        <w:rPr>
          <w:rFonts w:hint="default" w:ascii="Times New Roman" w:hAnsi="Times New Roman" w:eastAsia="方正仿宋_GBK" w:cs="Times New Roman"/>
          <w:b w:val="0"/>
          <w:bCs w:val="0"/>
          <w:sz w:val="32"/>
          <w:szCs w:val="32"/>
          <w:shd w:val="clear" w:color="auto" w:fill="FFFFFF"/>
        </w:rPr>
        <w:t>元，占政府采购支出总额的</w:t>
      </w:r>
      <w:r>
        <w:rPr>
          <w:rFonts w:hint="default" w:ascii="Times New Roman" w:hAnsi="Times New Roman" w:eastAsia="方正仿宋_GBK" w:cs="Times New Roman"/>
          <w:b w:val="0"/>
          <w:bCs w:val="0"/>
          <w:sz w:val="32"/>
          <w:szCs w:val="32"/>
        </w:rPr>
        <w:t>100.00</w:t>
      </w:r>
      <w:r>
        <w:rPr>
          <w:rFonts w:hint="default" w:ascii="Times New Roman" w:hAnsi="Times New Roman" w:eastAsia="方正仿宋_GBK" w:cs="Times New Roman"/>
          <w:b w:val="0"/>
          <w:bCs w:val="0"/>
          <w:sz w:val="32"/>
          <w:szCs w:val="32"/>
          <w:shd w:val="clear" w:color="auto" w:fill="FFFFFF"/>
        </w:rPr>
        <w:t>%，其中：授予小微企业合同金额</w:t>
      </w:r>
      <w:r>
        <w:rPr>
          <w:rFonts w:hint="default" w:ascii="Times New Roman" w:hAnsi="Times New Roman" w:eastAsia="方正仿宋_GBK" w:cs="Times New Roman"/>
          <w:b w:val="0"/>
          <w:bCs w:val="0"/>
          <w:sz w:val="32"/>
          <w:szCs w:val="32"/>
        </w:rPr>
        <w:t>1.56</w:t>
      </w:r>
      <w:r>
        <w:rPr>
          <w:rFonts w:hint="default" w:ascii="Times New Roman" w:hAnsi="Times New Roman" w:eastAsia="方正仿宋_GBK" w:cs="Times New Roman"/>
          <w:b w:val="0"/>
          <w:bCs w:val="0"/>
          <w:sz w:val="32"/>
          <w:szCs w:val="32"/>
          <w:shd w:val="clear" w:color="auto" w:fill="FFFFFF"/>
        </w:rPr>
        <w:t>万元，占政府采购支出总额的</w:t>
      </w:r>
      <w:r>
        <w:rPr>
          <w:rFonts w:hint="default" w:ascii="Times New Roman" w:hAnsi="Times New Roman" w:eastAsia="方正仿宋_GBK" w:cs="Times New Roman"/>
          <w:b w:val="0"/>
          <w:bCs w:val="0"/>
          <w:sz w:val="32"/>
          <w:szCs w:val="32"/>
        </w:rPr>
        <w:t>100.00</w:t>
      </w:r>
      <w:r>
        <w:rPr>
          <w:rFonts w:hint="default" w:ascii="Times New Roman" w:hAnsi="Times New Roman" w:eastAsia="方正仿宋_GBK" w:cs="Times New Roman"/>
          <w:b w:val="0"/>
          <w:bCs w:val="0"/>
          <w:sz w:val="32"/>
          <w:szCs w:val="32"/>
          <w:shd w:val="clear" w:color="auto" w:fill="FFFFFF"/>
        </w:rPr>
        <w:t xml:space="preserve"> %。主要用于采</w:t>
      </w:r>
      <w:r>
        <w:rPr>
          <w:rFonts w:hint="default" w:ascii="Times New Roman" w:hAnsi="Times New Roman" w:eastAsia="方正仿宋_GBK" w:cs="Times New Roman"/>
          <w:b w:val="0"/>
          <w:bCs w:val="0"/>
          <w:color w:val="auto"/>
          <w:sz w:val="32"/>
          <w:szCs w:val="32"/>
          <w:shd w:val="clear" w:color="auto" w:fill="FFFFFF"/>
        </w:rPr>
        <w:t>购</w:t>
      </w:r>
      <w:r>
        <w:rPr>
          <w:rFonts w:hint="eastAsia" w:ascii="Times New Roman" w:hAnsi="Times New Roman" w:eastAsia="方正仿宋_GBK" w:cs="Times New Roman"/>
          <w:b w:val="0"/>
          <w:bCs w:val="0"/>
          <w:color w:val="auto"/>
          <w:sz w:val="32"/>
          <w:szCs w:val="32"/>
          <w:shd w:val="clear" w:color="auto" w:fill="FFFFFF"/>
          <w:lang w:val="en-US" w:eastAsia="zh-CN"/>
        </w:rPr>
        <w:t>办公电脑</w:t>
      </w:r>
      <w:r>
        <w:rPr>
          <w:rFonts w:hint="default" w:ascii="Times New Roman" w:hAnsi="Times New Roman" w:eastAsia="方正仿宋_GBK" w:cs="Times New Roman"/>
          <w:b w:val="0"/>
          <w:bCs w:val="0"/>
          <w:color w:val="auto"/>
          <w:sz w:val="32"/>
          <w:szCs w:val="32"/>
          <w:shd w:val="clear" w:color="auto" w:fill="FFFFFF"/>
        </w:rPr>
        <w:t>。</w:t>
      </w:r>
    </w:p>
    <w:p>
      <w:pPr>
        <w:pStyle w:val="9"/>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lang w:val="en-US" w:eastAsia="zh-CN"/>
        </w:rPr>
        <w:t>五、</w:t>
      </w:r>
      <w:r>
        <w:rPr>
          <w:rStyle w:val="11"/>
          <w:rFonts w:hint="eastAsia" w:ascii="方正黑体_GBK" w:hAnsi="方正黑体_GBK" w:eastAsia="方正黑体_GBK" w:cs="方正黑体_GBK"/>
          <w:b w:val="0"/>
          <w:bCs w:val="0"/>
          <w:sz w:val="32"/>
          <w:szCs w:val="32"/>
          <w:shd w:val="clear" w:color="auto" w:fill="FFFFFF"/>
        </w:rPr>
        <w:t>预算绩效管理情况说明</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（一）单位自评情况</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val="en-US" w:eastAsia="zh-CN"/>
        </w:rPr>
      </w:pPr>
    </w:p>
    <w:tbl>
      <w:tblPr>
        <w:tblStyle w:val="12"/>
        <w:tblpPr w:leftFromText="180" w:rightFromText="180" w:vertAnchor="text" w:horzAnchor="page" w:tblpX="1973" w:tblpY="72"/>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0" w:firstLineChars="400"/>
              <w:jc w:val="both"/>
              <w:textAlignment w:val="cente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pPr>
            <w: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t>2023年度项目支出绩效自评情况表（二级项目）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基本公共卫生服务县级配套</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资金拨付及时率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居民健康水平</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定性</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持续提高</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全部完成</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bl>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default" w:ascii="方正楷体_GBK" w:hAnsi="方正楷体_GBK" w:eastAsia="方正楷体_GBK" w:cs="方正楷体_GBK"/>
          <w:b w:val="0"/>
          <w:bCs w:val="0"/>
          <w:sz w:val="32"/>
          <w:szCs w:val="32"/>
          <w:shd w:val="clear" w:color="auto" w:fill="FFFFFF"/>
        </w:rPr>
        <w:t>单位绩效评价情况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三）</w:t>
      </w:r>
      <w:r>
        <w:rPr>
          <w:rFonts w:hint="default" w:ascii="方正楷体_GBK" w:hAnsi="方正楷体_GBK" w:eastAsia="方正楷体_GBK" w:cs="方正楷体_GBK"/>
          <w:b w:val="0"/>
          <w:bCs w:val="0"/>
          <w:sz w:val="32"/>
          <w:szCs w:val="32"/>
          <w:shd w:val="clear" w:color="auto" w:fill="FFFFFF"/>
        </w:rPr>
        <w:t>财政绩效评价情况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Times New Roman" w:hAnsi="Times New Roman" w:eastAsia="方正仿宋_GBK" w:cs="Times New Roman"/>
          <w:b w:val="0"/>
          <w:bCs w:val="0"/>
          <w:kern w:val="0"/>
          <w:sz w:val="32"/>
          <w:szCs w:val="32"/>
          <w:lang w:val="en-US" w:eastAsia="zh-CN" w:bidi="ar-SA"/>
        </w:rPr>
        <w:t>县</w:t>
      </w:r>
      <w:r>
        <w:rPr>
          <w:rFonts w:hint="default" w:ascii="Times New Roman" w:hAnsi="Times New Roman" w:eastAsia="方正仿宋_GBK" w:cs="Times New Roman"/>
          <w:b w:val="0"/>
          <w:bCs w:val="0"/>
          <w:kern w:val="0"/>
          <w:sz w:val="32"/>
          <w:szCs w:val="32"/>
          <w:lang w:val="en-US" w:eastAsia="zh-CN" w:bidi="ar-SA"/>
        </w:rPr>
        <w:t>财政局未委托第三方对</w:t>
      </w: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开展绩效评价。</w:t>
      </w:r>
    </w:p>
    <w:p>
      <w:pPr>
        <w:pStyle w:val="17"/>
        <w:keepNext w:val="0"/>
        <w:keepLines w:val="0"/>
        <w:pageBreakBefore w:val="0"/>
        <w:widowControl/>
        <w:kinsoku/>
        <w:wordWrap/>
        <w:overflowPunct/>
        <w:topLinePunct w:val="0"/>
        <w:autoSpaceDE w:val="0"/>
        <w:autoSpaceDN/>
        <w:bidi w:val="0"/>
        <w:adjustRightInd/>
        <w:spacing w:beforeAutospacing="0" w:afterAutospacing="0" w:line="560" w:lineRule="exact"/>
        <w:ind w:left="0" w:leftChars="0" w:firstLine="640" w:firstLineChars="200"/>
        <w:jc w:val="both"/>
        <w:textAlignment w:val="auto"/>
        <w:outlineLvl w:val="9"/>
        <w:rPr>
          <w:rStyle w:val="11"/>
          <w:rFonts w:hint="default" w:ascii="Times New Roman" w:hAnsi="Times New Roman" w:eastAsia="方正仿宋_GBK" w:cs="Times New Roman"/>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rPr>
        <w:t>六、专业名词解释</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b w:val="0"/>
          <w:bCs w:val="0"/>
          <w:sz w:val="32"/>
          <w:szCs w:val="32"/>
        </w:rPr>
      </w:pPr>
      <w:r>
        <w:rPr>
          <w:rFonts w:hint="eastAsia" w:ascii="方正楷体_GBK" w:hAnsi="方正楷体_GBK" w:eastAsia="方正楷体_GBK" w:cs="方正楷体_GBK"/>
          <w:b/>
          <w:bCs/>
          <w:sz w:val="32"/>
          <w:szCs w:val="32"/>
          <w:shd w:val="clear" w:color="auto" w:fill="FFFFFF"/>
        </w:rPr>
        <w:t>（一）财政拨款收入</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指本年度从本级财政部门取得的财政拨款，包括一般公共预算财政拨款和政府性基金预算财政拨款。</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bCs/>
          <w:sz w:val="32"/>
          <w:szCs w:val="32"/>
          <w:shd w:val="clear" w:color="auto" w:fill="FFFFFF"/>
        </w:rPr>
        <w:t>（二）事业收入</w:t>
      </w:r>
      <w:r>
        <w:rPr>
          <w:rFonts w:hint="eastAsia" w:ascii="方正楷体_GBK" w:hAnsi="方正楷体_GBK" w:eastAsia="方正楷体_GBK" w:cs="方正楷体_GBK"/>
          <w:b/>
          <w:bCs/>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指事业单位开展专业业务活动及其辅助活动取得的现金流入；事业单位收到的财政专户实际核拨的教育收费等资金在此反映。</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bCs/>
          <w:sz w:val="32"/>
          <w:szCs w:val="32"/>
          <w:shd w:val="clear" w:color="auto" w:fill="FFFFFF"/>
        </w:rPr>
        <w:t>（三）经营收入</w:t>
      </w:r>
      <w:r>
        <w:rPr>
          <w:rFonts w:hint="eastAsia" w:ascii="方正楷体_GBK" w:hAnsi="方正楷体_GBK" w:eastAsia="方正楷体_GBK" w:cs="方正楷体_GBK"/>
          <w:b/>
          <w:bCs/>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指事业单位在专业业务活动及其辅助活动之外开展非独立核算经营活动取得的现金流入。</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bCs/>
          <w:sz w:val="32"/>
          <w:szCs w:val="32"/>
          <w:shd w:val="clear" w:color="auto" w:fill="FFFFFF"/>
        </w:rPr>
        <w:t>（四）其他收入</w:t>
      </w:r>
      <w:r>
        <w:rPr>
          <w:rFonts w:hint="eastAsia" w:ascii="方正楷体_GBK" w:hAnsi="方正楷体_GBK" w:eastAsia="方正楷体_GBK" w:cs="方正楷体_GBK"/>
          <w:b/>
          <w:bCs/>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Style w:val="11"/>
          <w:rFonts w:hint="eastAsia" w:ascii="方正楷体_GBK" w:hAnsi="方正楷体_GBK" w:eastAsia="方正楷体_GBK" w:cs="方正楷体_GBK"/>
          <w:b/>
          <w:bCs/>
          <w:sz w:val="32"/>
          <w:szCs w:val="32"/>
          <w:shd w:val="clear" w:color="auto" w:fill="FFFFFF"/>
        </w:rPr>
        <w:t>（五）使用非财政拨款结余</w:t>
      </w:r>
      <w:r>
        <w:rPr>
          <w:rFonts w:hint="eastAsia" w:ascii="方正楷体_GBK" w:hAnsi="方正楷体_GBK" w:eastAsia="方正楷体_GBK" w:cs="方正楷体_GBK"/>
          <w:b/>
          <w:bCs/>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指单位在当年的“财政拨款收入”、“事业收入”、“经营收入”、“其他收入”等不足以安</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排当年支出的情况下，使用以前年度积累的非财政拨款结余弥补本年度收支缺口的资金。</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bCs/>
          <w:sz w:val="32"/>
          <w:szCs w:val="32"/>
          <w:shd w:val="clear" w:color="auto" w:fill="FFFFFF"/>
        </w:rPr>
        <w:t>（六）年初结转和结余</w:t>
      </w:r>
      <w:r>
        <w:rPr>
          <w:rFonts w:hint="eastAsia" w:ascii="方正楷体_GBK" w:hAnsi="方正楷体_GBK" w:eastAsia="方正楷体_GBK" w:cs="方正楷体_GBK"/>
          <w:b/>
          <w:bCs/>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指单位上年结转本年使用的基本支出结转、项目支出结转和结余、经营结余。</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bCs/>
          <w:sz w:val="32"/>
          <w:szCs w:val="32"/>
          <w:shd w:val="clear" w:color="auto" w:fill="FFFFFF"/>
        </w:rPr>
        <w:t>（七）结余分配</w:t>
      </w:r>
      <w:r>
        <w:rPr>
          <w:rFonts w:hint="eastAsia" w:ascii="方正楷体_GBK" w:hAnsi="方正楷体_GBK" w:eastAsia="方正楷体_GBK" w:cs="方正楷体_GBK"/>
          <w:b/>
          <w:bCs/>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指单位按照国家有关规定，缴纳所得税、提取专用基金、转入非财政拨款结余等当年结余的分配情况。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bCs/>
          <w:sz w:val="32"/>
          <w:szCs w:val="32"/>
          <w:shd w:val="clear" w:color="auto" w:fill="FFFFFF"/>
        </w:rPr>
        <w:t>（八）年末结转和结余</w:t>
      </w:r>
      <w:r>
        <w:rPr>
          <w:rFonts w:hint="eastAsia" w:ascii="方正楷体_GBK" w:hAnsi="方正楷体_GBK" w:eastAsia="方正楷体_GBK" w:cs="方正楷体_GBK"/>
          <w:b/>
          <w:bCs/>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指单位结转下年的基本支出结转、项目支出结转和结余、经营结余。</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bCs/>
          <w:sz w:val="32"/>
          <w:szCs w:val="32"/>
          <w:shd w:val="clear" w:color="auto" w:fill="FFFFFF"/>
        </w:rPr>
        <w:t>（九）基本支出</w:t>
      </w:r>
      <w:r>
        <w:rPr>
          <w:rFonts w:hint="eastAsia" w:ascii="方正楷体_GBK" w:hAnsi="方正楷体_GBK" w:eastAsia="方正楷体_GBK" w:cs="方正楷体_GBK"/>
          <w:b/>
          <w:bCs/>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bCs/>
          <w:sz w:val="32"/>
          <w:szCs w:val="32"/>
          <w:shd w:val="clear" w:color="auto" w:fill="FFFFFF"/>
        </w:rPr>
        <w:t>（十）项目支出</w:t>
      </w:r>
      <w:r>
        <w:rPr>
          <w:rFonts w:hint="eastAsia" w:ascii="方正楷体_GBK" w:hAnsi="方正楷体_GBK" w:eastAsia="方正楷体_GBK" w:cs="方正楷体_GBK"/>
          <w:b/>
          <w:bCs/>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指在基本支出之外为完成特定行政任务和事业发展目标所发生的支出。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bCs/>
          <w:sz w:val="32"/>
          <w:szCs w:val="32"/>
          <w:shd w:val="clear" w:color="auto" w:fill="FFFFFF"/>
        </w:rPr>
        <w:t>（十一）经营支出</w:t>
      </w:r>
      <w:r>
        <w:rPr>
          <w:rFonts w:hint="eastAsia" w:ascii="方正楷体_GBK" w:hAnsi="方正楷体_GBK" w:eastAsia="方正楷体_GBK" w:cs="方正楷体_GBK"/>
          <w:b/>
          <w:bCs/>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指事业单位在专业业务活动及其辅助活动之外开展非独立核算经营活动发生的支出。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bCs/>
          <w:sz w:val="32"/>
          <w:szCs w:val="32"/>
          <w:shd w:val="clear" w:color="auto" w:fill="FFFFFF"/>
        </w:rPr>
        <w:t>（十二）“三公”经费</w:t>
      </w:r>
      <w:r>
        <w:rPr>
          <w:rFonts w:hint="eastAsia" w:ascii="方正楷体_GBK" w:hAnsi="方正楷体_GBK" w:eastAsia="方正楷体_GBK" w:cs="方正楷体_GBK"/>
          <w:b/>
          <w:bCs/>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bCs/>
          <w:sz w:val="32"/>
          <w:szCs w:val="32"/>
          <w:shd w:val="clear" w:color="auto" w:fill="FFFFFF"/>
        </w:rPr>
        <w:t>（十三）机关运行经费</w:t>
      </w:r>
      <w:r>
        <w:rPr>
          <w:rFonts w:hint="eastAsia" w:ascii="方正楷体_GBK" w:hAnsi="方正楷体_GBK" w:eastAsia="方正楷体_GBK" w:cs="方正楷体_GBK"/>
          <w:b/>
          <w:bCs/>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bCs/>
          <w:sz w:val="32"/>
          <w:szCs w:val="32"/>
          <w:shd w:val="clear" w:color="auto" w:fill="FFFFFF"/>
        </w:rPr>
        <w:t>（十四）工资福利支出（支出经济分类科目类级）</w:t>
      </w:r>
      <w:r>
        <w:rPr>
          <w:rFonts w:hint="eastAsia" w:ascii="方正楷体_GBK" w:hAnsi="方正楷体_GBK" w:eastAsia="方正楷体_GBK" w:cs="方正楷体_GBK"/>
          <w:b/>
          <w:bCs/>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反映单位开支的在职职工和编制外长期聘用人员的各类劳动报酬，以及为上述人员缴纳的各项社会保险费等。</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bCs/>
          <w:sz w:val="32"/>
          <w:szCs w:val="32"/>
          <w:shd w:val="clear" w:color="auto" w:fill="FFFFFF"/>
        </w:rPr>
        <w:t>（十五）商品和服务支出（支出经济分类科目类级）</w:t>
      </w:r>
      <w:r>
        <w:rPr>
          <w:rFonts w:hint="eastAsia" w:ascii="方正楷体_GBK" w:hAnsi="方正楷体_GBK" w:eastAsia="方正楷体_GBK" w:cs="方正楷体_GBK"/>
          <w:b/>
          <w:bCs/>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反映单位购买商品和服务的支出（不包括用于购置固定资产的支出、战略性和应急储备支出）。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bCs/>
          <w:sz w:val="32"/>
          <w:szCs w:val="32"/>
          <w:shd w:val="clear" w:color="auto" w:fill="FFFFFF"/>
        </w:rPr>
        <w:t>（十六）对个人和家庭的补助（支出经济分类科目类级）</w:t>
      </w:r>
      <w:r>
        <w:rPr>
          <w:rFonts w:hint="eastAsia" w:ascii="方正楷体_GBK" w:hAnsi="方正楷体_GBK" w:eastAsia="方正楷体_GBK" w:cs="方正楷体_GBK"/>
          <w:b/>
          <w:bCs/>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反映用于对个人和家庭的补助支出。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bCs/>
          <w:sz w:val="32"/>
          <w:szCs w:val="32"/>
          <w:shd w:val="clear" w:color="auto" w:fill="FFFFFF"/>
        </w:rPr>
        <w:t>（十七）其他资本性支出（支出经济分类科目类级）</w:t>
      </w:r>
      <w:r>
        <w:rPr>
          <w:rFonts w:hint="eastAsia" w:ascii="方正楷体_GBK" w:hAnsi="方正楷体_GBK" w:eastAsia="方正楷体_GBK" w:cs="方正楷体_GBK"/>
          <w:b/>
          <w:bCs/>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仿宋_GBK" w:cs="Times New Roman"/>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rPr>
        <w:t>七、决算公开联系方式及信息反馈渠道</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Times New Roman"/>
          <w:b w:val="0"/>
          <w:bCs w:val="0"/>
          <w:sz w:val="32"/>
          <w:szCs w:val="32"/>
          <w:shd w:val="clear" w:color="auto" w:fill="FFFFFF"/>
          <w:lang w:eastAsia="zh-CN"/>
        </w:rPr>
      </w:pPr>
      <w:r>
        <w:rPr>
          <w:rFonts w:hint="default" w:ascii="Times New Roman" w:hAnsi="Times New Roman" w:eastAsia="方正仿宋_GBK" w:cs="Times New Roman"/>
          <w:b w:val="0"/>
          <w:bCs w:val="0"/>
          <w:sz w:val="32"/>
          <w:szCs w:val="32"/>
          <w:shd w:val="clear" w:color="auto" w:fill="FFFFFF"/>
        </w:rPr>
        <w:t>本单位决算公开信息反馈和联系方式</w:t>
      </w:r>
      <w:r>
        <w:rPr>
          <w:rFonts w:hint="eastAsia" w:ascii="Times New Roman" w:hAnsi="Times New Roman" w:eastAsia="方正仿宋_GBK" w:cs="Times New Roman"/>
          <w:b w:val="0"/>
          <w:bCs w:val="0"/>
          <w:sz w:val="32"/>
          <w:szCs w:val="32"/>
          <w:shd w:val="clear" w:color="auto" w:fill="FFFFFF"/>
          <w:lang w:eastAsia="zh-CN"/>
        </w:rPr>
        <w:t>：</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Style w:val="11"/>
          <w:rFonts w:hint="eastAsia" w:ascii="Times New Roman" w:hAnsi="Times New Roman" w:eastAsia="方正仿宋_GBK" w:cs="Times New Roman"/>
          <w:b w:val="0"/>
          <w:bCs w:val="0"/>
          <w:sz w:val="32"/>
          <w:szCs w:val="32"/>
          <w:shd w:val="clear" w:color="auto" w:fill="FFFF00"/>
          <w:lang w:val="en-US" w:eastAsia="zh-CN"/>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eastAsia" w:ascii="Times New Roman" w:hAnsi="Times New Roman" w:eastAsia="方正仿宋_GBK" w:cs="Times New Roman"/>
          <w:b w:val="0"/>
          <w:bCs w:val="0"/>
          <w:sz w:val="32"/>
          <w:szCs w:val="32"/>
          <w:shd w:val="clear" w:color="auto" w:fill="FFFFFF"/>
          <w:lang w:eastAsia="zh-CN"/>
        </w:rPr>
        <w:t>吴俏泠</w:t>
      </w:r>
      <w:r>
        <w:rPr>
          <w:rFonts w:hint="eastAsia" w:ascii="Times New Roman" w:hAnsi="Times New Roman" w:eastAsia="方正仿宋_GBK" w:cs="Times New Roman"/>
          <w:b w:val="0"/>
          <w:bCs w:val="0"/>
          <w:sz w:val="32"/>
          <w:szCs w:val="32"/>
          <w:shd w:val="clear" w:color="auto" w:fill="FFFFFF"/>
          <w:lang w:val="en-US" w:eastAsia="zh-CN"/>
        </w:rPr>
        <w:t xml:space="preserve">  023-76617280 </w:t>
      </w:r>
    </w:p>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sz w:val="21"/>
          <w:szCs w:val="21"/>
        </w:rPr>
      </w:pPr>
    </w:p>
    <w:tbl>
      <w:tblPr>
        <w:tblStyle w:val="12"/>
        <w:tblW w:w="15393" w:type="dxa"/>
        <w:tblInd w:w="0" w:type="dxa"/>
        <w:tblLayout w:type="fixed"/>
        <w:tblCellMar>
          <w:top w:w="0" w:type="dxa"/>
          <w:left w:w="0" w:type="dxa"/>
          <w:bottom w:w="0" w:type="dxa"/>
          <w:right w:w="0" w:type="dxa"/>
        </w:tblCellMar>
      </w:tblPr>
      <w:tblGrid>
        <w:gridCol w:w="5122"/>
        <w:gridCol w:w="2020"/>
        <w:gridCol w:w="4809"/>
        <w:gridCol w:w="3442"/>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bottom"/>
              <w:outlineLvl w:val="9"/>
              <w:rPr>
                <w:rFonts w:hint="default" w:ascii="Times New Roman" w:hAnsi="Times New Roman" w:eastAsia="方正仿宋_GBK" w:cs="Times New Roman"/>
                <w:b w:val="0"/>
                <w:bCs w:val="0"/>
                <w:color w:val="000000"/>
                <w:sz w:val="32"/>
                <w:szCs w:val="32"/>
              </w:rPr>
            </w:pPr>
            <w:r>
              <w:rPr>
                <w:rFonts w:hint="default" w:ascii="Times New Roman" w:hAnsi="Times New Roman" w:eastAsia="方正仿宋_GBK" w:cs="Times New Roman"/>
                <w:b w:val="0"/>
                <w:bCs w:val="0"/>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20"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344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7142" w:type="dxa"/>
            <w:gridSpan w:val="2"/>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2"/>
                <w:szCs w:val="22"/>
              </w:rPr>
            </w:pPr>
            <w:r>
              <w:rPr>
                <w:rFonts w:hint="default" w:ascii="Times New Roman" w:hAnsi="Times New Roman" w:eastAsia="方正仿宋_GBK" w:cs="Times New Roman"/>
                <w:b w:val="0"/>
                <w:bCs w:val="0"/>
                <w:sz w:val="20"/>
                <w:szCs w:val="20"/>
              </w:rPr>
              <w:t>公开单位：</w:t>
            </w:r>
            <w:r>
              <w:rPr>
                <w:rFonts w:hint="default" w:ascii="Times New Roman" w:hAnsi="Times New Roman" w:eastAsia="方正仿宋_GBK" w:cs="Times New Roman"/>
                <w:b w:val="0"/>
                <w:bCs w:val="0"/>
                <w:sz w:val="20"/>
                <w:u w:color="auto"/>
              </w:rPr>
              <w:t>重庆市秀山土家族苗族自治县膏田镇卫生院</w:t>
            </w:r>
          </w:p>
        </w:tc>
        <w:tc>
          <w:tcPr>
            <w:tcW w:w="480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2"/>
                <w:szCs w:val="22"/>
              </w:rPr>
            </w:pPr>
          </w:p>
        </w:tc>
        <w:tc>
          <w:tcPr>
            <w:tcW w:w="344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单位：</w:t>
            </w:r>
            <w:r>
              <w:rPr>
                <w:rFonts w:hint="default" w:ascii="Times New Roman" w:hAnsi="Times New Roman" w:eastAsia="方正仿宋_GBK" w:cs="Times New Roman"/>
                <w:b w:val="0"/>
                <w:bCs w:val="0"/>
                <w:sz w:val="20"/>
                <w:szCs w:val="20"/>
              </w:rPr>
              <w:t>万元</w:t>
            </w:r>
          </w:p>
        </w:tc>
      </w:tr>
      <w:tr>
        <w:tblPrEx>
          <w:tblLayout w:type="fixed"/>
          <w:tblCellMar>
            <w:top w:w="0" w:type="dxa"/>
            <w:left w:w="0" w:type="dxa"/>
            <w:bottom w:w="0" w:type="dxa"/>
            <w:right w:w="0" w:type="dxa"/>
          </w:tblCellMar>
        </w:tblPrEx>
        <w:trPr>
          <w:trHeight w:val="243" w:hRule="atLeast"/>
        </w:trPr>
        <w:tc>
          <w:tcPr>
            <w:tcW w:w="71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收入</w:t>
            </w:r>
          </w:p>
        </w:tc>
        <w:tc>
          <w:tcPr>
            <w:tcW w:w="8251"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项目</w:t>
            </w:r>
          </w:p>
        </w:tc>
        <w:tc>
          <w:tcPr>
            <w:tcW w:w="2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决算数</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功能分类科目</w:t>
            </w:r>
          </w:p>
        </w:tc>
        <w:tc>
          <w:tcPr>
            <w:tcW w:w="344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一、一般公共预算财政拨款收入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270.16</w:t>
            </w:r>
            <w:r>
              <w:rPr>
                <w:rFonts w:hint="default" w:ascii="Times New Roman" w:hAnsi="Times New Roman" w:eastAsia="方正仿宋_GBK"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一、一般公共服务支出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二、政府性基金预算财政拨款收入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二、外交支出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三、国有资本经营预算财政拨款收入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三、国防支出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四、上级补助收入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四、公共安全支出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五、事业收入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226.44</w:t>
            </w:r>
            <w:r>
              <w:rPr>
                <w:rFonts w:hint="default" w:ascii="Times New Roman" w:hAnsi="Times New Roman" w:eastAsia="方正仿宋_GBK"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五、教育支出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六、经营收入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六、科学技术支出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七、附属单位上缴收入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七、文化旅游体育与传媒支出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八、其他收入</w:t>
            </w:r>
          </w:p>
        </w:tc>
        <w:tc>
          <w:tcPr>
            <w:tcW w:w="2020" w:type="dxa"/>
            <w:tcBorders>
              <w:top w:val="nil"/>
              <w:left w:val="nil"/>
              <w:bottom w:val="nil"/>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16.29</w:t>
            </w:r>
            <w:r>
              <w:rPr>
                <w:rFonts w:hint="default" w:ascii="Times New Roman" w:hAnsi="Times New Roman" w:eastAsia="方正仿宋_GBK"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八、社会保障和就业支出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37.60</w:t>
            </w: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九、卫生健康支出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429.63</w:t>
            </w: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十、节能环保支出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十一、城乡社区支出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十二、农林水支出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十三、交通运输支出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十四、资源勘探工业信息等支出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十五、商业服务业等支出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十六、金融支出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十七、援助其他地区支出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十八、自然资源海洋气象等支出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十九、住房保障支出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24.46</w:t>
            </w: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二十、粮油物资储备支出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二十一、国有资本经营预算支出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二十二、灾害防治及应急管理支出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二十三、其他支出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二十四、债务还本支出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二十五、债务付息支出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二十六、抗疫特别国债安排的支出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本年收入合计</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512.89</w:t>
            </w:r>
            <w:r>
              <w:rPr>
                <w:rFonts w:hint="default" w:ascii="Times New Roman" w:hAnsi="Times New Roman" w:eastAsia="方正仿宋_GBK"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本年支出合计</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491.69</w:t>
            </w: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使用非财政拨款结余和专用结余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结余分配</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年初结转和结余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6.20</w:t>
            </w:r>
            <w:r>
              <w:rPr>
                <w:rFonts w:hint="default" w:ascii="Times New Roman" w:hAnsi="Times New Roman" w:eastAsia="方正仿宋_GBK"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年末结转和结余</w:t>
            </w:r>
          </w:p>
        </w:tc>
        <w:tc>
          <w:tcPr>
            <w:tcW w:w="3442"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27.40</w:t>
            </w: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总计</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519.09</w:t>
            </w:r>
            <w:r>
              <w:rPr>
                <w:rFonts w:hint="default" w:ascii="Times New Roman" w:hAnsi="Times New Roman" w:eastAsia="方正仿宋_GBK" w:cs="Times New Roman"/>
                <w:b w:val="0"/>
                <w:bCs w:val="0"/>
                <w:color w:val="000000"/>
                <w:sz w:val="20"/>
                <w:u w:color="auto"/>
              </w:rPr>
              <w:t xml:space="preserve"> </w:t>
            </w:r>
          </w:p>
        </w:tc>
        <w:tc>
          <w:tcPr>
            <w:tcW w:w="4809"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总计</w:t>
            </w:r>
          </w:p>
        </w:tc>
        <w:tc>
          <w:tcPr>
            <w:tcW w:w="34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519.09</w:t>
            </w:r>
            <w:r>
              <w:rPr>
                <w:rFonts w:hint="default" w:ascii="Times New Roman" w:hAnsi="Times New Roman" w:eastAsia="方正仿宋_GBK" w:cs="Times New Roman"/>
                <w:b w:val="0"/>
                <w:bCs w:val="0"/>
                <w:color w:val="000000"/>
                <w:sz w:val="20"/>
                <w:u w:color="auto"/>
              </w:rPr>
              <w:t xml:space="preserve"> </w:t>
            </w:r>
          </w:p>
        </w:tc>
      </w:tr>
    </w:tbl>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sz w:val="20"/>
          <w:szCs w:val="20"/>
        </w:rPr>
      </w:pPr>
      <w:r>
        <w:rPr>
          <w:rFonts w:hint="default" w:ascii="Times New Roman" w:hAnsi="Times New Roman" w:eastAsia="方正仿宋_GBK" w:cs="Times New Roman"/>
          <w:b w:val="0"/>
          <w:bCs w:val="0"/>
          <w:sz w:val="20"/>
          <w:szCs w:val="20"/>
        </w:rPr>
        <w:t>备注：1.本表反映单位本年度的总收支和年末结转结余情况。</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t xml:space="preserve">      2.本套报表金额单位转换时可能存在尾数误差。</w:t>
      </w:r>
      <w:r>
        <w:rPr>
          <w:rFonts w:hint="default" w:ascii="Times New Roman" w:hAnsi="Times New Roman" w:eastAsia="方正仿宋_GBK" w:cs="Times New Roman"/>
          <w:b w:val="0"/>
          <w:bCs w:val="0"/>
          <w:sz w:val="20"/>
          <w:szCs w:val="20"/>
        </w:rPr>
        <w:br w:type="textWrapping"/>
      </w:r>
    </w:p>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sz w:val="20"/>
          <w:szCs w:val="20"/>
        </w:rPr>
      </w:pPr>
    </w:p>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sz w:val="20"/>
          <w:szCs w:val="20"/>
        </w:rPr>
      </w:pPr>
    </w:p>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sz w:val="20"/>
          <w:szCs w:val="20"/>
        </w:rPr>
      </w:pPr>
    </w:p>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sz w:val="20"/>
          <w:szCs w:val="20"/>
        </w:rPr>
      </w:pPr>
    </w:p>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sz w:val="20"/>
          <w:szCs w:val="20"/>
        </w:rPr>
      </w:pPr>
    </w:p>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sz w:val="20"/>
          <w:szCs w:val="20"/>
        </w:rPr>
      </w:pPr>
    </w:p>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sz w:val="20"/>
          <w:szCs w:val="20"/>
        </w:rPr>
      </w:pPr>
    </w:p>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sz w:val="20"/>
          <w:szCs w:val="20"/>
        </w:rPr>
      </w:pPr>
    </w:p>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sz w:val="20"/>
          <w:szCs w:val="20"/>
        </w:rPr>
      </w:pPr>
    </w:p>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sz w:val="20"/>
          <w:szCs w:val="20"/>
        </w:rPr>
      </w:pPr>
    </w:p>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sz w:val="20"/>
          <w:szCs w:val="20"/>
        </w:rPr>
      </w:pPr>
    </w:p>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sz w:val="20"/>
          <w:szCs w:val="20"/>
        </w:rPr>
      </w:pPr>
    </w:p>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sz w:val="20"/>
          <w:szCs w:val="20"/>
        </w:rPr>
      </w:pPr>
    </w:p>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sz w:val="20"/>
          <w:szCs w:val="20"/>
        </w:rPr>
      </w:pPr>
    </w:p>
    <w:p>
      <w:pPr>
        <w:pStyle w:val="2"/>
        <w:rPr>
          <w:rFonts w:hint="default" w:ascii="Times New Roman" w:hAnsi="Times New Roman" w:eastAsia="方正仿宋_GBK" w:cs="Times New Roman"/>
          <w:b w:val="0"/>
          <w:bCs w:val="0"/>
          <w:sz w:val="20"/>
          <w:szCs w:val="20"/>
        </w:rPr>
      </w:pPr>
    </w:p>
    <w:p>
      <w:pPr>
        <w:pStyle w:val="3"/>
        <w:rPr>
          <w:rFonts w:hint="default" w:ascii="Times New Roman" w:hAnsi="Times New Roman" w:eastAsia="方正仿宋_GBK" w:cs="Times New Roman"/>
          <w:b w:val="0"/>
          <w:bCs w:val="0"/>
          <w:sz w:val="20"/>
          <w:szCs w:val="20"/>
        </w:rPr>
      </w:pPr>
    </w:p>
    <w:p>
      <w:pPr>
        <w:rPr>
          <w:rFonts w:hint="default" w:ascii="Times New Roman" w:hAnsi="Times New Roman" w:eastAsia="方正仿宋_GBK" w:cs="Times New Roman"/>
          <w:b w:val="0"/>
          <w:bCs w:val="0"/>
          <w:sz w:val="20"/>
          <w:szCs w:val="20"/>
        </w:rPr>
      </w:pPr>
    </w:p>
    <w:p>
      <w:pPr>
        <w:pStyle w:val="2"/>
        <w:rPr>
          <w:rFonts w:hint="default"/>
        </w:rPr>
      </w:pPr>
    </w:p>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sz w:val="20"/>
          <w:szCs w:val="20"/>
        </w:rPr>
      </w:pPr>
      <w:r>
        <w:rPr>
          <w:rFonts w:hint="default" w:ascii="Times New Roman" w:hAnsi="Times New Roman" w:eastAsia="方正仿宋_GBK" w:cs="Times New Roman"/>
          <w:b w:val="0"/>
          <w:bCs w:val="0"/>
          <w:sz w:val="20"/>
          <w:szCs w:val="20"/>
        </w:rPr>
        <w:br w:type="textWrapping"/>
      </w:r>
    </w:p>
    <w:tbl>
      <w:tblPr>
        <w:tblStyle w:val="12"/>
        <w:tblW w:w="15378" w:type="dxa"/>
        <w:tblInd w:w="0" w:type="dxa"/>
        <w:tblLayout w:type="fixed"/>
        <w:tblCellMar>
          <w:top w:w="0" w:type="dxa"/>
          <w:left w:w="0" w:type="dxa"/>
          <w:bottom w:w="0" w:type="dxa"/>
          <w:right w:w="0" w:type="dxa"/>
        </w:tblCellMar>
      </w:tblPr>
      <w:tblGrid>
        <w:gridCol w:w="1702"/>
        <w:gridCol w:w="3171"/>
        <w:gridCol w:w="1233"/>
        <w:gridCol w:w="1233"/>
        <w:gridCol w:w="1233"/>
        <w:gridCol w:w="1233"/>
        <w:gridCol w:w="1366"/>
        <w:gridCol w:w="1307"/>
        <w:gridCol w:w="1439"/>
        <w:gridCol w:w="1461"/>
      </w:tblGrid>
      <w:tr>
        <w:tblPrEx>
          <w:tblLayout w:type="fixed"/>
          <w:tblCellMar>
            <w:top w:w="0" w:type="dxa"/>
            <w:left w:w="0" w:type="dxa"/>
            <w:bottom w:w="0" w:type="dxa"/>
            <w:right w:w="0" w:type="dxa"/>
          </w:tblCellMar>
        </w:tblPrEx>
        <w:trPr>
          <w:trHeight w:val="641" w:hRule="atLeast"/>
        </w:trPr>
        <w:tc>
          <w:tcPr>
            <w:tcW w:w="15378" w:type="dxa"/>
            <w:gridSpan w:val="10"/>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bottom"/>
              <w:outlineLvl w:val="9"/>
              <w:rPr>
                <w:rFonts w:hint="default" w:ascii="Times New Roman" w:hAnsi="Times New Roman" w:eastAsia="方正仿宋_GBK" w:cs="Times New Roman"/>
                <w:b w:val="0"/>
                <w:bCs w:val="0"/>
                <w:color w:val="000000"/>
                <w:sz w:val="32"/>
                <w:szCs w:val="32"/>
              </w:rPr>
            </w:pPr>
            <w:r>
              <w:rPr>
                <w:rFonts w:hint="default" w:ascii="Times New Roman" w:hAnsi="Times New Roman" w:eastAsia="方正仿宋_GBK" w:cs="Times New Roman"/>
                <w:b w:val="0"/>
                <w:bCs w:val="0"/>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6106" w:type="dxa"/>
            <w:gridSpan w:val="3"/>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sz w:val="20"/>
                <w:szCs w:val="20"/>
              </w:rPr>
              <w:t>公开单位：</w:t>
            </w:r>
            <w:r>
              <w:rPr>
                <w:rFonts w:hint="default" w:ascii="Times New Roman" w:hAnsi="Times New Roman" w:eastAsia="方正仿宋_GBK" w:cs="Times New Roman"/>
                <w:b w:val="0"/>
                <w:bCs w:val="0"/>
                <w:sz w:val="20"/>
                <w:u w:color="auto"/>
              </w:rPr>
              <w:t>重庆市秀山土家族苗族自治县膏田镇卫生院</w:t>
            </w:r>
          </w:p>
        </w:tc>
        <w:tc>
          <w:tcPr>
            <w:tcW w:w="123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6106" w:type="dxa"/>
            <w:gridSpan w:val="3"/>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单位：</w:t>
            </w:r>
            <w:r>
              <w:rPr>
                <w:rFonts w:hint="default" w:ascii="Times New Roman" w:hAnsi="Times New Roman" w:eastAsia="方正仿宋_GBK" w:cs="Times New Roman"/>
                <w:b w:val="0"/>
                <w:bCs w:val="0"/>
                <w:sz w:val="20"/>
                <w:szCs w:val="20"/>
              </w:rPr>
              <w:t>万元</w:t>
            </w:r>
          </w:p>
        </w:tc>
      </w:tr>
      <w:tr>
        <w:tblPrEx>
          <w:tblLayout w:type="fixed"/>
          <w:tblCellMar>
            <w:top w:w="0" w:type="dxa"/>
            <w:left w:w="0" w:type="dxa"/>
            <w:bottom w:w="0" w:type="dxa"/>
            <w:right w:w="0" w:type="dxa"/>
          </w:tblCellMar>
        </w:tblPrEx>
        <w:trPr>
          <w:trHeight w:val="431" w:hRule="atLeast"/>
        </w:trPr>
        <w:tc>
          <w:tcPr>
            <w:tcW w:w="4873"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项目</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本年收入合计</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财政拨款收入</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上级补助收入</w:t>
            </w:r>
          </w:p>
        </w:tc>
        <w:tc>
          <w:tcPr>
            <w:tcW w:w="2599"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事业收入</w:t>
            </w:r>
          </w:p>
        </w:tc>
        <w:tc>
          <w:tcPr>
            <w:tcW w:w="13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经营收入</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附属单位上缴收入</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7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功能分类科目编码</w:t>
            </w:r>
          </w:p>
        </w:tc>
        <w:tc>
          <w:tcPr>
            <w:tcW w:w="3171"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项目（按“项”级功能分类科目）</w:t>
            </w: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小计</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其中：教育收费</w:t>
            </w: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487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合计</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512.89</w:t>
            </w:r>
            <w:r>
              <w:rPr>
                <w:rFonts w:hint="default" w:ascii="Times New Roman" w:hAnsi="Times New Roman" w:eastAsia="方正仿宋_GBK" w:cs="Times New Roman"/>
                <w:b w:val="0"/>
                <w:bCs w:val="0"/>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270.16</w:t>
            </w:r>
            <w:r>
              <w:rPr>
                <w:rFonts w:hint="default" w:ascii="Times New Roman" w:hAnsi="Times New Roman" w:eastAsia="方正仿宋_GBK" w:cs="Times New Roman"/>
                <w:b w:val="0"/>
                <w:bCs w:val="0"/>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226.44</w:t>
            </w:r>
            <w:r>
              <w:rPr>
                <w:rFonts w:hint="default" w:ascii="Times New Roman" w:hAnsi="Times New Roman" w:eastAsia="方正仿宋_GBK" w:cs="Times New Roman"/>
                <w:b w:val="0"/>
                <w:bCs w:val="0"/>
                <w:color w:val="000000"/>
                <w:sz w:val="20"/>
                <w:u w:color="auto"/>
              </w:rPr>
              <w:t xml:space="preserve"> </w:t>
            </w:r>
          </w:p>
        </w:tc>
        <w:tc>
          <w:tcPr>
            <w:tcW w:w="13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16.29</w:t>
            </w: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社会保障和就业支出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37.60</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15.95</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21.64</w:t>
            </w: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37.60</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15.95</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21.64</w:t>
            </w: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事业单位离退休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0.17</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0.17</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机关事业单位基本养老保险缴费支出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24.03</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9.61</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14.42</w:t>
            </w: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2080506</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机关事业单位职业年金缴费支出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12.02</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4.79</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7.22</w:t>
            </w: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1.38</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1.38</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450.84</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247.00</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187.54</w:t>
            </w: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16.29</w:t>
            </w: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卫生健康管理事务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0.30</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0.30</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2100199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其他卫生健康管理事务支出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0.30</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0.30</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21003</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基层医疗卫生机构</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346.30</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142.46</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187.54</w:t>
            </w: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16.29</w:t>
            </w: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2100302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乡镇卫生院</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346.30</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142.46</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187.54</w:t>
            </w: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16.29</w:t>
            </w: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21004</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公共卫生</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88.23</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88.23</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2100408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基本公共卫生服务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73.72</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73.72</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2100410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突发公共卫生事件应急处理</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11.74</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11.74</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2100499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其他公共卫生支出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2.78</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2.78</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21011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行政事业单位医疗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6.01</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6.01</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2101102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6.01</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6.01</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10.00</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10.00</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2109999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10.00</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10.00</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221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住房保障支出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24.46</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7.21</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17.25</w:t>
            </w: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22102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住房改革支出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24.46</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7.21</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17.25</w:t>
            </w: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2210201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住房公积金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24.46</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7.21</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17.25</w:t>
            </w: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bl>
    <w:p>
      <w:pPr>
        <w:keepNext w:val="0"/>
        <w:keepLines w:val="0"/>
        <w:pageBreakBefore w:val="0"/>
        <w:widowControl/>
        <w:kinsoku/>
        <w:overflowPunct/>
        <w:topLinePunct w:val="0"/>
        <w:autoSpaceDE/>
        <w:autoSpaceDN/>
        <w:bidi w:val="0"/>
        <w:adjustRightInd/>
        <w:snapToGrid/>
        <w:spacing w:beforeAutospacing="0" w:afterAutospacing="0" w:line="200" w:lineRule="atLeast"/>
        <w:ind w:left="600" w:firstLine="0" w:firstLineChars="0"/>
        <w:outlineLvl w:val="9"/>
        <w:rPr>
          <w:rFonts w:hint="default" w:ascii="Times New Roman" w:hAnsi="Times New Roman" w:eastAsia="方正仿宋_GBK" w:cs="Times New Roman"/>
          <w:b w:val="0"/>
          <w:bCs w:val="0"/>
          <w:sz w:val="20"/>
          <w:szCs w:val="20"/>
        </w:rPr>
      </w:pPr>
      <w:r>
        <w:rPr>
          <w:rFonts w:hint="default" w:ascii="Times New Roman" w:hAnsi="Times New Roman" w:eastAsia="方正仿宋_GBK" w:cs="Times New Roman"/>
          <w:b w:val="0"/>
          <w:bCs w:val="0"/>
          <w:sz w:val="20"/>
          <w:szCs w:val="20"/>
        </w:rPr>
        <w:t>备注：1.本表反映单位本年度取得的各项收入情况。</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t>2.本套报表金额单位转换时可能存在尾数误差。</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br w:type="textWrapping"/>
      </w:r>
    </w:p>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sz w:val="20"/>
          <w:szCs w:val="20"/>
        </w:rPr>
      </w:pPr>
      <w:r>
        <w:rPr>
          <w:rFonts w:hint="default" w:ascii="Times New Roman" w:hAnsi="Times New Roman" w:eastAsia="方正仿宋_GBK" w:cs="Times New Roman"/>
          <w:b w:val="0"/>
          <w:bCs w:val="0"/>
          <w:sz w:val="20"/>
          <w:szCs w:val="20"/>
        </w:rPr>
        <w:br w:type="page"/>
      </w:r>
    </w:p>
    <w:tbl>
      <w:tblPr>
        <w:tblStyle w:val="12"/>
        <w:tblW w:w="15378" w:type="dxa"/>
        <w:tblInd w:w="0" w:type="dxa"/>
        <w:tblLayout w:type="fixed"/>
        <w:tblCellMar>
          <w:top w:w="0" w:type="dxa"/>
          <w:left w:w="0" w:type="dxa"/>
          <w:bottom w:w="0" w:type="dxa"/>
          <w:right w:w="0" w:type="dxa"/>
        </w:tblCellMar>
      </w:tblPr>
      <w:tblGrid>
        <w:gridCol w:w="1802"/>
        <w:gridCol w:w="3355"/>
        <w:gridCol w:w="1701"/>
        <w:gridCol w:w="1701"/>
        <w:gridCol w:w="1701"/>
        <w:gridCol w:w="1685"/>
        <w:gridCol w:w="1685"/>
        <w:gridCol w:w="1748"/>
      </w:tblGrid>
      <w:tr>
        <w:tblPrEx>
          <w:tblLayout w:type="fixed"/>
          <w:tblCellMar>
            <w:top w:w="0" w:type="dxa"/>
            <w:left w:w="0" w:type="dxa"/>
            <w:bottom w:w="0" w:type="dxa"/>
            <w:right w:w="0" w:type="dxa"/>
          </w:tblCellMar>
        </w:tblPrEx>
        <w:trPr>
          <w:trHeight w:val="65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bottom"/>
              <w:outlineLvl w:val="9"/>
              <w:rPr>
                <w:rFonts w:hint="default" w:ascii="Times New Roman" w:hAnsi="Times New Roman" w:eastAsia="方正仿宋_GBK" w:cs="Times New Roman"/>
                <w:b w:val="0"/>
                <w:bCs w:val="0"/>
                <w:color w:val="000000"/>
                <w:sz w:val="32"/>
                <w:szCs w:val="32"/>
              </w:rPr>
            </w:pPr>
            <w:r>
              <w:rPr>
                <w:rFonts w:hint="default" w:ascii="Times New Roman" w:hAnsi="Times New Roman" w:eastAsia="方正仿宋_GBK" w:cs="Times New Roman"/>
                <w:b w:val="0"/>
                <w:bCs w:val="0"/>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858" w:type="dxa"/>
            <w:gridSpan w:val="3"/>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sz w:val="20"/>
                <w:szCs w:val="20"/>
              </w:rPr>
              <w:t>公开单位</w:t>
            </w:r>
            <w:r>
              <w:rPr>
                <w:rFonts w:hint="default" w:ascii="Times New Roman" w:hAnsi="Times New Roman" w:eastAsia="方正仿宋_GBK" w:cs="Times New Roman"/>
                <w:b w:val="0"/>
                <w:bCs w:val="0"/>
                <w:color w:val="000000"/>
                <w:sz w:val="20"/>
                <w:szCs w:val="20"/>
              </w:rPr>
              <w:t xml:space="preserve">： </w:t>
            </w:r>
            <w:r>
              <w:rPr>
                <w:rFonts w:hint="default" w:ascii="Times New Roman" w:hAnsi="Times New Roman" w:eastAsia="方正仿宋_GBK" w:cs="Times New Roman"/>
                <w:b w:val="0"/>
                <w:bCs w:val="0"/>
                <w:color w:val="000000"/>
                <w:sz w:val="20"/>
                <w:u w:color="auto"/>
              </w:rPr>
              <w:t xml:space="preserve">重庆市秀山土家族苗族自治县膏田镇卫生院 </w:t>
            </w:r>
          </w:p>
        </w:tc>
        <w:tc>
          <w:tcPr>
            <w:tcW w:w="17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74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6858" w:type="dxa"/>
            <w:gridSpan w:val="3"/>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74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单位：</w:t>
            </w:r>
            <w:r>
              <w:rPr>
                <w:rFonts w:hint="default" w:ascii="Times New Roman" w:hAnsi="Times New Roman" w:eastAsia="方正仿宋_GBK" w:cs="Times New Roman"/>
                <w:b w:val="0"/>
                <w:bCs w:val="0"/>
                <w:sz w:val="20"/>
                <w:szCs w:val="20"/>
              </w:rPr>
              <w:t>万元</w:t>
            </w:r>
          </w:p>
        </w:tc>
      </w:tr>
      <w:tr>
        <w:tblPrEx>
          <w:tblLayout w:type="fixed"/>
          <w:tblCellMar>
            <w:top w:w="0" w:type="dxa"/>
            <w:left w:w="0" w:type="dxa"/>
            <w:bottom w:w="0" w:type="dxa"/>
            <w:right w:w="0" w:type="dxa"/>
          </w:tblCellMar>
        </w:tblPrEx>
        <w:trPr>
          <w:trHeight w:val="362" w:hRule="atLeast"/>
        </w:trPr>
        <w:tc>
          <w:tcPr>
            <w:tcW w:w="5157"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项目</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本年支出合计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基本支出</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项目支出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上缴上级支出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经营支出</w:t>
            </w:r>
          </w:p>
        </w:tc>
        <w:tc>
          <w:tcPr>
            <w:tcW w:w="174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8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功能分类科目编码</w:t>
            </w:r>
          </w:p>
        </w:tc>
        <w:tc>
          <w:tcPr>
            <w:tcW w:w="3355"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项目（按“项”级功能分类科目）</w:t>
            </w: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18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18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18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62" w:hRule="atLeast"/>
        </w:trPr>
        <w:tc>
          <w:tcPr>
            <w:tcW w:w="515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491.69</w:t>
            </w:r>
            <w:r>
              <w:rPr>
                <w:rFonts w:hint="default" w:ascii="Times New Roman" w:hAnsi="Times New Roman" w:eastAsia="方正仿宋_GBK" w:cs="Times New Roman"/>
                <w:b w:val="0"/>
                <w:bCs w:val="0"/>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469.95</w:t>
            </w:r>
            <w:r>
              <w:rPr>
                <w:rFonts w:hint="default" w:ascii="Times New Roman" w:hAnsi="Times New Roman" w:eastAsia="方正仿宋_GBK" w:cs="Times New Roman"/>
                <w:b w:val="0"/>
                <w:bCs w:val="0"/>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21.74</w:t>
            </w:r>
            <w:r>
              <w:rPr>
                <w:rFonts w:hint="default" w:ascii="Times New Roman" w:hAnsi="Times New Roman" w:eastAsia="方正仿宋_GBK" w:cs="Times New Roman"/>
                <w:b w:val="0"/>
                <w:bCs w:val="0"/>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社会保障和就业支出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37.60</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37.60</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37.60</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37.60</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事业单位离退休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0.17</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0.17</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机关事业单位基本养老保险缴费支出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24.03</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24.03</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2080506</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机关事业单位职业年金缴费支出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12.02</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12.02</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1.38</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1.38</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429.63</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407.89</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21.74</w:t>
            </w: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卫生健康管理事务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0.30</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0.30</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2100199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其他卫生健康管理事务支出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0.30</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0.30</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21003</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基层医疗卫生机构</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325.09</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325.09</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2100302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乡镇卫生院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325.09</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325.09</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21004</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公共卫生</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88.23</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76.49</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11.74</w:t>
            </w: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2100408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基本公共卫生服务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73.72</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73.72</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2100410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突发公共卫生事件应急处理</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11.74</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11.74</w:t>
            </w: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2100499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其他公共卫生支出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2.78</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2.78</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21011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行政事业单位医疗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6.01</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6.01</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2101102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6.01</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6.01</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10.00</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10.00</w:t>
            </w: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2109999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10.00</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10.00</w:t>
            </w: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221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住房保障支出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24.46</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24.46</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22102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住房改革支出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24.46</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24.46</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2210201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住房公积金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24.46</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24.46</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bl>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sz w:val="20"/>
          <w:szCs w:val="20"/>
        </w:rPr>
      </w:pPr>
      <w:r>
        <w:rPr>
          <w:rFonts w:hint="default" w:ascii="Times New Roman" w:hAnsi="Times New Roman" w:eastAsia="方正仿宋_GBK" w:cs="Times New Roman"/>
          <w:b w:val="0"/>
          <w:bCs w:val="0"/>
          <w:sz w:val="20"/>
          <w:szCs w:val="20"/>
        </w:rPr>
        <w:t>备注：1.本表反映单位本年度各项支出情况。</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t xml:space="preserve">      2.本套报表金额单位转换时可能存在尾数误差。</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br w:type="textWrapping"/>
      </w:r>
    </w:p>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sz w:val="21"/>
          <w:szCs w:val="21"/>
        </w:rPr>
      </w:pPr>
      <w:r>
        <w:rPr>
          <w:rFonts w:hint="default" w:ascii="Times New Roman" w:hAnsi="Times New Roman" w:eastAsia="方正仿宋_GBK" w:cs="Times New Roman"/>
          <w:b w:val="0"/>
          <w:bCs w:val="0"/>
          <w:sz w:val="21"/>
          <w:szCs w:val="21"/>
        </w:rPr>
        <w:br w:type="page"/>
      </w:r>
    </w:p>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sz w:val="21"/>
          <w:szCs w:val="21"/>
        </w:rPr>
      </w:pPr>
    </w:p>
    <w:tbl>
      <w:tblPr>
        <w:tblStyle w:val="12"/>
        <w:tblW w:w="14732" w:type="dxa"/>
        <w:tblInd w:w="0" w:type="dxa"/>
        <w:tblLayout w:type="fixed"/>
        <w:tblCellMar>
          <w:top w:w="0" w:type="dxa"/>
          <w:left w:w="0" w:type="dxa"/>
          <w:bottom w:w="0" w:type="dxa"/>
          <w:right w:w="0" w:type="dxa"/>
        </w:tblCellMar>
      </w:tblPr>
      <w:tblGrid>
        <w:gridCol w:w="2979"/>
        <w:gridCol w:w="1526"/>
        <w:gridCol w:w="3191"/>
        <w:gridCol w:w="1700"/>
        <w:gridCol w:w="1700"/>
        <w:gridCol w:w="1700"/>
        <w:gridCol w:w="1936"/>
      </w:tblGrid>
      <w:tr>
        <w:tblPrEx>
          <w:tblLayout w:type="fixed"/>
          <w:tblCellMar>
            <w:top w:w="0" w:type="dxa"/>
            <w:left w:w="0" w:type="dxa"/>
            <w:bottom w:w="0" w:type="dxa"/>
            <w:right w:w="0" w:type="dxa"/>
          </w:tblCellMar>
        </w:tblPrEx>
        <w:trPr>
          <w:trHeight w:val="90" w:hRule="atLeast"/>
        </w:trPr>
        <w:tc>
          <w:tcPr>
            <w:tcW w:w="14732" w:type="dxa"/>
            <w:gridSpan w:val="7"/>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bottom"/>
              <w:outlineLvl w:val="9"/>
              <w:rPr>
                <w:rFonts w:hint="default" w:ascii="Times New Roman" w:hAnsi="Times New Roman" w:eastAsia="方正仿宋_GBK" w:cs="Times New Roman"/>
                <w:b w:val="0"/>
                <w:bCs w:val="0"/>
                <w:color w:val="000000"/>
                <w:sz w:val="32"/>
                <w:szCs w:val="32"/>
              </w:rPr>
            </w:pPr>
            <w:r>
              <w:rPr>
                <w:rFonts w:hint="default" w:ascii="Times New Roman" w:hAnsi="Times New Roman" w:eastAsia="方正仿宋_GBK" w:cs="Times New Roman"/>
                <w:b w:val="0"/>
                <w:bCs w:val="0"/>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96" w:type="dxa"/>
            <w:gridSpan w:val="3"/>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sz w:val="20"/>
                <w:szCs w:val="20"/>
              </w:rPr>
              <w:t>公开单位</w:t>
            </w:r>
            <w:r>
              <w:rPr>
                <w:rFonts w:hint="default" w:ascii="Times New Roman" w:hAnsi="Times New Roman" w:eastAsia="方正仿宋_GBK" w:cs="Times New Roman"/>
                <w:b w:val="0"/>
                <w:bCs w:val="0"/>
                <w:color w:val="000000"/>
                <w:sz w:val="20"/>
                <w:szCs w:val="20"/>
              </w:rPr>
              <w:t xml:space="preserve">： </w:t>
            </w:r>
            <w:r>
              <w:rPr>
                <w:rFonts w:hint="default" w:ascii="Times New Roman" w:hAnsi="Times New Roman" w:eastAsia="方正仿宋_GBK" w:cs="Times New Roman"/>
                <w:b w:val="0"/>
                <w:bCs w:val="0"/>
                <w:color w:val="000000"/>
                <w:sz w:val="20"/>
                <w:u w:color="auto"/>
              </w:rPr>
              <w:t>重庆市秀山土家族苗族自治县膏田镇卫生院</w:t>
            </w:r>
          </w:p>
        </w:tc>
        <w:tc>
          <w:tcPr>
            <w:tcW w:w="1700"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7696" w:type="dxa"/>
            <w:gridSpan w:val="3"/>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单位：</w:t>
            </w:r>
            <w:r>
              <w:rPr>
                <w:rFonts w:hint="default" w:ascii="Times New Roman" w:hAnsi="Times New Roman" w:eastAsia="方正仿宋_GBK" w:cs="Times New Roman"/>
                <w:b w:val="0"/>
                <w:bCs w:val="0"/>
                <w:sz w:val="20"/>
                <w:szCs w:val="20"/>
              </w:rPr>
              <w:t>万元</w:t>
            </w:r>
          </w:p>
        </w:tc>
      </w:tr>
      <w:tr>
        <w:tblPrEx>
          <w:tblLayout w:type="fixed"/>
          <w:tblCellMar>
            <w:top w:w="0" w:type="dxa"/>
            <w:left w:w="0" w:type="dxa"/>
            <w:bottom w:w="0" w:type="dxa"/>
            <w:right w:w="0" w:type="dxa"/>
          </w:tblCellMar>
        </w:tblPrEx>
        <w:trPr>
          <w:trHeight w:val="90" w:hRule="atLeast"/>
        </w:trPr>
        <w:tc>
          <w:tcPr>
            <w:tcW w:w="450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收     入</w:t>
            </w:r>
          </w:p>
        </w:tc>
        <w:tc>
          <w:tcPr>
            <w:tcW w:w="10227"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7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项目</w:t>
            </w:r>
          </w:p>
        </w:tc>
        <w:tc>
          <w:tcPr>
            <w:tcW w:w="152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决算数</w:t>
            </w:r>
          </w:p>
        </w:tc>
        <w:tc>
          <w:tcPr>
            <w:tcW w:w="319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功能分类科目</w:t>
            </w:r>
          </w:p>
        </w:tc>
        <w:tc>
          <w:tcPr>
            <w:tcW w:w="7036"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18"/>
                <w:szCs w:val="18"/>
              </w:rPr>
            </w:pPr>
          </w:p>
        </w:tc>
        <w:tc>
          <w:tcPr>
            <w:tcW w:w="152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18"/>
                <w:szCs w:val="18"/>
              </w:rPr>
            </w:pPr>
          </w:p>
        </w:tc>
        <w:tc>
          <w:tcPr>
            <w:tcW w:w="319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小计</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一般公共预算财政拨款</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政府性基金预算财政拨款</w:t>
            </w:r>
          </w:p>
        </w:tc>
        <w:tc>
          <w:tcPr>
            <w:tcW w:w="19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一、一般公共预算财政拨款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270.16</w:t>
            </w:r>
            <w:r>
              <w:rPr>
                <w:rFonts w:hint="default" w:ascii="Times New Roman" w:hAnsi="Times New Roman" w:eastAsia="方正仿宋_GBK"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一、一般公共服务支出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二、政府性基金预算财政拨款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二、外交支出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三、国有资本经营预算财政拨款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三、国防支出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四、公共安全支出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五、教育支出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六、科学技术支出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七、文化旅游体育与传媒支出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八、社会保障和就业支出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15.95</w:t>
            </w: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15.95</w:t>
            </w: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九、卫生健康支出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234.63</w:t>
            </w: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234.63</w:t>
            </w: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十、节能环保支出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十一、城乡社区支出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十二、农林水支出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十三、交通运输支出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十四、资源勘探工业信息等支出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十五、商业服务业等支出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十六、金融支出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十七、援助其他地区支出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十八、自然资源海洋气象等支出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十九、住房保障支出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7.21</w:t>
            </w: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7.21</w:t>
            </w: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二十、粮油物资储备支出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二十一、国有资本经营预算支出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二十二、灾害防治及应急管理支出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二十三、其他支出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二十四、债务还本支出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二十五、债务付息支出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二十六、抗疫特别国债安排的支出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本年收入合计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270.16</w:t>
            </w:r>
            <w:r>
              <w:rPr>
                <w:rFonts w:hint="default" w:ascii="Times New Roman" w:hAnsi="Times New Roman" w:eastAsia="方正仿宋_GBK"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本年支出合计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257.79</w:t>
            </w: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257.79</w:t>
            </w: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年初财政拨款结转和结余</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年末财政拨款结转和结余</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12.37</w:t>
            </w: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12.37</w:t>
            </w: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总计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270.16</w:t>
            </w:r>
            <w:r>
              <w:rPr>
                <w:rFonts w:hint="default" w:ascii="Times New Roman" w:hAnsi="Times New Roman" w:eastAsia="方正仿宋_GBK"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总计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270.16</w:t>
            </w: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270.16</w:t>
            </w: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bl>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sz w:val="20"/>
          <w:szCs w:val="20"/>
        </w:rPr>
      </w:pPr>
      <w:r>
        <w:rPr>
          <w:rFonts w:hint="default" w:ascii="Times New Roman" w:hAnsi="Times New Roman" w:eastAsia="方正仿宋_GBK" w:cs="Times New Roman"/>
          <w:b w:val="0"/>
          <w:bCs w:val="0"/>
          <w:sz w:val="20"/>
          <w:szCs w:val="20"/>
        </w:rPr>
        <w:t>备注：1.本表反映单位本年度一般公共预算财政拨款、政府性基金预算财政拨款及国有资本经营预算财政拨款的总收支和年末结转结余情况。</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t xml:space="preserve">      2.本套报表金额单位转换时可能存在尾数误差。</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1"/>
          <w:szCs w:val="21"/>
        </w:rPr>
        <w:br w:type="page"/>
      </w:r>
    </w:p>
    <w:tbl>
      <w:tblPr>
        <w:tblStyle w:val="12"/>
        <w:tblW w:w="15340" w:type="dxa"/>
        <w:tblInd w:w="0" w:type="dxa"/>
        <w:tblLayout w:type="fixed"/>
        <w:tblCellMar>
          <w:top w:w="0" w:type="dxa"/>
          <w:left w:w="0" w:type="dxa"/>
          <w:bottom w:w="0" w:type="dxa"/>
          <w:right w:w="0" w:type="dxa"/>
        </w:tblCellMar>
      </w:tblPr>
      <w:tblGrid>
        <w:gridCol w:w="1853"/>
        <w:gridCol w:w="3539"/>
        <w:gridCol w:w="3310"/>
        <w:gridCol w:w="3"/>
        <w:gridCol w:w="3308"/>
        <w:gridCol w:w="1"/>
        <w:gridCol w:w="3326"/>
      </w:tblGrid>
      <w:tr>
        <w:tblPrEx>
          <w:tblLayout w:type="fixed"/>
          <w:tblCellMar>
            <w:top w:w="0" w:type="dxa"/>
            <w:left w:w="0" w:type="dxa"/>
            <w:bottom w:w="0" w:type="dxa"/>
            <w:right w:w="0" w:type="dxa"/>
          </w:tblCellMar>
        </w:tblPrEx>
        <w:trPr>
          <w:trHeight w:val="90" w:hRule="atLeast"/>
        </w:trPr>
        <w:tc>
          <w:tcPr>
            <w:tcW w:w="15340" w:type="dxa"/>
            <w:gridSpan w:val="7"/>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bottom"/>
              <w:outlineLvl w:val="9"/>
              <w:rPr>
                <w:rFonts w:hint="default" w:ascii="Times New Roman" w:hAnsi="Times New Roman" w:eastAsia="方正仿宋_GBK" w:cs="Times New Roman"/>
                <w:b w:val="0"/>
                <w:bCs w:val="0"/>
                <w:color w:val="000000"/>
                <w:sz w:val="32"/>
                <w:szCs w:val="32"/>
              </w:rPr>
            </w:pPr>
            <w:r>
              <w:rPr>
                <w:rFonts w:hint="default" w:ascii="Times New Roman" w:hAnsi="Times New Roman" w:eastAsia="方正仿宋_GBK" w:cs="Times New Roman"/>
                <w:b w:val="0"/>
                <w:bCs w:val="0"/>
                <w:color w:val="000000"/>
                <w:sz w:val="32"/>
                <w:szCs w:val="32"/>
              </w:rPr>
              <w:t>一般公共预算财政拨款支出决算表</w:t>
            </w:r>
          </w:p>
        </w:tc>
      </w:tr>
      <w:tr>
        <w:tblPrEx>
          <w:tblLayout w:type="fixed"/>
          <w:tblCellMar>
            <w:top w:w="0" w:type="dxa"/>
            <w:left w:w="0" w:type="dxa"/>
            <w:bottom w:w="0" w:type="dxa"/>
            <w:right w:w="0" w:type="dxa"/>
          </w:tblCellMar>
        </w:tblPrEx>
        <w:trPr>
          <w:trHeight w:val="90" w:hRule="atLeast"/>
        </w:trPr>
        <w:tc>
          <w:tcPr>
            <w:tcW w:w="8705" w:type="dxa"/>
            <w:gridSpan w:val="4"/>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sz w:val="20"/>
                <w:szCs w:val="20"/>
              </w:rPr>
              <w:t>公开单位</w:t>
            </w:r>
            <w:r>
              <w:rPr>
                <w:rFonts w:hint="default" w:ascii="Times New Roman" w:hAnsi="Times New Roman" w:eastAsia="方正仿宋_GBK" w:cs="Times New Roman"/>
                <w:b w:val="0"/>
                <w:bCs w:val="0"/>
                <w:color w:val="000000"/>
                <w:sz w:val="20"/>
                <w:szCs w:val="20"/>
              </w:rPr>
              <w:t xml:space="preserve">： </w:t>
            </w:r>
            <w:r>
              <w:rPr>
                <w:rFonts w:hint="default" w:ascii="Times New Roman" w:hAnsi="Times New Roman" w:eastAsia="方正仿宋_GBK" w:cs="Times New Roman"/>
                <w:b w:val="0"/>
                <w:bCs w:val="0"/>
                <w:color w:val="000000"/>
                <w:sz w:val="20"/>
                <w:u w:color="auto"/>
              </w:rPr>
              <w:t>重庆市秀山土家族苗族自治县膏田镇卫生院</w:t>
            </w:r>
          </w:p>
        </w:tc>
        <w:tc>
          <w:tcPr>
            <w:tcW w:w="3309" w:type="dxa"/>
            <w:gridSpan w:val="2"/>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332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公开05表</w:t>
            </w:r>
          </w:p>
        </w:tc>
      </w:tr>
      <w:tr>
        <w:tblPrEx>
          <w:tblLayout w:type="fixed"/>
          <w:tblCellMar>
            <w:top w:w="0" w:type="dxa"/>
            <w:left w:w="0" w:type="dxa"/>
            <w:bottom w:w="0" w:type="dxa"/>
            <w:right w:w="0" w:type="dxa"/>
          </w:tblCellMar>
        </w:tblPrEx>
        <w:trPr>
          <w:trHeight w:val="90" w:hRule="atLeast"/>
        </w:trPr>
        <w:tc>
          <w:tcPr>
            <w:tcW w:w="8705" w:type="dxa"/>
            <w:gridSpan w:val="4"/>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3309" w:type="dxa"/>
            <w:gridSpan w:val="2"/>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332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单位：</w:t>
            </w:r>
            <w:r>
              <w:rPr>
                <w:rFonts w:hint="default" w:ascii="Times New Roman" w:hAnsi="Times New Roman" w:eastAsia="方正仿宋_GBK" w:cs="Times New Roman"/>
                <w:b w:val="0"/>
                <w:bCs w:val="0"/>
                <w:sz w:val="20"/>
                <w:szCs w:val="20"/>
              </w:rPr>
              <w:t>万元</w:t>
            </w:r>
          </w:p>
        </w:tc>
      </w:tr>
      <w:tr>
        <w:tblPrEx>
          <w:tblLayout w:type="fixed"/>
          <w:tblCellMar>
            <w:top w:w="0" w:type="dxa"/>
            <w:left w:w="0" w:type="dxa"/>
            <w:bottom w:w="0" w:type="dxa"/>
            <w:right w:w="0" w:type="dxa"/>
          </w:tblCellMar>
        </w:tblPrEx>
        <w:trPr>
          <w:trHeight w:val="90" w:hRule="atLeast"/>
        </w:trPr>
        <w:tc>
          <w:tcPr>
            <w:tcW w:w="539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项目</w:t>
            </w:r>
          </w:p>
        </w:tc>
        <w:tc>
          <w:tcPr>
            <w:tcW w:w="9948" w:type="dxa"/>
            <w:gridSpan w:val="5"/>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本年支出</w:t>
            </w:r>
          </w:p>
        </w:tc>
      </w:tr>
      <w:tr>
        <w:tblPrEx>
          <w:tblLayout w:type="fixed"/>
          <w:tblCellMar>
            <w:top w:w="0" w:type="dxa"/>
            <w:left w:w="0" w:type="dxa"/>
            <w:bottom w:w="0" w:type="dxa"/>
            <w:right w:w="0" w:type="dxa"/>
          </w:tblCellMar>
        </w:tblPrEx>
        <w:trPr>
          <w:trHeight w:val="312" w:hRule="atLeast"/>
        </w:trPr>
        <w:tc>
          <w:tcPr>
            <w:tcW w:w="1853"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功能分类科目编码</w:t>
            </w:r>
          </w:p>
        </w:tc>
        <w:tc>
          <w:tcPr>
            <w:tcW w:w="353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项目（按“项”级功能分类科目）</w:t>
            </w:r>
          </w:p>
        </w:tc>
        <w:tc>
          <w:tcPr>
            <w:tcW w:w="331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合计</w:t>
            </w:r>
          </w:p>
        </w:tc>
        <w:tc>
          <w:tcPr>
            <w:tcW w:w="3311"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基本支出</w:t>
            </w:r>
          </w:p>
        </w:tc>
        <w:tc>
          <w:tcPr>
            <w:tcW w:w="3327"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项目支出</w:t>
            </w:r>
          </w:p>
        </w:tc>
      </w:tr>
      <w:tr>
        <w:tblPrEx>
          <w:tblLayout w:type="fixed"/>
          <w:tblCellMar>
            <w:top w:w="0" w:type="dxa"/>
            <w:left w:w="0" w:type="dxa"/>
            <w:bottom w:w="0" w:type="dxa"/>
            <w:right w:w="0" w:type="dxa"/>
          </w:tblCellMar>
        </w:tblPrEx>
        <w:trPr>
          <w:trHeight w:val="312" w:hRule="atLeast"/>
        </w:trPr>
        <w:tc>
          <w:tcPr>
            <w:tcW w:w="185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53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31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311"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327"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12" w:hRule="atLeast"/>
        </w:trPr>
        <w:tc>
          <w:tcPr>
            <w:tcW w:w="185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53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31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311"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327"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5392"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合计</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257.79</w:t>
            </w:r>
            <w:r>
              <w:rPr>
                <w:rFonts w:hint="default" w:ascii="Times New Roman" w:hAnsi="Times New Roman" w:eastAsia="方正仿宋_GBK" w:cs="Times New Roman"/>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236.05</w:t>
            </w:r>
            <w:r>
              <w:rPr>
                <w:rFonts w:hint="default" w:ascii="Times New Roman" w:hAnsi="Times New Roman" w:eastAsia="方正仿宋_GBK" w:cs="Times New Roman"/>
                <w:b w:val="0"/>
                <w:bCs w:val="0"/>
                <w:color w:val="000000"/>
                <w:sz w:val="20"/>
                <w:u w:color="auto"/>
              </w:rPr>
              <w:t xml:space="preserve"> </w:t>
            </w:r>
          </w:p>
        </w:tc>
        <w:tc>
          <w:tcPr>
            <w:tcW w:w="33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21.74</w:t>
            </w: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社会保障和就业支出</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15.95</w:t>
            </w:r>
            <w:r>
              <w:rPr>
                <w:rFonts w:hint="default" w:ascii="Times New Roman" w:hAnsi="Times New Roman" w:eastAsia="方正仿宋_GBK" w:cs="Times New Roman"/>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15.95</w:t>
            </w:r>
            <w:r>
              <w:rPr>
                <w:rFonts w:hint="default" w:ascii="Times New Roman" w:hAnsi="Times New Roman" w:eastAsia="方正仿宋_GBK" w:cs="Times New Roman"/>
                <w:b w:val="0"/>
                <w:bCs w:val="0"/>
                <w:color w:val="000000"/>
                <w:sz w:val="20"/>
                <w:u w:color="auto"/>
              </w:rPr>
              <w:t xml:space="preserve"> </w:t>
            </w:r>
          </w:p>
        </w:tc>
        <w:tc>
          <w:tcPr>
            <w:tcW w:w="33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行政事业单位养老支出</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15.95</w:t>
            </w:r>
            <w:r>
              <w:rPr>
                <w:rFonts w:hint="default" w:ascii="Times New Roman" w:hAnsi="Times New Roman" w:eastAsia="方正仿宋_GBK" w:cs="Times New Roman"/>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15.95</w:t>
            </w:r>
            <w:r>
              <w:rPr>
                <w:rFonts w:hint="default" w:ascii="Times New Roman" w:hAnsi="Times New Roman" w:eastAsia="方正仿宋_GBK" w:cs="Times New Roman"/>
                <w:b w:val="0"/>
                <w:bCs w:val="0"/>
                <w:color w:val="000000"/>
                <w:sz w:val="20"/>
                <w:u w:color="auto"/>
              </w:rPr>
              <w:t xml:space="preserve"> </w:t>
            </w:r>
          </w:p>
        </w:tc>
        <w:tc>
          <w:tcPr>
            <w:tcW w:w="33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2080502</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事业单位离退休</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0.17</w:t>
            </w:r>
            <w:r>
              <w:rPr>
                <w:rFonts w:hint="default" w:ascii="Times New Roman" w:hAnsi="Times New Roman" w:eastAsia="方正仿宋_GBK" w:cs="Times New Roman"/>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0.17</w:t>
            </w:r>
            <w:r>
              <w:rPr>
                <w:rFonts w:hint="default" w:ascii="Times New Roman" w:hAnsi="Times New Roman" w:eastAsia="方正仿宋_GBK" w:cs="Times New Roman"/>
                <w:b w:val="0"/>
                <w:bCs w:val="0"/>
                <w:color w:val="000000"/>
                <w:sz w:val="20"/>
                <w:u w:color="auto"/>
              </w:rPr>
              <w:t xml:space="preserve"> </w:t>
            </w:r>
          </w:p>
        </w:tc>
        <w:tc>
          <w:tcPr>
            <w:tcW w:w="33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2080505</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机关事业单位基本养老保险缴费支出</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9.61</w:t>
            </w:r>
            <w:r>
              <w:rPr>
                <w:rFonts w:hint="default" w:ascii="Times New Roman" w:hAnsi="Times New Roman" w:eastAsia="方正仿宋_GBK" w:cs="Times New Roman"/>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9.61</w:t>
            </w:r>
            <w:r>
              <w:rPr>
                <w:rFonts w:hint="default" w:ascii="Times New Roman" w:hAnsi="Times New Roman" w:eastAsia="方正仿宋_GBK" w:cs="Times New Roman"/>
                <w:b w:val="0"/>
                <w:bCs w:val="0"/>
                <w:color w:val="000000"/>
                <w:sz w:val="20"/>
                <w:u w:color="auto"/>
              </w:rPr>
              <w:t xml:space="preserve"> </w:t>
            </w:r>
          </w:p>
        </w:tc>
        <w:tc>
          <w:tcPr>
            <w:tcW w:w="33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2080506</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机关事业单位职业年金缴费支出</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4.79</w:t>
            </w:r>
            <w:r>
              <w:rPr>
                <w:rFonts w:hint="default" w:ascii="Times New Roman" w:hAnsi="Times New Roman" w:eastAsia="方正仿宋_GBK" w:cs="Times New Roman"/>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4.79</w:t>
            </w:r>
            <w:r>
              <w:rPr>
                <w:rFonts w:hint="default" w:ascii="Times New Roman" w:hAnsi="Times New Roman" w:eastAsia="方正仿宋_GBK" w:cs="Times New Roman"/>
                <w:b w:val="0"/>
                <w:bCs w:val="0"/>
                <w:color w:val="000000"/>
                <w:sz w:val="20"/>
                <w:u w:color="auto"/>
              </w:rPr>
              <w:t xml:space="preserve"> </w:t>
            </w:r>
          </w:p>
        </w:tc>
        <w:tc>
          <w:tcPr>
            <w:tcW w:w="33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2080599</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其他行政事业单位养老支出</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1.38</w:t>
            </w:r>
            <w:r>
              <w:rPr>
                <w:rFonts w:hint="default" w:ascii="Times New Roman" w:hAnsi="Times New Roman" w:eastAsia="方正仿宋_GBK" w:cs="Times New Roman"/>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1.38</w:t>
            </w:r>
            <w:r>
              <w:rPr>
                <w:rFonts w:hint="default" w:ascii="Times New Roman" w:hAnsi="Times New Roman" w:eastAsia="方正仿宋_GBK" w:cs="Times New Roman"/>
                <w:b w:val="0"/>
                <w:bCs w:val="0"/>
                <w:color w:val="000000"/>
                <w:sz w:val="20"/>
                <w:u w:color="auto"/>
              </w:rPr>
              <w:t xml:space="preserve"> </w:t>
            </w:r>
          </w:p>
        </w:tc>
        <w:tc>
          <w:tcPr>
            <w:tcW w:w="33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卫生健康支出</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234.63</w:t>
            </w:r>
            <w:r>
              <w:rPr>
                <w:rFonts w:hint="default" w:ascii="Times New Roman" w:hAnsi="Times New Roman" w:eastAsia="方正仿宋_GBK" w:cs="Times New Roman"/>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212.89</w:t>
            </w:r>
            <w:r>
              <w:rPr>
                <w:rFonts w:hint="default" w:ascii="Times New Roman" w:hAnsi="Times New Roman" w:eastAsia="方正仿宋_GBK" w:cs="Times New Roman"/>
                <w:b w:val="0"/>
                <w:bCs w:val="0"/>
                <w:color w:val="000000"/>
                <w:sz w:val="20"/>
                <w:u w:color="auto"/>
              </w:rPr>
              <w:t xml:space="preserve"> </w:t>
            </w:r>
          </w:p>
        </w:tc>
        <w:tc>
          <w:tcPr>
            <w:tcW w:w="33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21.74</w:t>
            </w: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21001</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卫生健康管理事务</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0.30</w:t>
            </w:r>
            <w:r>
              <w:rPr>
                <w:rFonts w:hint="default" w:ascii="Times New Roman" w:hAnsi="Times New Roman" w:eastAsia="方正仿宋_GBK" w:cs="Times New Roman"/>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0.30</w:t>
            </w:r>
            <w:r>
              <w:rPr>
                <w:rFonts w:hint="default" w:ascii="Times New Roman" w:hAnsi="Times New Roman" w:eastAsia="方正仿宋_GBK" w:cs="Times New Roman"/>
                <w:b w:val="0"/>
                <w:bCs w:val="0"/>
                <w:color w:val="000000"/>
                <w:sz w:val="20"/>
                <w:u w:color="auto"/>
              </w:rPr>
              <w:t xml:space="preserve"> </w:t>
            </w:r>
          </w:p>
        </w:tc>
        <w:tc>
          <w:tcPr>
            <w:tcW w:w="33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2100199</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其他卫生健康管理事务支出</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0.30</w:t>
            </w:r>
            <w:r>
              <w:rPr>
                <w:rFonts w:hint="default" w:ascii="Times New Roman" w:hAnsi="Times New Roman" w:eastAsia="方正仿宋_GBK" w:cs="Times New Roman"/>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0.30</w:t>
            </w:r>
            <w:r>
              <w:rPr>
                <w:rFonts w:hint="default" w:ascii="Times New Roman" w:hAnsi="Times New Roman" w:eastAsia="方正仿宋_GBK" w:cs="Times New Roman"/>
                <w:b w:val="0"/>
                <w:bCs w:val="0"/>
                <w:color w:val="000000"/>
                <w:sz w:val="20"/>
                <w:u w:color="auto"/>
              </w:rPr>
              <w:t xml:space="preserve"> </w:t>
            </w:r>
          </w:p>
        </w:tc>
        <w:tc>
          <w:tcPr>
            <w:tcW w:w="33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21003</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基层医疗卫生机构</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130.09</w:t>
            </w:r>
            <w:r>
              <w:rPr>
                <w:rFonts w:hint="default" w:ascii="Times New Roman" w:hAnsi="Times New Roman" w:eastAsia="方正仿宋_GBK" w:cs="Times New Roman"/>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130.09</w:t>
            </w:r>
            <w:r>
              <w:rPr>
                <w:rFonts w:hint="default" w:ascii="Times New Roman" w:hAnsi="Times New Roman" w:eastAsia="方正仿宋_GBK" w:cs="Times New Roman"/>
                <w:b w:val="0"/>
                <w:bCs w:val="0"/>
                <w:color w:val="000000"/>
                <w:sz w:val="20"/>
                <w:u w:color="auto"/>
              </w:rPr>
              <w:t xml:space="preserve"> </w:t>
            </w:r>
          </w:p>
        </w:tc>
        <w:tc>
          <w:tcPr>
            <w:tcW w:w="33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2100302</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乡镇卫生院</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130.09</w:t>
            </w:r>
            <w:r>
              <w:rPr>
                <w:rFonts w:hint="default" w:ascii="Times New Roman" w:hAnsi="Times New Roman" w:eastAsia="方正仿宋_GBK" w:cs="Times New Roman"/>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130.09</w:t>
            </w:r>
            <w:r>
              <w:rPr>
                <w:rFonts w:hint="default" w:ascii="Times New Roman" w:hAnsi="Times New Roman" w:eastAsia="方正仿宋_GBK" w:cs="Times New Roman"/>
                <w:b w:val="0"/>
                <w:bCs w:val="0"/>
                <w:color w:val="000000"/>
                <w:sz w:val="20"/>
                <w:u w:color="auto"/>
              </w:rPr>
              <w:t xml:space="preserve"> </w:t>
            </w:r>
          </w:p>
        </w:tc>
        <w:tc>
          <w:tcPr>
            <w:tcW w:w="33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21004</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公共卫生</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88.23</w:t>
            </w:r>
            <w:r>
              <w:rPr>
                <w:rFonts w:hint="default" w:ascii="Times New Roman" w:hAnsi="Times New Roman" w:eastAsia="方正仿宋_GBK" w:cs="Times New Roman"/>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76.49</w:t>
            </w:r>
            <w:r>
              <w:rPr>
                <w:rFonts w:hint="default" w:ascii="Times New Roman" w:hAnsi="Times New Roman" w:eastAsia="方正仿宋_GBK" w:cs="Times New Roman"/>
                <w:b w:val="0"/>
                <w:bCs w:val="0"/>
                <w:color w:val="000000"/>
                <w:sz w:val="20"/>
                <w:u w:color="auto"/>
              </w:rPr>
              <w:t xml:space="preserve"> </w:t>
            </w:r>
          </w:p>
        </w:tc>
        <w:tc>
          <w:tcPr>
            <w:tcW w:w="33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11.74</w:t>
            </w: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2100408</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基本公共卫生服务</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73.72</w:t>
            </w:r>
            <w:r>
              <w:rPr>
                <w:rFonts w:hint="default" w:ascii="Times New Roman" w:hAnsi="Times New Roman" w:eastAsia="方正仿宋_GBK" w:cs="Times New Roman"/>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73.72</w:t>
            </w:r>
            <w:r>
              <w:rPr>
                <w:rFonts w:hint="default" w:ascii="Times New Roman" w:hAnsi="Times New Roman" w:eastAsia="方正仿宋_GBK" w:cs="Times New Roman"/>
                <w:b w:val="0"/>
                <w:bCs w:val="0"/>
                <w:color w:val="000000"/>
                <w:sz w:val="20"/>
                <w:u w:color="auto"/>
              </w:rPr>
              <w:t xml:space="preserve"> </w:t>
            </w:r>
          </w:p>
        </w:tc>
        <w:tc>
          <w:tcPr>
            <w:tcW w:w="33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2100410</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突发公共卫生事件应急处理</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11.74</w:t>
            </w:r>
            <w:r>
              <w:rPr>
                <w:rFonts w:hint="default" w:ascii="Times New Roman" w:hAnsi="Times New Roman" w:eastAsia="方正仿宋_GBK" w:cs="Times New Roman"/>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33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11.74</w:t>
            </w: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2100499</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其他公共卫生支出</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2.78</w:t>
            </w:r>
            <w:r>
              <w:rPr>
                <w:rFonts w:hint="default" w:ascii="Times New Roman" w:hAnsi="Times New Roman" w:eastAsia="方正仿宋_GBK" w:cs="Times New Roman"/>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2.78</w:t>
            </w:r>
            <w:r>
              <w:rPr>
                <w:rFonts w:hint="default" w:ascii="Times New Roman" w:hAnsi="Times New Roman" w:eastAsia="方正仿宋_GBK" w:cs="Times New Roman"/>
                <w:b w:val="0"/>
                <w:bCs w:val="0"/>
                <w:color w:val="000000"/>
                <w:sz w:val="20"/>
                <w:u w:color="auto"/>
              </w:rPr>
              <w:t xml:space="preserve"> </w:t>
            </w:r>
          </w:p>
        </w:tc>
        <w:tc>
          <w:tcPr>
            <w:tcW w:w="33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21011</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行政事业单位医疗</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6.01</w:t>
            </w:r>
            <w:r>
              <w:rPr>
                <w:rFonts w:hint="default" w:ascii="Times New Roman" w:hAnsi="Times New Roman" w:eastAsia="方正仿宋_GBK" w:cs="Times New Roman"/>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6.01</w:t>
            </w:r>
            <w:r>
              <w:rPr>
                <w:rFonts w:hint="default" w:ascii="Times New Roman" w:hAnsi="Times New Roman" w:eastAsia="方正仿宋_GBK" w:cs="Times New Roman"/>
                <w:b w:val="0"/>
                <w:bCs w:val="0"/>
                <w:color w:val="000000"/>
                <w:sz w:val="20"/>
                <w:u w:color="auto"/>
              </w:rPr>
              <w:t xml:space="preserve"> </w:t>
            </w:r>
          </w:p>
        </w:tc>
        <w:tc>
          <w:tcPr>
            <w:tcW w:w="33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2101102</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事业单位医疗</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6.01</w:t>
            </w:r>
            <w:r>
              <w:rPr>
                <w:rFonts w:hint="default" w:ascii="Times New Roman" w:hAnsi="Times New Roman" w:eastAsia="方正仿宋_GBK" w:cs="Times New Roman"/>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6.01</w:t>
            </w:r>
            <w:r>
              <w:rPr>
                <w:rFonts w:hint="default" w:ascii="Times New Roman" w:hAnsi="Times New Roman" w:eastAsia="方正仿宋_GBK" w:cs="Times New Roman"/>
                <w:b w:val="0"/>
                <w:bCs w:val="0"/>
                <w:color w:val="000000"/>
                <w:sz w:val="20"/>
                <w:u w:color="auto"/>
              </w:rPr>
              <w:t xml:space="preserve"> </w:t>
            </w:r>
          </w:p>
        </w:tc>
        <w:tc>
          <w:tcPr>
            <w:tcW w:w="33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21099</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其他卫生健康支出</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10.00</w:t>
            </w:r>
            <w:r>
              <w:rPr>
                <w:rFonts w:hint="default" w:ascii="Times New Roman" w:hAnsi="Times New Roman" w:eastAsia="方正仿宋_GBK" w:cs="Times New Roman"/>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33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10.00</w:t>
            </w: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2109999</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其他卫生健康支出</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10.00</w:t>
            </w:r>
            <w:r>
              <w:rPr>
                <w:rFonts w:hint="default" w:ascii="Times New Roman" w:hAnsi="Times New Roman" w:eastAsia="方正仿宋_GBK" w:cs="Times New Roman"/>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33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10.00</w:t>
            </w: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221</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住房保障支出</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7.21</w:t>
            </w:r>
            <w:r>
              <w:rPr>
                <w:rFonts w:hint="default" w:ascii="Times New Roman" w:hAnsi="Times New Roman" w:eastAsia="方正仿宋_GBK" w:cs="Times New Roman"/>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7.21</w:t>
            </w:r>
            <w:r>
              <w:rPr>
                <w:rFonts w:hint="default" w:ascii="Times New Roman" w:hAnsi="Times New Roman" w:eastAsia="方正仿宋_GBK" w:cs="Times New Roman"/>
                <w:b w:val="0"/>
                <w:bCs w:val="0"/>
                <w:color w:val="000000"/>
                <w:sz w:val="20"/>
                <w:u w:color="auto"/>
              </w:rPr>
              <w:t xml:space="preserve"> </w:t>
            </w:r>
          </w:p>
        </w:tc>
        <w:tc>
          <w:tcPr>
            <w:tcW w:w="33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22102</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住房改革支出</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7.21</w:t>
            </w:r>
            <w:r>
              <w:rPr>
                <w:rFonts w:hint="default" w:ascii="Times New Roman" w:hAnsi="Times New Roman" w:eastAsia="方正仿宋_GBK" w:cs="Times New Roman"/>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7.21</w:t>
            </w:r>
            <w:r>
              <w:rPr>
                <w:rFonts w:hint="default" w:ascii="Times New Roman" w:hAnsi="Times New Roman" w:eastAsia="方正仿宋_GBK" w:cs="Times New Roman"/>
                <w:b w:val="0"/>
                <w:bCs w:val="0"/>
                <w:color w:val="000000"/>
                <w:sz w:val="20"/>
                <w:u w:color="auto"/>
              </w:rPr>
              <w:t xml:space="preserve"> </w:t>
            </w:r>
          </w:p>
        </w:tc>
        <w:tc>
          <w:tcPr>
            <w:tcW w:w="33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2210201</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住房公积金</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7.21</w:t>
            </w:r>
            <w:r>
              <w:rPr>
                <w:rFonts w:hint="default" w:ascii="Times New Roman" w:hAnsi="Times New Roman" w:eastAsia="方正仿宋_GBK" w:cs="Times New Roman"/>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7.21</w:t>
            </w:r>
            <w:r>
              <w:rPr>
                <w:rFonts w:hint="default" w:ascii="Times New Roman" w:hAnsi="Times New Roman" w:eastAsia="方正仿宋_GBK" w:cs="Times New Roman"/>
                <w:b w:val="0"/>
                <w:bCs w:val="0"/>
                <w:color w:val="000000"/>
                <w:sz w:val="20"/>
                <w:u w:color="auto"/>
              </w:rPr>
              <w:t xml:space="preserve"> </w:t>
            </w:r>
          </w:p>
        </w:tc>
        <w:tc>
          <w:tcPr>
            <w:tcW w:w="332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bl>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sz w:val="21"/>
          <w:szCs w:val="21"/>
        </w:rPr>
      </w:pPr>
      <w:r>
        <w:rPr>
          <w:rFonts w:hint="default" w:ascii="Times New Roman" w:hAnsi="Times New Roman" w:eastAsia="方正仿宋_GBK" w:cs="Times New Roman"/>
          <w:b w:val="0"/>
          <w:bCs w:val="0"/>
          <w:sz w:val="20"/>
          <w:szCs w:val="20"/>
        </w:rPr>
        <w:t>备注：1.本表反映单位本年度一般公共预算财政拨款支出情况。</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t xml:space="preserve">      2.本套报表金额单位转换时可能存在尾数误差。</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br w:type="textWrapping"/>
      </w:r>
    </w:p>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sz w:val="21"/>
          <w:szCs w:val="21"/>
        </w:rPr>
      </w:pPr>
      <w:r>
        <w:rPr>
          <w:rFonts w:hint="default" w:ascii="Times New Roman" w:hAnsi="Times New Roman" w:eastAsia="方正仿宋_GBK" w:cs="Times New Roman"/>
          <w:b w:val="0"/>
          <w:bCs w:val="0"/>
          <w:sz w:val="21"/>
          <w:szCs w:val="21"/>
        </w:rPr>
        <w:br w:type="page"/>
      </w:r>
    </w:p>
    <w:tbl>
      <w:tblPr>
        <w:tblStyle w:val="12"/>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bottom"/>
              <w:outlineLvl w:val="9"/>
              <w:rPr>
                <w:rFonts w:hint="default" w:ascii="Times New Roman" w:hAnsi="Times New Roman" w:eastAsia="方正仿宋_GBK" w:cs="Times New Roman"/>
                <w:b w:val="0"/>
                <w:bCs w:val="0"/>
                <w:color w:val="000000"/>
                <w:sz w:val="32"/>
                <w:szCs w:val="32"/>
              </w:rPr>
            </w:pPr>
            <w:r>
              <w:rPr>
                <w:rFonts w:hint="default" w:ascii="Times New Roman" w:hAnsi="Times New Roman" w:eastAsia="方正仿宋_GBK" w:cs="Times New Roman"/>
                <w:b w:val="0"/>
                <w:bCs w:val="0"/>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5557" w:type="dxa"/>
            <w:gridSpan w:val="4"/>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sz w:val="20"/>
                <w:szCs w:val="20"/>
              </w:rPr>
              <w:t>公开单位</w:t>
            </w:r>
            <w:r>
              <w:rPr>
                <w:rFonts w:hint="default" w:ascii="Times New Roman" w:hAnsi="Times New Roman" w:eastAsia="方正仿宋_GBK" w:cs="Times New Roman"/>
                <w:b w:val="0"/>
                <w:bCs w:val="0"/>
                <w:color w:val="000000"/>
                <w:sz w:val="20"/>
                <w:szCs w:val="20"/>
              </w:rPr>
              <w:t xml:space="preserve">： </w:t>
            </w:r>
            <w:r>
              <w:rPr>
                <w:rFonts w:hint="default" w:ascii="Times New Roman" w:hAnsi="Times New Roman" w:eastAsia="方正仿宋_GBK" w:cs="Times New Roman"/>
                <w:b w:val="0"/>
                <w:bCs w:val="0"/>
                <w:color w:val="000000"/>
                <w:sz w:val="20"/>
                <w:u w:color="auto"/>
              </w:rPr>
              <w:t>重庆市秀山土家族苗族自治县膏田镇卫生院</w:t>
            </w:r>
          </w:p>
        </w:tc>
        <w:tc>
          <w:tcPr>
            <w:tcW w:w="192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5557" w:type="dxa"/>
            <w:gridSpan w:val="4"/>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单位：</w:t>
            </w:r>
            <w:r>
              <w:rPr>
                <w:rFonts w:hint="default" w:ascii="Times New Roman" w:hAnsi="Times New Roman" w:eastAsia="方正仿宋_GBK" w:cs="Times New Roman"/>
                <w:b w:val="0"/>
                <w:bCs w:val="0"/>
                <w:sz w:val="20"/>
                <w:szCs w:val="20"/>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210.20</w:t>
            </w: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23.04</w:t>
            </w: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58.18</w:t>
            </w: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18.74</w:t>
            </w: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103.30</w:t>
            </w: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9.61</w:t>
            </w: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4.79</w:t>
            </w: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6.01</w:t>
            </w: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0.19</w:t>
            </w: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7.21</w:t>
            </w: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2.16</w:t>
            </w: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2.81</w:t>
            </w: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4.64</w:t>
            </w: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2.64</w:t>
            </w: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18.40</w:t>
            </w: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0.17</w:t>
            </w: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213.01</w:t>
            </w:r>
            <w:r>
              <w:rPr>
                <w:rFonts w:hint="default" w:ascii="Times New Roman" w:hAnsi="Times New Roman" w:eastAsia="方正仿宋_GBK" w:cs="Times New Roman"/>
                <w:b w:val="0"/>
                <w:bCs w:val="0"/>
                <w:color w:val="000000"/>
                <w:sz w:val="18"/>
                <w:u w:color="auto"/>
              </w:rPr>
              <w:t xml:space="preserve"> </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23.04</w:t>
            </w:r>
            <w:r>
              <w:rPr>
                <w:rFonts w:hint="default" w:ascii="Times New Roman" w:hAnsi="Times New Roman" w:eastAsia="方正仿宋_GBK" w:cs="Times New Roman"/>
                <w:b w:val="0"/>
                <w:bCs w:val="0"/>
                <w:color w:val="000000"/>
                <w:sz w:val="18"/>
                <w:u w:color="auto"/>
              </w:rPr>
              <w:t xml:space="preserve"> </w:t>
            </w:r>
          </w:p>
        </w:tc>
      </w:tr>
    </w:tbl>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sz w:val="20"/>
          <w:szCs w:val="20"/>
        </w:rPr>
      </w:pPr>
      <w:r>
        <w:rPr>
          <w:rFonts w:hint="default" w:ascii="Times New Roman" w:hAnsi="Times New Roman" w:eastAsia="方正仿宋_GBK" w:cs="Times New Roman"/>
          <w:b w:val="0"/>
          <w:bCs w:val="0"/>
          <w:sz w:val="20"/>
          <w:szCs w:val="20"/>
        </w:rPr>
        <w:t>备注：1.本表反映单位本年度一般公共预算财政拨款基本支出明细情况。</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t xml:space="preserve">      2.本套报表金额单位转换时可能存在尾数误差。</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1"/>
          <w:szCs w:val="21"/>
        </w:rPr>
        <w:br w:type="page"/>
      </w:r>
    </w:p>
    <w:tbl>
      <w:tblPr>
        <w:tblStyle w:val="12"/>
        <w:tblW w:w="15378" w:type="dxa"/>
        <w:tblInd w:w="0" w:type="dxa"/>
        <w:tblLayout w:type="fixed"/>
        <w:tblCellMar>
          <w:top w:w="0" w:type="dxa"/>
          <w:left w:w="0" w:type="dxa"/>
          <w:bottom w:w="0" w:type="dxa"/>
          <w:right w:w="0" w:type="dxa"/>
        </w:tblCellMar>
      </w:tblPr>
      <w:tblGrid>
        <w:gridCol w:w="1854"/>
        <w:gridCol w:w="3088"/>
        <w:gridCol w:w="1707"/>
        <w:gridCol w:w="1707"/>
        <w:gridCol w:w="1707"/>
        <w:gridCol w:w="1707"/>
        <w:gridCol w:w="1772"/>
        <w:gridCol w:w="1836"/>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bottom"/>
              <w:outlineLvl w:val="9"/>
              <w:rPr>
                <w:rFonts w:hint="default" w:ascii="Times New Roman" w:hAnsi="Times New Roman" w:eastAsia="方正仿宋_GBK" w:cs="Times New Roman"/>
                <w:b w:val="0"/>
                <w:bCs w:val="0"/>
                <w:color w:val="000000"/>
                <w:sz w:val="32"/>
                <w:szCs w:val="32"/>
              </w:rPr>
            </w:pPr>
            <w:r>
              <w:rPr>
                <w:rFonts w:hint="default" w:ascii="Times New Roman" w:hAnsi="Times New Roman" w:eastAsia="方正仿宋_GBK" w:cs="Times New Roman"/>
                <w:b w:val="0"/>
                <w:bCs w:val="0"/>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49" w:type="dxa"/>
            <w:gridSpan w:val="3"/>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sz w:val="20"/>
                <w:szCs w:val="20"/>
              </w:rPr>
              <w:t>公开单位</w:t>
            </w:r>
            <w:r>
              <w:rPr>
                <w:rFonts w:hint="default" w:ascii="Times New Roman" w:hAnsi="Times New Roman" w:eastAsia="方正仿宋_GBK" w:cs="Times New Roman"/>
                <w:b w:val="0"/>
                <w:bCs w:val="0"/>
                <w:color w:val="000000"/>
                <w:sz w:val="20"/>
                <w:szCs w:val="20"/>
              </w:rPr>
              <w:t xml:space="preserve">： </w:t>
            </w:r>
            <w:r>
              <w:rPr>
                <w:rFonts w:hint="default" w:ascii="Times New Roman" w:hAnsi="Times New Roman" w:eastAsia="方正仿宋_GBK" w:cs="Times New Roman"/>
                <w:b w:val="0"/>
                <w:bCs w:val="0"/>
                <w:color w:val="000000"/>
                <w:sz w:val="20"/>
                <w:u w:color="auto"/>
              </w:rPr>
              <w:t>重庆市秀山土家族苗族自治县膏田镇卫生院</w:t>
            </w:r>
          </w:p>
        </w:tc>
        <w:tc>
          <w:tcPr>
            <w:tcW w:w="170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6649" w:type="dxa"/>
            <w:gridSpan w:val="3"/>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单位：</w:t>
            </w:r>
            <w:r>
              <w:rPr>
                <w:rFonts w:hint="default" w:ascii="Times New Roman" w:hAnsi="Times New Roman" w:eastAsia="方正仿宋_GBK" w:cs="Times New Roman"/>
                <w:b w:val="0"/>
                <w:bCs w:val="0"/>
                <w:sz w:val="20"/>
                <w:szCs w:val="20"/>
              </w:rPr>
              <w:t>万元</w:t>
            </w:r>
          </w:p>
        </w:tc>
      </w:tr>
      <w:tr>
        <w:tblPrEx>
          <w:tblLayout w:type="fixed"/>
          <w:tblCellMar>
            <w:top w:w="0" w:type="dxa"/>
            <w:left w:w="0" w:type="dxa"/>
            <w:bottom w:w="0" w:type="dxa"/>
            <w:right w:w="0" w:type="dxa"/>
          </w:tblCellMar>
        </w:tblPrEx>
        <w:trPr>
          <w:trHeight w:val="339"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项目</w:t>
            </w:r>
          </w:p>
        </w:tc>
        <w:tc>
          <w:tcPr>
            <w:tcW w:w="1707"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年初结转和结余</w:t>
            </w:r>
          </w:p>
        </w:tc>
        <w:tc>
          <w:tcPr>
            <w:tcW w:w="17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本年收入</w:t>
            </w:r>
          </w:p>
        </w:tc>
        <w:tc>
          <w:tcPr>
            <w:tcW w:w="518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本年支出</w:t>
            </w:r>
          </w:p>
        </w:tc>
        <w:tc>
          <w:tcPr>
            <w:tcW w:w="183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8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功能分类科目编码</w:t>
            </w:r>
          </w:p>
        </w:tc>
        <w:tc>
          <w:tcPr>
            <w:tcW w:w="308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项目（按“项”级功能分类科目）</w:t>
            </w: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合计</w:t>
            </w: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基本支出</w:t>
            </w:r>
          </w:p>
        </w:tc>
        <w:tc>
          <w:tcPr>
            <w:tcW w:w="177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项目支出</w:t>
            </w: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3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64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39" w:hRule="atLeast"/>
        </w:trPr>
        <w:tc>
          <w:tcPr>
            <w:tcW w:w="4942"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合计</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8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bl>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sz w:val="21"/>
          <w:szCs w:val="21"/>
        </w:rPr>
      </w:pPr>
      <w:r>
        <w:rPr>
          <w:rFonts w:hint="default" w:ascii="Times New Roman" w:hAnsi="Times New Roman" w:eastAsia="方正仿宋_GBK" w:cs="Times New Roman"/>
          <w:b w:val="0"/>
          <w:bCs w:val="0"/>
          <w:sz w:val="20"/>
          <w:szCs w:val="20"/>
        </w:rPr>
        <w:t>备注：本表反映单位本年度政府性基金预算财政拨款收入支出及结转和结余情况。本单位无政府性基金收支，故本表无数据。</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br w:type="textWrapping"/>
      </w:r>
    </w:p>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sz w:val="21"/>
          <w:szCs w:val="21"/>
        </w:rPr>
      </w:pPr>
      <w:r>
        <w:rPr>
          <w:rFonts w:hint="default" w:ascii="Times New Roman" w:hAnsi="Times New Roman" w:eastAsia="方正仿宋_GBK" w:cs="Times New Roman"/>
          <w:b w:val="0"/>
          <w:bCs w:val="0"/>
          <w:sz w:val="21"/>
          <w:szCs w:val="21"/>
        </w:rPr>
        <w:br w:type="page"/>
      </w:r>
    </w:p>
    <w:tbl>
      <w:tblPr>
        <w:tblStyle w:val="12"/>
        <w:tblW w:w="15378" w:type="dxa"/>
        <w:tblInd w:w="0" w:type="dxa"/>
        <w:tblLayout w:type="fixed"/>
        <w:tblCellMar>
          <w:top w:w="0" w:type="dxa"/>
          <w:left w:w="0" w:type="dxa"/>
          <w:bottom w:w="0" w:type="dxa"/>
          <w:right w:w="0" w:type="dxa"/>
        </w:tblCellMar>
      </w:tblPr>
      <w:tblGrid>
        <w:gridCol w:w="1882"/>
        <w:gridCol w:w="3060"/>
        <w:gridCol w:w="3276"/>
        <w:gridCol w:w="200"/>
        <w:gridCol w:w="3475"/>
        <w:gridCol w:w="77"/>
        <w:gridCol w:w="3408"/>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bottom"/>
              <w:outlineLvl w:val="9"/>
              <w:rPr>
                <w:rFonts w:hint="default" w:ascii="Times New Roman" w:hAnsi="Times New Roman" w:eastAsia="方正仿宋_GBK" w:cs="Times New Roman"/>
                <w:b w:val="0"/>
                <w:bCs w:val="0"/>
                <w:color w:val="000000"/>
                <w:sz w:val="32"/>
                <w:szCs w:val="32"/>
              </w:rPr>
            </w:pPr>
            <w:r>
              <w:rPr>
                <w:rFonts w:hint="default" w:ascii="Times New Roman" w:hAnsi="Times New Roman" w:eastAsia="方正仿宋_GBK" w:cs="Times New Roman"/>
                <w:b w:val="0"/>
                <w:bCs w:val="0"/>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218" w:type="dxa"/>
            <w:gridSpan w:val="3"/>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sz w:val="20"/>
                <w:szCs w:val="20"/>
              </w:rPr>
              <w:t>公开单位</w:t>
            </w:r>
            <w:r>
              <w:rPr>
                <w:rFonts w:hint="default" w:ascii="Times New Roman" w:hAnsi="Times New Roman" w:eastAsia="方正仿宋_GBK" w:cs="Times New Roman"/>
                <w:b w:val="0"/>
                <w:bCs w:val="0"/>
                <w:color w:val="000000"/>
                <w:sz w:val="20"/>
                <w:szCs w:val="20"/>
              </w:rPr>
              <w:t xml:space="preserve">： </w:t>
            </w:r>
            <w:r>
              <w:rPr>
                <w:rFonts w:hint="default" w:ascii="Times New Roman" w:hAnsi="Times New Roman" w:eastAsia="方正仿宋_GBK" w:cs="Times New Roman"/>
                <w:b w:val="0"/>
                <w:bCs w:val="0"/>
                <w:color w:val="000000"/>
                <w:sz w:val="20"/>
                <w:u w:color="auto"/>
              </w:rPr>
              <w:t>重庆市秀山土家族苗族自治县膏田镇卫生院</w:t>
            </w: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8218" w:type="dxa"/>
            <w:gridSpan w:val="3"/>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单位：</w:t>
            </w:r>
            <w:r>
              <w:rPr>
                <w:rFonts w:hint="default" w:ascii="Times New Roman" w:hAnsi="Times New Roman" w:eastAsia="方正仿宋_GBK" w:cs="Times New Roman"/>
                <w:b w:val="0"/>
                <w:bCs w:val="0"/>
                <w:sz w:val="20"/>
                <w:szCs w:val="20"/>
              </w:rPr>
              <w:t>万元</w:t>
            </w:r>
          </w:p>
        </w:tc>
      </w:tr>
      <w:tr>
        <w:tblPrEx>
          <w:tblLayout w:type="fixed"/>
          <w:tblCellMar>
            <w:top w:w="0" w:type="dxa"/>
            <w:left w:w="0" w:type="dxa"/>
            <w:bottom w:w="0" w:type="dxa"/>
            <w:right w:w="0" w:type="dxa"/>
          </w:tblCellMar>
        </w:tblPrEx>
        <w:trPr>
          <w:trHeight w:val="422"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项目</w:t>
            </w:r>
          </w:p>
        </w:tc>
        <w:tc>
          <w:tcPr>
            <w:tcW w:w="10436"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88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功能分类科目编码</w:t>
            </w:r>
          </w:p>
        </w:tc>
        <w:tc>
          <w:tcPr>
            <w:tcW w:w="30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科目名称</w:t>
            </w:r>
          </w:p>
        </w:tc>
        <w:tc>
          <w:tcPr>
            <w:tcW w:w="347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合计</w:t>
            </w:r>
          </w:p>
        </w:tc>
        <w:tc>
          <w:tcPr>
            <w:tcW w:w="34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基本支出</w:t>
            </w:r>
          </w:p>
        </w:tc>
        <w:tc>
          <w:tcPr>
            <w:tcW w:w="348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26"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611"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合计</w:t>
            </w:r>
          </w:p>
        </w:tc>
        <w:tc>
          <w:tcPr>
            <w:tcW w:w="3476"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3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bl>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sz w:val="21"/>
          <w:szCs w:val="21"/>
        </w:rPr>
      </w:pPr>
      <w:r>
        <w:rPr>
          <w:rFonts w:hint="default" w:ascii="Times New Roman" w:hAnsi="Times New Roman" w:eastAsia="方正仿宋_GBK" w:cs="Times New Roman"/>
          <w:b w:val="0"/>
          <w:bCs w:val="0"/>
          <w:sz w:val="20"/>
          <w:szCs w:val="20"/>
        </w:rPr>
        <w:t>备注：本表反映单位本年度国有资本经营预算财政拨款支出情况。本单位无国有资本经营收支，故本表无数据。</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1"/>
          <w:szCs w:val="21"/>
        </w:rPr>
        <w:br w:type="page"/>
      </w:r>
      <w:bookmarkStart w:id="6" w:name="_GoBack"/>
      <w:bookmarkEnd w:id="6"/>
    </w:p>
    <w:tbl>
      <w:tblPr>
        <w:tblStyle w:val="12"/>
        <w:tblW w:w="15060" w:type="dxa"/>
        <w:tblInd w:w="0" w:type="dxa"/>
        <w:tblLayout w:type="fixed"/>
        <w:tblCellMar>
          <w:top w:w="0" w:type="dxa"/>
          <w:left w:w="170" w:type="dxa"/>
          <w:bottom w:w="0" w:type="dxa"/>
          <w:right w:w="170" w:type="dxa"/>
        </w:tblCellMar>
      </w:tblPr>
      <w:tblGrid>
        <w:gridCol w:w="4057"/>
        <w:gridCol w:w="2175"/>
        <w:gridCol w:w="2123"/>
        <w:gridCol w:w="4542"/>
        <w:gridCol w:w="2163"/>
      </w:tblGrid>
      <w:tr>
        <w:tblPrEx>
          <w:tblLayout w:type="fixed"/>
          <w:tblCellMar>
            <w:top w:w="0" w:type="dxa"/>
            <w:left w:w="170" w:type="dxa"/>
            <w:bottom w:w="0" w:type="dxa"/>
            <w:right w:w="170" w:type="dxa"/>
          </w:tblCellMar>
        </w:tblPrEx>
        <w:trPr>
          <w:trHeight w:val="506" w:hRule="atLeast"/>
        </w:trPr>
        <w:tc>
          <w:tcPr>
            <w:tcW w:w="15060" w:type="dxa"/>
            <w:gridSpan w:val="5"/>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bottom"/>
              <w:outlineLvl w:val="9"/>
              <w:rPr>
                <w:rFonts w:hint="default" w:ascii="Times New Roman" w:hAnsi="Times New Roman" w:eastAsia="方正仿宋_GBK" w:cs="Times New Roman"/>
                <w:b w:val="0"/>
                <w:bCs w:val="0"/>
                <w:color w:val="000000"/>
                <w:sz w:val="32"/>
                <w:szCs w:val="32"/>
              </w:rPr>
            </w:pPr>
            <w:r>
              <w:rPr>
                <w:rFonts w:hint="default" w:ascii="Times New Roman" w:hAnsi="Times New Roman" w:eastAsia="方正仿宋_GBK" w:cs="Times New Roman"/>
                <w:b w:val="0"/>
                <w:bCs w:val="0"/>
                <w:color w:val="000000"/>
                <w:sz w:val="32"/>
                <w:szCs w:val="32"/>
              </w:rPr>
              <w:t>机构运行信息表</w:t>
            </w:r>
          </w:p>
        </w:tc>
      </w:tr>
      <w:tr>
        <w:tblPrEx>
          <w:tblLayout w:type="fixed"/>
          <w:tblCellMar>
            <w:top w:w="0" w:type="dxa"/>
            <w:left w:w="170" w:type="dxa"/>
            <w:bottom w:w="0" w:type="dxa"/>
            <w:right w:w="170" w:type="dxa"/>
          </w:tblCellMar>
        </w:tblPrEx>
        <w:trPr>
          <w:trHeight w:val="259" w:hRule="atLeast"/>
        </w:trPr>
        <w:tc>
          <w:tcPr>
            <w:tcW w:w="405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17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212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54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16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公开09表</w:t>
            </w:r>
          </w:p>
        </w:tc>
      </w:tr>
      <w:tr>
        <w:tblPrEx>
          <w:tblLayout w:type="fixed"/>
          <w:tblCellMar>
            <w:top w:w="0" w:type="dxa"/>
            <w:left w:w="170" w:type="dxa"/>
            <w:bottom w:w="0" w:type="dxa"/>
            <w:right w:w="170" w:type="dxa"/>
          </w:tblCellMar>
        </w:tblPrEx>
        <w:trPr>
          <w:trHeight w:val="259" w:hRule="atLeast"/>
        </w:trPr>
        <w:tc>
          <w:tcPr>
            <w:tcW w:w="6232" w:type="dxa"/>
            <w:gridSpan w:val="2"/>
            <w:tcBorders>
              <w:top w:val="nil"/>
              <w:left w:val="nil"/>
              <w:bottom w:val="single" w:color="auto" w:sz="4" w:space="0"/>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sz w:val="20"/>
                <w:szCs w:val="20"/>
              </w:rPr>
              <w:t>公开单位</w:t>
            </w:r>
            <w:r>
              <w:rPr>
                <w:rFonts w:hint="default" w:ascii="Times New Roman" w:hAnsi="Times New Roman" w:eastAsia="方正仿宋_GBK" w:cs="Times New Roman"/>
                <w:b w:val="0"/>
                <w:bCs w:val="0"/>
                <w:color w:val="000000"/>
                <w:sz w:val="20"/>
                <w:szCs w:val="20"/>
              </w:rPr>
              <w:t xml:space="preserve">： </w:t>
            </w:r>
            <w:r>
              <w:rPr>
                <w:rFonts w:hint="default" w:ascii="Times New Roman" w:hAnsi="Times New Roman" w:eastAsia="方正仿宋_GBK" w:cs="Times New Roman"/>
                <w:b w:val="0"/>
                <w:bCs w:val="0"/>
                <w:color w:val="000000"/>
                <w:sz w:val="20"/>
                <w:u w:color="auto"/>
              </w:rPr>
              <w:t>重庆市秀山土家族苗族自治县膏田镇卫生院</w:t>
            </w:r>
          </w:p>
        </w:tc>
        <w:tc>
          <w:tcPr>
            <w:tcW w:w="2123" w:type="dxa"/>
            <w:tcBorders>
              <w:top w:val="nil"/>
              <w:left w:val="nil"/>
              <w:bottom w:val="single" w:color="auto" w:sz="4" w:space="0"/>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542" w:type="dxa"/>
            <w:tcBorders>
              <w:top w:val="nil"/>
              <w:left w:val="nil"/>
              <w:bottom w:val="single" w:color="auto" w:sz="4" w:space="0"/>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163" w:type="dxa"/>
            <w:tcBorders>
              <w:top w:val="nil"/>
              <w:left w:val="nil"/>
              <w:bottom w:val="single" w:color="auto" w:sz="4" w:space="0"/>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单位：</w:t>
            </w:r>
            <w:r>
              <w:rPr>
                <w:rFonts w:hint="default" w:ascii="Times New Roman" w:hAnsi="Times New Roman" w:eastAsia="方正仿宋_GBK" w:cs="Times New Roman"/>
                <w:b w:val="0"/>
                <w:bCs w:val="0"/>
                <w:sz w:val="20"/>
                <w:szCs w:val="20"/>
              </w:rPr>
              <w:t>万元</w:t>
            </w:r>
          </w:p>
        </w:tc>
      </w:tr>
      <w:tr>
        <w:tblPrEx>
          <w:tblLayout w:type="fixed"/>
          <w:tblCellMar>
            <w:top w:w="0" w:type="dxa"/>
            <w:left w:w="170" w:type="dxa"/>
            <w:bottom w:w="0" w:type="dxa"/>
            <w:right w:w="170" w:type="dxa"/>
          </w:tblCellMar>
        </w:tblPrEx>
        <w:trPr>
          <w:trHeight w:val="267" w:hRule="atLeast"/>
        </w:trPr>
        <w:tc>
          <w:tcPr>
            <w:tcW w:w="405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项  目</w:t>
            </w:r>
          </w:p>
        </w:tc>
        <w:tc>
          <w:tcPr>
            <w:tcW w:w="217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预算数</w:t>
            </w:r>
          </w:p>
        </w:tc>
        <w:tc>
          <w:tcPr>
            <w:tcW w:w="212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决算数</w:t>
            </w:r>
          </w:p>
        </w:tc>
        <w:tc>
          <w:tcPr>
            <w:tcW w:w="454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项  目</w:t>
            </w:r>
          </w:p>
        </w:tc>
        <w:tc>
          <w:tcPr>
            <w:tcW w:w="216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决算数</w:t>
            </w:r>
          </w:p>
        </w:tc>
      </w:tr>
      <w:tr>
        <w:tblPrEx>
          <w:tblLayout w:type="fixed"/>
          <w:tblCellMar>
            <w:top w:w="0" w:type="dxa"/>
            <w:left w:w="170" w:type="dxa"/>
            <w:bottom w:w="0" w:type="dxa"/>
            <w:right w:w="170" w:type="dxa"/>
          </w:tblCellMar>
        </w:tblPrEx>
        <w:trPr>
          <w:trHeight w:val="267" w:hRule="atLeast"/>
        </w:trPr>
        <w:tc>
          <w:tcPr>
            <w:tcW w:w="405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一、“三公”经费支出</w:t>
            </w:r>
          </w:p>
        </w:tc>
        <w:tc>
          <w:tcPr>
            <w:tcW w:w="2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w:t>
            </w:r>
          </w:p>
        </w:tc>
        <w:tc>
          <w:tcPr>
            <w:tcW w:w="21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w:t>
            </w:r>
          </w:p>
        </w:tc>
        <w:tc>
          <w:tcPr>
            <w:tcW w:w="454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四、机关运行经费</w:t>
            </w:r>
          </w:p>
        </w:tc>
        <w:tc>
          <w:tcPr>
            <w:tcW w:w="2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67" w:hRule="atLeast"/>
        </w:trPr>
        <w:tc>
          <w:tcPr>
            <w:tcW w:w="405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（一）支出合计</w:t>
            </w:r>
          </w:p>
        </w:tc>
        <w:tc>
          <w:tcPr>
            <w:tcW w:w="2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c>
          <w:tcPr>
            <w:tcW w:w="21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c>
          <w:tcPr>
            <w:tcW w:w="454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（一）行政单位</w:t>
            </w:r>
          </w:p>
        </w:tc>
        <w:tc>
          <w:tcPr>
            <w:tcW w:w="2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67" w:hRule="atLeast"/>
        </w:trPr>
        <w:tc>
          <w:tcPr>
            <w:tcW w:w="405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1．因公出国（境）费</w:t>
            </w:r>
          </w:p>
        </w:tc>
        <w:tc>
          <w:tcPr>
            <w:tcW w:w="2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c>
          <w:tcPr>
            <w:tcW w:w="21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c>
          <w:tcPr>
            <w:tcW w:w="454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（二）参照公务员法管理事业单位</w:t>
            </w:r>
          </w:p>
        </w:tc>
        <w:tc>
          <w:tcPr>
            <w:tcW w:w="2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67" w:hRule="atLeast"/>
        </w:trPr>
        <w:tc>
          <w:tcPr>
            <w:tcW w:w="405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2．公务用车购置及运行维护费</w:t>
            </w:r>
          </w:p>
        </w:tc>
        <w:tc>
          <w:tcPr>
            <w:tcW w:w="2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c>
          <w:tcPr>
            <w:tcW w:w="21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c>
          <w:tcPr>
            <w:tcW w:w="454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五、资产信息</w:t>
            </w:r>
          </w:p>
        </w:tc>
        <w:tc>
          <w:tcPr>
            <w:tcW w:w="2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w:t>
            </w:r>
          </w:p>
        </w:tc>
      </w:tr>
      <w:tr>
        <w:tblPrEx>
          <w:tblLayout w:type="fixed"/>
          <w:tblCellMar>
            <w:top w:w="0" w:type="dxa"/>
            <w:left w:w="170" w:type="dxa"/>
            <w:bottom w:w="0" w:type="dxa"/>
            <w:right w:w="170" w:type="dxa"/>
          </w:tblCellMar>
        </w:tblPrEx>
        <w:trPr>
          <w:trHeight w:val="267" w:hRule="atLeast"/>
        </w:trPr>
        <w:tc>
          <w:tcPr>
            <w:tcW w:w="405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（1）公务用车购置费</w:t>
            </w:r>
          </w:p>
        </w:tc>
        <w:tc>
          <w:tcPr>
            <w:tcW w:w="2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c>
          <w:tcPr>
            <w:tcW w:w="21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c>
          <w:tcPr>
            <w:tcW w:w="4542"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（一）车辆数合计（辆）</w:t>
            </w:r>
          </w:p>
        </w:tc>
        <w:tc>
          <w:tcPr>
            <w:tcW w:w="2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1   </w:t>
            </w:r>
          </w:p>
        </w:tc>
      </w:tr>
      <w:tr>
        <w:tblPrEx>
          <w:tblLayout w:type="fixed"/>
          <w:tblCellMar>
            <w:top w:w="0" w:type="dxa"/>
            <w:left w:w="170" w:type="dxa"/>
            <w:bottom w:w="0" w:type="dxa"/>
            <w:right w:w="170" w:type="dxa"/>
          </w:tblCellMar>
        </w:tblPrEx>
        <w:trPr>
          <w:trHeight w:val="267" w:hRule="atLeast"/>
        </w:trPr>
        <w:tc>
          <w:tcPr>
            <w:tcW w:w="405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（2）公务用车运行维护费</w:t>
            </w:r>
          </w:p>
        </w:tc>
        <w:tc>
          <w:tcPr>
            <w:tcW w:w="2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c>
          <w:tcPr>
            <w:tcW w:w="21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c>
          <w:tcPr>
            <w:tcW w:w="4542"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1．副部（省）级及以上领导用车</w:t>
            </w:r>
          </w:p>
        </w:tc>
        <w:tc>
          <w:tcPr>
            <w:tcW w:w="2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67" w:hRule="atLeast"/>
        </w:trPr>
        <w:tc>
          <w:tcPr>
            <w:tcW w:w="405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3．公务接待费</w:t>
            </w:r>
          </w:p>
        </w:tc>
        <w:tc>
          <w:tcPr>
            <w:tcW w:w="2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c>
          <w:tcPr>
            <w:tcW w:w="21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c>
          <w:tcPr>
            <w:tcW w:w="4542"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2．主要领导干部用车</w:t>
            </w:r>
          </w:p>
        </w:tc>
        <w:tc>
          <w:tcPr>
            <w:tcW w:w="2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67" w:hRule="atLeast"/>
        </w:trPr>
        <w:tc>
          <w:tcPr>
            <w:tcW w:w="405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（1）国内接待费</w:t>
            </w:r>
          </w:p>
        </w:tc>
        <w:tc>
          <w:tcPr>
            <w:tcW w:w="2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w:t>
            </w:r>
          </w:p>
        </w:tc>
        <w:tc>
          <w:tcPr>
            <w:tcW w:w="21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c>
          <w:tcPr>
            <w:tcW w:w="4542"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3．机要通信用车</w:t>
            </w:r>
          </w:p>
        </w:tc>
        <w:tc>
          <w:tcPr>
            <w:tcW w:w="2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67" w:hRule="atLeast"/>
        </w:trPr>
        <w:tc>
          <w:tcPr>
            <w:tcW w:w="405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其中：外事接待费</w:t>
            </w:r>
          </w:p>
        </w:tc>
        <w:tc>
          <w:tcPr>
            <w:tcW w:w="2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w:t>
            </w:r>
          </w:p>
        </w:tc>
        <w:tc>
          <w:tcPr>
            <w:tcW w:w="21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c>
          <w:tcPr>
            <w:tcW w:w="4542"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4．应急保障用车</w:t>
            </w:r>
          </w:p>
        </w:tc>
        <w:tc>
          <w:tcPr>
            <w:tcW w:w="2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67" w:hRule="atLeast"/>
        </w:trPr>
        <w:tc>
          <w:tcPr>
            <w:tcW w:w="405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（2）国（境）外接待费</w:t>
            </w:r>
          </w:p>
        </w:tc>
        <w:tc>
          <w:tcPr>
            <w:tcW w:w="2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w:t>
            </w:r>
          </w:p>
        </w:tc>
        <w:tc>
          <w:tcPr>
            <w:tcW w:w="21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c>
          <w:tcPr>
            <w:tcW w:w="4542"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5．执法执勤用车</w:t>
            </w:r>
          </w:p>
        </w:tc>
        <w:tc>
          <w:tcPr>
            <w:tcW w:w="2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67" w:hRule="atLeast"/>
        </w:trPr>
        <w:tc>
          <w:tcPr>
            <w:tcW w:w="405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（二）相关统计数</w:t>
            </w:r>
          </w:p>
        </w:tc>
        <w:tc>
          <w:tcPr>
            <w:tcW w:w="2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w:t>
            </w:r>
          </w:p>
        </w:tc>
        <w:tc>
          <w:tcPr>
            <w:tcW w:w="21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w:t>
            </w:r>
          </w:p>
        </w:tc>
        <w:tc>
          <w:tcPr>
            <w:tcW w:w="4542"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6．特种专业技术用车</w:t>
            </w:r>
          </w:p>
        </w:tc>
        <w:tc>
          <w:tcPr>
            <w:tcW w:w="2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1</w:t>
            </w:r>
            <w:r>
              <w:rPr>
                <w:rFonts w:hint="default" w:ascii="Times New Roman" w:hAnsi="Times New Roman" w:eastAsia="方正仿宋_GBK"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67" w:hRule="atLeast"/>
        </w:trPr>
        <w:tc>
          <w:tcPr>
            <w:tcW w:w="405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1．因公出国（境）团组数（个）</w:t>
            </w:r>
          </w:p>
        </w:tc>
        <w:tc>
          <w:tcPr>
            <w:tcW w:w="2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w:t>
            </w:r>
          </w:p>
        </w:tc>
        <w:tc>
          <w:tcPr>
            <w:tcW w:w="212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c>
          <w:tcPr>
            <w:tcW w:w="4542"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7．离退休干部用车</w:t>
            </w:r>
          </w:p>
        </w:tc>
        <w:tc>
          <w:tcPr>
            <w:tcW w:w="2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67" w:hRule="atLeast"/>
        </w:trPr>
        <w:tc>
          <w:tcPr>
            <w:tcW w:w="405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2．因公出国（境）人次数（人）</w:t>
            </w:r>
          </w:p>
        </w:tc>
        <w:tc>
          <w:tcPr>
            <w:tcW w:w="2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w:t>
            </w:r>
          </w:p>
        </w:tc>
        <w:tc>
          <w:tcPr>
            <w:tcW w:w="212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c>
          <w:tcPr>
            <w:tcW w:w="4542"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8．其他用车</w:t>
            </w:r>
          </w:p>
        </w:tc>
        <w:tc>
          <w:tcPr>
            <w:tcW w:w="2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67" w:hRule="atLeast"/>
        </w:trPr>
        <w:tc>
          <w:tcPr>
            <w:tcW w:w="405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3．公务用车购置数（辆）</w:t>
            </w:r>
          </w:p>
        </w:tc>
        <w:tc>
          <w:tcPr>
            <w:tcW w:w="2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w:t>
            </w:r>
          </w:p>
        </w:tc>
        <w:tc>
          <w:tcPr>
            <w:tcW w:w="212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c>
          <w:tcPr>
            <w:tcW w:w="4542"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（二）单价100万元（含）以上设备（不含车辆）</w:t>
            </w:r>
          </w:p>
        </w:tc>
        <w:tc>
          <w:tcPr>
            <w:tcW w:w="2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67" w:hRule="atLeast"/>
        </w:trPr>
        <w:tc>
          <w:tcPr>
            <w:tcW w:w="405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4．公务用车保有量（辆）</w:t>
            </w:r>
          </w:p>
        </w:tc>
        <w:tc>
          <w:tcPr>
            <w:tcW w:w="2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w:t>
            </w:r>
          </w:p>
        </w:tc>
        <w:tc>
          <w:tcPr>
            <w:tcW w:w="212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c>
          <w:tcPr>
            <w:tcW w:w="454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六、政府采购支出信息</w:t>
            </w:r>
          </w:p>
        </w:tc>
        <w:tc>
          <w:tcPr>
            <w:tcW w:w="2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w:t>
            </w:r>
          </w:p>
        </w:tc>
      </w:tr>
      <w:tr>
        <w:tblPrEx>
          <w:tblLayout w:type="fixed"/>
          <w:tblCellMar>
            <w:top w:w="0" w:type="dxa"/>
            <w:left w:w="170" w:type="dxa"/>
            <w:bottom w:w="0" w:type="dxa"/>
            <w:right w:w="170" w:type="dxa"/>
          </w:tblCellMar>
        </w:tblPrEx>
        <w:trPr>
          <w:trHeight w:val="267" w:hRule="atLeast"/>
        </w:trPr>
        <w:tc>
          <w:tcPr>
            <w:tcW w:w="405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5．国内公务接待批次（个）</w:t>
            </w:r>
          </w:p>
        </w:tc>
        <w:tc>
          <w:tcPr>
            <w:tcW w:w="2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w:t>
            </w:r>
          </w:p>
        </w:tc>
        <w:tc>
          <w:tcPr>
            <w:tcW w:w="212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c>
          <w:tcPr>
            <w:tcW w:w="454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（一）政府采购支出合计</w:t>
            </w:r>
          </w:p>
        </w:tc>
        <w:tc>
          <w:tcPr>
            <w:tcW w:w="2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1.56</w:t>
            </w:r>
            <w:r>
              <w:rPr>
                <w:rFonts w:hint="default" w:ascii="Times New Roman" w:hAnsi="Times New Roman" w:eastAsia="方正仿宋_GBK"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67" w:hRule="atLeast"/>
        </w:trPr>
        <w:tc>
          <w:tcPr>
            <w:tcW w:w="405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其中：外事接待批次（个）</w:t>
            </w:r>
          </w:p>
        </w:tc>
        <w:tc>
          <w:tcPr>
            <w:tcW w:w="2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w:t>
            </w:r>
          </w:p>
        </w:tc>
        <w:tc>
          <w:tcPr>
            <w:tcW w:w="212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c>
          <w:tcPr>
            <w:tcW w:w="454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1．政府采购货物支出</w:t>
            </w:r>
          </w:p>
        </w:tc>
        <w:tc>
          <w:tcPr>
            <w:tcW w:w="2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1.56</w:t>
            </w:r>
            <w:r>
              <w:rPr>
                <w:rFonts w:hint="default" w:ascii="Times New Roman" w:hAnsi="Times New Roman" w:eastAsia="方正仿宋_GBK"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67" w:hRule="atLeast"/>
        </w:trPr>
        <w:tc>
          <w:tcPr>
            <w:tcW w:w="405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6．国内公务接待人次（人）</w:t>
            </w:r>
          </w:p>
        </w:tc>
        <w:tc>
          <w:tcPr>
            <w:tcW w:w="2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w:t>
            </w:r>
          </w:p>
        </w:tc>
        <w:tc>
          <w:tcPr>
            <w:tcW w:w="212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c>
          <w:tcPr>
            <w:tcW w:w="454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2．政府采购工程支出</w:t>
            </w:r>
          </w:p>
        </w:tc>
        <w:tc>
          <w:tcPr>
            <w:tcW w:w="2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67" w:hRule="atLeast"/>
        </w:trPr>
        <w:tc>
          <w:tcPr>
            <w:tcW w:w="405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其中：外事接待人次（人）</w:t>
            </w:r>
          </w:p>
        </w:tc>
        <w:tc>
          <w:tcPr>
            <w:tcW w:w="2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w:t>
            </w:r>
          </w:p>
        </w:tc>
        <w:tc>
          <w:tcPr>
            <w:tcW w:w="212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c>
          <w:tcPr>
            <w:tcW w:w="454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3．政府采购服务支出</w:t>
            </w:r>
          </w:p>
        </w:tc>
        <w:tc>
          <w:tcPr>
            <w:tcW w:w="2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67" w:hRule="atLeast"/>
        </w:trPr>
        <w:tc>
          <w:tcPr>
            <w:tcW w:w="405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7．国（境）外公务接待批次（个）</w:t>
            </w:r>
          </w:p>
        </w:tc>
        <w:tc>
          <w:tcPr>
            <w:tcW w:w="2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w:t>
            </w:r>
          </w:p>
        </w:tc>
        <w:tc>
          <w:tcPr>
            <w:tcW w:w="212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c>
          <w:tcPr>
            <w:tcW w:w="454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（二）政府采购授予中小企业合同金额</w:t>
            </w:r>
          </w:p>
        </w:tc>
        <w:tc>
          <w:tcPr>
            <w:tcW w:w="2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1.56</w:t>
            </w:r>
            <w:r>
              <w:rPr>
                <w:rFonts w:hint="default" w:ascii="Times New Roman" w:hAnsi="Times New Roman" w:eastAsia="方正仿宋_GBK"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67" w:hRule="atLeast"/>
        </w:trPr>
        <w:tc>
          <w:tcPr>
            <w:tcW w:w="405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8．国（境）外公务接待人次（人）</w:t>
            </w:r>
          </w:p>
        </w:tc>
        <w:tc>
          <w:tcPr>
            <w:tcW w:w="2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w:t>
            </w:r>
          </w:p>
        </w:tc>
        <w:tc>
          <w:tcPr>
            <w:tcW w:w="212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c>
          <w:tcPr>
            <w:tcW w:w="454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 xml:space="preserve">        其中：授予小微企业合同金额</w:t>
            </w:r>
          </w:p>
        </w:tc>
        <w:tc>
          <w:tcPr>
            <w:tcW w:w="2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1.56</w:t>
            </w:r>
            <w:r>
              <w:rPr>
                <w:rFonts w:hint="default" w:ascii="Times New Roman" w:hAnsi="Times New Roman" w:eastAsia="方正仿宋_GBK"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67" w:hRule="atLeast"/>
        </w:trPr>
        <w:tc>
          <w:tcPr>
            <w:tcW w:w="405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二、会议费</w:t>
            </w:r>
          </w:p>
        </w:tc>
        <w:tc>
          <w:tcPr>
            <w:tcW w:w="2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w:t>
            </w:r>
          </w:p>
        </w:tc>
        <w:tc>
          <w:tcPr>
            <w:tcW w:w="21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c>
          <w:tcPr>
            <w:tcW w:w="454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6"/>
                <w:szCs w:val="16"/>
              </w:rPr>
            </w:pPr>
          </w:p>
        </w:tc>
        <w:tc>
          <w:tcPr>
            <w:tcW w:w="2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16"/>
                <w:szCs w:val="16"/>
              </w:rPr>
            </w:pPr>
          </w:p>
        </w:tc>
      </w:tr>
      <w:tr>
        <w:tblPrEx>
          <w:tblLayout w:type="fixed"/>
          <w:tblCellMar>
            <w:top w:w="0" w:type="dxa"/>
            <w:left w:w="170" w:type="dxa"/>
            <w:bottom w:w="0" w:type="dxa"/>
            <w:right w:w="170" w:type="dxa"/>
          </w:tblCellMar>
        </w:tblPrEx>
        <w:trPr>
          <w:trHeight w:val="322" w:hRule="atLeast"/>
        </w:trPr>
        <w:tc>
          <w:tcPr>
            <w:tcW w:w="405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三、培训费</w:t>
            </w:r>
          </w:p>
        </w:tc>
        <w:tc>
          <w:tcPr>
            <w:tcW w:w="2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szCs w:val="16"/>
              </w:rPr>
              <w:t>—</w:t>
            </w:r>
          </w:p>
        </w:tc>
        <w:tc>
          <w:tcPr>
            <w:tcW w:w="21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6"/>
                <w:szCs w:val="16"/>
              </w:rPr>
            </w:pPr>
            <w:r>
              <w:rPr>
                <w:rFonts w:hint="default" w:ascii="Times New Roman" w:hAnsi="Times New Roman" w:eastAsia="方正仿宋_GBK" w:cs="Times New Roman"/>
                <w:b w:val="0"/>
                <w:bCs w:val="0"/>
                <w:color w:val="000000"/>
                <w:sz w:val="16"/>
                <w:u w:color="auto"/>
              </w:rPr>
              <w:t xml:space="preserve"> </w:t>
            </w:r>
          </w:p>
        </w:tc>
        <w:tc>
          <w:tcPr>
            <w:tcW w:w="454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color w:val="000000"/>
                <w:sz w:val="16"/>
                <w:szCs w:val="16"/>
              </w:rPr>
            </w:pPr>
          </w:p>
        </w:tc>
        <w:tc>
          <w:tcPr>
            <w:tcW w:w="2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jc w:val="right"/>
              <w:outlineLvl w:val="9"/>
              <w:rPr>
                <w:rFonts w:hint="default" w:ascii="Times New Roman" w:hAnsi="Times New Roman" w:eastAsia="方正仿宋_GBK" w:cs="Times New Roman"/>
                <w:b w:val="0"/>
                <w:bCs w:val="0"/>
                <w:color w:val="000000"/>
                <w:sz w:val="16"/>
                <w:szCs w:val="16"/>
              </w:rPr>
            </w:pPr>
          </w:p>
        </w:tc>
      </w:tr>
    </w:tbl>
    <w:p>
      <w:pPr>
        <w:keepNext w:val="0"/>
        <w:keepLines w:val="0"/>
        <w:pageBreakBefore w:val="0"/>
        <w:widowControl/>
        <w:kinsoku/>
        <w:overflowPunct/>
        <w:topLinePunct w:val="0"/>
        <w:autoSpaceDE/>
        <w:autoSpaceDN/>
        <w:bidi w:val="0"/>
        <w:adjustRightInd/>
        <w:snapToGrid/>
        <w:spacing w:beforeAutospacing="0" w:afterAutospacing="0" w:line="200" w:lineRule="atLeast"/>
        <w:ind w:firstLine="0" w:firstLineChars="0"/>
        <w:outlineLvl w:val="9"/>
        <w:rPr>
          <w:rFonts w:hint="default" w:ascii="Times New Roman" w:hAnsi="Times New Roman" w:eastAsia="方正仿宋_GBK" w:cs="Times New Roman"/>
          <w:b w:val="0"/>
          <w:bCs w:val="0"/>
          <w:sz w:val="21"/>
          <w:szCs w:val="21"/>
        </w:rPr>
      </w:pPr>
      <w:r>
        <w:rPr>
          <w:rFonts w:hint="default" w:ascii="Times New Roman" w:hAnsi="Times New Roman" w:eastAsia="方正仿宋_GBK" w:cs="Times New Roman"/>
          <w:b w:val="0"/>
          <w:bCs w:val="0"/>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t xml:space="preserve">      2.本套报表金额单位转换时可能存在尾数误差。</w:t>
      </w:r>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fldChar w:fldCharType="begin"/>
                          </w:r>
                          <w:r>
                            <w:instrText xml:space="preserve"> PAGE  \* MERGEFORMAT </w:instrText>
                          </w:r>
                          <w:r>
                            <w:fldChar w:fldCharType="separate"/>
                          </w:r>
                          <w:r>
                            <w:rPr>
                              <w:rFonts w:hint="default"/>
                            </w:rPr>
                            <w:t>- 4 -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- 4 -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2B9048"/>
    <w:multiLevelType w:val="singleLevel"/>
    <w:tmpl w:val="8D2B9048"/>
    <w:lvl w:ilvl="0" w:tentative="0">
      <w:start w:val="3"/>
      <w:numFmt w:val="chineseCounting"/>
      <w:suff w:val="nothing"/>
      <w:lvlText w:val="（%1）"/>
      <w:lvlJc w:val="left"/>
      <w:rPr>
        <w:rFonts w:hint="eastAsia"/>
      </w:rPr>
    </w:lvl>
  </w:abstractNum>
  <w:abstractNum w:abstractNumId="1">
    <w:nsid w:val="92DA3BCB"/>
    <w:multiLevelType w:val="singleLevel"/>
    <w:tmpl w:val="92DA3BCB"/>
    <w:lvl w:ilvl="0" w:tentative="0">
      <w:start w:val="4"/>
      <w:numFmt w:val="chineseCounting"/>
      <w:suff w:val="nothing"/>
      <w:lvlText w:val="%1、"/>
      <w:lvlJc w:val="left"/>
      <w:rPr>
        <w:rFonts w:hint="eastAsia"/>
      </w:rPr>
    </w:lvl>
  </w:abstractNum>
  <w:abstractNum w:abstractNumId="2">
    <w:nsid w:val="A1CD871E"/>
    <w:multiLevelType w:val="singleLevel"/>
    <w:tmpl w:val="A1CD871E"/>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1D3BB7"/>
    <w:rsid w:val="002B254B"/>
    <w:rsid w:val="00466C9B"/>
    <w:rsid w:val="00550ABE"/>
    <w:rsid w:val="00770383"/>
    <w:rsid w:val="007819D4"/>
    <w:rsid w:val="007B419D"/>
    <w:rsid w:val="007B7C4B"/>
    <w:rsid w:val="007D3D39"/>
    <w:rsid w:val="00994AF7"/>
    <w:rsid w:val="009B67B8"/>
    <w:rsid w:val="009D2B67"/>
    <w:rsid w:val="00A566F9"/>
    <w:rsid w:val="00AF2751"/>
    <w:rsid w:val="00B03CCD"/>
    <w:rsid w:val="00BE2B89"/>
    <w:rsid w:val="00C10E9E"/>
    <w:rsid w:val="00C20C3E"/>
    <w:rsid w:val="00F73F90"/>
    <w:rsid w:val="01474EBF"/>
    <w:rsid w:val="01B22B39"/>
    <w:rsid w:val="01F3521E"/>
    <w:rsid w:val="02BC197D"/>
    <w:rsid w:val="030A0899"/>
    <w:rsid w:val="032E1FA0"/>
    <w:rsid w:val="033D7C8A"/>
    <w:rsid w:val="03B87EA0"/>
    <w:rsid w:val="03BB240C"/>
    <w:rsid w:val="03C30D68"/>
    <w:rsid w:val="03E3214F"/>
    <w:rsid w:val="040C2D26"/>
    <w:rsid w:val="044C50BA"/>
    <w:rsid w:val="05BC6D49"/>
    <w:rsid w:val="06194FF1"/>
    <w:rsid w:val="0658340C"/>
    <w:rsid w:val="06A2550B"/>
    <w:rsid w:val="06D81A00"/>
    <w:rsid w:val="06F46CB0"/>
    <w:rsid w:val="06F80EE2"/>
    <w:rsid w:val="07001CCA"/>
    <w:rsid w:val="075678DB"/>
    <w:rsid w:val="078744AD"/>
    <w:rsid w:val="079D7CC7"/>
    <w:rsid w:val="08051BCA"/>
    <w:rsid w:val="0807255F"/>
    <w:rsid w:val="086C12F4"/>
    <w:rsid w:val="08705944"/>
    <w:rsid w:val="08BA052C"/>
    <w:rsid w:val="08DB07BA"/>
    <w:rsid w:val="092D6A53"/>
    <w:rsid w:val="0969353F"/>
    <w:rsid w:val="098305D0"/>
    <w:rsid w:val="09A23212"/>
    <w:rsid w:val="0A150EF2"/>
    <w:rsid w:val="0A3317EA"/>
    <w:rsid w:val="0A5C4B69"/>
    <w:rsid w:val="0A86124A"/>
    <w:rsid w:val="0AB54CC0"/>
    <w:rsid w:val="0B9335CE"/>
    <w:rsid w:val="0BF2311A"/>
    <w:rsid w:val="0C7927C4"/>
    <w:rsid w:val="0C9B098C"/>
    <w:rsid w:val="0D673E11"/>
    <w:rsid w:val="0DDA54E4"/>
    <w:rsid w:val="0E3A5F83"/>
    <w:rsid w:val="0F1B307A"/>
    <w:rsid w:val="0F387969"/>
    <w:rsid w:val="0F836721"/>
    <w:rsid w:val="0FA25D96"/>
    <w:rsid w:val="0FE5257A"/>
    <w:rsid w:val="107B59E5"/>
    <w:rsid w:val="10EC0126"/>
    <w:rsid w:val="10F70B9A"/>
    <w:rsid w:val="110256A2"/>
    <w:rsid w:val="111445C7"/>
    <w:rsid w:val="114278C6"/>
    <w:rsid w:val="1158083A"/>
    <w:rsid w:val="11643A4B"/>
    <w:rsid w:val="11ED0F98"/>
    <w:rsid w:val="11F03528"/>
    <w:rsid w:val="12500D48"/>
    <w:rsid w:val="12777772"/>
    <w:rsid w:val="12C921C4"/>
    <w:rsid w:val="13871C70"/>
    <w:rsid w:val="13A71CB4"/>
    <w:rsid w:val="13AF1D43"/>
    <w:rsid w:val="13CE1647"/>
    <w:rsid w:val="13FD55AB"/>
    <w:rsid w:val="140D40A7"/>
    <w:rsid w:val="14200702"/>
    <w:rsid w:val="14240279"/>
    <w:rsid w:val="15474C3F"/>
    <w:rsid w:val="15A552F9"/>
    <w:rsid w:val="15D3782D"/>
    <w:rsid w:val="160258DF"/>
    <w:rsid w:val="163A6CEE"/>
    <w:rsid w:val="173708E3"/>
    <w:rsid w:val="17915AC9"/>
    <w:rsid w:val="17C374FC"/>
    <w:rsid w:val="17E97D20"/>
    <w:rsid w:val="182E4AB6"/>
    <w:rsid w:val="189079DC"/>
    <w:rsid w:val="189B0D0B"/>
    <w:rsid w:val="18B43F7C"/>
    <w:rsid w:val="194A1770"/>
    <w:rsid w:val="19B906A4"/>
    <w:rsid w:val="1A19310E"/>
    <w:rsid w:val="1A570984"/>
    <w:rsid w:val="1A5E3DB7"/>
    <w:rsid w:val="1B6F15B6"/>
    <w:rsid w:val="1B9C5028"/>
    <w:rsid w:val="1BAA2EDC"/>
    <w:rsid w:val="1C1219B0"/>
    <w:rsid w:val="1C7415D3"/>
    <w:rsid w:val="1CA55E64"/>
    <w:rsid w:val="1D014A01"/>
    <w:rsid w:val="1D022362"/>
    <w:rsid w:val="1D1B04B0"/>
    <w:rsid w:val="1D810ABC"/>
    <w:rsid w:val="1DA52501"/>
    <w:rsid w:val="1DBD6767"/>
    <w:rsid w:val="1DC52125"/>
    <w:rsid w:val="1DCB7BCF"/>
    <w:rsid w:val="1DD14537"/>
    <w:rsid w:val="1DD26311"/>
    <w:rsid w:val="1DDC577B"/>
    <w:rsid w:val="1E374ACB"/>
    <w:rsid w:val="1ECF0A66"/>
    <w:rsid w:val="1EF61519"/>
    <w:rsid w:val="1EF67CA4"/>
    <w:rsid w:val="1F020D3A"/>
    <w:rsid w:val="1F2C5189"/>
    <w:rsid w:val="1F4B0B02"/>
    <w:rsid w:val="1F9018D9"/>
    <w:rsid w:val="1FBB35CD"/>
    <w:rsid w:val="1FCD26AF"/>
    <w:rsid w:val="1FFC3917"/>
    <w:rsid w:val="202E4492"/>
    <w:rsid w:val="20642787"/>
    <w:rsid w:val="20787B1D"/>
    <w:rsid w:val="20FC6683"/>
    <w:rsid w:val="21556F04"/>
    <w:rsid w:val="215711E8"/>
    <w:rsid w:val="22403BD3"/>
    <w:rsid w:val="24B92327"/>
    <w:rsid w:val="24C14514"/>
    <w:rsid w:val="252B3CC2"/>
    <w:rsid w:val="2533755C"/>
    <w:rsid w:val="25434F18"/>
    <w:rsid w:val="25791755"/>
    <w:rsid w:val="25A7163B"/>
    <w:rsid w:val="26396DF4"/>
    <w:rsid w:val="2671661C"/>
    <w:rsid w:val="26AC7CF8"/>
    <w:rsid w:val="27167136"/>
    <w:rsid w:val="271B442C"/>
    <w:rsid w:val="27422C7D"/>
    <w:rsid w:val="27B23302"/>
    <w:rsid w:val="287326A0"/>
    <w:rsid w:val="29310A5F"/>
    <w:rsid w:val="29C37A35"/>
    <w:rsid w:val="2A076083"/>
    <w:rsid w:val="2A73162E"/>
    <w:rsid w:val="2AF560E6"/>
    <w:rsid w:val="2B167953"/>
    <w:rsid w:val="2B200583"/>
    <w:rsid w:val="2B8209DE"/>
    <w:rsid w:val="2C1473A3"/>
    <w:rsid w:val="2C423C3D"/>
    <w:rsid w:val="2C636760"/>
    <w:rsid w:val="2C6762A3"/>
    <w:rsid w:val="2CC867D0"/>
    <w:rsid w:val="2CCE493C"/>
    <w:rsid w:val="2D576D04"/>
    <w:rsid w:val="2E890BDE"/>
    <w:rsid w:val="2F7B3831"/>
    <w:rsid w:val="2FCA4B37"/>
    <w:rsid w:val="2FE029D7"/>
    <w:rsid w:val="2FF06E00"/>
    <w:rsid w:val="30586FEC"/>
    <w:rsid w:val="305A5022"/>
    <w:rsid w:val="315F0B22"/>
    <w:rsid w:val="31D84415"/>
    <w:rsid w:val="32285F6F"/>
    <w:rsid w:val="323471F3"/>
    <w:rsid w:val="32770556"/>
    <w:rsid w:val="329C0913"/>
    <w:rsid w:val="32AA0460"/>
    <w:rsid w:val="3337290D"/>
    <w:rsid w:val="338276CE"/>
    <w:rsid w:val="338F254B"/>
    <w:rsid w:val="33E31118"/>
    <w:rsid w:val="33EF7674"/>
    <w:rsid w:val="342D7BC6"/>
    <w:rsid w:val="352930DB"/>
    <w:rsid w:val="35454D7C"/>
    <w:rsid w:val="35573069"/>
    <w:rsid w:val="355F6038"/>
    <w:rsid w:val="358C217E"/>
    <w:rsid w:val="36825F17"/>
    <w:rsid w:val="36C9128A"/>
    <w:rsid w:val="36CC0ACF"/>
    <w:rsid w:val="37730F6B"/>
    <w:rsid w:val="37841E99"/>
    <w:rsid w:val="37BF1123"/>
    <w:rsid w:val="383C3F15"/>
    <w:rsid w:val="384D7B3F"/>
    <w:rsid w:val="38BE4696"/>
    <w:rsid w:val="390E5013"/>
    <w:rsid w:val="3939115E"/>
    <w:rsid w:val="399403A1"/>
    <w:rsid w:val="39B82A39"/>
    <w:rsid w:val="39C42CA8"/>
    <w:rsid w:val="39DC4FD6"/>
    <w:rsid w:val="39F03D7A"/>
    <w:rsid w:val="39F33306"/>
    <w:rsid w:val="3A2C1C67"/>
    <w:rsid w:val="3AB42190"/>
    <w:rsid w:val="3ADD7F09"/>
    <w:rsid w:val="3B1705E5"/>
    <w:rsid w:val="3B18334B"/>
    <w:rsid w:val="3B36794F"/>
    <w:rsid w:val="3B6F6EE0"/>
    <w:rsid w:val="3BCC1575"/>
    <w:rsid w:val="3C4C07E4"/>
    <w:rsid w:val="3C566AD6"/>
    <w:rsid w:val="3C594871"/>
    <w:rsid w:val="3C6A5446"/>
    <w:rsid w:val="3C6A5B02"/>
    <w:rsid w:val="3CD06759"/>
    <w:rsid w:val="3D262F56"/>
    <w:rsid w:val="3D2757A1"/>
    <w:rsid w:val="3D39009D"/>
    <w:rsid w:val="3D3D4FC4"/>
    <w:rsid w:val="3DD167D2"/>
    <w:rsid w:val="3DDF3AB1"/>
    <w:rsid w:val="3E1D0952"/>
    <w:rsid w:val="3E42660A"/>
    <w:rsid w:val="3E5A797B"/>
    <w:rsid w:val="3E7555B1"/>
    <w:rsid w:val="3E787ED9"/>
    <w:rsid w:val="3F032E93"/>
    <w:rsid w:val="3F0527E5"/>
    <w:rsid w:val="3F694D83"/>
    <w:rsid w:val="3F783F02"/>
    <w:rsid w:val="3F856A77"/>
    <w:rsid w:val="3F885DCC"/>
    <w:rsid w:val="3FCD675E"/>
    <w:rsid w:val="4004000C"/>
    <w:rsid w:val="40BD5482"/>
    <w:rsid w:val="411B6CE5"/>
    <w:rsid w:val="412070D7"/>
    <w:rsid w:val="41282B2F"/>
    <w:rsid w:val="41314E40"/>
    <w:rsid w:val="41A461D6"/>
    <w:rsid w:val="41E0734B"/>
    <w:rsid w:val="420B210D"/>
    <w:rsid w:val="422F3784"/>
    <w:rsid w:val="426C1EA8"/>
    <w:rsid w:val="42736402"/>
    <w:rsid w:val="42E86A87"/>
    <w:rsid w:val="43307B09"/>
    <w:rsid w:val="439A3EB9"/>
    <w:rsid w:val="43BB152F"/>
    <w:rsid w:val="44C37687"/>
    <w:rsid w:val="45CB699A"/>
    <w:rsid w:val="45E35A00"/>
    <w:rsid w:val="465B470D"/>
    <w:rsid w:val="469D6AD4"/>
    <w:rsid w:val="470A6ECA"/>
    <w:rsid w:val="471E6C84"/>
    <w:rsid w:val="4748792B"/>
    <w:rsid w:val="475D719D"/>
    <w:rsid w:val="47674801"/>
    <w:rsid w:val="47B66D3D"/>
    <w:rsid w:val="48225EF7"/>
    <w:rsid w:val="48874886"/>
    <w:rsid w:val="488F422B"/>
    <w:rsid w:val="48BC5AD0"/>
    <w:rsid w:val="48E36915"/>
    <w:rsid w:val="48EB6572"/>
    <w:rsid w:val="495C4A24"/>
    <w:rsid w:val="497135DF"/>
    <w:rsid w:val="4A263DF2"/>
    <w:rsid w:val="4A6F6675"/>
    <w:rsid w:val="4B135857"/>
    <w:rsid w:val="4B334F3B"/>
    <w:rsid w:val="4B7951CB"/>
    <w:rsid w:val="4B7C315C"/>
    <w:rsid w:val="4D9944CA"/>
    <w:rsid w:val="4DAC4ACA"/>
    <w:rsid w:val="4DBE01D2"/>
    <w:rsid w:val="4EBC1185"/>
    <w:rsid w:val="4F0C6BA3"/>
    <w:rsid w:val="4F186D58"/>
    <w:rsid w:val="4FF41E62"/>
    <w:rsid w:val="50F06B6E"/>
    <w:rsid w:val="511D7CC7"/>
    <w:rsid w:val="512348DC"/>
    <w:rsid w:val="51D21804"/>
    <w:rsid w:val="51D25185"/>
    <w:rsid w:val="52234D33"/>
    <w:rsid w:val="522F6E0C"/>
    <w:rsid w:val="523862F6"/>
    <w:rsid w:val="52463BA1"/>
    <w:rsid w:val="52E7241A"/>
    <w:rsid w:val="52F163D4"/>
    <w:rsid w:val="531A2DB4"/>
    <w:rsid w:val="531B57EA"/>
    <w:rsid w:val="537179E7"/>
    <w:rsid w:val="538B0E4F"/>
    <w:rsid w:val="53C0244D"/>
    <w:rsid w:val="53DD4D4E"/>
    <w:rsid w:val="53E578CE"/>
    <w:rsid w:val="53E860EC"/>
    <w:rsid w:val="541330F0"/>
    <w:rsid w:val="54272666"/>
    <w:rsid w:val="543B029D"/>
    <w:rsid w:val="543C6340"/>
    <w:rsid w:val="54861779"/>
    <w:rsid w:val="552256E1"/>
    <w:rsid w:val="554E5773"/>
    <w:rsid w:val="555829E0"/>
    <w:rsid w:val="555A3CBC"/>
    <w:rsid w:val="555D157E"/>
    <w:rsid w:val="5582012B"/>
    <w:rsid w:val="558E4E05"/>
    <w:rsid w:val="55BE2E85"/>
    <w:rsid w:val="56530F5D"/>
    <w:rsid w:val="5658749D"/>
    <w:rsid w:val="567700D3"/>
    <w:rsid w:val="56AD6D36"/>
    <w:rsid w:val="56FF7E9E"/>
    <w:rsid w:val="578867FC"/>
    <w:rsid w:val="57E63DF6"/>
    <w:rsid w:val="5816070E"/>
    <w:rsid w:val="5842572D"/>
    <w:rsid w:val="595E75C6"/>
    <w:rsid w:val="5A3B59D6"/>
    <w:rsid w:val="5AD134D8"/>
    <w:rsid w:val="5AFC5A75"/>
    <w:rsid w:val="5B8919E8"/>
    <w:rsid w:val="5C263CE4"/>
    <w:rsid w:val="5C5D2777"/>
    <w:rsid w:val="5CF66BF3"/>
    <w:rsid w:val="5D290C69"/>
    <w:rsid w:val="5F1912B3"/>
    <w:rsid w:val="5F2D4A41"/>
    <w:rsid w:val="60096753"/>
    <w:rsid w:val="6017295D"/>
    <w:rsid w:val="60837073"/>
    <w:rsid w:val="60C74F6C"/>
    <w:rsid w:val="61025A59"/>
    <w:rsid w:val="613D5BBC"/>
    <w:rsid w:val="61536C39"/>
    <w:rsid w:val="616C47A5"/>
    <w:rsid w:val="6267238F"/>
    <w:rsid w:val="62944DD7"/>
    <w:rsid w:val="62E22A32"/>
    <w:rsid w:val="6319381F"/>
    <w:rsid w:val="635F0AF7"/>
    <w:rsid w:val="63C25DC5"/>
    <w:rsid w:val="63C62057"/>
    <w:rsid w:val="64571EF5"/>
    <w:rsid w:val="64FB113D"/>
    <w:rsid w:val="656152C6"/>
    <w:rsid w:val="6587477F"/>
    <w:rsid w:val="658C3A08"/>
    <w:rsid w:val="65C031CA"/>
    <w:rsid w:val="65CE6852"/>
    <w:rsid w:val="66267C04"/>
    <w:rsid w:val="663F505A"/>
    <w:rsid w:val="66D64813"/>
    <w:rsid w:val="66EE5541"/>
    <w:rsid w:val="678F5FB1"/>
    <w:rsid w:val="67924660"/>
    <w:rsid w:val="67BD5391"/>
    <w:rsid w:val="68407834"/>
    <w:rsid w:val="687B5354"/>
    <w:rsid w:val="6883293E"/>
    <w:rsid w:val="688412AD"/>
    <w:rsid w:val="68EB1B71"/>
    <w:rsid w:val="695A6954"/>
    <w:rsid w:val="698B0097"/>
    <w:rsid w:val="6A6C7940"/>
    <w:rsid w:val="6AAD2300"/>
    <w:rsid w:val="6B474EF5"/>
    <w:rsid w:val="6C0A5AC5"/>
    <w:rsid w:val="6C560CAE"/>
    <w:rsid w:val="6C576495"/>
    <w:rsid w:val="6C8424EF"/>
    <w:rsid w:val="6C890224"/>
    <w:rsid w:val="6C964C79"/>
    <w:rsid w:val="6C9E473A"/>
    <w:rsid w:val="6D903FF5"/>
    <w:rsid w:val="6DA955B8"/>
    <w:rsid w:val="6DB704D3"/>
    <w:rsid w:val="6DE346AB"/>
    <w:rsid w:val="6DE5391A"/>
    <w:rsid w:val="6E564C58"/>
    <w:rsid w:val="6E6B2E5C"/>
    <w:rsid w:val="6EFD1324"/>
    <w:rsid w:val="6F5A53AC"/>
    <w:rsid w:val="6FAC003D"/>
    <w:rsid w:val="6FE55E12"/>
    <w:rsid w:val="6FFB2E76"/>
    <w:rsid w:val="708F6F7F"/>
    <w:rsid w:val="70D94BD3"/>
    <w:rsid w:val="71813041"/>
    <w:rsid w:val="71C34D91"/>
    <w:rsid w:val="72DB435C"/>
    <w:rsid w:val="72E2613A"/>
    <w:rsid w:val="72F771F4"/>
    <w:rsid w:val="73934AD2"/>
    <w:rsid w:val="740D5D28"/>
    <w:rsid w:val="74232A55"/>
    <w:rsid w:val="750837F0"/>
    <w:rsid w:val="754758CF"/>
    <w:rsid w:val="757B4D07"/>
    <w:rsid w:val="75D8682F"/>
    <w:rsid w:val="76374C0F"/>
    <w:rsid w:val="764F62AB"/>
    <w:rsid w:val="76522B87"/>
    <w:rsid w:val="765C45EC"/>
    <w:rsid w:val="767D3E97"/>
    <w:rsid w:val="768A7619"/>
    <w:rsid w:val="772E1EBA"/>
    <w:rsid w:val="77E163DC"/>
    <w:rsid w:val="781926BC"/>
    <w:rsid w:val="78403B5F"/>
    <w:rsid w:val="78A34473"/>
    <w:rsid w:val="78F83918"/>
    <w:rsid w:val="796D60A4"/>
    <w:rsid w:val="79A031D5"/>
    <w:rsid w:val="79B97AE6"/>
    <w:rsid w:val="7A1525F7"/>
    <w:rsid w:val="7A505943"/>
    <w:rsid w:val="7B317EBC"/>
    <w:rsid w:val="7B420052"/>
    <w:rsid w:val="7BD06A28"/>
    <w:rsid w:val="7C3A7C0B"/>
    <w:rsid w:val="7C5248E4"/>
    <w:rsid w:val="7C566698"/>
    <w:rsid w:val="7C5866A3"/>
    <w:rsid w:val="7CAF29CB"/>
    <w:rsid w:val="7CDD2C87"/>
    <w:rsid w:val="7D35228E"/>
    <w:rsid w:val="7D7406BB"/>
    <w:rsid w:val="7DE94331"/>
    <w:rsid w:val="7F39113E"/>
    <w:rsid w:val="7F446A19"/>
    <w:rsid w:val="7F7452B9"/>
    <w:rsid w:val="7FAA18BF"/>
    <w:rsid w:val="7FF13C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1"/>
    <w:pPr>
      <w:keepNext w:val="0"/>
      <w:keepLines w:val="0"/>
      <w:widowControl w:val="0"/>
      <w:suppressLineNumbers w:val="0"/>
      <w:spacing w:before="0" w:beforeAutospacing="0" w:after="0" w:afterAutospacing="0"/>
      <w:ind w:left="101" w:right="0" w:firstLine="679"/>
      <w:jc w:val="left"/>
    </w:pPr>
    <w:rPr>
      <w:rFonts w:hint="default" w:ascii="Arial" w:hAnsi="Arial" w:eastAsia="宋体" w:cs="Times New Roman"/>
      <w:kern w:val="0"/>
      <w:sz w:val="34"/>
      <w:szCs w:val="34"/>
      <w:lang w:val="en-US" w:eastAsia="zh-CN" w:bidi="ar"/>
    </w:r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 w:type="character" w:customStyle="1" w:styleId="19">
    <w:name w:val="25"/>
    <w:basedOn w:val="10"/>
    <w:qFormat/>
    <w:uiPriority w:val="0"/>
    <w:rPr>
      <w:rFonts w:hint="default" w:ascii="Times New Roman" w:hAnsi="Times New Roman" w:cs="Times New Roman"/>
      <w:b/>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4001</Words>
  <Characters>22811</Characters>
  <Lines>190</Lines>
  <Paragraphs>53</Paragraphs>
  <TotalTime>2</TotalTime>
  <ScaleCrop>false</ScaleCrop>
  <LinksUpToDate>false</LinksUpToDate>
  <CharactersWithSpaces>26759</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Administrator</cp:lastModifiedBy>
  <dcterms:modified xsi:type="dcterms:W3CDTF">2024-09-23T04:15:55Z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