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rPr>
        <w:t>重庆市秀山土家族苗族自治县官庄街道社区卫生服务中心</w:t>
      </w:r>
      <w:r>
        <w:rPr>
          <w:rFonts w:hint="default" w:ascii="Times New Roman" w:hAnsi="Times New Roman" w:eastAsia="方正小标宋_GBK" w:cs="Times New Roman"/>
          <w:b w:val="0"/>
          <w:bCs w:val="0"/>
          <w:sz w:val="44"/>
          <w:szCs w:val="44"/>
          <w:shd w:val="clear" w:color="auto" w:fill="FFFFFF"/>
        </w:rPr>
        <w:t>2023年度决算公开说明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rPr>
          <w:rFonts w:hint="default" w:ascii="Times New Roman" w:hAnsi="Times New Roman" w:eastAsia="方正黑体_GBK" w:cs="Times New Roman"/>
          <w:b w:val="0"/>
          <w:bCs w:val="0"/>
          <w:sz w:val="32"/>
          <w:szCs w:val="32"/>
        </w:rPr>
      </w:pPr>
      <w:r>
        <w:rPr>
          <w:rStyle w:val="11"/>
          <w:rFonts w:hint="default" w:ascii="Times New Roman" w:hAnsi="Times New Roman" w:eastAsia="方正黑体_GBK" w:cs="Times New Roman"/>
          <w:b w:val="0"/>
          <w:bCs w:val="0"/>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rPr>
          <w:rFonts w:hint="default" w:ascii="Times New Roman" w:hAnsi="Times New Roman" w:eastAsia="方正楷体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（一）职能职责</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本单位属于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1.根据国家和本市规定收集、报送辖区内卫生健康信息，建立和管理居民健康档案，提出改进辖区公共卫生状况的建议；</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2.开展健康教育，普及健康知识；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3.协助开展传染病以及地方病、寄生虫病的预防控制，配合开展爱国卫生工作；</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4.做好高危人群、重点慢性病患者的筛查和病例管理；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5.提供心理健康指导服务，实施精神病社区管理；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6.为妇女、儿童、老年人、残疾人等重点人群提供保健和康复服务；</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7.提供计划生育技术服务，协助处置辖区内突发公共卫生事件等；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20" w:firstLineChars="200"/>
        <w:jc w:val="both"/>
        <w:textAlignment w:val="auto"/>
        <w:outlineLvl w:val="9"/>
        <w:rPr>
          <w:rFonts w:hint="default" w:ascii="Times New Roman" w:hAnsi="Times New Roman" w:eastAsia="微软雅黑" w:cs="Times New Roman"/>
          <w:b w:val="0"/>
          <w:bCs w:val="0"/>
          <w:i w:val="0"/>
          <w:caps w:val="0"/>
          <w:color w:val="333333"/>
          <w:spacing w:val="0"/>
          <w:sz w:val="24"/>
          <w:szCs w:val="24"/>
        </w:rPr>
      </w:pPr>
      <w:r>
        <w:rPr>
          <w:rFonts w:hint="default" w:ascii="Times New Roman" w:hAnsi="Times New Roman" w:eastAsia="方正仿宋_GBK" w:cs="Times New Roman"/>
          <w:b w:val="0"/>
          <w:bCs w:val="0"/>
          <w:i w:val="0"/>
          <w:caps w:val="0"/>
          <w:color w:val="333333"/>
          <w:spacing w:val="0"/>
          <w:sz w:val="31"/>
          <w:szCs w:val="31"/>
          <w:shd w:val="clear" w:fill="FFFFFF"/>
        </w:rPr>
        <w:t>8.按要求提供其他公共卫生服务。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20" w:firstLineChars="200"/>
        <w:textAlignment w:val="auto"/>
        <w:outlineLvl w:val="9"/>
        <w:rPr>
          <w:rFonts w:hint="default" w:ascii="Times New Roman" w:hAnsi="Times New Roman" w:eastAsia="方正仿宋_GBK" w:cs="Times New Roman"/>
          <w:b w:val="0"/>
          <w:bCs w:val="0"/>
          <w:i w:val="0"/>
          <w:caps w:val="0"/>
          <w:color w:val="333333"/>
          <w:spacing w:val="0"/>
          <w:sz w:val="31"/>
          <w:szCs w:val="31"/>
          <w:shd w:val="clear" w:fill="FFFFFF"/>
        </w:rPr>
      </w:pPr>
      <w:r>
        <w:rPr>
          <w:rFonts w:hint="default" w:ascii="Times New Roman" w:hAnsi="Times New Roman" w:eastAsia="方正仿宋_GBK" w:cs="Times New Roman"/>
          <w:b w:val="0"/>
          <w:bCs w:val="0"/>
          <w:i w:val="0"/>
          <w:caps w:val="0"/>
          <w:color w:val="333333"/>
          <w:spacing w:val="0"/>
          <w:sz w:val="31"/>
          <w:szCs w:val="31"/>
          <w:shd w:val="clear" w:fill="FFFFFF"/>
        </w:rPr>
        <w:t>本单位下设办公室、财务科、医务科、门诊部、医技科、药房、收费室、内科、外科、妇科、理疗科、公卫科、体检中心。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二、单位决算情况说明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2023年度收入总计2488.07万元，支出总计</w:t>
      </w:r>
      <w:r>
        <w:rPr>
          <w:rFonts w:hint="default" w:ascii="Times New Roman" w:hAnsi="Times New Roman" w:eastAsia="方正仿宋_GBK" w:cs="Times New Roman"/>
          <w:b w:val="0"/>
          <w:bCs w:val="0"/>
          <w:sz w:val="32"/>
          <w:szCs w:val="32"/>
        </w:rPr>
        <w:t>2488.07</w:t>
      </w:r>
      <w:r>
        <w:rPr>
          <w:rFonts w:hint="default" w:ascii="Times New Roman" w:hAnsi="Times New Roman" w:eastAsia="方正仿宋_GBK" w:cs="Times New Roman"/>
          <w:b w:val="0"/>
          <w:bCs w:val="0"/>
          <w:sz w:val="32"/>
          <w:szCs w:val="32"/>
          <w:shd w:val="clear" w:color="auto" w:fill="FFFFFF"/>
        </w:rPr>
        <w:t>万元。收支较上年决算数增加764.64万元，增长44.37%，</w:t>
      </w:r>
      <w:r>
        <w:rPr>
          <w:rFonts w:hint="default" w:ascii="Times New Roman" w:hAnsi="Times New Roman" w:eastAsia="方正仿宋_GBK" w:cs="Times New Roman"/>
          <w:b w:val="0"/>
          <w:bCs w:val="0"/>
          <w:i w:val="0"/>
          <w:caps w:val="0"/>
          <w:color w:val="333333"/>
          <w:spacing w:val="0"/>
          <w:sz w:val="31"/>
          <w:szCs w:val="31"/>
          <w:shd w:val="clear" w:fill="FFFFFF"/>
        </w:rPr>
        <w:t>主要原因是</w:t>
      </w:r>
      <w:r>
        <w:rPr>
          <w:rFonts w:hint="default" w:ascii="Times New Roman" w:hAnsi="Times New Roman" w:eastAsia="宋体" w:cs="Times New Roman"/>
          <w:b w:val="0"/>
          <w:bCs w:val="0"/>
          <w:i w:val="0"/>
          <w:caps w:val="0"/>
          <w:color w:val="333333"/>
          <w:spacing w:val="0"/>
          <w:sz w:val="31"/>
          <w:szCs w:val="31"/>
          <w:shd w:val="clear" w:fill="FFFFFF"/>
        </w:rPr>
        <w:t>202</w:t>
      </w:r>
      <w:r>
        <w:rPr>
          <w:rFonts w:hint="default" w:ascii="Times New Roman" w:hAnsi="Times New Roman" w:cs="Times New Roman"/>
          <w:b w:val="0"/>
          <w:bCs w:val="0"/>
          <w:i w:val="0"/>
          <w:caps w:val="0"/>
          <w:color w:val="333333"/>
          <w:spacing w:val="0"/>
          <w:sz w:val="31"/>
          <w:szCs w:val="31"/>
          <w:shd w:val="clear" w:fill="FFFFFF"/>
          <w:lang w:val="en-US" w:eastAsia="zh-CN"/>
        </w:rPr>
        <w:t>3</w:t>
      </w:r>
      <w:r>
        <w:rPr>
          <w:rFonts w:hint="default" w:ascii="Times New Roman" w:hAnsi="Times New Roman" w:eastAsia="方正仿宋_GBK" w:cs="Times New Roman"/>
          <w:b w:val="0"/>
          <w:bCs w:val="0"/>
          <w:i w:val="0"/>
          <w:caps w:val="0"/>
          <w:color w:val="333333"/>
          <w:spacing w:val="0"/>
          <w:sz w:val="31"/>
          <w:szCs w:val="31"/>
          <w:shd w:val="clear" w:fill="FFFFFF"/>
        </w:rPr>
        <w:t>年度事业收入</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增加</w:t>
      </w:r>
      <w:r>
        <w:rPr>
          <w:rFonts w:hint="default" w:ascii="Times New Roman" w:hAnsi="Times New Roman" w:eastAsia="方正仿宋_GBK" w:cs="Times New Roman"/>
          <w:b w:val="0"/>
          <w:bCs w:val="0"/>
          <w:i w:val="0"/>
          <w:caps w:val="0"/>
          <w:color w:val="333333"/>
          <w:spacing w:val="0"/>
          <w:sz w:val="31"/>
          <w:szCs w:val="31"/>
          <w:shd w:val="clear" w:fill="FFFFFF"/>
        </w:rPr>
        <w:t>，同时院内人员支出、医疗支出等相应</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增加</w:t>
      </w:r>
      <w:r>
        <w:rPr>
          <w:rFonts w:hint="default" w:ascii="Times New Roman" w:hAnsi="Times New Roman" w:eastAsia="方正仿宋_GBK" w:cs="Times New Roman"/>
          <w:b w:val="0"/>
          <w:bCs w:val="0"/>
          <w:i w:val="0"/>
          <w:caps w:val="0"/>
          <w:color w:val="333333"/>
          <w:spacing w:val="0"/>
          <w:sz w:val="31"/>
          <w:szCs w:val="31"/>
          <w:shd w:val="clear"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2023年度收入合计2417.88万元，较上年决算数增加696.32万元，增长40.45%，主要原因是</w:t>
      </w:r>
      <w:r>
        <w:rPr>
          <w:rFonts w:hint="default" w:ascii="Times New Roman" w:hAnsi="Times New Roman" w:eastAsia="宋体" w:cs="Times New Roman"/>
          <w:b w:val="0"/>
          <w:bCs w:val="0"/>
          <w:i w:val="0"/>
          <w:caps w:val="0"/>
          <w:color w:val="333333"/>
          <w:spacing w:val="0"/>
          <w:sz w:val="31"/>
          <w:szCs w:val="31"/>
          <w:shd w:val="clear" w:fill="FFFFFF"/>
        </w:rPr>
        <w:t>202</w:t>
      </w:r>
      <w:r>
        <w:rPr>
          <w:rFonts w:hint="default" w:ascii="Times New Roman" w:hAnsi="Times New Roman" w:cs="Times New Roman"/>
          <w:b w:val="0"/>
          <w:bCs w:val="0"/>
          <w:i w:val="0"/>
          <w:caps w:val="0"/>
          <w:color w:val="333333"/>
          <w:spacing w:val="0"/>
          <w:sz w:val="31"/>
          <w:szCs w:val="31"/>
          <w:shd w:val="clear" w:fill="FFFFFF"/>
          <w:lang w:val="en-US" w:eastAsia="zh-CN"/>
        </w:rPr>
        <w:t>3</w:t>
      </w:r>
      <w:r>
        <w:rPr>
          <w:rFonts w:hint="default" w:ascii="Times New Roman" w:hAnsi="Times New Roman" w:eastAsia="方正仿宋_GBK" w:cs="Times New Roman"/>
          <w:b w:val="0"/>
          <w:bCs w:val="0"/>
          <w:i w:val="0"/>
          <w:caps w:val="0"/>
          <w:color w:val="333333"/>
          <w:spacing w:val="0"/>
          <w:sz w:val="31"/>
          <w:szCs w:val="31"/>
          <w:shd w:val="clear" w:fill="FFFFFF"/>
        </w:rPr>
        <w:t>年度事业收入</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增加。</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1471.57</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60.86</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900.00</w:t>
      </w:r>
      <w:r>
        <w:rPr>
          <w:rFonts w:hint="default" w:ascii="Times New Roman" w:hAnsi="Times New Roman" w:eastAsia="方正仿宋_GBK" w:cs="Times New Roman"/>
          <w:b w:val="0"/>
          <w:bCs w:val="0"/>
          <w:sz w:val="32"/>
          <w:szCs w:val="32"/>
          <w:shd w:val="clear" w:color="auto" w:fill="FFFFFF"/>
        </w:rPr>
        <w:t>万元，占37.22%；经营收入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46.32</w:t>
      </w:r>
      <w:r>
        <w:rPr>
          <w:rFonts w:hint="default" w:ascii="Times New Roman" w:hAnsi="Times New Roman" w:eastAsia="方正仿宋_GBK" w:cs="Times New Roman"/>
          <w:b w:val="0"/>
          <w:bCs w:val="0"/>
          <w:sz w:val="32"/>
          <w:szCs w:val="32"/>
          <w:shd w:val="clear" w:color="auto" w:fill="FFFFFF"/>
        </w:rPr>
        <w:t>万元，占1.92%。此外，使用非财政拨款结余和专用结余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70.20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2440.06</w:t>
      </w:r>
      <w:r>
        <w:rPr>
          <w:rFonts w:hint="default" w:ascii="Times New Roman" w:hAnsi="Times New Roman" w:eastAsia="方正仿宋_GBK" w:cs="Times New Roman"/>
          <w:b w:val="0"/>
          <w:bCs w:val="0"/>
          <w:sz w:val="32"/>
          <w:szCs w:val="32"/>
          <w:shd w:val="clear" w:color="auto" w:fill="FFFFFF"/>
        </w:rPr>
        <w:t>万元，较上年决算数增加716.63万元，增长41.58%，主要原因是</w:t>
      </w:r>
      <w:r>
        <w:rPr>
          <w:rFonts w:hint="default" w:ascii="Times New Roman" w:hAnsi="Times New Roman" w:eastAsia="方正仿宋_GBK" w:cs="Times New Roman"/>
          <w:b w:val="0"/>
          <w:bCs w:val="0"/>
          <w:i w:val="0"/>
          <w:caps w:val="0"/>
          <w:color w:val="333333"/>
          <w:spacing w:val="0"/>
          <w:sz w:val="31"/>
          <w:szCs w:val="31"/>
          <w:shd w:val="clear" w:fill="FFFFFF"/>
        </w:rPr>
        <w:t>人员支出及医疗支出等</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增加</w:t>
      </w:r>
      <w:r>
        <w:rPr>
          <w:rFonts w:hint="default" w:ascii="Times New Roman" w:hAnsi="Times New Roman" w:eastAsia="方正仿宋_GBK" w:cs="Times New Roman"/>
          <w:b w:val="0"/>
          <w:bCs w:val="0"/>
          <w:i w:val="0"/>
          <w:caps w:val="0"/>
          <w:color w:val="333333"/>
          <w:spacing w:val="0"/>
          <w:sz w:val="31"/>
          <w:szCs w:val="31"/>
          <w:shd w:val="clear" w:fill="FFFFFF"/>
          <w:lang w:eastAsia="zh-CN"/>
        </w:rPr>
        <w:t>。</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1718.94</w:t>
      </w:r>
      <w:r>
        <w:rPr>
          <w:rFonts w:hint="default" w:ascii="Times New Roman" w:hAnsi="Times New Roman" w:eastAsia="方正仿宋_GBK" w:cs="Times New Roman"/>
          <w:b w:val="0"/>
          <w:bCs w:val="0"/>
          <w:sz w:val="32"/>
          <w:szCs w:val="32"/>
          <w:shd w:val="clear" w:color="auto" w:fill="FFFFFF"/>
        </w:rPr>
        <w:t>万元，占70.45%；项目支出</w:t>
      </w:r>
      <w:r>
        <w:rPr>
          <w:rFonts w:hint="default" w:ascii="Times New Roman" w:hAnsi="Times New Roman" w:eastAsia="方正仿宋_GBK" w:cs="Times New Roman"/>
          <w:b w:val="0"/>
          <w:bCs w:val="0"/>
          <w:sz w:val="32"/>
          <w:szCs w:val="32"/>
        </w:rPr>
        <w:t>721.12</w:t>
      </w:r>
      <w:r>
        <w:rPr>
          <w:rFonts w:hint="default" w:ascii="Times New Roman" w:hAnsi="Times New Roman" w:eastAsia="方正仿宋_GBK" w:cs="Times New Roman"/>
          <w:b w:val="0"/>
          <w:bCs w:val="0"/>
          <w:sz w:val="32"/>
          <w:szCs w:val="32"/>
          <w:shd w:val="clear" w:color="auto" w:fill="FFFFFF"/>
        </w:rPr>
        <w:t>万元，占29.55%；经营支出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Style w:val="11"/>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48.02</w:t>
      </w:r>
      <w:r>
        <w:rPr>
          <w:rFonts w:hint="default" w:ascii="Times New Roman" w:hAnsi="Times New Roman" w:eastAsia="方正仿宋_GBK" w:cs="Times New Roman"/>
          <w:b w:val="0"/>
          <w:bCs w:val="0"/>
          <w:sz w:val="32"/>
          <w:szCs w:val="32"/>
          <w:shd w:val="clear" w:color="auto" w:fill="FFFFFF"/>
        </w:rPr>
        <w:t>万元，较上年决算数增加48.02万元，增长100.00%，</w:t>
      </w:r>
      <w:r>
        <w:rPr>
          <w:rFonts w:hint="default" w:ascii="Times New Roman" w:hAnsi="Times New Roman" w:eastAsia="方正仿宋_GBK" w:cs="Times New Roman"/>
          <w:b w:val="0"/>
          <w:bCs w:val="0"/>
          <w:sz w:val="32"/>
          <w:szCs w:val="32"/>
          <w:shd w:val="clear" w:color="auto" w:fill="FFFFFF"/>
          <w:lang w:val="en-US" w:eastAsia="zh-CN"/>
        </w:rPr>
        <w:t>主要原因是清算2022年超额绩效，还未发放，所以结余增加。</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2023年度财政拨款收、支总计1471.57万元。与2022年相比，财政拨款收、支总计各增加542.51万元，增长58.39%。主要原因是</w:t>
      </w:r>
      <w:r>
        <w:rPr>
          <w:rFonts w:hint="default" w:ascii="Times New Roman" w:hAnsi="Times New Roman" w:eastAsia="方正仿宋_GBK" w:cs="Times New Roman"/>
          <w:b w:val="0"/>
          <w:bCs w:val="0"/>
          <w:i w:val="0"/>
          <w:caps w:val="0"/>
          <w:color w:val="333333"/>
          <w:spacing w:val="0"/>
          <w:sz w:val="31"/>
          <w:szCs w:val="31"/>
          <w:shd w:val="clear" w:fill="FFFFFF"/>
        </w:rPr>
        <w:t>财政拨款收入增加，</w:t>
      </w:r>
      <w:r>
        <w:rPr>
          <w:rFonts w:hint="default" w:ascii="Times New Roman" w:hAnsi="Times New Roman" w:eastAsia="宋体" w:cs="Times New Roman"/>
          <w:b w:val="0"/>
          <w:bCs w:val="0"/>
          <w:i w:val="0"/>
          <w:caps w:val="0"/>
          <w:color w:val="333333"/>
          <w:spacing w:val="0"/>
          <w:sz w:val="31"/>
          <w:szCs w:val="31"/>
          <w:shd w:val="clear" w:fill="FFFFFF"/>
        </w:rPr>
        <w:t>202</w:t>
      </w:r>
      <w:r>
        <w:rPr>
          <w:rFonts w:hint="default" w:ascii="Times New Roman" w:hAnsi="Times New Roman" w:cs="Times New Roman"/>
          <w:b w:val="0"/>
          <w:bCs w:val="0"/>
          <w:i w:val="0"/>
          <w:caps w:val="0"/>
          <w:color w:val="333333"/>
          <w:spacing w:val="0"/>
          <w:sz w:val="31"/>
          <w:szCs w:val="31"/>
          <w:shd w:val="clear" w:fill="FFFFFF"/>
          <w:lang w:val="en-US" w:eastAsia="zh-CN"/>
        </w:rPr>
        <w:t>3</w:t>
      </w:r>
      <w:r>
        <w:rPr>
          <w:rFonts w:hint="default" w:ascii="Times New Roman" w:hAnsi="Times New Roman" w:eastAsia="方正仿宋_GBK" w:cs="Times New Roman"/>
          <w:b w:val="0"/>
          <w:bCs w:val="0"/>
          <w:i w:val="0"/>
          <w:caps w:val="0"/>
          <w:color w:val="333333"/>
          <w:spacing w:val="0"/>
          <w:sz w:val="31"/>
          <w:szCs w:val="31"/>
          <w:shd w:val="clear" w:fill="FFFFFF"/>
        </w:rPr>
        <w:t>年度</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新增</w:t>
      </w:r>
      <w:r>
        <w:rPr>
          <w:rFonts w:hint="default" w:ascii="Times New Roman" w:hAnsi="Times New Roman" w:eastAsia="方正仿宋_GBK" w:cs="Times New Roman"/>
          <w:b w:val="0"/>
          <w:bCs w:val="0"/>
          <w:i w:val="0"/>
          <w:caps w:val="0"/>
          <w:color w:val="333333"/>
          <w:spacing w:val="0"/>
          <w:sz w:val="31"/>
          <w:szCs w:val="31"/>
          <w:shd w:val="clear" w:fill="FFFFFF"/>
        </w:rPr>
        <w:t>项目</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收入</w:t>
      </w:r>
      <w:r>
        <w:rPr>
          <w:rFonts w:hint="default" w:ascii="Times New Roman" w:hAnsi="Times New Roman" w:eastAsia="方正仿宋_GBK" w:cs="Times New Roman"/>
          <w:b w:val="0"/>
          <w:bCs w:val="0"/>
          <w:i w:val="0"/>
          <w:caps w:val="0"/>
          <w:color w:val="333333"/>
          <w:spacing w:val="0"/>
          <w:sz w:val="31"/>
          <w:szCs w:val="31"/>
          <w:shd w:val="clear" w:fill="FFFFFF"/>
        </w:rPr>
        <w:t>增加。</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cs="Times New Roman"/>
          <w:b w:val="0"/>
          <w:bCs w:val="0"/>
          <w:sz w:val="32"/>
          <w:szCs w:val="32"/>
          <w:shd w:val="clear" w:color="auto" w:fill="FFFFFF"/>
        </w:rPr>
        <w:t>2023年度一般公共预算财政拨款收入</w:t>
      </w:r>
      <w:r>
        <w:rPr>
          <w:rFonts w:hint="default" w:ascii="Times New Roman" w:hAnsi="Times New Roman" w:eastAsia="方正仿宋_GBK" w:cs="Times New Roman"/>
          <w:b w:val="0"/>
          <w:bCs w:val="0"/>
          <w:sz w:val="32"/>
          <w:szCs w:val="32"/>
        </w:rPr>
        <w:t>1471.57</w:t>
      </w:r>
      <w:r>
        <w:rPr>
          <w:rFonts w:hint="default" w:ascii="Times New Roman" w:hAnsi="Times New Roman" w:eastAsia="方正仿宋_GBK" w:cs="Times New Roman"/>
          <w:b w:val="0"/>
          <w:bCs w:val="0"/>
          <w:sz w:val="32"/>
          <w:szCs w:val="32"/>
          <w:shd w:val="clear" w:color="auto" w:fill="FFFFFF"/>
        </w:rPr>
        <w:t>万元，较上年决算数增加542.51万元，增长58.39%。主要原因是</w:t>
      </w:r>
      <w:r>
        <w:rPr>
          <w:rFonts w:hint="default" w:ascii="Times New Roman" w:hAnsi="Times New Roman" w:eastAsia="方正仿宋_GBK" w:cs="Times New Roman"/>
          <w:b w:val="0"/>
          <w:bCs w:val="0"/>
          <w:i w:val="0"/>
          <w:caps w:val="0"/>
          <w:color w:val="333333"/>
          <w:spacing w:val="0"/>
          <w:sz w:val="31"/>
          <w:szCs w:val="31"/>
          <w:shd w:val="clear" w:fill="FFFFFF"/>
        </w:rPr>
        <w:t>财政拨款</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支出</w:t>
      </w:r>
      <w:r>
        <w:rPr>
          <w:rFonts w:hint="default" w:ascii="Times New Roman" w:hAnsi="Times New Roman" w:eastAsia="方正仿宋_GBK" w:cs="Times New Roman"/>
          <w:b w:val="0"/>
          <w:bCs w:val="0"/>
          <w:i w:val="0"/>
          <w:caps w:val="0"/>
          <w:color w:val="333333"/>
          <w:spacing w:val="0"/>
          <w:sz w:val="31"/>
          <w:szCs w:val="31"/>
          <w:shd w:val="clear" w:fill="FFFFFF"/>
        </w:rPr>
        <w:t>增加，</w:t>
      </w:r>
      <w:r>
        <w:rPr>
          <w:rFonts w:hint="default" w:ascii="Times New Roman" w:hAnsi="Times New Roman" w:eastAsia="宋体" w:cs="Times New Roman"/>
          <w:b w:val="0"/>
          <w:bCs w:val="0"/>
          <w:i w:val="0"/>
          <w:caps w:val="0"/>
          <w:color w:val="333333"/>
          <w:spacing w:val="0"/>
          <w:sz w:val="31"/>
          <w:szCs w:val="31"/>
          <w:shd w:val="clear" w:fill="FFFFFF"/>
        </w:rPr>
        <w:t>202</w:t>
      </w:r>
      <w:r>
        <w:rPr>
          <w:rFonts w:hint="default" w:ascii="Times New Roman" w:hAnsi="Times New Roman" w:cs="Times New Roman"/>
          <w:b w:val="0"/>
          <w:bCs w:val="0"/>
          <w:i w:val="0"/>
          <w:caps w:val="0"/>
          <w:color w:val="333333"/>
          <w:spacing w:val="0"/>
          <w:sz w:val="31"/>
          <w:szCs w:val="31"/>
          <w:shd w:val="clear" w:fill="FFFFFF"/>
          <w:lang w:val="en-US" w:eastAsia="zh-CN"/>
        </w:rPr>
        <w:t>3</w:t>
      </w:r>
      <w:r>
        <w:rPr>
          <w:rFonts w:hint="default" w:ascii="Times New Roman" w:hAnsi="Times New Roman" w:eastAsia="方正仿宋_GBK" w:cs="Times New Roman"/>
          <w:b w:val="0"/>
          <w:bCs w:val="0"/>
          <w:i w:val="0"/>
          <w:caps w:val="0"/>
          <w:color w:val="333333"/>
          <w:spacing w:val="0"/>
          <w:sz w:val="31"/>
          <w:szCs w:val="31"/>
          <w:shd w:val="clear" w:fill="FFFFFF"/>
        </w:rPr>
        <w:t>年度</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新增</w:t>
      </w:r>
      <w:r>
        <w:rPr>
          <w:rFonts w:hint="default" w:ascii="Times New Roman" w:hAnsi="Times New Roman" w:eastAsia="方正仿宋_GBK" w:cs="Times New Roman"/>
          <w:b w:val="0"/>
          <w:bCs w:val="0"/>
          <w:i w:val="0"/>
          <w:caps w:val="0"/>
          <w:color w:val="333333"/>
          <w:spacing w:val="0"/>
          <w:sz w:val="31"/>
          <w:szCs w:val="31"/>
          <w:shd w:val="clear" w:fill="FFFFFF"/>
        </w:rPr>
        <w:t>项目</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支出</w:t>
      </w:r>
      <w:r>
        <w:rPr>
          <w:rFonts w:hint="default" w:ascii="Times New Roman" w:hAnsi="Times New Roman" w:eastAsia="方正仿宋_GBK" w:cs="Times New Roman"/>
          <w:b w:val="0"/>
          <w:bCs w:val="0"/>
          <w:i w:val="0"/>
          <w:caps w:val="0"/>
          <w:color w:val="333333"/>
          <w:spacing w:val="0"/>
          <w:sz w:val="31"/>
          <w:szCs w:val="31"/>
          <w:shd w:val="clear" w:fill="FFFFFF"/>
        </w:rPr>
        <w:t>。</w:t>
      </w:r>
      <w:r>
        <w:rPr>
          <w:rFonts w:hint="default" w:ascii="Times New Roman" w:hAnsi="Times New Roman" w:eastAsia="方正仿宋_GBK" w:cs="Times New Roman"/>
          <w:b w:val="0"/>
          <w:bCs w:val="0"/>
          <w:sz w:val="32"/>
          <w:szCs w:val="32"/>
          <w:shd w:val="clear" w:color="auto" w:fill="FFFFFF"/>
        </w:rPr>
        <w:t>较年初预算数增加869.55万元，增长144.44%。主要原因</w:t>
      </w:r>
      <w:r>
        <w:rPr>
          <w:rFonts w:hint="default" w:ascii="Times New Roman" w:hAnsi="Times New Roman" w:eastAsia="方正仿宋_GBK" w:cs="Times New Roman"/>
          <w:b w:val="0"/>
          <w:bCs w:val="0"/>
          <w:i w:val="0"/>
          <w:caps w:val="0"/>
          <w:color w:val="333333"/>
          <w:spacing w:val="0"/>
          <w:sz w:val="31"/>
          <w:szCs w:val="31"/>
          <w:shd w:val="clear" w:fill="FFFFFF"/>
        </w:rPr>
        <w:t>是年初预算主要根据单位情况预估核算，实际财政拨款收入由财政根据资金分配情况统一安排拨款，</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并且新增医院搬迁项目，</w:t>
      </w:r>
      <w:r>
        <w:rPr>
          <w:rFonts w:hint="default" w:ascii="Times New Roman" w:hAnsi="Times New Roman" w:eastAsia="方正仿宋_GBK" w:cs="Times New Roman"/>
          <w:b w:val="0"/>
          <w:bCs w:val="0"/>
          <w:i w:val="0"/>
          <w:caps w:val="0"/>
          <w:color w:val="333333"/>
          <w:spacing w:val="0"/>
          <w:sz w:val="31"/>
          <w:szCs w:val="31"/>
          <w:shd w:val="clear" w:fill="FFFFFF"/>
        </w:rPr>
        <w:t>因此财政拨款支出与年初预算有差异。</w:t>
      </w:r>
      <w:r>
        <w:rPr>
          <w:rFonts w:hint="default" w:ascii="Times New Roman" w:hAnsi="Times New Roman" w:eastAsia="方正仿宋_GBK" w:cs="Times New Roman"/>
          <w:b w:val="0"/>
          <w:bCs w:val="0"/>
          <w:sz w:val="32"/>
          <w:szCs w:val="32"/>
          <w:shd w:val="clear" w:color="auto" w:fill="FFFFFF"/>
        </w:rPr>
        <w:t>此外，年初财政拨款结转和结余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cs="Times New Roman"/>
          <w:b w:val="0"/>
          <w:bCs w:val="0"/>
          <w:sz w:val="32"/>
          <w:szCs w:val="32"/>
          <w:shd w:val="clear" w:color="auto" w:fill="FFFFFF"/>
        </w:rPr>
        <w:t>2023年度一般公共预算财政拨款支出</w:t>
      </w:r>
      <w:r>
        <w:rPr>
          <w:rFonts w:hint="default" w:ascii="Times New Roman" w:hAnsi="Times New Roman" w:eastAsia="方正仿宋_GBK" w:cs="Times New Roman"/>
          <w:b w:val="0"/>
          <w:bCs w:val="0"/>
          <w:sz w:val="32"/>
          <w:szCs w:val="32"/>
        </w:rPr>
        <w:t>1423.55</w:t>
      </w:r>
      <w:r>
        <w:rPr>
          <w:rFonts w:hint="default" w:ascii="Times New Roman" w:hAnsi="Times New Roman" w:eastAsia="方正仿宋_GBK" w:cs="Times New Roman"/>
          <w:b w:val="0"/>
          <w:bCs w:val="0"/>
          <w:sz w:val="32"/>
          <w:szCs w:val="32"/>
          <w:shd w:val="clear" w:color="auto" w:fill="FFFFFF"/>
        </w:rPr>
        <w:t>万元，较上年决算数增加494.49万元，增长53.22%。主要原因是</w:t>
      </w:r>
      <w:r>
        <w:rPr>
          <w:rFonts w:hint="default" w:ascii="Times New Roman" w:hAnsi="Times New Roman" w:eastAsia="方正仿宋_GBK" w:cs="Times New Roman"/>
          <w:b w:val="0"/>
          <w:bCs w:val="0"/>
          <w:i w:val="0"/>
          <w:caps w:val="0"/>
          <w:color w:val="333333"/>
          <w:spacing w:val="0"/>
          <w:sz w:val="31"/>
          <w:szCs w:val="31"/>
          <w:shd w:val="clear" w:fill="FFFFFF"/>
        </w:rPr>
        <w:t>人员支出及医疗支出</w:t>
      </w:r>
      <w:r>
        <w:rPr>
          <w:rFonts w:hint="default" w:ascii="Times New Roman" w:hAnsi="Times New Roman" w:eastAsia="方正仿宋_GBK" w:cs="Times New Roman"/>
          <w:b w:val="0"/>
          <w:bCs w:val="0"/>
          <w:i w:val="0"/>
          <w:caps w:val="0"/>
          <w:color w:val="333333"/>
          <w:spacing w:val="0"/>
          <w:sz w:val="31"/>
          <w:szCs w:val="31"/>
          <w:shd w:val="clear" w:fill="FFFFFF"/>
          <w:lang w:eastAsia="zh-CN"/>
        </w:rPr>
        <w:t>、</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项目支出</w:t>
      </w:r>
      <w:r>
        <w:rPr>
          <w:rFonts w:hint="default" w:ascii="Times New Roman" w:hAnsi="Times New Roman" w:eastAsia="方正仿宋_GBK" w:cs="Times New Roman"/>
          <w:b w:val="0"/>
          <w:bCs w:val="0"/>
          <w:i w:val="0"/>
          <w:caps w:val="0"/>
          <w:color w:val="333333"/>
          <w:spacing w:val="0"/>
          <w:sz w:val="31"/>
          <w:szCs w:val="31"/>
          <w:shd w:val="clear" w:fill="FFFFFF"/>
        </w:rPr>
        <w:t>等</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增加</w:t>
      </w:r>
      <w:r>
        <w:rPr>
          <w:rFonts w:hint="default" w:ascii="Times New Roman" w:hAnsi="Times New Roman" w:eastAsia="方正仿宋_GBK" w:cs="Times New Roman"/>
          <w:b w:val="0"/>
          <w:bCs w:val="0"/>
          <w:i w:val="0"/>
          <w:caps w:val="0"/>
          <w:color w:val="333333"/>
          <w:spacing w:val="0"/>
          <w:sz w:val="31"/>
          <w:szCs w:val="31"/>
          <w:shd w:val="clear" w:fill="FFFFFF"/>
          <w:lang w:eastAsia="zh-CN"/>
        </w:rPr>
        <w:t>。</w:t>
      </w:r>
      <w:r>
        <w:rPr>
          <w:rFonts w:hint="default" w:ascii="Times New Roman" w:hAnsi="Times New Roman" w:eastAsia="方正仿宋_GBK" w:cs="Times New Roman"/>
          <w:b w:val="0"/>
          <w:bCs w:val="0"/>
          <w:sz w:val="32"/>
          <w:szCs w:val="32"/>
          <w:shd w:val="clear" w:color="auto" w:fill="FFFFFF"/>
        </w:rPr>
        <w:t>较年初预算数增加821.53万元，增长136.46%。主要原因是</w:t>
      </w:r>
      <w:r>
        <w:rPr>
          <w:rFonts w:hint="default" w:ascii="Times New Roman" w:hAnsi="Times New Roman" w:eastAsia="方正仿宋_GBK" w:cs="Times New Roman"/>
          <w:b w:val="0"/>
          <w:bCs w:val="0"/>
          <w:i w:val="0"/>
          <w:caps w:val="0"/>
          <w:color w:val="333333"/>
          <w:spacing w:val="0"/>
          <w:sz w:val="31"/>
          <w:szCs w:val="31"/>
          <w:shd w:val="clear" w:fill="FFFFFF"/>
        </w:rPr>
        <w:t>年初预算主要根据单位情况预估核算，实际财政拨款收入由财政根据资金分配情况统一安排拨款，</w:t>
      </w:r>
      <w:r>
        <w:rPr>
          <w:rFonts w:hint="default" w:ascii="Times New Roman" w:hAnsi="Times New Roman" w:eastAsia="方正仿宋_GBK" w:cs="Times New Roman"/>
          <w:b w:val="0"/>
          <w:bCs w:val="0"/>
          <w:i w:val="0"/>
          <w:caps w:val="0"/>
          <w:color w:val="333333"/>
          <w:spacing w:val="0"/>
          <w:sz w:val="31"/>
          <w:szCs w:val="31"/>
          <w:shd w:val="clear" w:fill="FFFFFF"/>
          <w:lang w:val="en-US" w:eastAsia="zh-CN"/>
        </w:rPr>
        <w:t>并且新增医院搬迁项目，</w:t>
      </w:r>
      <w:r>
        <w:rPr>
          <w:rFonts w:hint="default" w:ascii="Times New Roman" w:hAnsi="Times New Roman" w:eastAsia="方正仿宋_GBK" w:cs="Times New Roman"/>
          <w:b w:val="0"/>
          <w:bCs w:val="0"/>
          <w:i w:val="0"/>
          <w:caps w:val="0"/>
          <w:color w:val="333333"/>
          <w:spacing w:val="0"/>
          <w:sz w:val="31"/>
          <w:szCs w:val="31"/>
          <w:shd w:val="clear" w:fill="FFFFFF"/>
        </w:rPr>
        <w:t>因此财政拨款支出与年初预算有差异。</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cs="Times New Roman"/>
          <w:b w:val="0"/>
          <w:bCs w:val="0"/>
          <w:sz w:val="32"/>
          <w:szCs w:val="32"/>
          <w:shd w:val="clear" w:color="auto" w:fill="FFFFFF"/>
        </w:rPr>
        <w:t>2023年度年末一般公共预算财政拨款结转和结余</w:t>
      </w:r>
      <w:r>
        <w:rPr>
          <w:rFonts w:hint="default" w:ascii="Times New Roman" w:hAnsi="Times New Roman" w:eastAsia="方正仿宋_GBK" w:cs="Times New Roman"/>
          <w:b w:val="0"/>
          <w:bCs w:val="0"/>
          <w:sz w:val="32"/>
          <w:szCs w:val="32"/>
        </w:rPr>
        <w:t>48.02</w:t>
      </w:r>
      <w:r>
        <w:rPr>
          <w:rFonts w:hint="default" w:ascii="Times New Roman" w:hAnsi="Times New Roman" w:eastAsia="方正仿宋_GBK" w:cs="Times New Roman"/>
          <w:b w:val="0"/>
          <w:bCs w:val="0"/>
          <w:sz w:val="32"/>
          <w:szCs w:val="32"/>
          <w:shd w:val="clear" w:color="auto" w:fill="FFFFFF"/>
        </w:rPr>
        <w:t>万元，较上年决算数增加48.02万元，增长100.00%，主要原因是</w:t>
      </w:r>
      <w:r>
        <w:rPr>
          <w:rFonts w:hint="default" w:ascii="Times New Roman" w:hAnsi="Times New Roman" w:eastAsia="方正仿宋_GBK" w:cs="Times New Roman"/>
          <w:b w:val="0"/>
          <w:bCs w:val="0"/>
          <w:sz w:val="32"/>
          <w:szCs w:val="32"/>
          <w:shd w:val="clear" w:color="auto" w:fill="FFFFFF"/>
          <w:lang w:val="en-US" w:eastAsia="zh-CN"/>
        </w:rPr>
        <w:t>清算2022年超额绩效，还未发放，所以结余增加。</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4.比较情况。</w:t>
      </w:r>
      <w:r>
        <w:rPr>
          <w:rFonts w:hint="default" w:ascii="Times New Roman" w:hAnsi="Times New Roman" w:eastAsia="方正仿宋_GBK" w:cs="Times New Roman"/>
          <w:b w:val="0"/>
          <w:bCs w:val="0"/>
          <w:sz w:val="32"/>
          <w:szCs w:val="32"/>
          <w:shd w:val="clear" w:color="auto" w:fill="FFFFFF"/>
        </w:rPr>
        <w:t>本单位2023年度一般公共预算财政拨款支出主要用于以下几个方面：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w:t>
      </w:r>
      <w:r>
        <w:rPr>
          <w:rFonts w:hint="default" w:ascii="Times New Roman" w:hAnsi="Times New Roman" w:eastAsia="方正仿宋_GBK" w:cs="Times New Roman"/>
          <w:b w:val="0"/>
          <w:bCs w:val="0"/>
          <w:sz w:val="32"/>
          <w:szCs w:val="32"/>
        </w:rPr>
        <w:t>81.74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5.74</w:t>
      </w:r>
      <w:r>
        <w:rPr>
          <w:rFonts w:hint="default" w:ascii="Times New Roman" w:hAnsi="Times New Roman" w:eastAsia="方正仿宋_GBK" w:cs="Times New Roman"/>
          <w:b w:val="0"/>
          <w:bCs w:val="0"/>
          <w:sz w:val="32"/>
          <w:szCs w:val="32"/>
          <w:shd w:val="clear" w:color="auto" w:fill="FFFFFF"/>
        </w:rPr>
        <w:t>%，较年初预算数减少25.47万元，下降23.76%，主要原因是</w:t>
      </w:r>
      <w:r>
        <w:rPr>
          <w:rFonts w:hint="default" w:ascii="Times New Roman" w:hAnsi="Times New Roman" w:eastAsia="方正仿宋_GBK" w:cs="Times New Roman"/>
          <w:b w:val="0"/>
          <w:bCs w:val="0"/>
          <w:sz w:val="32"/>
          <w:szCs w:val="32"/>
          <w:shd w:val="clear" w:color="auto" w:fill="FFFFFF"/>
          <w:lang w:val="en-US" w:eastAsia="zh-CN"/>
        </w:rPr>
        <w:t>人员减少，</w:t>
      </w:r>
      <w:r>
        <w:rPr>
          <w:rFonts w:hint="default" w:ascii="Times New Roman" w:hAnsi="Times New Roman" w:eastAsia="方正仿宋_GBK" w:cs="Times New Roman"/>
          <w:b w:val="0"/>
          <w:bCs w:val="0"/>
          <w:kern w:val="0"/>
          <w:sz w:val="32"/>
          <w:szCs w:val="32"/>
          <w:lang w:val="en-US" w:eastAsia="zh-CN" w:bidi="ar"/>
        </w:rPr>
        <w:t>人员工资调资，社保基数调整，支出相应减少。</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w:t>
      </w:r>
      <w:r>
        <w:rPr>
          <w:rFonts w:hint="default" w:ascii="Times New Roman" w:hAnsi="Times New Roman" w:eastAsia="方正仿宋_GBK" w:cs="Times New Roman"/>
          <w:b w:val="0"/>
          <w:bCs w:val="0"/>
          <w:sz w:val="32"/>
          <w:szCs w:val="32"/>
        </w:rPr>
        <w:t>651.42</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45.76</w:t>
      </w:r>
      <w:r>
        <w:rPr>
          <w:rFonts w:hint="default" w:ascii="Times New Roman" w:hAnsi="Times New Roman" w:eastAsia="方正仿宋_GBK" w:cs="Times New Roman"/>
          <w:b w:val="0"/>
          <w:bCs w:val="0"/>
          <w:sz w:val="32"/>
          <w:szCs w:val="32"/>
          <w:shd w:val="clear" w:color="auto" w:fill="FFFFFF"/>
        </w:rPr>
        <w:t>%，较年初预算数增加202.29万元，增长45.04%，主要原因是</w:t>
      </w:r>
      <w:r>
        <w:rPr>
          <w:rFonts w:hint="default" w:ascii="Times New Roman" w:hAnsi="Times New Roman" w:eastAsia="方正仿宋_GBK" w:cs="Times New Roman"/>
          <w:b w:val="0"/>
          <w:bCs w:val="0"/>
          <w:kern w:val="0"/>
          <w:sz w:val="32"/>
          <w:szCs w:val="32"/>
          <w:lang w:val="en-US" w:eastAsia="zh-CN" w:bidi="ar"/>
        </w:rPr>
        <w:t>主要原因是年初预算主要是根据基本情况预估核算，实际财政收入由财政根据资金分配情况统一安排拨款，因此财政拨款支出与年初预算有相应差异。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住房保障支出28.19</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1.98</w:t>
      </w:r>
      <w:r>
        <w:rPr>
          <w:rFonts w:hint="default" w:ascii="Times New Roman" w:hAnsi="Times New Roman" w:eastAsia="方正仿宋_GBK" w:cs="Times New Roman"/>
          <w:b w:val="0"/>
          <w:bCs w:val="0"/>
          <w:sz w:val="32"/>
          <w:szCs w:val="32"/>
          <w:shd w:val="clear" w:color="auto" w:fill="FFFFFF"/>
        </w:rPr>
        <w:t>%，较年初预算数减少17.49万元，下降38.29%，主要原因是</w:t>
      </w:r>
      <w:r>
        <w:rPr>
          <w:rFonts w:hint="default" w:ascii="Times New Roman" w:hAnsi="Times New Roman" w:eastAsia="方正仿宋_GBK" w:cs="Times New Roman"/>
          <w:b w:val="0"/>
          <w:bCs w:val="0"/>
          <w:sz w:val="32"/>
          <w:szCs w:val="32"/>
          <w:shd w:val="clear" w:color="auto" w:fill="FFFFFF"/>
          <w:lang w:val="en-US" w:eastAsia="zh-CN"/>
        </w:rPr>
        <w:t>人员减少。</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rPr>
        <w:t>其他支出662.20</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46.52</w:t>
      </w:r>
      <w:r>
        <w:rPr>
          <w:rFonts w:hint="default" w:ascii="Times New Roman" w:hAnsi="Times New Roman" w:eastAsia="方正仿宋_GBK" w:cs="Times New Roman"/>
          <w:b w:val="0"/>
          <w:bCs w:val="0"/>
          <w:sz w:val="32"/>
          <w:szCs w:val="32"/>
          <w:shd w:val="clear" w:color="auto" w:fill="FFFFFF"/>
        </w:rPr>
        <w:t>%，较年初预算数增加662.20万元，增长100.00%，主要原因是</w:t>
      </w:r>
      <w:r>
        <w:rPr>
          <w:rFonts w:hint="default" w:ascii="Times New Roman" w:hAnsi="Times New Roman" w:eastAsia="方正仿宋_GBK" w:cs="Times New Roman"/>
          <w:b w:val="0"/>
          <w:bCs w:val="0"/>
          <w:sz w:val="32"/>
          <w:szCs w:val="32"/>
          <w:shd w:val="clear" w:color="auto" w:fill="FFFFFF"/>
          <w:lang w:val="en-US" w:eastAsia="zh-CN"/>
        </w:rPr>
        <w:t>单位新增搬迁项目。</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702.43</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631.74</w:t>
      </w:r>
      <w:r>
        <w:rPr>
          <w:rFonts w:hint="default" w:ascii="Times New Roman" w:hAnsi="Times New Roman" w:eastAsia="方正仿宋_GBK" w:cs="Times New Roman"/>
          <w:b w:val="0"/>
          <w:bCs w:val="0"/>
          <w:sz w:val="32"/>
          <w:szCs w:val="32"/>
          <w:shd w:val="clear" w:color="auto" w:fill="FFFFFF"/>
        </w:rPr>
        <w:t>万元，较上年决算数减少83.98万元，下降11.73%，</w:t>
      </w:r>
      <w:r>
        <w:rPr>
          <w:rFonts w:hint="default" w:ascii="Times New Roman" w:hAnsi="Times New Roman" w:eastAsia="方正仿宋_GBK" w:cs="Times New Roman"/>
          <w:b w:val="0"/>
          <w:bCs w:val="0"/>
          <w:kern w:val="0"/>
          <w:sz w:val="32"/>
          <w:szCs w:val="32"/>
          <w:lang w:val="en-US" w:eastAsia="zh-CN" w:bidi="ar"/>
        </w:rPr>
        <w:t>主要原因是人员减少，人员经费用途主要包括人员社会保障、工资、绩效、津补贴支出等。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70.69</w:t>
      </w:r>
      <w:r>
        <w:rPr>
          <w:rFonts w:hint="default" w:ascii="Times New Roman" w:hAnsi="Times New Roman" w:eastAsia="方正仿宋_GBK" w:cs="Times New Roman"/>
          <w:b w:val="0"/>
          <w:bCs w:val="0"/>
          <w:sz w:val="32"/>
          <w:szCs w:val="32"/>
          <w:shd w:val="clear" w:color="auto" w:fill="FFFFFF"/>
        </w:rPr>
        <w:t>万元，较上年决算数减少84.36万元，下降54.41%，</w:t>
      </w:r>
      <w:r>
        <w:rPr>
          <w:rFonts w:hint="default" w:ascii="Times New Roman" w:hAnsi="Times New Roman" w:eastAsia="方正仿宋_GBK" w:cs="Times New Roman"/>
          <w:b w:val="0"/>
          <w:bCs w:val="0"/>
          <w:kern w:val="0"/>
          <w:sz w:val="32"/>
          <w:szCs w:val="32"/>
          <w:lang w:val="en-US" w:eastAsia="zh-CN" w:bidi="ar"/>
        </w:rPr>
        <w:t>主要原因是培训及出差次数减少，相应支出减少。公用经费用途主要包括培训支出、差旅支出、水电支出等。</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kern w:val="0"/>
          <w:sz w:val="32"/>
          <w:szCs w:val="32"/>
          <w:lang w:val="en-US" w:eastAsia="zh-CN" w:bidi="ar"/>
        </w:rPr>
        <w:t>本单位2023年度无政府性基金预算财政拨款收支。</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kern w:val="0"/>
          <w:sz w:val="32"/>
          <w:szCs w:val="32"/>
          <w:lang w:val="en-US" w:eastAsia="zh-CN" w:bidi="ar"/>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三、“三公”经费情况说明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（一）“三公”经费支出总体情况说明</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exact"/>
        <w:ind w:left="0" w:firstLine="640" w:firstLineChars="200"/>
        <w:jc w:val="left"/>
        <w:textAlignment w:val="auto"/>
        <w:rPr>
          <w:rFonts w:hint="default" w:ascii="Times New Roman" w:hAnsi="Times New Roman" w:eastAsia="方正仿宋_GBK" w:cs="Times New Roman"/>
          <w:b w:val="0"/>
          <w:bCs w:val="0"/>
          <w:kern w:val="0"/>
          <w:sz w:val="32"/>
          <w:szCs w:val="32"/>
          <w:lang w:val="en-US" w:eastAsia="zh-CN" w:bidi="ar"/>
        </w:rPr>
      </w:pPr>
      <w:r>
        <w:rPr>
          <w:rFonts w:hint="default" w:ascii="Times New Roman" w:hAnsi="Times New Roman" w:eastAsia="方正仿宋_GBK" w:cs="Times New Roman"/>
          <w:b w:val="0"/>
          <w:bCs w:val="0"/>
          <w:kern w:val="0"/>
          <w:sz w:val="32"/>
          <w:szCs w:val="32"/>
          <w:lang w:val="en-US" w:eastAsia="zh-CN" w:bidi="ar"/>
        </w:rPr>
        <w:t>本单位属于差额拨款单位，财政未保障本单位“三公”经费。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2023年度本单位因公出国（境）共计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个团组，</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人；公务用车购置</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辆，公务车保有量为</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辆；国内公务接待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人，其中：国内外事接待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人；国（境）外公务接待</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批次，</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人。2023年本单位人均接待费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元，车均购置费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万元，车均维护费</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（一）财政拨款会议费和培训费情况说明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因</w:t>
      </w:r>
      <w:r>
        <w:rPr>
          <w:rFonts w:hint="default"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为差额拨款单位，财政未保障</w:t>
      </w:r>
      <w:r>
        <w:rPr>
          <w:rFonts w:hint="default"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会议费和培训费。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（二）机关运行经费情况说明</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按照部门决算列报口径，本单位不在机关运行经费统计范围之内，因本单位为差额拨款单位，财政未保障本单位机关运行经费。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截至2023年12月31日，本单位共有车辆</w:t>
      </w:r>
      <w:r>
        <w:rPr>
          <w:rFonts w:hint="default" w:ascii="Times New Roman" w:hAnsi="Times New Roman" w:eastAsia="方正仿宋_GBK" w:cs="Times New Roman"/>
          <w:b w:val="0"/>
          <w:bCs w:val="0"/>
          <w:sz w:val="32"/>
          <w:szCs w:val="32"/>
        </w:rPr>
        <w:t>4</w:t>
      </w:r>
      <w:r>
        <w:rPr>
          <w:rFonts w:hint="default" w:ascii="Times New Roman" w:hAnsi="Times New Roman" w:eastAsia="方正仿宋_GBK" w:cs="Times New Roman"/>
          <w:b w:val="0"/>
          <w:bCs w:val="0"/>
          <w:sz w:val="32"/>
          <w:szCs w:val="32"/>
          <w:shd w:val="clear" w:color="auto" w:fill="FFFFFF"/>
        </w:rPr>
        <w:t>辆，其中，副部（省）级及以上领导用车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辆、主要负责人用车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辆、机要通信用车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辆、应急保障用车</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val="0"/>
          <w:bCs w:val="0"/>
          <w:sz w:val="32"/>
          <w:szCs w:val="32"/>
          <w:shd w:val="clear" w:color="auto" w:fill="FFFFFF"/>
        </w:rPr>
        <w:t>辆、执法执勤用车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辆，特种专业技术用车</w:t>
      </w:r>
      <w:r>
        <w:rPr>
          <w:rFonts w:hint="default" w:ascii="Times New Roman" w:hAnsi="Times New Roman" w:eastAsia="方正仿宋_GBK" w:cs="Times New Roman"/>
          <w:b w:val="0"/>
          <w:bCs w:val="0"/>
          <w:sz w:val="32"/>
          <w:szCs w:val="32"/>
        </w:rPr>
        <w:t>3</w:t>
      </w:r>
      <w:r>
        <w:rPr>
          <w:rFonts w:hint="default" w:ascii="Times New Roman" w:hAnsi="Times New Roman" w:eastAsia="方正仿宋_GBK" w:cs="Times New Roman"/>
          <w:b w:val="0"/>
          <w:bCs w:val="0"/>
          <w:sz w:val="32"/>
          <w:szCs w:val="32"/>
          <w:shd w:val="clear" w:color="auto" w:fill="FFFFFF"/>
        </w:rPr>
        <w:t>辆，离退休干部用车</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辆。单价100万元（含）以上专用设备</w:t>
      </w:r>
      <w:r>
        <w:rPr>
          <w:rFonts w:hint="default" w:ascii="Times New Roman" w:hAnsi="Times New Roman" w:eastAsia="方正仿宋_GBK" w:cs="Times New Roman"/>
          <w:b w:val="0"/>
          <w:bCs w:val="0"/>
          <w:sz w:val="32"/>
          <w:szCs w:val="32"/>
        </w:rPr>
        <w:t>0</w:t>
      </w:r>
      <w:r>
        <w:rPr>
          <w:rFonts w:hint="default" w:ascii="Times New Roman" w:hAnsi="Times New Roman" w:eastAsia="方正仿宋_GBK" w:cs="Times New Roman"/>
          <w:b w:val="0"/>
          <w:bCs w:val="0"/>
          <w:sz w:val="32"/>
          <w:szCs w:val="32"/>
          <w:shd w:val="clear" w:color="auto" w:fill="FFFFFF"/>
        </w:rPr>
        <w:t>台（套）。</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（四）政府采购支出情况说明</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黑体" w:cs="Times New Roman"/>
          <w:b w:val="0"/>
          <w:bCs w:val="0"/>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2023年度</w:t>
      </w:r>
      <w:r>
        <w:rPr>
          <w:rFonts w:hint="default" w:ascii="Times New Roman" w:hAnsi="Times New Roman" w:eastAsia="方正仿宋_GBK" w:cs="Times New Roman"/>
          <w:b w:val="0"/>
          <w:bCs w:val="0"/>
          <w:color w:val="auto"/>
          <w:sz w:val="32"/>
          <w:szCs w:val="32"/>
          <w:shd w:val="clear" w:color="auto" w:fill="FFFFFF"/>
          <w:lang w:eastAsia="zh-CN"/>
        </w:rPr>
        <w:t>本单位</w:t>
      </w:r>
      <w:r>
        <w:rPr>
          <w:rFonts w:hint="default" w:ascii="Times New Roman" w:hAnsi="Times New Roman" w:eastAsia="方正仿宋_GBK" w:cs="Times New Roman"/>
          <w:b w:val="0"/>
          <w:bCs w:val="0"/>
          <w:color w:val="auto"/>
          <w:sz w:val="32"/>
          <w:szCs w:val="32"/>
          <w:shd w:val="clear" w:color="auto" w:fill="FFFFFF"/>
        </w:rPr>
        <w:t>未发生政府采购事项，无相关经费支出。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lang w:val="en-US" w:eastAsia="zh-CN"/>
        </w:rPr>
        <w:t>五、</w:t>
      </w:r>
      <w:r>
        <w:rPr>
          <w:rStyle w:val="11"/>
          <w:rFonts w:hint="default" w:ascii="Times New Roman" w:hAnsi="Times New Roman" w:eastAsia="方正黑体_GBK" w:cs="Times New Roman"/>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873" w:tblpY="470"/>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宋体" w:hAnsi="宋体" w:eastAsia="宋体" w:cs="宋体"/>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楷体" w:cs="Times New Roman"/>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楷体"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黑体" w:cs="Times New Roman"/>
          <w:b w:val="0"/>
          <w:bCs w:val="0"/>
          <w:sz w:val="32"/>
          <w:szCs w:val="32"/>
          <w:shd w:val="clear" w:color="auto" w:fill="FFFFFF"/>
        </w:rPr>
        <w:t>七、决算公开联系方式及信息反馈渠道</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640" w:firstLineChars="200"/>
        <w:textAlignment w:val="auto"/>
        <w:outlineLvl w:val="9"/>
        <w:rPr>
          <w:rStyle w:val="11"/>
          <w:rFonts w:hint="default" w:ascii="Times New Roman" w:hAnsi="Times New Roman" w:eastAsia="方正仿宋_GBK" w:cs="Times New Roman"/>
          <w:b w:val="0"/>
          <w:bCs w:val="0"/>
          <w:sz w:val="32"/>
          <w:szCs w:val="32"/>
          <w:shd w:val="clear" w:color="auto" w:fill="FFFF00"/>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val="0"/>
          <w:sz w:val="32"/>
          <w:szCs w:val="32"/>
          <w:shd w:val="clear" w:color="auto" w:fill="FFFFFF"/>
          <w:lang w:val="en-US" w:eastAsia="zh-CN"/>
        </w:rPr>
        <w:t>卢力</w:t>
      </w:r>
      <w:r>
        <w:rPr>
          <w:rFonts w:hint="eastAsia" w:ascii="Times New Roman" w:hAnsi="Times New Roman" w:eastAsia="方正仿宋_GBK" w:cs="Times New Roman"/>
          <w:b w:val="0"/>
          <w:bCs w:val="0"/>
          <w:sz w:val="32"/>
          <w:szCs w:val="32"/>
          <w:shd w:val="clear" w:color="auto" w:fill="FFFFFF"/>
          <w:lang w:val="en-US" w:eastAsia="zh-CN"/>
        </w:rPr>
        <w:t xml:space="preserve">  </w:t>
      </w:r>
      <w:r>
        <w:rPr>
          <w:rFonts w:hint="default" w:ascii="Times New Roman" w:hAnsi="Times New Roman" w:eastAsia="方正仿宋_GBK" w:cs="Times New Roman"/>
          <w:b w:val="0"/>
          <w:bCs w:val="0"/>
          <w:sz w:val="32"/>
          <w:szCs w:val="32"/>
          <w:shd w:val="clear" w:color="auto" w:fill="FFFFFF"/>
          <w:lang w:val="en-US" w:eastAsia="zh-CN"/>
        </w:rPr>
        <w:t>023-76633017</w:t>
      </w:r>
    </w:p>
    <w:p>
      <w:pPr>
        <w:rPr>
          <w:rFonts w:hint="default" w:ascii="Times New Roman" w:hAnsi="Times New Roman" w:cs="Times New Roman"/>
          <w:b w:val="0"/>
          <w:bCs w:val="0"/>
          <w:sz w:val="21"/>
          <w:szCs w:val="21"/>
        </w:rPr>
      </w:pPr>
    </w:p>
    <w:tbl>
      <w:tblPr>
        <w:tblStyle w:val="12"/>
        <w:tblW w:w="15393" w:type="dxa"/>
        <w:tblInd w:w="0" w:type="dxa"/>
        <w:tblLayout w:type="fixed"/>
        <w:tblCellMar>
          <w:top w:w="0" w:type="dxa"/>
          <w:left w:w="0" w:type="dxa"/>
          <w:bottom w:w="0" w:type="dxa"/>
          <w:right w:w="0" w:type="dxa"/>
        </w:tblCellMar>
      </w:tblPr>
      <w:tblGrid>
        <w:gridCol w:w="6030"/>
        <w:gridCol w:w="1717"/>
        <w:gridCol w:w="4506"/>
        <w:gridCol w:w="3140"/>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60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1717"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314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60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sz w:val="20"/>
                <w:u w:color="auto"/>
              </w:rPr>
              <w:t>重庆市秀山土家族苗族自治县官庄街道社区卫生服务中心</w:t>
            </w:r>
          </w:p>
        </w:tc>
        <w:tc>
          <w:tcPr>
            <w:tcW w:w="1717"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2"/>
                <w:szCs w:val="22"/>
              </w:rPr>
            </w:pPr>
          </w:p>
        </w:tc>
        <w:tc>
          <w:tcPr>
            <w:tcW w:w="45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2"/>
                <w:szCs w:val="22"/>
              </w:rPr>
            </w:pPr>
          </w:p>
        </w:tc>
        <w:tc>
          <w:tcPr>
            <w:tcW w:w="314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74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收入</w:t>
            </w:r>
          </w:p>
        </w:tc>
        <w:tc>
          <w:tcPr>
            <w:tcW w:w="7646"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1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w:t>
            </w:r>
          </w:p>
        </w:tc>
        <w:tc>
          <w:tcPr>
            <w:tcW w:w="314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1,471.57</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一、一般公共服务支出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二、政府性基金预算财政拨款收入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二、外交支出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三、国有资本经营预算财政拨款收入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三、国防支出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四、上级补助收入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四、公共安全支出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五、事业收入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900.00</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五、教育支出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六、经营收入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六、科学技术支出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七、附属单位上缴收入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七、文化旅游体育与传媒支出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八、其他收入</w:t>
            </w:r>
          </w:p>
        </w:tc>
        <w:tc>
          <w:tcPr>
            <w:tcW w:w="1717"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46.32</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八、社会保障和就业支出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九、卫生健康支出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1,667.93</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十、节能环保支出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十一、城乡社区支出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十二、农林水支出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十三、交通运输支出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十四、资源勘探工业信息等支出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十五、商业服务业等支出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十六、金融支出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十七、援助其他地区支出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十八、自然资源海洋气象等支出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十九、住房保障支出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二十、粮油物资储备支出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二十一、国有资本经营预算支出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二十二、灾害防治及应急管理支出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二十三、其他支出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二十四、债务还本支出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二十五、债务付息支出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二十六、抗疫特别国债安排的支出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2,417.88</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2,440.06</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使用非财政拨款结余和专用结余</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结余分配</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70.20</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c>
          <w:tcPr>
            <w:tcW w:w="3140"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48.02</w:t>
            </w:r>
          </w:p>
        </w:tc>
      </w:tr>
      <w:tr>
        <w:tblPrEx>
          <w:tblLayout w:type="fixed"/>
          <w:tblCellMar>
            <w:top w:w="0" w:type="dxa"/>
            <w:left w:w="0" w:type="dxa"/>
            <w:bottom w:w="0" w:type="dxa"/>
            <w:right w:w="0" w:type="dxa"/>
          </w:tblCellMar>
        </w:tblPrEx>
        <w:trPr>
          <w:trHeight w:val="25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2,488.07</w:t>
            </w:r>
          </w:p>
        </w:tc>
        <w:tc>
          <w:tcPr>
            <w:tcW w:w="4506"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314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2,488.07</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sz w:val="20"/>
                <w:u w:color="auto"/>
              </w:rPr>
              <w:t>重庆市秀山土家族苗族自治县官庄街道社区卫生服务中心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2,417.88</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1,471.57</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900.00</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46.32</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1,645.75</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699.44</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900.00</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46.32</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1,426.32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480.01</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900.00</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46.32</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城市社区卫生机构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1,382.21</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435.90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900.00</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46.32</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157.36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157.36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bl>
    <w:p>
      <w:pPr>
        <w:ind w:left="600" w:hanging="600" w:hangingChars="300"/>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备注：1.本表反映单位本年度取得的各项收入情况。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br w:type="page"/>
      </w:r>
    </w:p>
    <w:tbl>
      <w:tblPr>
        <w:tblStyle w:val="12"/>
        <w:tblW w:w="15378" w:type="dxa"/>
        <w:tblInd w:w="0" w:type="dxa"/>
        <w:tblLayout w:type="fixed"/>
        <w:tblCellMar>
          <w:top w:w="0" w:type="dxa"/>
          <w:left w:w="0" w:type="dxa"/>
          <w:bottom w:w="0" w:type="dxa"/>
          <w:right w:w="0" w:type="dxa"/>
        </w:tblCellMar>
      </w:tblPr>
      <w:tblGrid>
        <w:gridCol w:w="2107"/>
        <w:gridCol w:w="3923"/>
        <w:gridCol w:w="1555"/>
        <w:gridCol w:w="1555"/>
        <w:gridCol w:w="1556"/>
        <w:gridCol w:w="1540"/>
        <w:gridCol w:w="1540"/>
        <w:gridCol w:w="1602"/>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0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155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5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5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4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4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0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0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5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5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5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4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4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0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54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上缴上级支出</w:t>
            </w:r>
          </w:p>
        </w:tc>
        <w:tc>
          <w:tcPr>
            <w:tcW w:w="154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经营支出</w:t>
            </w:r>
          </w:p>
        </w:tc>
        <w:tc>
          <w:tcPr>
            <w:tcW w:w="16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210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923"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210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92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210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92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210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92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4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5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2,440.06</w:t>
            </w:r>
          </w:p>
        </w:tc>
        <w:tc>
          <w:tcPr>
            <w:tcW w:w="15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1,718.94</w:t>
            </w:r>
          </w:p>
        </w:tc>
        <w:tc>
          <w:tcPr>
            <w:tcW w:w="15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721.12</w:t>
            </w:r>
          </w:p>
        </w:tc>
        <w:tc>
          <w:tcPr>
            <w:tcW w:w="15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1,667.93</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1,609.01</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58.92</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1,448.50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1,448.50</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2100301</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城市社区卫生机构</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1,404.39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1,404.39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157.36</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135.64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82" w:hRule="atLeast"/>
        </w:trPr>
        <w:tc>
          <w:tcPr>
            <w:tcW w:w="2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2299999</w:t>
            </w:r>
          </w:p>
        </w:tc>
        <w:tc>
          <w:tcPr>
            <w:tcW w:w="3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bl>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备注：1.本表反映单位本年度各项支出情况。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p>
      <w:pPr>
        <w:rPr>
          <w:rFonts w:hint="default" w:ascii="Times New Roman" w:hAnsi="Times New Roman" w:cs="Times New Roman"/>
          <w:b w:val="0"/>
          <w:bCs w:val="0"/>
          <w:sz w:val="21"/>
          <w:szCs w:val="21"/>
        </w:rPr>
      </w:pPr>
    </w:p>
    <w:tbl>
      <w:tblPr>
        <w:tblStyle w:val="12"/>
        <w:tblW w:w="14732" w:type="dxa"/>
        <w:tblInd w:w="0" w:type="dxa"/>
        <w:tblLayout w:type="fixed"/>
        <w:tblCellMar>
          <w:top w:w="0" w:type="dxa"/>
          <w:left w:w="0" w:type="dxa"/>
          <w:bottom w:w="0" w:type="dxa"/>
          <w:right w:w="0" w:type="dxa"/>
        </w:tblCellMar>
      </w:tblPr>
      <w:tblGrid>
        <w:gridCol w:w="3987"/>
        <w:gridCol w:w="2043"/>
        <w:gridCol w:w="2886"/>
        <w:gridCol w:w="1395"/>
        <w:gridCol w:w="1395"/>
        <w:gridCol w:w="1395"/>
        <w:gridCol w:w="163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60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28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3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60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收入</w:t>
            </w:r>
          </w:p>
        </w:tc>
        <w:tc>
          <w:tcPr>
            <w:tcW w:w="87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支出</w:t>
            </w:r>
          </w:p>
        </w:tc>
      </w:tr>
      <w:tr>
        <w:tblPrEx>
          <w:tblLayout w:type="fixed"/>
          <w:tblCellMar>
            <w:top w:w="0" w:type="dxa"/>
            <w:left w:w="0" w:type="dxa"/>
            <w:bottom w:w="0" w:type="dxa"/>
            <w:right w:w="0" w:type="dxa"/>
          </w:tblCellMar>
        </w:tblPrEx>
        <w:trPr>
          <w:trHeight w:val="90" w:hRule="atLeast"/>
        </w:trPr>
        <w:tc>
          <w:tcPr>
            <w:tcW w:w="398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项目</w:t>
            </w:r>
          </w:p>
        </w:tc>
        <w:tc>
          <w:tcPr>
            <w:tcW w:w="20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c>
          <w:tcPr>
            <w:tcW w:w="288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功能分类科目</w:t>
            </w:r>
          </w:p>
        </w:tc>
        <w:tc>
          <w:tcPr>
            <w:tcW w:w="581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98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0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88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小计</w:t>
            </w:r>
          </w:p>
        </w:tc>
        <w:tc>
          <w:tcPr>
            <w:tcW w:w="13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一般公共预算财政拨款</w:t>
            </w:r>
          </w:p>
        </w:tc>
        <w:tc>
          <w:tcPr>
            <w:tcW w:w="13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政府性基金预算财政拨款</w:t>
            </w:r>
          </w:p>
        </w:tc>
        <w:tc>
          <w:tcPr>
            <w:tcW w:w="163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1,471.57</w:t>
            </w: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一、一般公共服务支出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二、政府性基金预算财政拨款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二、外交支出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三、国有资本经营预算财政拨款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三、国防支出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四、公共安全支出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五、教育支出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六、科学技术支出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七、文化旅游体育与传媒支出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八、社会保障和就业支出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81.74</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81.74</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九、卫生健康支出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651.42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651.42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十、节能环保支出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十一、城乡社区支出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十二、农林水支出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十三、交通运输支出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十四、资源勘探工业信息等支出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十五、商业服务业等支出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十六、金融支出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十七、援助其他地区支出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十八、自然资源海洋气象等支出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十九、住房保障支出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28.19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28.19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二十、粮油物资储备支出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二十一、国有资本经营预算支出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二十二、灾害防治及应急管理支出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二十三、其他支出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662.20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662.20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二十四、债务还本支出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二十五、债务付息支出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二十六、抗疫特别国债安排的支出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本年收入合计</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1,471.57</w:t>
            </w: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本年支出合计</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1,423.55</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1,423.55</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年初财政拨款结转和结余</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年末财政拨款结转和结余</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48.02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48.02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一般公共预算财政拨款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政府性基金预算财政拨款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国有资本经营预算财政拨款</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98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1,471.57</w:t>
            </w:r>
          </w:p>
        </w:tc>
        <w:tc>
          <w:tcPr>
            <w:tcW w:w="2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1,471.57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1,471.57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2072"/>
        <w:gridCol w:w="3958"/>
        <w:gridCol w:w="3111"/>
        <w:gridCol w:w="3111"/>
        <w:gridCol w:w="3126"/>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60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311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11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12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60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11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11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12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9348"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207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95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311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11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1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207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95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1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1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207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95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1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1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60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1,423.55</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702.43</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721.12</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81.74</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2080502</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事业单位离退休</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3.02</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37.39</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18.68</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其他行政事业单位养老支出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22.66</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651.42</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592.50</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58.92</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1.50</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基层医疗卫生机构</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431.99</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431.99</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2100301</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城市社区卫生机构</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387.88</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387.88</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2100302</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乡镇卫生院</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44.11</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公共卫生</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157.36</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135.64</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2100408</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基本公共卫生服务</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134.72</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2100410</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突发公共卫生事件应急处理</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21.72</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2100499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其他公共卫生支出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0.93</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23.37</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2109999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37.20</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28.19</w:t>
            </w: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r>
      <w:tr>
        <w:tblPrEx>
          <w:tblLayout w:type="fixed"/>
          <w:tblCellMar>
            <w:top w:w="0" w:type="dxa"/>
            <w:left w:w="0" w:type="dxa"/>
            <w:bottom w:w="0" w:type="dxa"/>
            <w:right w:w="0" w:type="dxa"/>
          </w:tblCellMar>
        </w:tblPrEx>
        <w:trPr>
          <w:trHeight w:val="308" w:hRule="atLeast"/>
        </w:trPr>
        <w:tc>
          <w:tcPr>
            <w:tcW w:w="207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2299999</w:t>
            </w:r>
          </w:p>
        </w:tc>
        <w:tc>
          <w:tcPr>
            <w:tcW w:w="3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其他支出</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c>
          <w:tcPr>
            <w:tcW w:w="31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662.20</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备注：1.本表反映单位本年度一般公共预算财政拨款支出情况。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ind w:firstLine="630" w:firstLineChars="3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592.94</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70.69</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177.51</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1.00</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20.25</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3.26</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264.92</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1.30</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38.03</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4.70</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19.07</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23.40</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16.61</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33.16</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38.80</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4.30</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24.41</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60.43</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10.08</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631.74</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eastAsia="宋体" w:cs="Times New Roman"/>
                <w:b w:val="0"/>
                <w:bCs w:val="0"/>
                <w:color w:val="000000"/>
                <w:sz w:val="18"/>
                <w:szCs w:val="18"/>
                <w:lang w:eastAsia="zh-CN"/>
              </w:rPr>
            </w:pPr>
            <w:r>
              <w:rPr>
                <w:rFonts w:hint="default" w:ascii="Times New Roman" w:hAnsi="Times New Roman" w:cs="Times New Roman"/>
                <w:b w:val="0"/>
                <w:bCs w:val="0"/>
                <w:color w:val="000000"/>
                <w:sz w:val="18"/>
                <w:szCs w:val="18"/>
              </w:rPr>
              <w:t>70.69</w:t>
            </w:r>
          </w:p>
        </w:tc>
      </w:tr>
    </w:tbl>
    <w:p>
      <w:pPr>
        <w:spacing w:line="28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备注：1.本表反映单位本年度一般公共预算财政拨款基本支出明细情况。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2263"/>
        <w:gridCol w:w="3767"/>
        <w:gridCol w:w="1525"/>
        <w:gridCol w:w="1525"/>
        <w:gridCol w:w="1526"/>
        <w:gridCol w:w="1526"/>
        <w:gridCol w:w="1591"/>
        <w:gridCol w:w="1655"/>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0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152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9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0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2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59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52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152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w:t>
            </w:r>
          </w:p>
        </w:tc>
        <w:tc>
          <w:tcPr>
            <w:tcW w:w="4643"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c>
          <w:tcPr>
            <w:tcW w:w="165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26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76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5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5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5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6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22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7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22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7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5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5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60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5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59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16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2"/>
        <w:tblW w:w="15378" w:type="dxa"/>
        <w:tblInd w:w="0" w:type="dxa"/>
        <w:tblLayout w:type="fixed"/>
        <w:tblCellMar>
          <w:top w:w="0" w:type="dxa"/>
          <w:left w:w="0" w:type="dxa"/>
          <w:bottom w:w="0" w:type="dxa"/>
          <w:right w:w="0" w:type="dxa"/>
        </w:tblCellMar>
      </w:tblPr>
      <w:tblGrid>
        <w:gridCol w:w="2296"/>
        <w:gridCol w:w="3734"/>
        <w:gridCol w:w="3058"/>
        <w:gridCol w:w="71"/>
        <w:gridCol w:w="3168"/>
        <w:gridCol w:w="28"/>
        <w:gridCol w:w="3023"/>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60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305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267"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02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60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05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267"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02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934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29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7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科目名称</w:t>
            </w:r>
          </w:p>
        </w:tc>
        <w:tc>
          <w:tcPr>
            <w:tcW w:w="3129"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16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05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2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7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2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6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5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22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7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2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6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5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229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7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2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6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5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60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12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c>
          <w:tcPr>
            <w:tcW w:w="31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val="0"/>
                <w:bCs w:val="0"/>
                <w:color w:val="000000"/>
                <w:sz w:val="20"/>
                <w:szCs w:val="20"/>
              </w:rPr>
            </w:pPr>
          </w:p>
        </w:tc>
        <w:tc>
          <w:tcPr>
            <w:tcW w:w="305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color w:val="000000"/>
                <w:sz w:val="20"/>
                <w:szCs w:val="20"/>
                <w:lang w:eastAsia="zh-CN"/>
              </w:rPr>
            </w:pP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bookmarkStart w:id="0" w:name="_GoBack"/>
      <w:bookmarkEnd w:id="0"/>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w:t>
            </w:r>
            <w:r>
              <w:rPr>
                <w:rFonts w:hint="default" w:ascii="Times New Roman" w:hAnsi="Times New Roman" w:cs="Times New Roman"/>
                <w:b w:val="0"/>
                <w:bCs w:val="0"/>
                <w:color w:val="000000"/>
                <w:sz w:val="20"/>
                <w:u w:color="auto"/>
              </w:rPr>
              <w:t>重庆市秀山土家族苗族自治县官庄街道社区卫生服务中心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4</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1</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r>
              <w:rPr>
                <w:rFonts w:hint="default" w:ascii="Times New Roman" w:hAnsi="Times New Roman" w:cs="Times New Roman"/>
                <w:b w:val="0"/>
                <w:bCs w:val="0"/>
                <w:color w:val="000000"/>
                <w:sz w:val="20"/>
                <w:szCs w:val="20"/>
              </w:rPr>
              <w:t>3</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eastAsia="宋体" w:cs="Times New Roman"/>
                <w:b w:val="0"/>
                <w:bCs w:val="0"/>
                <w:color w:val="000000"/>
                <w:sz w:val="20"/>
                <w:szCs w:val="20"/>
                <w:lang w:eastAsia="zh-CN"/>
              </w:rPr>
            </w:pP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eastAsia="宋体"/>
                              <w:lang w:eastAsia="zh-CN"/>
                            </w:rPr>
                          </w:pP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eastAsia" w:eastAsia="宋体"/>
                        <w:lang w:eastAsia="zh-CN"/>
                      </w:rPr>
                    </w:pP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—27.1—</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—27.1—</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84284B"/>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EF74997"/>
    <w:rsid w:val="0F836721"/>
    <w:rsid w:val="0FA25D96"/>
    <w:rsid w:val="107B59E5"/>
    <w:rsid w:val="10EC0126"/>
    <w:rsid w:val="10F70B9A"/>
    <w:rsid w:val="111445C7"/>
    <w:rsid w:val="112D5B5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580467D"/>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BE095E"/>
    <w:rsid w:val="36C9128A"/>
    <w:rsid w:val="37841E99"/>
    <w:rsid w:val="37BF1123"/>
    <w:rsid w:val="383C3F15"/>
    <w:rsid w:val="38BE4696"/>
    <w:rsid w:val="3939115E"/>
    <w:rsid w:val="39B82A39"/>
    <w:rsid w:val="39C42CA8"/>
    <w:rsid w:val="39DC4FD6"/>
    <w:rsid w:val="39F03D7A"/>
    <w:rsid w:val="39F33306"/>
    <w:rsid w:val="3A0638A3"/>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3FF8028C"/>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5E5EA4"/>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4519C3"/>
    <w:rsid w:val="63C25DC5"/>
    <w:rsid w:val="63C62057"/>
    <w:rsid w:val="64571EF5"/>
    <w:rsid w:val="64FB113D"/>
    <w:rsid w:val="656152C6"/>
    <w:rsid w:val="6587477F"/>
    <w:rsid w:val="658C3A08"/>
    <w:rsid w:val="65C031CA"/>
    <w:rsid w:val="65CE6852"/>
    <w:rsid w:val="66267C04"/>
    <w:rsid w:val="663F505A"/>
    <w:rsid w:val="66EE5541"/>
    <w:rsid w:val="67924660"/>
    <w:rsid w:val="68407834"/>
    <w:rsid w:val="686C5122"/>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2382B"/>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4</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2024-09-23T04:29:13Z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