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重庆市秀山土家族苗族自治县中医医院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sz w:val="36"/>
          <w:szCs w:val="36"/>
          <w:shd w:val="clear" w:color="auto" w:fill="FFFFFF"/>
        </w:rPr>
      </w:pPr>
      <w:r>
        <w:rPr>
          <w:rFonts w:hint="default" w:ascii="Times New Roman" w:hAnsi="Times New Roman" w:eastAsia="方正小标宋_GBK" w:cs="Times New Roman"/>
          <w:sz w:val="36"/>
          <w:szCs w:val="36"/>
          <w:shd w:val="clear" w:color="auto" w:fill="FFFFFF"/>
        </w:rPr>
        <w:t>2023年度决算公开说明</w:t>
      </w:r>
    </w:p>
    <w:p>
      <w:pPr>
        <w:pStyle w:val="9"/>
        <w:spacing w:before="0" w:beforeAutospacing="0"/>
        <w:jc w:val="center"/>
        <w:rPr>
          <w:rFonts w:hint="default" w:ascii="Times New Roman" w:hAnsi="Times New Roman" w:eastAsia="方正小标宋_GBK" w:cs="Times New Roman"/>
          <w:sz w:val="36"/>
          <w:szCs w:val="36"/>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本单位属县级医疗卫生机构，为公益二类医疗机构，履行以下职责：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1.贯彻执行国家医疗卫生工作的方针政策，坚持公益性，保障人民身体健康，推动卫生事业健康发展；坚持以中医为主的办医方向，坚持中西医并重，执行中医药政策，推进中医药的继承与创新工作。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2.为群众提供中西医医疗、预防、保健、计划生育、康复等医疗卫生服务。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3.指导全县各医疗机构发展中医药和中西医结合业务建设。</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4.确保全县人民中西医疗健康需求，建立与地方经济发展相适应的中西医结合医疗环境。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5.贯彻落实国家基本药物制度和药品集中采购工作，执行医用耗材集中采购工作；负责医院内部的药品和医疗器械管理工作。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6.承担意外灾害事故、疫情等突发公共卫生事件的医疗急救及预防、保健和康复医疗服务工作。承担体检工作，开展各种医疗卫生健康知识宣传。</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7.承担医学院校临床教学、实习任务及中医科研工作；推进中医药适宜技术推广应用。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8.承担全县中医药人才培养，中医药继续医学教育工作。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9.做好城镇职工医疗保险、城乡居民合作医疗保险等定点医疗机构的各项工作。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10.参与健康扶贫、重要会议与重大活动的医疗卫生保障工作。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11.完成上级部门交办的其他任务。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下设办公室、人事科、财务科、医务科、护理部、质控办、药学科、临床路径办、基层指导科、医学装备科、科教科、总务科、感控保健科、信息科、医保物价科、创建办、耳鼻咽喉科、骨伤科、普外科、内一科、内二科、内三科、儿科、针灸康复科、门诊部、急诊科、妇产科、皮肤科、口腔科、心电室、B超室、放射室、收费室、手术室（麻醉科）、消毒供应室、治未病科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二、单位决算情况说明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2023年度收入总计13240.65万元（含年初结转和结余），支出总计13240.65万元（含年初结转和结余）。收支较上年决算数增加1557.13万元，增长13.33%，主要原因是</w:t>
      </w:r>
      <w:r>
        <w:rPr>
          <w:rFonts w:hint="default" w:ascii="Times New Roman" w:hAnsi="Times New Roman" w:eastAsia="方正仿宋_GBK" w:cs="Times New Roman"/>
          <w:sz w:val="32"/>
          <w:szCs w:val="32"/>
          <w:shd w:val="clear" w:color="auto" w:fill="FFFFFF"/>
          <w:lang w:eastAsia="zh-CN"/>
        </w:rPr>
        <w:t>本年度业务收入回升，业务成本有所增加导致。</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2023年度收入合计13116.53万元，较上年决算数增加1454.01万元，增长12.47%，主要原因是</w:t>
      </w:r>
      <w:r>
        <w:rPr>
          <w:rFonts w:hint="default" w:ascii="Times New Roman" w:hAnsi="Times New Roman" w:eastAsia="方正仿宋_GBK" w:cs="Times New Roman"/>
          <w:color w:val="auto"/>
          <w:sz w:val="32"/>
          <w:szCs w:val="32"/>
          <w:shd w:val="clear" w:color="auto" w:fill="FFFFFF"/>
        </w:rPr>
        <w:t>本年度财政拨款</w:t>
      </w:r>
      <w:r>
        <w:rPr>
          <w:rFonts w:hint="default" w:ascii="Times New Roman" w:hAnsi="Times New Roman" w:eastAsia="方正仿宋_GBK" w:cs="Times New Roman"/>
          <w:color w:val="auto"/>
          <w:sz w:val="32"/>
          <w:szCs w:val="32"/>
          <w:shd w:val="clear" w:color="auto" w:fill="FFFFFF"/>
          <w:lang w:eastAsia="zh-CN"/>
        </w:rPr>
        <w:t>、事业收入</w:t>
      </w:r>
      <w:r>
        <w:rPr>
          <w:rFonts w:hint="default" w:ascii="Times New Roman" w:hAnsi="Times New Roman" w:eastAsia="方正仿宋_GBK" w:cs="Times New Roman"/>
          <w:color w:val="auto"/>
          <w:sz w:val="32"/>
          <w:szCs w:val="32"/>
          <w:shd w:val="clear" w:color="auto" w:fill="FFFFFF"/>
        </w:rPr>
        <w:t>以及其他收入</w:t>
      </w:r>
      <w:r>
        <w:rPr>
          <w:rFonts w:hint="default" w:ascii="Times New Roman" w:hAnsi="Times New Roman" w:eastAsia="方正仿宋_GBK" w:cs="Times New Roman"/>
          <w:color w:val="auto"/>
          <w:sz w:val="32"/>
          <w:szCs w:val="32"/>
          <w:shd w:val="clear" w:color="auto" w:fill="FFFFFF"/>
          <w:lang w:eastAsia="zh-CN"/>
        </w:rPr>
        <w:t>均有所</w:t>
      </w:r>
      <w:r>
        <w:rPr>
          <w:rFonts w:hint="default" w:ascii="Times New Roman" w:hAnsi="Times New Roman" w:eastAsia="方正仿宋_GBK" w:cs="Times New Roman"/>
          <w:color w:val="auto"/>
          <w:sz w:val="32"/>
          <w:szCs w:val="32"/>
          <w:shd w:val="clear" w:color="auto" w:fill="FFFFFF"/>
        </w:rPr>
        <w:t>增加。</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2398.46</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18.29</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10439.86</w:t>
      </w:r>
      <w:r>
        <w:rPr>
          <w:rFonts w:hint="default" w:ascii="Times New Roman" w:hAnsi="Times New Roman" w:eastAsia="方正仿宋_GBK" w:cs="Times New Roman"/>
          <w:sz w:val="32"/>
          <w:szCs w:val="32"/>
          <w:shd w:val="clear" w:color="auto" w:fill="FFFFFF"/>
        </w:rPr>
        <w:t>万元，占79.59%；其他收入</w:t>
      </w:r>
      <w:r>
        <w:rPr>
          <w:rFonts w:hint="default" w:ascii="Times New Roman" w:hAnsi="Times New Roman" w:eastAsia="方正仿宋_GBK" w:cs="Times New Roman"/>
          <w:sz w:val="32"/>
          <w:szCs w:val="32"/>
        </w:rPr>
        <w:t>278.20</w:t>
      </w:r>
      <w:r>
        <w:rPr>
          <w:rFonts w:hint="default" w:ascii="Times New Roman" w:hAnsi="Times New Roman" w:eastAsia="方正仿宋_GBK" w:cs="Times New Roman"/>
          <w:sz w:val="32"/>
          <w:szCs w:val="32"/>
          <w:shd w:val="clear" w:color="auto" w:fill="FFFFFF"/>
        </w:rPr>
        <w:t>万元，占2.12%。此外，年初结转和结余</w:t>
      </w:r>
      <w:r>
        <w:rPr>
          <w:rFonts w:hint="default" w:ascii="Times New Roman" w:hAnsi="Times New Roman" w:eastAsia="方正仿宋_GBK" w:cs="Times New Roman"/>
          <w:sz w:val="32"/>
          <w:szCs w:val="32"/>
        </w:rPr>
        <w:t>124.12</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12428.31</w:t>
      </w:r>
      <w:r>
        <w:rPr>
          <w:rFonts w:hint="default" w:ascii="Times New Roman" w:hAnsi="Times New Roman" w:eastAsia="方正仿宋_GBK" w:cs="Times New Roman"/>
          <w:sz w:val="32"/>
          <w:szCs w:val="32"/>
          <w:shd w:val="clear" w:color="auto" w:fill="FFFFFF"/>
        </w:rPr>
        <w:t>万元，较上年决算数增加868.91万元，增长7.52%，主要原因是</w:t>
      </w:r>
      <w:r>
        <w:rPr>
          <w:rFonts w:hint="default" w:ascii="Times New Roman" w:hAnsi="Times New Roman" w:eastAsia="方正仿宋_GBK" w:cs="Times New Roman"/>
          <w:sz w:val="32"/>
          <w:szCs w:val="32"/>
          <w:shd w:val="clear" w:color="auto" w:fill="FFFFFF"/>
          <w:lang w:eastAsia="zh-CN"/>
        </w:rPr>
        <w:t>项目资金支出增加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11724.55</w:t>
      </w:r>
      <w:r>
        <w:rPr>
          <w:rFonts w:hint="default" w:ascii="Times New Roman" w:hAnsi="Times New Roman" w:eastAsia="方正仿宋_GBK" w:cs="Times New Roman"/>
          <w:sz w:val="32"/>
          <w:szCs w:val="32"/>
          <w:shd w:val="clear" w:color="auto" w:fill="FFFFFF"/>
        </w:rPr>
        <w:t>万元，占94.34%；项目支出</w:t>
      </w:r>
      <w:r>
        <w:rPr>
          <w:rFonts w:hint="default" w:ascii="Times New Roman" w:hAnsi="Times New Roman" w:eastAsia="方正仿宋_GBK" w:cs="Times New Roman"/>
          <w:sz w:val="32"/>
          <w:szCs w:val="32"/>
        </w:rPr>
        <w:t>703.77</w:t>
      </w:r>
      <w:r>
        <w:rPr>
          <w:rFonts w:hint="default" w:ascii="Times New Roman" w:hAnsi="Times New Roman" w:eastAsia="方正仿宋_GBK" w:cs="Times New Roman"/>
          <w:sz w:val="32"/>
          <w:szCs w:val="32"/>
          <w:shd w:val="clear" w:color="auto" w:fill="FFFFFF"/>
        </w:rPr>
        <w:t>万元，占5.66%。此外，结余分配</w:t>
      </w:r>
      <w:r>
        <w:rPr>
          <w:rFonts w:hint="default" w:ascii="Times New Roman" w:hAnsi="Times New Roman" w:eastAsia="方正仿宋_GBK" w:cs="Times New Roman"/>
          <w:sz w:val="32"/>
          <w:szCs w:val="32"/>
        </w:rPr>
        <w:t>628.10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Style w:val="11"/>
          <w:rFonts w:hint="default" w:ascii="Times New Roman" w:hAnsi="Times New Roman" w:eastAsia="方正仿宋_GBK" w:cs="Times New Roman"/>
          <w:b w:val="0"/>
          <w:bCs/>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184.24</w:t>
      </w:r>
      <w:r>
        <w:rPr>
          <w:rFonts w:hint="default" w:ascii="Times New Roman" w:hAnsi="Times New Roman" w:eastAsia="方正仿宋_GBK" w:cs="Times New Roman"/>
          <w:sz w:val="32"/>
          <w:szCs w:val="32"/>
          <w:shd w:val="clear" w:color="auto" w:fill="FFFFFF"/>
        </w:rPr>
        <w:t>万元，较上年决算数增加60.12万元，增长48.44%，主要原因是本年度采取缩减支出措施</w:t>
      </w:r>
      <w:r>
        <w:rPr>
          <w:rFonts w:hint="default" w:ascii="Times New Roman" w:hAnsi="Times New Roman" w:eastAsia="方正仿宋_GBK" w:cs="Times New Roman"/>
          <w:sz w:val="32"/>
          <w:szCs w:val="32"/>
          <w:shd w:val="clear" w:color="auto" w:fill="FFFFFF"/>
          <w:lang w:eastAsia="zh-CN"/>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2023年度财政拨款收、支总计2413.66万元（含年初结转和结余）。与2022年相比，财政拨款收、支总计各增加579.76万元，增长31.61%。主要原因是</w:t>
      </w:r>
      <w:r>
        <w:rPr>
          <w:rFonts w:hint="default" w:ascii="Times New Roman" w:hAnsi="Times New Roman" w:eastAsia="方正仿宋_GBK" w:cs="Times New Roman"/>
          <w:color w:val="auto"/>
          <w:sz w:val="32"/>
          <w:szCs w:val="32"/>
          <w:shd w:val="clear" w:color="auto" w:fill="FFFFFF"/>
          <w:lang w:eastAsia="zh-CN"/>
        </w:rPr>
        <w:t>本年度项目资金支出增加</w:t>
      </w:r>
      <w:r>
        <w:rPr>
          <w:rFonts w:hint="default" w:ascii="Times New Roman" w:hAnsi="Times New Roman" w:eastAsia="方正仿宋_GBK" w:cs="Times New Roman"/>
          <w:color w:val="auto"/>
          <w:sz w:val="32"/>
          <w:szCs w:val="32"/>
          <w:shd w:val="clear" w:color="auto" w:fill="FFFFFF"/>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2398.46</w:t>
      </w:r>
      <w:r>
        <w:rPr>
          <w:rFonts w:hint="default" w:ascii="Times New Roman" w:hAnsi="Times New Roman" w:eastAsia="方正仿宋_GBK" w:cs="Times New Roman"/>
          <w:sz w:val="32"/>
          <w:szCs w:val="32"/>
          <w:shd w:val="clear" w:color="auto" w:fill="FFFFFF"/>
        </w:rPr>
        <w:t>万元，较上年决算数增加585.56万元，增长32.30%。主要原因是</w:t>
      </w:r>
      <w:r>
        <w:rPr>
          <w:rFonts w:hint="default" w:ascii="Times New Roman" w:hAnsi="Times New Roman" w:eastAsia="方正仿宋_GBK" w:cs="Times New Roman"/>
          <w:color w:val="auto"/>
          <w:sz w:val="32"/>
          <w:szCs w:val="32"/>
          <w:shd w:val="clear" w:color="auto" w:fill="FFFFFF"/>
          <w:lang w:eastAsia="zh-CN"/>
        </w:rPr>
        <w:t>项目资金、人员经费均有所</w:t>
      </w:r>
      <w:r>
        <w:rPr>
          <w:rFonts w:hint="default" w:ascii="Times New Roman" w:hAnsi="Times New Roman" w:eastAsia="方正仿宋_GBK" w:cs="Times New Roman"/>
          <w:color w:val="auto"/>
          <w:sz w:val="32"/>
          <w:szCs w:val="32"/>
          <w:shd w:val="clear" w:color="auto" w:fill="FFFFFF"/>
          <w:lang w:val="en-US" w:eastAsia="zh-CN"/>
        </w:rPr>
        <w:t>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较年初预算数增加670.35万元，增长38.79%。主要原因是</w:t>
      </w:r>
      <w:r>
        <w:rPr>
          <w:rFonts w:hint="default" w:ascii="Times New Roman" w:hAnsi="Times New Roman" w:eastAsia="方正仿宋_GBK" w:cs="Times New Roman"/>
          <w:color w:val="auto"/>
          <w:sz w:val="32"/>
          <w:szCs w:val="32"/>
          <w:shd w:val="clear" w:color="auto" w:fill="FFFFFF"/>
          <w:lang w:eastAsia="zh-CN"/>
        </w:rPr>
        <w:t>项目资金增加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15.20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2229.42</w:t>
      </w:r>
      <w:r>
        <w:rPr>
          <w:rFonts w:hint="default" w:ascii="Times New Roman" w:hAnsi="Times New Roman" w:eastAsia="方正仿宋_GBK" w:cs="Times New Roman"/>
          <w:sz w:val="32"/>
          <w:szCs w:val="32"/>
          <w:shd w:val="clear" w:color="auto" w:fill="FFFFFF"/>
        </w:rPr>
        <w:t>万元，较上年决算数增加410.72万元，增长22.58%。主要原因是</w:t>
      </w:r>
      <w:r>
        <w:rPr>
          <w:rFonts w:hint="default" w:ascii="Times New Roman" w:hAnsi="Times New Roman" w:eastAsia="方正仿宋_GBK" w:cs="Times New Roman"/>
          <w:sz w:val="32"/>
          <w:szCs w:val="32"/>
          <w:shd w:val="clear" w:color="auto" w:fill="FFFFFF"/>
          <w:lang w:eastAsia="zh-CN"/>
        </w:rPr>
        <w:t>项目资金支出增加</w:t>
      </w:r>
      <w:r>
        <w:rPr>
          <w:rFonts w:hint="default" w:ascii="Times New Roman" w:hAnsi="Times New Roman" w:eastAsia="方正仿宋_GBK" w:cs="Times New Roman"/>
          <w:sz w:val="32"/>
          <w:szCs w:val="32"/>
          <w:shd w:val="clear" w:color="auto" w:fill="FFFFFF"/>
        </w:rPr>
        <w:t>。较年初预算数增加501.31万元，增长29.01%。主要原因</w:t>
      </w:r>
      <w:r>
        <w:rPr>
          <w:rFonts w:hint="default" w:ascii="Times New Roman" w:hAnsi="Times New Roman" w:eastAsia="方正仿宋_GBK" w:cs="Times New Roman"/>
          <w:sz w:val="32"/>
          <w:szCs w:val="32"/>
          <w:shd w:val="clear" w:color="auto" w:fill="FFFFFF"/>
          <w:lang w:eastAsia="zh-CN"/>
        </w:rPr>
        <w:t>是本</w:t>
      </w:r>
      <w:r>
        <w:rPr>
          <w:rFonts w:hint="default" w:ascii="Times New Roman" w:hAnsi="Times New Roman" w:eastAsia="方正仿宋_GBK" w:cs="Times New Roman"/>
          <w:sz w:val="32"/>
          <w:szCs w:val="32"/>
          <w:shd w:val="clear" w:color="auto" w:fill="FFFFFF"/>
        </w:rPr>
        <w:t>年度新增突发公共卫生事件应急处理、中医（民族医）药专项、重症病房建设购置医疗设备资金（发热门诊（诊室）建设项目）等</w:t>
      </w:r>
      <w:r>
        <w:rPr>
          <w:rFonts w:hint="default" w:ascii="Times New Roman" w:hAnsi="Times New Roman" w:eastAsia="方正仿宋_GBK" w:cs="Times New Roman"/>
          <w:sz w:val="32"/>
          <w:szCs w:val="32"/>
          <w:shd w:val="clear" w:color="auto" w:fill="FFFFFF"/>
          <w:lang w:eastAsia="zh-CN"/>
        </w:rPr>
        <w:t>项目</w:t>
      </w:r>
      <w:r>
        <w:rPr>
          <w:rFonts w:hint="default" w:ascii="Times New Roman" w:hAnsi="Times New Roman" w:eastAsia="方正仿宋_GBK" w:cs="Times New Roman"/>
          <w:sz w:val="32"/>
          <w:szCs w:val="32"/>
          <w:shd w:val="clear" w:color="auto" w:fill="FFFFFF"/>
        </w:rPr>
        <w:t>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184.24</w:t>
      </w:r>
      <w:r>
        <w:rPr>
          <w:rFonts w:hint="default" w:ascii="Times New Roman" w:hAnsi="Times New Roman" w:eastAsia="方正仿宋_GBK" w:cs="Times New Roman"/>
          <w:sz w:val="32"/>
          <w:szCs w:val="32"/>
          <w:shd w:val="clear" w:color="auto" w:fill="FFFFFF"/>
        </w:rPr>
        <w:t>万元，较上年决算数增加169.04万元，增长1112.11%，主要原因是</w:t>
      </w:r>
      <w:r>
        <w:rPr>
          <w:rFonts w:hint="default" w:ascii="Times New Roman" w:hAnsi="Times New Roman" w:eastAsia="方正仿宋_GBK" w:cs="Times New Roman"/>
          <w:sz w:val="32"/>
          <w:szCs w:val="32"/>
          <w:shd w:val="clear" w:color="auto" w:fill="FFFFFF"/>
          <w:lang w:eastAsia="zh-CN"/>
        </w:rPr>
        <w:t>本年度中医（民族医）药专项、科研项目等项目资金尚未完全执行</w:t>
      </w:r>
      <w:r>
        <w:rPr>
          <w:rFonts w:hint="default" w:ascii="Times New Roman" w:hAnsi="Times New Roman" w:eastAsia="方正仿宋_GBK" w:cs="Times New Roman"/>
          <w:color w:val="FF0000"/>
          <w:sz w:val="32"/>
          <w:szCs w:val="32"/>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highlight w:val="cyan"/>
          <w:shd w:val="clear" w:color="auto" w:fill="FFFFFF"/>
        </w:rPr>
      </w:pPr>
      <w:r>
        <w:rPr>
          <w:rStyle w:val="11"/>
          <w:rFonts w:hint="default" w:ascii="Times New Roman" w:hAnsi="Times New Roman" w:eastAsia="方正仿宋_GBK" w:cs="Times New Roman"/>
          <w:b w:val="0"/>
          <w:bCs/>
          <w:sz w:val="32"/>
          <w:szCs w:val="32"/>
          <w:shd w:val="clear" w:color="auto" w:fill="FFFFFF"/>
        </w:rPr>
        <w:t>4.比较情况。</w:t>
      </w:r>
      <w:r>
        <w:rPr>
          <w:rFonts w:hint="default" w:ascii="Times New Roman" w:hAnsi="Times New Roman" w:eastAsia="方正仿宋_GBK" w:cs="Times New Roman"/>
          <w:sz w:val="32"/>
          <w:szCs w:val="32"/>
          <w:shd w:val="clear" w:color="auto" w:fill="FFFFFF"/>
        </w:rPr>
        <w:t>本单位2023年度一般公共预算财政拨款支出主要用于以下几个方面：</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237.57</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10.66</w:t>
      </w:r>
      <w:r>
        <w:rPr>
          <w:rFonts w:hint="default" w:ascii="Times New Roman" w:hAnsi="Times New Roman" w:eastAsia="方正仿宋_GBK" w:cs="Times New Roman"/>
          <w:sz w:val="32"/>
          <w:szCs w:val="32"/>
          <w:shd w:val="clear" w:color="auto" w:fill="FFFFFF"/>
        </w:rPr>
        <w:t>%，较年初预算数减少69.16万元，下降22.55%，主要原因是</w:t>
      </w:r>
      <w:r>
        <w:rPr>
          <w:rFonts w:hint="default" w:ascii="Times New Roman" w:hAnsi="Times New Roman" w:eastAsia="方正仿宋_GBK" w:cs="Times New Roman"/>
          <w:sz w:val="32"/>
          <w:szCs w:val="32"/>
          <w:shd w:val="clear" w:color="auto" w:fill="FFFFFF"/>
          <w:lang w:eastAsia="zh-CN"/>
        </w:rPr>
        <w:t>本年度有</w:t>
      </w:r>
      <w:r>
        <w:rPr>
          <w:rFonts w:hint="default" w:ascii="Times New Roman" w:hAnsi="Times New Roman" w:eastAsia="方正仿宋_GBK" w:cs="Times New Roman"/>
          <w:sz w:val="32"/>
          <w:szCs w:val="32"/>
          <w:shd w:val="clear" w:color="auto" w:fill="FFFFFF"/>
          <w:lang w:val="en-US" w:eastAsia="zh-CN"/>
        </w:rPr>
        <w:t>6名</w:t>
      </w:r>
      <w:r>
        <w:rPr>
          <w:rFonts w:hint="default" w:ascii="Times New Roman" w:hAnsi="Times New Roman" w:eastAsia="方正仿宋_GBK" w:cs="Times New Roman"/>
          <w:sz w:val="32"/>
          <w:szCs w:val="32"/>
          <w:shd w:val="clear" w:color="auto" w:fill="FFFFFF"/>
          <w:lang w:eastAsia="zh-CN"/>
        </w:rPr>
        <w:t>职工退休</w:t>
      </w:r>
      <w:r>
        <w:rPr>
          <w:rFonts w:hint="default" w:ascii="Times New Roman" w:hAnsi="Times New Roman" w:eastAsia="方正仿宋_GBK" w:cs="Times New Roman"/>
          <w:sz w:val="32"/>
          <w:szCs w:val="32"/>
          <w:shd w:val="clear" w:color="auto" w:fill="FFFFFF"/>
          <w:lang w:val="en-US" w:eastAsia="zh-CN"/>
        </w:rPr>
        <w:t>，且社会保障费用基数计算方法发生变化</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1912.01</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85.76</w:t>
      </w:r>
      <w:r>
        <w:rPr>
          <w:rFonts w:hint="default" w:ascii="Times New Roman" w:hAnsi="Times New Roman" w:eastAsia="方正仿宋_GBK" w:cs="Times New Roman"/>
          <w:sz w:val="32"/>
          <w:szCs w:val="32"/>
          <w:shd w:val="clear" w:color="auto" w:fill="FFFFFF"/>
        </w:rPr>
        <w:t>%，较年初预算数增加623.12万元，增长48.35%，主要原因是①年初预算是根据</w:t>
      </w:r>
      <w:r>
        <w:rPr>
          <w:rFonts w:hint="default" w:ascii="Times New Roman" w:hAnsi="Times New Roman" w:eastAsia="方正仿宋_GBK" w:cs="Times New Roman"/>
          <w:sz w:val="32"/>
          <w:szCs w:val="32"/>
          <w:shd w:val="clear" w:color="auto" w:fill="FFFFFF"/>
          <w:lang w:eastAsia="zh-CN"/>
        </w:rPr>
        <w:t>上</w:t>
      </w:r>
      <w:r>
        <w:rPr>
          <w:rFonts w:hint="default" w:ascii="Times New Roman" w:hAnsi="Times New Roman" w:eastAsia="方正仿宋_GBK" w:cs="Times New Roman"/>
          <w:sz w:val="32"/>
          <w:szCs w:val="32"/>
          <w:shd w:val="clear" w:color="auto" w:fill="FFFFFF"/>
        </w:rPr>
        <w:t>年单位运行情况预估核算，造成</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年</w:t>
      </w:r>
      <w:r>
        <w:rPr>
          <w:rFonts w:hint="default" w:ascii="Times New Roman" w:hAnsi="Times New Roman" w:eastAsia="方正仿宋_GBK" w:cs="Times New Roman"/>
          <w:sz w:val="32"/>
          <w:szCs w:val="32"/>
          <w:shd w:val="clear" w:color="auto" w:fill="FFFFFF"/>
          <w:lang w:eastAsia="zh-CN"/>
        </w:rPr>
        <w:t>度实际运行情况</w:t>
      </w:r>
      <w:r>
        <w:rPr>
          <w:rFonts w:hint="default" w:ascii="Times New Roman" w:hAnsi="Times New Roman" w:eastAsia="方正仿宋_GBK" w:cs="Times New Roman"/>
          <w:sz w:val="32"/>
          <w:szCs w:val="32"/>
          <w:shd w:val="clear" w:color="auto" w:fill="FFFFFF"/>
        </w:rPr>
        <w:t>与年初预算</w:t>
      </w:r>
      <w:r>
        <w:rPr>
          <w:rFonts w:hint="default" w:ascii="Times New Roman" w:hAnsi="Times New Roman" w:eastAsia="方正仿宋_GBK" w:cs="Times New Roman"/>
          <w:sz w:val="32"/>
          <w:szCs w:val="32"/>
          <w:shd w:val="clear" w:color="auto" w:fill="FFFFFF"/>
          <w:lang w:eastAsia="zh-CN"/>
        </w:rPr>
        <w:t>存在</w:t>
      </w:r>
      <w:r>
        <w:rPr>
          <w:rFonts w:hint="default" w:ascii="Times New Roman" w:hAnsi="Times New Roman" w:eastAsia="方正仿宋_GBK" w:cs="Times New Roman"/>
          <w:sz w:val="32"/>
          <w:szCs w:val="32"/>
          <w:shd w:val="clear" w:color="auto" w:fill="FFFFFF"/>
        </w:rPr>
        <w:t>差异；②</w:t>
      </w:r>
      <w:r>
        <w:rPr>
          <w:rFonts w:hint="default" w:ascii="Times New Roman" w:hAnsi="Times New Roman" w:eastAsia="方正仿宋_GBK" w:cs="Times New Roman"/>
          <w:sz w:val="32"/>
          <w:szCs w:val="32"/>
          <w:shd w:val="clear" w:color="auto" w:fill="FFFFFF"/>
          <w:lang w:eastAsia="zh-CN"/>
        </w:rPr>
        <w:t>本年度新增中医（民族医）药专项、重症病房建设购置医疗设备资金等项目支出</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住房保障支出79.84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3.58</w:t>
      </w:r>
      <w:r>
        <w:rPr>
          <w:rFonts w:hint="default" w:ascii="Times New Roman" w:hAnsi="Times New Roman" w:eastAsia="方正仿宋_GBK" w:cs="Times New Roman"/>
          <w:sz w:val="32"/>
          <w:szCs w:val="32"/>
          <w:shd w:val="clear" w:color="auto" w:fill="FFFFFF"/>
        </w:rPr>
        <w:t>%，较年初预算数减少52.65万元，下降39.74%，主要原因是</w:t>
      </w:r>
      <w:r>
        <w:rPr>
          <w:rFonts w:hint="default" w:ascii="Times New Roman" w:hAnsi="Times New Roman" w:eastAsia="方正仿宋_GBK" w:cs="Times New Roman"/>
          <w:sz w:val="32"/>
          <w:szCs w:val="32"/>
          <w:shd w:val="clear" w:color="auto" w:fill="FFFFFF"/>
          <w:lang w:eastAsia="zh-CN"/>
        </w:rPr>
        <w:t>本年度有</w:t>
      </w:r>
      <w:r>
        <w:rPr>
          <w:rFonts w:hint="default" w:ascii="Times New Roman" w:hAnsi="Times New Roman" w:eastAsia="方正仿宋_GBK" w:cs="Times New Roman"/>
          <w:sz w:val="32"/>
          <w:szCs w:val="32"/>
          <w:shd w:val="clear" w:color="auto" w:fill="FFFFFF"/>
          <w:lang w:val="en-US" w:eastAsia="zh-CN"/>
        </w:rPr>
        <w:t>6名</w:t>
      </w:r>
      <w:r>
        <w:rPr>
          <w:rFonts w:hint="default" w:ascii="Times New Roman" w:hAnsi="Times New Roman" w:eastAsia="方正仿宋_GBK" w:cs="Times New Roman"/>
          <w:sz w:val="32"/>
          <w:szCs w:val="32"/>
          <w:shd w:val="clear" w:color="auto" w:fill="FFFFFF"/>
          <w:lang w:eastAsia="zh-CN"/>
        </w:rPr>
        <w:t>职工退休</w:t>
      </w:r>
      <w:r>
        <w:rPr>
          <w:rFonts w:hint="default" w:ascii="Times New Roman" w:hAnsi="Times New Roman" w:eastAsia="方正仿宋_GBK" w:cs="Times New Roman"/>
          <w:sz w:val="32"/>
          <w:szCs w:val="32"/>
          <w:shd w:val="clear" w:color="auto" w:fill="FFFFFF"/>
          <w:lang w:val="en-US" w:eastAsia="zh-CN"/>
        </w:rPr>
        <w:t>，且住房保障支出基数计算方法发生变化</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1525.66</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1478.10</w:t>
      </w:r>
      <w:r>
        <w:rPr>
          <w:rFonts w:hint="default" w:ascii="Times New Roman" w:hAnsi="Times New Roman" w:eastAsia="方正仿宋_GBK" w:cs="Times New Roman"/>
          <w:sz w:val="32"/>
          <w:szCs w:val="32"/>
          <w:shd w:val="clear" w:color="auto" w:fill="FFFFFF"/>
        </w:rPr>
        <w:t>万元，较上年决算数减少11.00万元，下降0.74%，主要原因是</w:t>
      </w:r>
      <w:r>
        <w:rPr>
          <w:rFonts w:hint="default" w:ascii="Times New Roman" w:hAnsi="Times New Roman" w:eastAsia="方正仿宋_GBK" w:cs="Times New Roman"/>
          <w:sz w:val="32"/>
          <w:szCs w:val="32"/>
          <w:shd w:val="clear" w:color="auto" w:fill="FFFFFF"/>
          <w:lang w:eastAsia="zh-CN"/>
        </w:rPr>
        <w:t>本年度内有</w:t>
      </w:r>
      <w:r>
        <w:rPr>
          <w:rFonts w:hint="default" w:ascii="Times New Roman" w:hAnsi="Times New Roman" w:eastAsia="方正仿宋_GBK" w:cs="Times New Roman"/>
          <w:sz w:val="32"/>
          <w:szCs w:val="32"/>
          <w:shd w:val="clear" w:color="auto" w:fill="FFFFFF"/>
          <w:lang w:val="en-US" w:eastAsia="zh-CN"/>
        </w:rPr>
        <w:t>6名职工退休</w:t>
      </w:r>
      <w:r>
        <w:rPr>
          <w:rFonts w:hint="default" w:ascii="Times New Roman" w:hAnsi="Times New Roman" w:eastAsia="方正仿宋_GBK" w:cs="Times New Roman"/>
          <w:color w:val="FF0000"/>
          <w:sz w:val="32"/>
          <w:szCs w:val="32"/>
          <w:shd w:val="clear" w:color="auto" w:fill="FFFFFF"/>
        </w:rPr>
        <w:t>。</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color w:val="auto"/>
          <w:sz w:val="32"/>
          <w:szCs w:val="32"/>
          <w:shd w:val="clear" w:color="auto" w:fill="FFFFFF"/>
        </w:rPr>
        <w:t>社会保障、工资、津补贴、住房公积金支出等。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47.56</w:t>
      </w:r>
      <w:r>
        <w:rPr>
          <w:rFonts w:hint="default" w:ascii="Times New Roman" w:hAnsi="Times New Roman" w:eastAsia="方正仿宋_GBK" w:cs="Times New Roman"/>
          <w:sz w:val="32"/>
          <w:szCs w:val="32"/>
          <w:shd w:val="clear" w:color="auto" w:fill="FFFFFF"/>
        </w:rPr>
        <w:t>万元，较上年决算数减少132.24万元，下降73.55%，主要原因是</w:t>
      </w:r>
      <w:r>
        <w:rPr>
          <w:rFonts w:hint="default" w:ascii="Times New Roman" w:hAnsi="Times New Roman" w:eastAsia="方正仿宋_GBK" w:cs="Times New Roman"/>
          <w:color w:val="auto"/>
          <w:sz w:val="32"/>
          <w:szCs w:val="32"/>
          <w:shd w:val="clear" w:color="auto" w:fill="FFFFFF"/>
        </w:rPr>
        <w:t>本年度减少了公立医院综合改革</w:t>
      </w:r>
      <w:r>
        <w:rPr>
          <w:rFonts w:hint="default" w:ascii="Times New Roman" w:hAnsi="Times New Roman" w:eastAsia="方正仿宋_GBK" w:cs="Times New Roman"/>
          <w:color w:val="auto"/>
          <w:sz w:val="32"/>
          <w:szCs w:val="32"/>
          <w:shd w:val="clear" w:color="auto" w:fill="FFFFFF"/>
          <w:lang w:eastAsia="zh-CN"/>
        </w:rPr>
        <w:t>资金</w:t>
      </w:r>
      <w:r>
        <w:rPr>
          <w:rFonts w:hint="default" w:ascii="Times New Roman" w:hAnsi="Times New Roman" w:eastAsia="方正仿宋_GBK" w:cs="Times New Roman"/>
          <w:color w:val="auto"/>
          <w:sz w:val="32"/>
          <w:szCs w:val="32"/>
          <w:shd w:val="clear" w:color="auto" w:fill="FFFFFF"/>
        </w:rPr>
        <w:t>等支出。</w:t>
      </w:r>
      <w:r>
        <w:rPr>
          <w:rFonts w:hint="default" w:ascii="Times New Roman" w:hAnsi="Times New Roman" w:eastAsia="方正仿宋_GBK" w:cs="Times New Roman"/>
          <w:sz w:val="32"/>
          <w:szCs w:val="32"/>
          <w:shd w:val="clear" w:color="auto" w:fill="FFFFFF"/>
        </w:rPr>
        <w:t>公用经费用途主要包括支出药品、</w:t>
      </w:r>
      <w:r>
        <w:rPr>
          <w:rFonts w:hint="eastAsia" w:ascii="Times New Roman" w:hAnsi="Times New Roman" w:eastAsia="方正仿宋_GBK" w:cs="Times New Roman"/>
          <w:sz w:val="32"/>
          <w:szCs w:val="32"/>
          <w:shd w:val="clear" w:color="auto" w:fill="FFFFFF"/>
          <w:lang w:eastAsia="zh-CN"/>
        </w:rPr>
        <w:t>耗材</w:t>
      </w:r>
      <w:r>
        <w:rPr>
          <w:rFonts w:hint="default" w:ascii="Times New Roman" w:hAnsi="Times New Roman" w:eastAsia="方正仿宋_GBK" w:cs="Times New Roman"/>
          <w:sz w:val="32"/>
          <w:szCs w:val="32"/>
          <w:shd w:val="clear" w:color="auto" w:fill="FFFFFF"/>
        </w:rPr>
        <w:t>、医疗设备购置等款项支出</w:t>
      </w:r>
      <w:r>
        <w:rPr>
          <w:rFonts w:hint="default" w:ascii="Times New Roman" w:hAnsi="Times New Roman" w:eastAsia="方正仿宋_GBK" w:cs="Times New Roman"/>
          <w:color w:val="FF0000"/>
          <w:sz w:val="32"/>
          <w:szCs w:val="32"/>
          <w:shd w:val="clear" w:color="auto" w:fill="FFFFFF"/>
        </w:rPr>
        <w:t>。</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本单位2023年度无政府性基金预算财政拨款收支。</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三、“三公”经费情况说明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 xml:space="preserve"> （一）“三公”经费支出总体情况说明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color w:val="auto"/>
          <w:sz w:val="32"/>
          <w:szCs w:val="32"/>
          <w:shd w:val="clear" w:color="auto" w:fill="FFFFFF"/>
        </w:rPr>
        <w:t>本单位</w:t>
      </w:r>
      <w:r>
        <w:rPr>
          <w:rFonts w:hint="default" w:ascii="Times New Roman" w:hAnsi="Times New Roman" w:eastAsia="方正仿宋_GBK" w:cs="Times New Roman"/>
          <w:color w:val="auto"/>
          <w:sz w:val="32"/>
          <w:szCs w:val="32"/>
          <w:shd w:val="clear" w:color="auto" w:fill="FFFFFF"/>
          <w:lang w:eastAsia="zh-CN"/>
        </w:rPr>
        <w:t>属于</w:t>
      </w:r>
      <w:r>
        <w:rPr>
          <w:rFonts w:hint="default" w:ascii="Times New Roman" w:hAnsi="Times New Roman" w:eastAsia="方正仿宋_GBK" w:cs="Times New Roman"/>
          <w:color w:val="auto"/>
          <w:sz w:val="32"/>
          <w:szCs w:val="32"/>
          <w:shd w:val="clear" w:color="auto" w:fill="FFFFFF"/>
        </w:rPr>
        <w:t>差额拨款单位，财政未保障本单位“三公”经费。</w:t>
      </w:r>
      <w:r>
        <w:rPr>
          <w:rFonts w:hint="default" w:ascii="Times New Roman" w:hAnsi="Times New Roman" w:eastAsia="方正仿宋_GBK" w:cs="Times New Roman"/>
          <w:sz w:val="32"/>
          <w:szCs w:val="32"/>
          <w:shd w:val="clear" w:color="auto" w:fill="FFFFFF"/>
        </w:rPr>
        <w:t> </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2023年度本单位因公出国（境）共计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人。2023年本单位人均接待费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 （一）财政拨款会议费和培训费情况说明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因本单位为差额拨款事业单位，财政未保障本单位会议费和培训费。</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（二）机关运行经费情况说明</w:t>
      </w:r>
    </w:p>
    <w:p>
      <w:pPr>
        <w:pStyle w:val="14"/>
        <w:widowControl w:val="0"/>
        <w:autoSpaceDE w:val="0"/>
        <w:spacing w:line="56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因本单位为差额拨款事业单位不在机关运行经费统计范围之内。</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（三）国有资产占用情况说明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截至2023年12月31日，本单位共有车辆</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辆、主要负责人用车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辆。单价100万元（含）以上专用设备</w:t>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shd w:val="clear" w:color="auto" w:fill="FFFFFF"/>
        </w:rPr>
        <w:t>台（套）。</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 2023年度本单位政府采购支出总额</w:t>
      </w:r>
      <w:r>
        <w:rPr>
          <w:rFonts w:hint="default" w:ascii="Times New Roman" w:hAnsi="Times New Roman" w:eastAsia="方正仿宋_GBK" w:cs="Times New Roman"/>
          <w:sz w:val="32"/>
          <w:szCs w:val="32"/>
        </w:rPr>
        <w:t>466.44</w:t>
      </w:r>
      <w:r>
        <w:rPr>
          <w:rFonts w:hint="default" w:ascii="Times New Roman" w:hAnsi="Times New Roman" w:eastAsia="方正仿宋_GBK" w:cs="Times New Roman"/>
          <w:sz w:val="32"/>
          <w:szCs w:val="32"/>
          <w:shd w:val="clear" w:color="auto" w:fill="FFFFFF"/>
        </w:rPr>
        <w:t>万元，其中：政府采购货物支出</w:t>
      </w:r>
      <w:r>
        <w:rPr>
          <w:rFonts w:hint="default" w:ascii="Times New Roman" w:hAnsi="Times New Roman" w:eastAsia="方正仿宋_GBK" w:cs="Times New Roman"/>
          <w:sz w:val="32"/>
          <w:szCs w:val="32"/>
        </w:rPr>
        <w:t>368.44</w:t>
      </w:r>
      <w:r>
        <w:rPr>
          <w:rFonts w:hint="default" w:ascii="Times New Roman" w:hAnsi="Times New Roman" w:eastAsia="方正仿宋_GBK" w:cs="Times New Roman"/>
          <w:sz w:val="32"/>
          <w:szCs w:val="32"/>
          <w:shd w:val="clear" w:color="auto" w:fill="FFFFFF"/>
        </w:rPr>
        <w:t>万元、政府采购工程支出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万元、政府采购服务支出</w:t>
      </w:r>
      <w:r>
        <w:rPr>
          <w:rFonts w:hint="default" w:ascii="Times New Roman" w:hAnsi="Times New Roman" w:eastAsia="方正仿宋_GBK" w:cs="Times New Roman"/>
          <w:sz w:val="32"/>
          <w:szCs w:val="32"/>
        </w:rPr>
        <w:t>98.00</w:t>
      </w:r>
      <w:r>
        <w:rPr>
          <w:rFonts w:hint="default" w:ascii="Times New Roman" w:hAnsi="Times New Roman" w:eastAsia="方正仿宋_GBK" w:cs="Times New Roman"/>
          <w:sz w:val="32"/>
          <w:szCs w:val="32"/>
          <w:shd w:val="clear" w:color="auto" w:fill="FFFFFF"/>
        </w:rPr>
        <w:t>万元。授予中小企业合同金额</w:t>
      </w:r>
      <w:r>
        <w:rPr>
          <w:rFonts w:hint="default" w:ascii="Times New Roman" w:hAnsi="Times New Roman" w:eastAsia="方正仿宋_GBK" w:cs="Times New Roman"/>
          <w:sz w:val="32"/>
          <w:szCs w:val="32"/>
        </w:rPr>
        <w:t>106.46万</w:t>
      </w:r>
      <w:r>
        <w:rPr>
          <w:rFonts w:hint="default" w:ascii="Times New Roman" w:hAnsi="Times New Roman" w:eastAsia="方正仿宋_GBK" w:cs="Times New Roman"/>
          <w:sz w:val="32"/>
          <w:szCs w:val="32"/>
          <w:shd w:val="clear" w:color="auto" w:fill="FFFFFF"/>
        </w:rPr>
        <w:t>元，占政府采购支出总额的</w:t>
      </w:r>
      <w:r>
        <w:rPr>
          <w:rFonts w:hint="default" w:ascii="Times New Roman" w:hAnsi="Times New Roman" w:eastAsia="方正仿宋_GBK" w:cs="Times New Roman"/>
          <w:sz w:val="32"/>
          <w:szCs w:val="32"/>
        </w:rPr>
        <w:t>22.82</w:t>
      </w:r>
      <w:r>
        <w:rPr>
          <w:rFonts w:hint="default" w:ascii="Times New Roman" w:hAnsi="Times New Roman" w:eastAsia="方正仿宋_GBK" w:cs="Times New Roman"/>
          <w:sz w:val="32"/>
          <w:szCs w:val="32"/>
          <w:shd w:val="clear" w:color="auto" w:fill="FFFFFF"/>
        </w:rPr>
        <w:t>%，其中：授予小微企业合同金额</w:t>
      </w:r>
      <w:r>
        <w:rPr>
          <w:rFonts w:hint="default" w:ascii="Times New Roman" w:hAnsi="Times New Roman" w:eastAsia="方正仿宋_GBK" w:cs="Times New Roman"/>
          <w:sz w:val="32"/>
          <w:szCs w:val="32"/>
        </w:rPr>
        <w:t>106.46</w:t>
      </w:r>
      <w:r>
        <w:rPr>
          <w:rFonts w:hint="default" w:ascii="Times New Roman" w:hAnsi="Times New Roman" w:eastAsia="方正仿宋_GBK" w:cs="Times New Roman"/>
          <w:sz w:val="32"/>
          <w:szCs w:val="32"/>
          <w:shd w:val="clear" w:color="auto" w:fill="FFFFFF"/>
        </w:rPr>
        <w:t>万元，占政府采购支出总额的</w:t>
      </w:r>
      <w:r>
        <w:rPr>
          <w:rFonts w:hint="default" w:ascii="Times New Roman" w:hAnsi="Times New Roman" w:eastAsia="方正仿宋_GBK" w:cs="Times New Roman"/>
          <w:sz w:val="32"/>
          <w:szCs w:val="32"/>
        </w:rPr>
        <w:t>22.82</w:t>
      </w:r>
      <w:r>
        <w:rPr>
          <w:rFonts w:hint="default" w:ascii="Times New Roman" w:hAnsi="Times New Roman" w:eastAsia="方正仿宋_GBK" w:cs="Times New Roman"/>
          <w:sz w:val="32"/>
          <w:szCs w:val="32"/>
          <w:shd w:val="clear" w:color="auto" w:fill="FFFFFF"/>
        </w:rPr>
        <w:t xml:space="preserve"> %。主要用于采购</w:t>
      </w:r>
      <w:r>
        <w:rPr>
          <w:rFonts w:hint="default" w:ascii="Times New Roman" w:hAnsi="Times New Roman" w:eastAsia="方正仿宋_GBK" w:cs="Times New Roman"/>
          <w:color w:val="auto"/>
          <w:sz w:val="32"/>
          <w:szCs w:val="32"/>
          <w:shd w:val="clear" w:color="auto" w:fill="FFFFFF"/>
          <w:lang w:eastAsia="zh-CN"/>
        </w:rPr>
        <w:t>医疗设备、物业服务等货物或服务。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五、</w:t>
      </w:r>
      <w:r>
        <w:rPr>
          <w:rStyle w:val="11"/>
          <w:rFonts w:hint="default" w:ascii="Times New Roman" w:hAnsi="Times New Roman" w:eastAsia="方正黑体_GBK" w:cs="Times New Roman"/>
          <w:b w:val="0"/>
          <w:bCs/>
          <w:sz w:val="32"/>
          <w:szCs w:val="32"/>
          <w:shd w:val="clear" w:color="auto" w:fill="FFFFFF"/>
        </w:rPr>
        <w:t>预算绩效管理情况说明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（一）单位自评情况</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仿宋_GBK" w:cs="Times New Roman"/>
          <w:sz w:val="32"/>
          <w:szCs w:val="32"/>
          <w:shd w:val="clear" w:color="auto" w:fill="FFFFFF"/>
        </w:rPr>
        <w:t>根据预算绩效管理要求，</w:t>
      </w: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单位对部门整体</w:t>
      </w:r>
      <w:r>
        <w:rPr>
          <w:rFonts w:hint="default" w:ascii="Times New Roman" w:hAnsi="Times New Roman" w:eastAsia="方正仿宋_GBK" w:cs="Times New Roman"/>
          <w:sz w:val="32"/>
          <w:szCs w:val="32"/>
          <w:highlight w:val="none"/>
          <w:shd w:val="clear" w:color="auto" w:fill="FFFFFF"/>
          <w:lang w:val="en-US" w:eastAsia="zh-CN"/>
        </w:rPr>
        <w:t>6</w:t>
      </w:r>
      <w:r>
        <w:rPr>
          <w:rFonts w:hint="default" w:ascii="Times New Roman" w:hAnsi="Times New Roman" w:eastAsia="方正仿宋_GBK" w:cs="Times New Roman"/>
          <w:sz w:val="32"/>
          <w:szCs w:val="32"/>
          <w:shd w:val="clear" w:color="auto" w:fill="FFFFFF"/>
        </w:rPr>
        <w:t>个二级项目开展了绩效自评，涉及财政拨款项目支出资金</w:t>
      </w:r>
      <w:r>
        <w:rPr>
          <w:rFonts w:hint="default" w:ascii="Times New Roman" w:hAnsi="Times New Roman" w:eastAsia="方正仿宋_GBK" w:cs="Times New Roman"/>
          <w:sz w:val="32"/>
          <w:szCs w:val="32"/>
          <w:shd w:val="clear" w:color="auto" w:fill="FFFFFF"/>
          <w:lang w:val="en-US" w:eastAsia="zh-CN"/>
        </w:rPr>
        <w:t>703.77</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240" w:lineRule="auto"/>
        <w:textAlignment w:val="auto"/>
        <w:rPr>
          <w:rStyle w:val="11"/>
          <w:rFonts w:hint="eastAsia" w:ascii="Times New Roman" w:hAnsi="Times New Roman" w:eastAsia="方正楷体_GBK" w:cs="Times New Roman"/>
          <w:b w:val="0"/>
          <w:bCs/>
          <w:sz w:val="32"/>
          <w:szCs w:val="32"/>
          <w:shd w:val="clear" w:color="auto" w:fill="FFFFFF"/>
          <w:lang w:eastAsia="zh-CN"/>
        </w:rPr>
      </w:pPr>
      <w:r>
        <w:drawing>
          <wp:inline distT="0" distB="0" distL="114300" distR="114300">
            <wp:extent cx="5276850" cy="3340735"/>
            <wp:effectExtent l="0" t="0" r="11430"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76850" cy="3340735"/>
                    </a:xfrm>
                    <a:prstGeom prst="rect">
                      <a:avLst/>
                    </a:prstGeom>
                    <a:noFill/>
                    <a:ln>
                      <a:noFill/>
                    </a:ln>
                  </pic:spPr>
                </pic:pic>
              </a:graphicData>
            </a:graphic>
          </wp:inline>
        </w:drawing>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（二）单位绩效评价情况</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shd w:val="clear" w:color="auto" w:fill="FFFFFF"/>
          <w:lang w:eastAsia="zh-CN"/>
        </w:rPr>
      </w:pPr>
      <w:r>
        <w:rPr>
          <w:rFonts w:hint="eastAsia" w:ascii="Times New Roman" w:hAnsi="Times New Roman" w:eastAsia="方正仿宋_GBK" w:cs="Times New Roman"/>
          <w:sz w:val="32"/>
          <w:szCs w:val="32"/>
          <w:shd w:val="clear" w:color="auto" w:fill="FFFFFF"/>
          <w:lang w:eastAsia="zh-CN"/>
        </w:rPr>
        <w:t>本单位未组织开展绩效评价。</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（三）财政绩效评价情况</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eastAsia" w:ascii="Times New Roman" w:hAnsi="Times New Roman" w:eastAsia="方正仿宋_GBK" w:cs="Times New Roman"/>
          <w:sz w:val="32"/>
          <w:szCs w:val="32"/>
          <w:shd w:val="clear" w:color="auto" w:fill="FFFFFF"/>
          <w:lang w:eastAsia="zh-CN"/>
        </w:rPr>
        <w:t>县</w:t>
      </w:r>
      <w:r>
        <w:rPr>
          <w:rFonts w:hint="default" w:ascii="Times New Roman" w:hAnsi="Times New Roman" w:eastAsia="方正仿宋_GBK" w:cs="Times New Roman"/>
          <w:sz w:val="32"/>
          <w:szCs w:val="32"/>
          <w:shd w:val="clear" w:color="auto" w:fill="FFFFFF"/>
        </w:rPr>
        <w:t>财政局未委托第三方对</w:t>
      </w: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  六、专业名词解释</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 （一）财政拨款收入：</w:t>
      </w:r>
      <w:r>
        <w:rPr>
          <w:rFonts w:hint="default" w:ascii="Times New Roman" w:hAnsi="Times New Roman" w:eastAsia="方正仿宋_GBK" w:cs="Times New Roman"/>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（二）事业收入：</w:t>
      </w:r>
      <w:r>
        <w:rPr>
          <w:rFonts w:hint="default" w:ascii="Times New Roman" w:hAnsi="Times New Roman" w:eastAsia="方正仿宋_GBK" w:cs="Times New Roman"/>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（四）其他收入：</w:t>
      </w:r>
      <w:r>
        <w:rPr>
          <w:rFonts w:hint="default" w:ascii="Times New Roman" w:hAnsi="Times New Roman" w:eastAsia="方正仿宋_GBK" w:cs="Times New Roman"/>
          <w:sz w:val="32"/>
          <w:szCs w:val="32"/>
          <w:shd w:val="clear" w:color="auto" w:fill="FFFFFF"/>
        </w:rPr>
        <w:t>指单位取得的除“财政拨款收入</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事业收入</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（五）使用非财政拨款结余：</w:t>
      </w:r>
      <w:r>
        <w:rPr>
          <w:rFonts w:hint="default" w:ascii="Times New Roman" w:hAnsi="Times New Roman" w:eastAsia="方正仿宋_GBK" w:cs="Times New Roman"/>
          <w:sz w:val="32"/>
          <w:szCs w:val="32"/>
          <w:shd w:val="clear" w:color="auto" w:fill="FFFFFF"/>
        </w:rPr>
        <w:t>指单位在当年的“财政拨款收入</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事业收入</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经营收入</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 （九）基本支出：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 （十）项目支出：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 （十一）经营支出：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（十二）“三公”经费：</w:t>
      </w:r>
      <w:r>
        <w:rPr>
          <w:rFonts w:hint="default" w:ascii="Times New Roman" w:hAnsi="Times New Roman" w:eastAsia="方正仿宋_GBK" w:cs="Times New Roman"/>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楷体" w:cs="Times New Roman"/>
          <w:b w:val="0"/>
          <w:bCs/>
          <w:sz w:val="32"/>
          <w:szCs w:val="32"/>
          <w:shd w:val="clear" w:color="auto" w:fill="FFFFFF"/>
        </w:rPr>
        <w:t> </w:t>
      </w:r>
      <w:r>
        <w:rPr>
          <w:rStyle w:val="11"/>
          <w:rFonts w:hint="default" w:ascii="Times New Roman" w:hAnsi="Times New Roman" w:eastAsia="方正楷体_GBK" w:cs="Times New Roman"/>
          <w:b w:val="0"/>
          <w:bCs/>
          <w:sz w:val="32"/>
          <w:szCs w:val="32"/>
          <w:shd w:val="clear" w:color="auto" w:fill="FFFFFF"/>
        </w:rPr>
        <w:t>（十六）对个人和家庭的补助（支出经济分类科目类级）：</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 （十七）其他资本性支出（支出经济分类科目类级）：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 xml:space="preserve"> 七、决算公开联系方式及信息反馈渠道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田宗祥</w:t>
      </w:r>
      <w:r>
        <w:rPr>
          <w:rFonts w:hint="default"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rPr>
        <w:t>023-7666217</w:t>
      </w:r>
      <w:r>
        <w:rPr>
          <w:rFonts w:hint="default" w:ascii="Times New Roman" w:hAnsi="Times New Roman" w:eastAsia="方正仿宋_GBK" w:cs="Times New Roman"/>
          <w:sz w:val="32"/>
          <w:szCs w:val="32"/>
          <w:shd w:val="clear" w:color="auto" w:fill="FFFFFF"/>
          <w:lang w:val="en-US" w:eastAsia="zh-CN"/>
        </w:rPr>
        <w:t>6</w:t>
      </w:r>
    </w:p>
    <w:p>
      <w:pPr>
        <w:rPr>
          <w:rFonts w:hint="default" w:ascii="Times New Roman" w:hAnsi="Times New Roman" w:cs="Times New Roman"/>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重庆市秀山土家族苗族自治县中医医院</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2,398.46</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10,439.86</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278.20</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390.66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11,894.73</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142.92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13,116.53</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12,428.31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628.10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124.12</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184.24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13,240.65</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13,240.65</w:t>
            </w:r>
            <w:r>
              <w:rPr>
                <w:rFonts w:hint="default" w:ascii="Times New Roman" w:hAnsi="Times New Roman" w:cs="Times New Roman"/>
                <w:color w:val="000000"/>
                <w:sz w:val="20"/>
                <w:u w:color="auto"/>
              </w:rPr>
              <w:t xml:space="preserve"> </w:t>
            </w:r>
          </w:p>
        </w:tc>
      </w:tr>
    </w:tbl>
    <w:p>
      <w:pPr>
        <w:spacing w:line="240" w:lineRule="exact"/>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备注：1.本表反映单位本年度的总收支和年末结转结余情况。</w:t>
      </w:r>
    </w:p>
    <w:p>
      <w:pPr>
        <w:spacing w:line="240" w:lineRule="exact"/>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 xml:space="preserve">      2.本套报表金额单位转换时可能存在尾数误差。</w:t>
      </w:r>
    </w:p>
    <w:p>
      <w:pPr>
        <w:spacing w:line="240" w:lineRule="exact"/>
        <w:rPr>
          <w:rFonts w:hint="default" w:ascii="Times New Roman" w:hAnsi="Times New Roman" w:eastAsia="宋体" w:cs="Times New Roman"/>
          <w:sz w:val="20"/>
          <w:szCs w:val="20"/>
          <w:lang w:eastAsia="zh-CN"/>
        </w:rPr>
      </w:pPr>
    </w:p>
    <w:p>
      <w:pPr>
        <w:spacing w:line="240" w:lineRule="exact"/>
        <w:rPr>
          <w:rFonts w:hint="default" w:ascii="Times New Roman" w:hAnsi="Times New Roman" w:eastAsia="宋体" w:cs="Times New Roman"/>
          <w:sz w:val="20"/>
          <w:szCs w:val="20"/>
          <w:lang w:eastAsia="zh-CN"/>
        </w:rPr>
      </w:pPr>
    </w:p>
    <w:tbl>
      <w:tblPr>
        <w:tblStyle w:val="12"/>
        <w:tblW w:w="15378" w:type="dxa"/>
        <w:tblInd w:w="0" w:type="dxa"/>
        <w:tblLayout w:type="fixed"/>
        <w:tblCellMar>
          <w:top w:w="0" w:type="dxa"/>
          <w:left w:w="0" w:type="dxa"/>
          <w:bottom w:w="0" w:type="dxa"/>
          <w:right w:w="0" w:type="dxa"/>
        </w:tblCellMar>
      </w:tblPr>
      <w:tblGrid>
        <w:gridCol w:w="1701"/>
        <w:gridCol w:w="3362"/>
        <w:gridCol w:w="1043"/>
        <w:gridCol w:w="1230"/>
        <w:gridCol w:w="1230"/>
        <w:gridCol w:w="1230"/>
        <w:gridCol w:w="1366"/>
        <w:gridCol w:w="1304"/>
        <w:gridCol w:w="1436"/>
        <w:gridCol w:w="1476"/>
      </w:tblGrid>
      <w:tr>
        <w:tblPrEx>
          <w:tblLayout w:type="fixed"/>
          <w:tblCellMar>
            <w:top w:w="0" w:type="dxa"/>
            <w:left w:w="0" w:type="dxa"/>
            <w:bottom w:w="0" w:type="dxa"/>
            <w:right w:w="0" w:type="dxa"/>
          </w:tblCellMar>
        </w:tblPrEx>
        <w:trPr>
          <w:trHeight w:val="280" w:hRule="atLeast"/>
          <w:tblHeader/>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45" w:hRule="atLeast"/>
          <w:tblHeader/>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重庆市秀山土家族苗族自治县中医医院</w:t>
            </w: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7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45" w:hRule="atLeast"/>
          <w:tblHeader/>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7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5" w:hRule="atLeast"/>
          <w:tblHeader/>
        </w:trPr>
        <w:tc>
          <w:tcPr>
            <w:tcW w:w="506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96"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12" w:hRule="atLeast"/>
          <w:tblHeader/>
        </w:trPr>
        <w:tc>
          <w:tcPr>
            <w:tcW w:w="170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362"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0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blHeader/>
        </w:trPr>
        <w:tc>
          <w:tcPr>
            <w:tcW w:w="170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blHeader/>
        </w:trPr>
        <w:tc>
          <w:tcPr>
            <w:tcW w:w="170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blHeader/>
        </w:trPr>
        <w:tc>
          <w:tcPr>
            <w:tcW w:w="170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62"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0" w:hRule="exact"/>
          <w:tblHeader/>
        </w:trPr>
        <w:tc>
          <w:tcPr>
            <w:tcW w:w="506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0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13,116.53</w:t>
            </w:r>
            <w:r>
              <w:rPr>
                <w:rFonts w:hint="default" w:ascii="Times New Roman" w:hAnsi="Times New Roman" w:cs="Times New Roman"/>
                <w:b/>
                <w:color w:val="000000"/>
                <w:sz w:val="20"/>
                <w:szCs w:val="24"/>
                <w:u w:color="auto"/>
              </w:rPr>
              <w:t xml:space="preserve"> </w:t>
            </w:r>
          </w:p>
        </w:tc>
        <w:tc>
          <w:tcPr>
            <w:tcW w:w="12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2,398.46</w:t>
            </w:r>
            <w:r>
              <w:rPr>
                <w:rFonts w:hint="default" w:ascii="Times New Roman" w:hAnsi="Times New Roman" w:cs="Times New Roman"/>
                <w:b/>
                <w:color w:val="000000"/>
                <w:sz w:val="20"/>
                <w:szCs w:val="24"/>
                <w:u w:color="auto"/>
              </w:rPr>
              <w:t xml:space="preserve"> </w:t>
            </w:r>
          </w:p>
        </w:tc>
        <w:tc>
          <w:tcPr>
            <w:tcW w:w="12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4"/>
                <w:u w:color="auto"/>
              </w:rPr>
              <w:t xml:space="preserve"> </w:t>
            </w:r>
          </w:p>
        </w:tc>
        <w:tc>
          <w:tcPr>
            <w:tcW w:w="12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10,439.86</w:t>
            </w:r>
            <w:r>
              <w:rPr>
                <w:rFonts w:hint="default" w:ascii="Times New Roman" w:hAnsi="Times New Roman" w:cs="Times New Roman"/>
                <w:b/>
                <w:color w:val="000000"/>
                <w:sz w:val="20"/>
                <w:szCs w:val="24"/>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4"/>
                <w:u w:color="auto"/>
              </w:rPr>
              <w:t xml:space="preserve"> </w:t>
            </w:r>
          </w:p>
        </w:tc>
        <w:tc>
          <w:tcPr>
            <w:tcW w:w="13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4"/>
                <w:u w:color="auto"/>
              </w:rPr>
              <w:t xml:space="preserve"> </w:t>
            </w:r>
          </w:p>
        </w:tc>
        <w:tc>
          <w:tcPr>
            <w:tcW w:w="14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4"/>
                <w:u w:color="auto"/>
              </w:rPr>
              <w:t xml:space="preserve"> </w:t>
            </w:r>
          </w:p>
        </w:tc>
        <w:tc>
          <w:tcPr>
            <w:tcW w:w="14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278.20</w:t>
            </w:r>
            <w:r>
              <w:rPr>
                <w:rFonts w:hint="default" w:ascii="Times New Roman" w:hAnsi="Times New Roman" w:cs="Times New Roman"/>
                <w:b/>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153.09</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153.09</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124.85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75.85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49.00</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177.16</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106.54</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70.62</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88.65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55.18</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33.46</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12,582.95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2,081.05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10,223.69</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278.20</w:t>
            </w:r>
            <w:r>
              <w:rPr>
                <w:rFonts w:hint="default" w:ascii="Times New Roman" w:hAnsi="Times New Roman" w:cs="Times New Roman"/>
                <w:b/>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11,550.82</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1,093.19</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10,179.42</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278.20</w:t>
            </w:r>
            <w:r>
              <w:rPr>
                <w:rFonts w:hint="default" w:ascii="Times New Roman" w:hAnsi="Times New Roman" w:cs="Times New Roman"/>
                <w:b/>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11,550.82</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10,179.42</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278.20</w:t>
            </w: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627.09</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627.09</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21006</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中医药</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165.79</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165.79</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2100601</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中医（民族医）药专项</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165.79</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165.79</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110.86</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66.58</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44.28</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110.86</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66.58</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44.28</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124.95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124.95</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124.95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124.95</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63.08</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63.08</w:t>
            </w:r>
            <w:r>
              <w:rPr>
                <w:rFonts w:hint="default" w:ascii="Times New Roman" w:hAnsi="Times New Roman" w:cs="Times New Roman"/>
                <w:b/>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r>
        <w:tblPrEx>
          <w:tblLayout w:type="fixed"/>
          <w:tblCellMar>
            <w:top w:w="0" w:type="dxa"/>
            <w:left w:w="0" w:type="dxa"/>
            <w:bottom w:w="0" w:type="dxa"/>
            <w:right w:w="0" w:type="dxa"/>
          </w:tblCellMar>
        </w:tblPrEx>
        <w:trPr>
          <w:trHeight w:val="300" w:hRule="exact"/>
          <w:tblHeader/>
        </w:trPr>
        <w:tc>
          <w:tcPr>
            <w:tcW w:w="17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3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142.92</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79.84</w:t>
            </w: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63.08</w:t>
            </w:r>
            <w:r>
              <w:rPr>
                <w:rFonts w:hint="default" w:ascii="Times New Roman" w:hAnsi="Times New Roman" w:cs="Times New Roman"/>
                <w:color w:val="000000"/>
                <w:sz w:val="20"/>
                <w:szCs w:val="24"/>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4"/>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bookmarkStart w:id="0" w:name="_GoBack"/>
      <w:bookmarkEnd w:id="0"/>
      <w:r>
        <w:rPr>
          <w:rFonts w:hint="default" w:ascii="Times New Roman" w:hAnsi="Times New Roman" w:cs="Times New Roman"/>
          <w:sz w:val="20"/>
          <w:szCs w:val="20"/>
        </w:rPr>
        <w:t>2.本套报表金额单位转换时可能存在尾数误差。</w:t>
      </w:r>
    </w:p>
    <w:p>
      <w:pPr>
        <w:rPr>
          <w:rFonts w:hint="default" w:ascii="Times New Roman" w:hAnsi="Times New Roman" w:cs="Times New Roman"/>
          <w:sz w:val="20"/>
          <w:szCs w:val="20"/>
        </w:rPr>
      </w:pPr>
      <w:r>
        <w:rPr>
          <w:rFonts w:hint="default" w:ascii="Times New Roman" w:hAnsi="Times New Roman" w:cs="Times New Roman"/>
          <w:sz w:val="20"/>
          <w:szCs w:val="20"/>
        </w:rPr>
        <w:br w:type="page"/>
      </w:r>
    </w:p>
    <w:tbl>
      <w:tblPr>
        <w:tblStyle w:val="12"/>
        <w:tblW w:w="15378" w:type="dxa"/>
        <w:tblInd w:w="0" w:type="dxa"/>
        <w:tblLayout w:type="fixed"/>
        <w:tblCellMar>
          <w:top w:w="0" w:type="dxa"/>
          <w:left w:w="0" w:type="dxa"/>
          <w:bottom w:w="0" w:type="dxa"/>
          <w:right w:w="0" w:type="dxa"/>
        </w:tblCellMar>
      </w:tblPr>
      <w:tblGrid>
        <w:gridCol w:w="1802"/>
        <w:gridCol w:w="3355"/>
        <w:gridCol w:w="1701"/>
        <w:gridCol w:w="1701"/>
        <w:gridCol w:w="1701"/>
        <w:gridCol w:w="1685"/>
        <w:gridCol w:w="1685"/>
        <w:gridCol w:w="1748"/>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 xml:space="preserve">重庆市秀山土家族苗族自治县中医医院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515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exact"/>
        </w:trPr>
        <w:tc>
          <w:tcPr>
            <w:tcW w:w="515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12,428.31</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11,724.55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703.77</w:t>
            </w: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390.66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124.85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124.85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177.16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177.16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88.65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88.65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11,894.73</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11,190.97</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703.77</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0.20</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0.20</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0.20</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0.20</w:t>
            </w: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11,031.64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11,031.64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11,031.64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11,031.64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627.09</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6.34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620.75</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110.86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110.86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110.86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110.86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124.95</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42.13</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82.82</w:t>
            </w:r>
            <w:r>
              <w:rPr>
                <w:rFonts w:hint="default" w:ascii="Times New Roman" w:hAnsi="Times New Roman" w:cs="Times New Roman"/>
                <w:b/>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124.95</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42.13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82.82</w:t>
            </w: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142.92</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12" w:hRule="exact"/>
        </w:trPr>
        <w:tc>
          <w:tcPr>
            <w:tcW w:w="18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142.92</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142.92</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备注：1.本表反映单位本年度各项支出情况。</w:t>
      </w:r>
    </w:p>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 xml:space="preserve">      2.本套报表金额单位转换时可能存在尾数误差。</w:t>
      </w:r>
    </w:p>
    <w:p>
      <w:pPr>
        <w:rPr>
          <w:rFonts w:hint="default" w:ascii="Times New Roman" w:hAnsi="Times New Roman" w:eastAsia="宋体" w:cs="Times New Roman"/>
          <w:sz w:val="20"/>
          <w:szCs w:val="20"/>
          <w:lang w:eastAsia="zh-CN"/>
        </w:rPr>
      </w:pPr>
    </w:p>
    <w:p>
      <w:pPr>
        <w:rPr>
          <w:rFonts w:hint="default" w:ascii="Times New Roman" w:hAnsi="Times New Roman" w:cs="Times New Roman"/>
          <w:sz w:val="21"/>
          <w:szCs w:val="21"/>
        </w:rPr>
      </w:pPr>
      <w:r>
        <w:rPr>
          <w:rFonts w:hint="default" w:ascii="Times New Roman" w:hAnsi="Times New Roman" w:cs="Times New Roman"/>
          <w:sz w:val="21"/>
          <w:szCs w:val="21"/>
        </w:rPr>
        <w:br w:type="page"/>
      </w:r>
    </w:p>
    <w:p>
      <w:pPr>
        <w:rPr>
          <w:rFonts w:hint="default" w:ascii="Times New Roman" w:hAnsi="Times New Roman" w:cs="Times New Roman"/>
          <w:sz w:val="21"/>
          <w:szCs w:val="21"/>
        </w:rPr>
      </w:pPr>
    </w:p>
    <w:tbl>
      <w:tblPr>
        <w:tblStyle w:val="12"/>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重庆市秀山土家族苗族自治县中医医院</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55" w:hRule="exac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255" w:hRule="exac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255" w:hRule="exac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2,398.46</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237.57</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237.57</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1,912.01</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1,912.01</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79.84</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79.84</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2,398.46</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2,229.42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2,229.42</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15.20</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184.24</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184.24</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15.20</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255" w:hRule="exac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2,413.66</w:t>
            </w:r>
            <w:r>
              <w:rPr>
                <w:rFonts w:hint="default" w:ascii="Times New Roman" w:hAnsi="Times New Roman" w:cs="Times New Roman"/>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2,413.66</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2,413.66</w:t>
            </w:r>
            <w:r>
              <w:rPr>
                <w:rFonts w:hint="default" w:ascii="Times New Roman" w:hAnsi="Times New Roman" w:cs="Times New Roman"/>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p>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2.本套报表金额单位转换时可能存在尾数误差。</w:t>
      </w:r>
    </w:p>
    <w:tbl>
      <w:tblPr>
        <w:tblStyle w:val="12"/>
        <w:tblW w:w="15258" w:type="dxa"/>
        <w:tblInd w:w="0" w:type="dxa"/>
        <w:tblLayout w:type="fixed"/>
        <w:tblCellMar>
          <w:top w:w="0" w:type="dxa"/>
          <w:left w:w="0" w:type="dxa"/>
          <w:bottom w:w="0" w:type="dxa"/>
          <w:right w:w="0" w:type="dxa"/>
        </w:tblCellMar>
      </w:tblPr>
      <w:tblGrid>
        <w:gridCol w:w="1839"/>
        <w:gridCol w:w="3522"/>
        <w:gridCol w:w="3293"/>
        <w:gridCol w:w="3290"/>
        <w:gridCol w:w="3314"/>
      </w:tblGrid>
      <w:tr>
        <w:tblPrEx>
          <w:tblLayout w:type="fixed"/>
          <w:tblCellMar>
            <w:top w:w="0" w:type="dxa"/>
            <w:left w:w="0" w:type="dxa"/>
            <w:bottom w:w="0" w:type="dxa"/>
            <w:right w:w="0" w:type="dxa"/>
          </w:tblCellMar>
        </w:tblPrEx>
        <w:trPr>
          <w:trHeight w:val="627" w:hRule="atLeast"/>
        </w:trPr>
        <w:tc>
          <w:tcPr>
            <w:tcW w:w="1525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321" w:hRule="atLeast"/>
        </w:trPr>
        <w:tc>
          <w:tcPr>
            <w:tcW w:w="8654"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重庆市秀山土家族苗族自治县中医医院</w:t>
            </w:r>
          </w:p>
        </w:tc>
        <w:tc>
          <w:tcPr>
            <w:tcW w:w="329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321" w:hRule="atLeast"/>
        </w:trPr>
        <w:tc>
          <w:tcPr>
            <w:tcW w:w="865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29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0" w:hRule="atLeast"/>
        </w:trPr>
        <w:tc>
          <w:tcPr>
            <w:tcW w:w="536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897"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1" w:hRule="atLeast"/>
        </w:trPr>
        <w:tc>
          <w:tcPr>
            <w:tcW w:w="1839"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2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29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29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1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1" w:hRule="atLeast"/>
        </w:trPr>
        <w:tc>
          <w:tcPr>
            <w:tcW w:w="183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839"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9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1" w:hRule="atLeast"/>
        </w:trPr>
        <w:tc>
          <w:tcPr>
            <w:tcW w:w="5361"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2,229.42</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1,525.66</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703.77</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237.57</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75.85</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75.85</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106.54</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106.54</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55.18</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55.18</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1,912.01</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1,208.25</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703.77</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0.20</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0.20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0.20</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0.20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1,093.19</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1,093.19</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627.09</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6.34</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620.75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6.34</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620.75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66.58</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66.58</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66.58</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66.58</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124.95</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42.13</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82.82</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124.95</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42.13</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82.82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1"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79.84</w:t>
            </w:r>
            <w:r>
              <w:rPr>
                <w:rFonts w:hint="default" w:ascii="Times New Roman" w:hAnsi="Times New Roman" w:cs="Times New Roman"/>
                <w:b/>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30" w:hRule="atLeast"/>
        </w:trPr>
        <w:tc>
          <w:tcPr>
            <w:tcW w:w="183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79.84</w:t>
            </w:r>
            <w:r>
              <w:rPr>
                <w:rFonts w:hint="default" w:ascii="Times New Roman" w:hAnsi="Times New Roman" w:cs="Times New Roman"/>
                <w:color w:val="000000"/>
                <w:sz w:val="20"/>
                <w:u w:color="auto"/>
              </w:rPr>
              <w:t xml:space="preserve"> </w:t>
            </w:r>
          </w:p>
        </w:tc>
        <w:tc>
          <w:tcPr>
            <w:tcW w:w="3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79.84</w:t>
            </w:r>
            <w:r>
              <w:rPr>
                <w:rFonts w:hint="default" w:ascii="Times New Roman" w:hAnsi="Times New Roman" w:cs="Times New Roman"/>
                <w:color w:val="000000"/>
                <w:sz w:val="20"/>
                <w:u w:color="auto"/>
              </w:rPr>
              <w:t xml:space="preserve"> </w:t>
            </w:r>
          </w:p>
        </w:tc>
        <w:tc>
          <w:tcPr>
            <w:tcW w:w="33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备注：1.本表反映单位本年度一般公共预算财政拨款支出情况。</w:t>
      </w:r>
    </w:p>
    <w:p>
      <w:pPr>
        <w:rPr>
          <w:rFonts w:hint="default" w:ascii="Times New Roman" w:hAnsi="Times New Roman" w:cs="Times New Roman"/>
          <w:sz w:val="21"/>
          <w:szCs w:val="21"/>
        </w:rPr>
      </w:pPr>
      <w:r>
        <w:rPr>
          <w:rFonts w:hint="default" w:ascii="Times New Roman" w:hAnsi="Times New Roman" w:cs="Times New Roman"/>
          <w:sz w:val="20"/>
          <w:szCs w:val="20"/>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18"/>
                <w:szCs w:val="18"/>
              </w:rPr>
              <w:t>公开单位</w:t>
            </w:r>
            <w:r>
              <w:rPr>
                <w:rFonts w:hint="default" w:ascii="Times New Roman" w:hAnsi="Times New Roman" w:cs="Times New Roman"/>
                <w:color w:val="000000"/>
                <w:sz w:val="18"/>
                <w:szCs w:val="18"/>
              </w:rPr>
              <w:t xml:space="preserve">： </w:t>
            </w:r>
            <w:r>
              <w:rPr>
                <w:rFonts w:hint="default" w:ascii="Times New Roman" w:hAnsi="Times New Roman" w:cs="Times New Roman"/>
                <w:color w:val="000000"/>
                <w:sz w:val="18"/>
                <w:szCs w:val="22"/>
                <w:u w:color="auto"/>
              </w:rPr>
              <w:t>重庆市秀山土家族苗族自治县中医医院</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1,393.77</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47.56</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360.88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122.76</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579.47</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106.54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55.18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66.58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2.08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79.84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20.45</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84.33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6.34</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2.71</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73.39</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41.22</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8.23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1,478.10</w:t>
            </w:r>
            <w:r>
              <w:rPr>
                <w:rFonts w:hint="default" w:ascii="Times New Roman" w:hAnsi="Times New Roman"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47.56</w:t>
            </w: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备注：1.本表反映单位本年度一般公共预算财政拨款基本支出明细情况。</w:t>
      </w:r>
    </w:p>
    <w:p>
      <w:pPr>
        <w:spacing w:line="280" w:lineRule="exact"/>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 xml:space="preserve">      2.本套报表金额单位转换时可能存在尾数误差。</w:t>
      </w:r>
    </w:p>
    <w:p>
      <w:pPr>
        <w:spacing w:line="280" w:lineRule="exact"/>
        <w:rPr>
          <w:rFonts w:hint="default" w:ascii="Times New Roman" w:hAnsi="Times New Roman" w:eastAsia="宋体" w:cs="Times New Roman"/>
          <w:sz w:val="20"/>
          <w:szCs w:val="20"/>
          <w:lang w:eastAsia="zh-CN"/>
        </w:rPr>
      </w:pPr>
    </w:p>
    <w:p>
      <w:pPr>
        <w:spacing w:line="280" w:lineRule="exact"/>
        <w:rPr>
          <w:rFonts w:hint="default" w:ascii="Times New Roman" w:hAnsi="Times New Roman" w:cs="Times New Roman"/>
          <w:sz w:val="20"/>
          <w:szCs w:val="20"/>
        </w:rPr>
      </w:pP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重庆市秀山土家族苗族自治县中医医院</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p>
    <w:p>
      <w:pPr>
        <w:rPr>
          <w:rFonts w:hint="default" w:ascii="Times New Roman" w:hAnsi="Times New Roman" w:eastAsia="宋体" w:cs="Times New Roman"/>
          <w:sz w:val="20"/>
          <w:szCs w:val="20"/>
          <w:lang w:eastAsia="zh-CN"/>
        </w:rPr>
      </w:pPr>
    </w:p>
    <w:p>
      <w:pPr>
        <w:rPr>
          <w:rFonts w:hint="default" w:ascii="Times New Roman" w:hAnsi="Times New Roman" w:eastAsia="宋体" w:cs="Times New Roman"/>
          <w:sz w:val="20"/>
          <w:szCs w:val="20"/>
          <w:lang w:eastAsia="zh-CN"/>
        </w:rPr>
      </w:pP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重庆市秀山土家族苗族自治县中医医院</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备注：本表反映单位本年度国有资本经营预算财政拨款支出情况。本单位无国有资本经营收支，故本表无数据。</w:t>
      </w:r>
    </w:p>
    <w:p>
      <w:pPr>
        <w:rPr>
          <w:rFonts w:hint="default" w:ascii="Times New Roman" w:hAnsi="Times New Roman" w:eastAsia="宋体" w:cs="Times New Roman"/>
          <w:sz w:val="20"/>
          <w:szCs w:val="20"/>
          <w:lang w:eastAsia="zh-CN"/>
        </w:rPr>
      </w:pP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重庆市秀山土家族苗族自治县中医医院</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6"/>
                <w:szCs w:val="16"/>
              </w:rPr>
            </w:pPr>
            <w:r>
              <w:rPr>
                <w:rFonts w:hint="default" w:ascii="Times New Roman" w:hAnsi="Times New Roman" w:cs="Times New Roman"/>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4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2</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2</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466.44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368.44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98.00</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106.46</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106.46</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sz w:val="16"/>
                <w:szCs w:val="16"/>
              </w:rPr>
            </w:pPr>
            <w:r>
              <w:rPr>
                <w:rFonts w:hint="default" w:ascii="Times New Roman" w:hAnsi="Times New Roman" w:cs="Times New Roman"/>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16"/>
                <w:szCs w:val="16"/>
              </w:rPr>
            </w:pPr>
          </w:p>
        </w:tc>
      </w:tr>
    </w:tbl>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p>
    <w:p>
      <w:pPr>
        <w:rPr>
          <w:rFonts w:hint="default" w:ascii="Times New Roman" w:hAnsi="Times New Roman" w:eastAsia="宋体" w:cs="Times New Roman"/>
          <w:sz w:val="20"/>
          <w:szCs w:val="20"/>
          <w:lang w:eastAsia="zh-CN"/>
        </w:rPr>
      </w:pPr>
      <w:r>
        <w:rPr>
          <w:rFonts w:hint="default" w:ascii="Times New Roman" w:hAnsi="Times New Roman" w:cs="Times New Roman"/>
          <w:sz w:val="20"/>
          <w:szCs w:val="20"/>
        </w:rPr>
        <w:t xml:space="preserve">      2.本套报表金额单位转换时可能存在尾数误差。</w:t>
      </w:r>
    </w:p>
    <w:p>
      <w:pPr>
        <w:rPr>
          <w:rFonts w:hint="default" w:ascii="Times New Roman" w:hAnsi="Times New Roman" w:eastAsia="宋体" w:cs="Times New Roman"/>
          <w:sz w:val="20"/>
          <w:szCs w:val="20"/>
          <w:lang w:eastAsia="zh-CN"/>
        </w:rPr>
      </w:pPr>
    </w:p>
    <w:p>
      <w:pPr>
        <w:rPr>
          <w:rFonts w:hint="default" w:ascii="Times New Roman" w:hAnsi="Times New Roman" w:eastAsia="宋体" w:cs="Times New Roman"/>
          <w:sz w:val="20"/>
          <w:szCs w:val="20"/>
          <w:lang w:eastAsia="zh-CN"/>
        </w:rPr>
      </w:pP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lOTMwYjVkYmE5MmYwYzJkZjU1NjAxYjFlZjk0YWU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27F295F"/>
    <w:rsid w:val="034D6BB0"/>
    <w:rsid w:val="03B87EA0"/>
    <w:rsid w:val="03E3214F"/>
    <w:rsid w:val="044C50BA"/>
    <w:rsid w:val="05971D90"/>
    <w:rsid w:val="05BC6D49"/>
    <w:rsid w:val="06194FF1"/>
    <w:rsid w:val="06A2550B"/>
    <w:rsid w:val="06F80EE2"/>
    <w:rsid w:val="07001CCA"/>
    <w:rsid w:val="075678DB"/>
    <w:rsid w:val="079D7CC7"/>
    <w:rsid w:val="08051BCA"/>
    <w:rsid w:val="086C12F4"/>
    <w:rsid w:val="08705944"/>
    <w:rsid w:val="08BA052C"/>
    <w:rsid w:val="08DB07BA"/>
    <w:rsid w:val="09497E1A"/>
    <w:rsid w:val="0969353F"/>
    <w:rsid w:val="098305D0"/>
    <w:rsid w:val="09BB6E1E"/>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65673A"/>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9FA2D21"/>
    <w:rsid w:val="1B6F15B6"/>
    <w:rsid w:val="1BAA2EDC"/>
    <w:rsid w:val="1BF41E67"/>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0B7F0B"/>
    <w:rsid w:val="22403BD3"/>
    <w:rsid w:val="24B92327"/>
    <w:rsid w:val="24C14514"/>
    <w:rsid w:val="2533755C"/>
    <w:rsid w:val="25791755"/>
    <w:rsid w:val="26396DF4"/>
    <w:rsid w:val="27167136"/>
    <w:rsid w:val="271B442C"/>
    <w:rsid w:val="27A65157"/>
    <w:rsid w:val="27B23302"/>
    <w:rsid w:val="29310A5F"/>
    <w:rsid w:val="29C37A35"/>
    <w:rsid w:val="29EB48A9"/>
    <w:rsid w:val="2A076083"/>
    <w:rsid w:val="2A73162E"/>
    <w:rsid w:val="2B167953"/>
    <w:rsid w:val="2B200583"/>
    <w:rsid w:val="2B8209DE"/>
    <w:rsid w:val="2C636760"/>
    <w:rsid w:val="2C6762A3"/>
    <w:rsid w:val="2CC633AC"/>
    <w:rsid w:val="2D932FB1"/>
    <w:rsid w:val="2F827FDB"/>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1433DA"/>
    <w:rsid w:val="36C9128A"/>
    <w:rsid w:val="37841E99"/>
    <w:rsid w:val="37BF1123"/>
    <w:rsid w:val="383C3F15"/>
    <w:rsid w:val="38BE4696"/>
    <w:rsid w:val="391908A1"/>
    <w:rsid w:val="3939115E"/>
    <w:rsid w:val="39B82A39"/>
    <w:rsid w:val="39C42CA8"/>
    <w:rsid w:val="39C96289"/>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249E2"/>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6D43DCF"/>
    <w:rsid w:val="471E6C84"/>
    <w:rsid w:val="4748792B"/>
    <w:rsid w:val="475D719D"/>
    <w:rsid w:val="47674801"/>
    <w:rsid w:val="48225EF7"/>
    <w:rsid w:val="488F422B"/>
    <w:rsid w:val="48E36915"/>
    <w:rsid w:val="48EB6572"/>
    <w:rsid w:val="495C4A24"/>
    <w:rsid w:val="497135DF"/>
    <w:rsid w:val="4A263DF2"/>
    <w:rsid w:val="4A6F6675"/>
    <w:rsid w:val="4AA2290B"/>
    <w:rsid w:val="4B135857"/>
    <w:rsid w:val="4B7951CB"/>
    <w:rsid w:val="4B7C315C"/>
    <w:rsid w:val="4C673E0C"/>
    <w:rsid w:val="4C8D3147"/>
    <w:rsid w:val="4C9269AF"/>
    <w:rsid w:val="4DAC4ACA"/>
    <w:rsid w:val="4DBE01D2"/>
    <w:rsid w:val="4DBF1A26"/>
    <w:rsid w:val="4E3D2E0C"/>
    <w:rsid w:val="4F0C6BA3"/>
    <w:rsid w:val="4F186D58"/>
    <w:rsid w:val="50F06B6E"/>
    <w:rsid w:val="51D21804"/>
    <w:rsid w:val="52234D33"/>
    <w:rsid w:val="522F6E0C"/>
    <w:rsid w:val="52463BA1"/>
    <w:rsid w:val="52F163D4"/>
    <w:rsid w:val="531820F6"/>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33A4F"/>
    <w:rsid w:val="56FF7E9E"/>
    <w:rsid w:val="57316C99"/>
    <w:rsid w:val="578867FC"/>
    <w:rsid w:val="5842572D"/>
    <w:rsid w:val="58654483"/>
    <w:rsid w:val="5A3B59D6"/>
    <w:rsid w:val="5AD134D8"/>
    <w:rsid w:val="5C263CE4"/>
    <w:rsid w:val="5C5D2777"/>
    <w:rsid w:val="5CF66BF3"/>
    <w:rsid w:val="5D290C69"/>
    <w:rsid w:val="5F2D4A41"/>
    <w:rsid w:val="5FDA449D"/>
    <w:rsid w:val="60C74F6C"/>
    <w:rsid w:val="61025A59"/>
    <w:rsid w:val="613D5BBC"/>
    <w:rsid w:val="61536C39"/>
    <w:rsid w:val="62944DD7"/>
    <w:rsid w:val="6319381F"/>
    <w:rsid w:val="631D4DCC"/>
    <w:rsid w:val="63800CB4"/>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440E91"/>
    <w:rsid w:val="6A6C7940"/>
    <w:rsid w:val="6A8269C7"/>
    <w:rsid w:val="6AAD2300"/>
    <w:rsid w:val="6B474EF5"/>
    <w:rsid w:val="6C0A5AC5"/>
    <w:rsid w:val="6C560CAE"/>
    <w:rsid w:val="6C576495"/>
    <w:rsid w:val="6C8B0FF9"/>
    <w:rsid w:val="6D6635D8"/>
    <w:rsid w:val="6D903FF5"/>
    <w:rsid w:val="6DA955B8"/>
    <w:rsid w:val="6DE346AB"/>
    <w:rsid w:val="6DE5391A"/>
    <w:rsid w:val="6EE60768"/>
    <w:rsid w:val="6EFD1324"/>
    <w:rsid w:val="6F397A04"/>
    <w:rsid w:val="6F5A53AC"/>
    <w:rsid w:val="6FAC003D"/>
    <w:rsid w:val="6FE55E12"/>
    <w:rsid w:val="6FFB2E76"/>
    <w:rsid w:val="708F6F7F"/>
    <w:rsid w:val="70D94BD3"/>
    <w:rsid w:val="71C34D91"/>
    <w:rsid w:val="726D7C7F"/>
    <w:rsid w:val="72DB435C"/>
    <w:rsid w:val="72E2613A"/>
    <w:rsid w:val="72F771F4"/>
    <w:rsid w:val="73934AD2"/>
    <w:rsid w:val="750837F0"/>
    <w:rsid w:val="754758CF"/>
    <w:rsid w:val="75630D65"/>
    <w:rsid w:val="764F62AB"/>
    <w:rsid w:val="765C45EC"/>
    <w:rsid w:val="768A7619"/>
    <w:rsid w:val="772E1EBA"/>
    <w:rsid w:val="781926BC"/>
    <w:rsid w:val="796D60A4"/>
    <w:rsid w:val="79A031D5"/>
    <w:rsid w:val="7A1525F7"/>
    <w:rsid w:val="7B420052"/>
    <w:rsid w:val="7BD06A28"/>
    <w:rsid w:val="7BD2356E"/>
    <w:rsid w:val="7C3A7C0B"/>
    <w:rsid w:val="7C5248E4"/>
    <w:rsid w:val="7C566698"/>
    <w:rsid w:val="7C5866A3"/>
    <w:rsid w:val="7D7406BB"/>
    <w:rsid w:val="7DE94331"/>
    <w:rsid w:val="7F446A19"/>
    <w:rsid w:val="7F7452B9"/>
    <w:rsid w:val="7F7F15DC"/>
    <w:rsid w:val="7F916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8317</Words>
  <Characters>10507</Characters>
  <Lines>190</Lines>
  <Paragraphs>53</Paragraphs>
  <TotalTime>3</TotalTime>
  <ScaleCrop>false</ScaleCrop>
  <LinksUpToDate>false</LinksUpToDate>
  <CharactersWithSpaces>11636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cp:lastPrinted>2024-09-10T01:33:00Z</cp:lastPrinted>
  <dcterms:modified xsi:type="dcterms:W3CDTF">2024-09-23T05:35:43Z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