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重庆市秀山土家族苗族自治县卫生应急管理中心2023年度决算公开说明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default" w:ascii="方正小标宋_GBK" w:hAnsi="方正小标宋_GBK" w:eastAsia="方正小标宋_GBK" w:cs="方正小标宋_GBK"/>
          <w:sz w:val="44"/>
          <w:szCs w:val="44"/>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eastAsia"/>
          <w:lang w:val="en-US" w:eastAsia="zh-CN"/>
        </w:rPr>
      </w:pPr>
      <w:r>
        <w:rPr>
          <w:rStyle w:val="10"/>
          <w:rFonts w:hint="eastAsia" w:ascii="方正仿宋_GBK" w:hAnsi="方正仿宋_GBK" w:eastAsia="方正仿宋_GBK" w:cs="方正仿宋_GBK"/>
          <w:b w:val="0"/>
          <w:bCs/>
          <w:sz w:val="32"/>
          <w:szCs w:val="32"/>
          <w:shd w:val="clear" w:color="auto" w:fill="FFFFFF"/>
        </w:rPr>
        <w:t>负责应急专项预案编制、应急演练组织实施；负责卫生应急和紧急医学救援；负责卫生应急队伍及公众卫生应急技能培训；负责全县院前急救体系建设与管理；负责卫生应急物资储备、管理；负责反恐、反邪教、扫黑除恶等相关工作；统筹重要会议和重大活动的医疗卫生保障；指导所属事业单位安全生产工作</w:t>
      </w:r>
      <w:r>
        <w:rPr>
          <w:rStyle w:val="10"/>
          <w:rFonts w:hint="eastAsia" w:ascii="方正仿宋_GBK" w:hAnsi="方正仿宋_GBK" w:eastAsia="方正仿宋_GBK" w:cs="方正仿宋_GBK"/>
          <w:b w:val="0"/>
          <w:bCs/>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0"/>
          <w:rFonts w:hint="eastAsia" w:ascii="方正楷体_GBK" w:hAnsi="方正楷体_GBK" w:eastAsia="方正楷体_GBK" w:cs="方正楷体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1.总体情况。</w:t>
      </w:r>
      <w:r>
        <w:rPr>
          <w:rFonts w:ascii="Times New Roman" w:hAnsi="Times New Roman" w:eastAsia="方正仿宋_GBK" w:cs="方正仿宋_GBK"/>
          <w:b w:val="0"/>
          <w:bCs/>
          <w:sz w:val="32"/>
          <w:szCs w:val="32"/>
          <w:shd w:val="clear" w:color="auto" w:fill="FFFFFF"/>
        </w:rPr>
        <w:t>2023年度收入总计103.81万元，支出总计</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万元。收支较上年决算数增加103.81万元，增长100.00%，主要原因是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2.收入情况。</w:t>
      </w:r>
      <w:r>
        <w:rPr>
          <w:rFonts w:ascii="Times New Roman" w:hAnsi="Times New Roman" w:eastAsia="方正仿宋_GBK" w:cs="方正仿宋_GBK"/>
          <w:b w:val="0"/>
          <w:bCs/>
          <w:sz w:val="32"/>
          <w:szCs w:val="32"/>
          <w:shd w:val="clear" w:color="auto" w:fill="FFFFFF"/>
        </w:rPr>
        <w:t>2023年度收入合计103.81万元，较上年决算数增加103.81万元，增长100.00%，主要原因是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其中：财政拨款收入</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万元，占</w:t>
      </w:r>
      <w:r>
        <w:rPr>
          <w:rFonts w:ascii="Times New Roman" w:hAnsi="Times New Roman" w:eastAsia="方正仿宋_GBK" w:cs="方正仿宋_GBK"/>
          <w:b w:val="0"/>
          <w:bCs/>
          <w:sz w:val="32"/>
          <w:szCs w:val="32"/>
        </w:rPr>
        <w:t>100.00</w:t>
      </w:r>
      <w:r>
        <w:rPr>
          <w:rFonts w:ascii="Times New Roman" w:hAnsi="Times New Roman" w:eastAsia="方正仿宋_GBK" w:cs="方正仿宋_GBK"/>
          <w:b w:val="0"/>
          <w:bCs/>
          <w:sz w:val="32"/>
          <w:szCs w:val="32"/>
          <w:shd w:val="clear" w:color="auto" w:fill="FFFFFF"/>
        </w:rPr>
        <w:t>%；事业收入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万元，占0.00%；经营收入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万元，占0.00%；其他收入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万元，占0.00%。此外，使用非财政拨款结余和专用结余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万元，年初结转和结余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3.支出情况。</w:t>
      </w:r>
      <w:r>
        <w:rPr>
          <w:rFonts w:ascii="Times New Roman" w:hAnsi="Times New Roman" w:eastAsia="方正仿宋_GBK" w:cs="方正仿宋_GBK"/>
          <w:b w:val="0"/>
          <w:bCs/>
          <w:sz w:val="32"/>
          <w:szCs w:val="32"/>
          <w:shd w:val="clear" w:color="auto" w:fill="FFFFFF"/>
        </w:rPr>
        <w:t>2023年度支出合计</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万元，较上年决算数增加103.81万元，增长100.00%，主要原因是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其中：基本支出</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万元，占100.00%；项目支出</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万元，占0.00%；经营支出</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万元，占0.00%。此外，结余分配</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4.结转结余情况。</w:t>
      </w:r>
      <w:r>
        <w:rPr>
          <w:rFonts w:ascii="Times New Roman" w:hAnsi="Times New Roman" w:eastAsia="方正仿宋_GBK" w:cs="方正仿宋_GBK"/>
          <w:b w:val="0"/>
          <w:bCs/>
          <w:sz w:val="32"/>
          <w:szCs w:val="32"/>
          <w:shd w:val="clear" w:color="auto" w:fill="FFFFFF"/>
        </w:rPr>
        <w:t>2023年度年末结转和结余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万元，较上年决算数无增减，主要原因是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Times New Roman" w:hAnsi="Times New Roman" w:eastAsia="方正楷体_GBK" w:cs="方正楷体_GBK"/>
          <w:b w:val="0"/>
          <w:bCs w:val="0"/>
          <w:sz w:val="32"/>
          <w:szCs w:val="32"/>
          <w:shd w:val="clear" w:color="auto" w:fill="FFFFFF"/>
        </w:rPr>
      </w:pPr>
      <w:r>
        <w:rPr>
          <w:rFonts w:hint="eastAsia" w:ascii="Times New Roman" w:hAnsi="Times New Roman" w:eastAsia="方正楷体_GBK" w:cs="方正楷体_GBK"/>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仿宋_GBK" w:cs="方正仿宋_GBK"/>
          <w:sz w:val="32"/>
          <w:szCs w:val="32"/>
          <w:shd w:val="clear" w:color="auto" w:fill="FFFFFF"/>
        </w:rPr>
        <w:t>2023年度财政拨款收、支总计103.81万元。与2022年相比，财政拨款收、支总计各增加103.81万元，增长100.00%。主要原因是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Times New Roman" w:hAnsi="Times New Roman" w:eastAsia="方正楷体_GBK" w:cs="方正楷体_GBK"/>
          <w:b w:val="0"/>
          <w:bCs w:val="0"/>
          <w:sz w:val="32"/>
          <w:szCs w:val="32"/>
          <w:shd w:val="clear" w:color="auto" w:fill="FFFFFF"/>
        </w:rPr>
      </w:pPr>
      <w:r>
        <w:rPr>
          <w:rFonts w:hint="eastAsia" w:ascii="Times New Roman" w:hAnsi="Times New Roman"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1.收入情况。</w:t>
      </w:r>
      <w:r>
        <w:rPr>
          <w:rFonts w:ascii="Times New Roman" w:hAnsi="Times New Roman" w:eastAsia="方正仿宋_GBK" w:cs="方正仿宋_GBK"/>
          <w:b w:val="0"/>
          <w:bCs/>
          <w:sz w:val="32"/>
          <w:szCs w:val="32"/>
          <w:shd w:val="clear" w:color="auto" w:fill="FFFFFF"/>
        </w:rPr>
        <w:t>2023年度一般公共预算财政拨款收入</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万元，较上年决算数增加103.81万元，增长100.00%。主要原因是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较年初预算数增加48.63万元，增长88.13%。主要原因是</w:t>
      </w:r>
      <w:r>
        <w:rPr>
          <w:rFonts w:hint="eastAsia" w:ascii="Times New Roman" w:hAnsi="Times New Roman" w:eastAsia="方正仿宋_GBK" w:cs="方正仿宋_GBK"/>
          <w:b w:val="0"/>
          <w:bCs/>
          <w:sz w:val="32"/>
          <w:szCs w:val="32"/>
          <w:lang w:eastAsia="zh-CN"/>
        </w:rPr>
        <w:t>本单位收入来源于财政实际拨款。</w:t>
      </w:r>
      <w:r>
        <w:rPr>
          <w:rFonts w:ascii="Times New Roman" w:hAnsi="Times New Roman" w:eastAsia="方正仿宋_GBK" w:cs="方正仿宋_GBK"/>
          <w:b w:val="0"/>
          <w:bCs/>
          <w:sz w:val="32"/>
          <w:szCs w:val="32"/>
          <w:shd w:val="clear" w:color="auto" w:fill="FFFFFF"/>
        </w:rPr>
        <w:t>此外，年初财政拨款结转和结余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Style w:val="10"/>
          <w:rFonts w:ascii="Times New Roman" w:hAnsi="Times New Roman" w:eastAsia="方正仿宋_GBK" w:cs="方正仿宋_GBK"/>
          <w:b w:val="0"/>
          <w:bCs/>
          <w:sz w:val="32"/>
          <w:szCs w:val="32"/>
          <w:shd w:val="clear" w:color="auto" w:fill="FFFFFF"/>
        </w:rPr>
        <w:t>2.支出情况。</w:t>
      </w:r>
      <w:r>
        <w:rPr>
          <w:rFonts w:ascii="Times New Roman" w:hAnsi="Times New Roman" w:eastAsia="方正仿宋_GBK" w:cs="方正仿宋_GBK"/>
          <w:b w:val="0"/>
          <w:bCs/>
          <w:sz w:val="32"/>
          <w:szCs w:val="32"/>
          <w:shd w:val="clear" w:color="auto" w:fill="FFFFFF"/>
        </w:rPr>
        <w:t>2023年度一般公共预算财政拨款支出</w:t>
      </w:r>
      <w:r>
        <w:rPr>
          <w:rFonts w:ascii="Times New Roman" w:hAnsi="Times New Roman" w:eastAsia="方正仿宋_GBK" w:cs="方正仿宋_GBK"/>
          <w:b w:val="0"/>
          <w:bCs/>
          <w:sz w:val="32"/>
          <w:szCs w:val="32"/>
        </w:rPr>
        <w:t>103.81</w:t>
      </w:r>
      <w:r>
        <w:rPr>
          <w:rFonts w:ascii="Times New Roman" w:hAnsi="Times New Roman" w:eastAsia="方正仿宋_GBK" w:cs="方正仿宋_GBK"/>
          <w:b w:val="0"/>
          <w:bCs/>
          <w:sz w:val="32"/>
          <w:szCs w:val="32"/>
          <w:shd w:val="clear" w:color="auto" w:fill="FFFFFF"/>
        </w:rPr>
        <w:t>万元，较上年决算数增加103.81万元，增长100.00%。主要原因是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较年初预算数增加48.63万元，增长88.13%。主要原因是</w:t>
      </w:r>
      <w:r>
        <w:rPr>
          <w:rFonts w:hint="eastAsia" w:ascii="Times New Roman" w:hAnsi="Times New Roman" w:eastAsia="方正仿宋_GBK" w:cs="方正仿宋_GBK"/>
          <w:b w:val="0"/>
          <w:bCs/>
          <w:sz w:val="32"/>
          <w:szCs w:val="32"/>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Style w:val="10"/>
          <w:rFonts w:ascii="Times New Roman" w:hAnsi="Times New Roman" w:eastAsia="方正仿宋_GBK" w:cs="方正仿宋_GBK"/>
          <w:b w:val="0"/>
          <w:bCs/>
          <w:sz w:val="32"/>
          <w:szCs w:val="32"/>
          <w:shd w:val="clear" w:color="auto" w:fill="FFFFFF"/>
        </w:rPr>
        <w:t>3.结转结余情况。</w:t>
      </w:r>
      <w:r>
        <w:rPr>
          <w:rFonts w:ascii="Times New Roman" w:hAnsi="Times New Roman" w:eastAsia="方正仿宋_GBK" w:cs="方正仿宋_GBK"/>
          <w:b w:val="0"/>
          <w:bCs/>
          <w:sz w:val="32"/>
          <w:szCs w:val="32"/>
          <w:shd w:val="clear" w:color="auto" w:fill="FFFFFF"/>
        </w:rPr>
        <w:t>2023年度年末一般公共预算财政拨款结转和结余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万元，较上年决算数无增减，主要原因是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color w:val="FF0000"/>
          <w:sz w:val="32"/>
          <w:szCs w:val="32"/>
          <w:highlight w:val="cyan"/>
          <w:shd w:val="clear" w:color="auto" w:fill="FFFFFF"/>
        </w:rPr>
      </w:pPr>
      <w:r>
        <w:rPr>
          <w:rStyle w:val="10"/>
          <w:rFonts w:ascii="Times New Roman" w:hAnsi="Times New Roman" w:eastAsia="方正仿宋_GBK" w:cs="方正仿宋_GBK"/>
          <w:b w:val="0"/>
          <w:bCs/>
          <w:sz w:val="32"/>
          <w:szCs w:val="32"/>
          <w:shd w:val="clear" w:color="auto" w:fill="FFFFFF"/>
        </w:rPr>
        <w:t>4.比较情况。</w:t>
      </w:r>
      <w:r>
        <w:rPr>
          <w:rFonts w:ascii="Times New Roman" w:hAnsi="Times New Roman" w:eastAsia="方正仿宋_GBK" w:cs="方正仿宋_GBK"/>
          <w:b w:val="0"/>
          <w:bCs/>
          <w:sz w:val="32"/>
          <w:szCs w:val="32"/>
          <w:shd w:val="clear" w:color="auto" w:fill="FFFFFF"/>
        </w:rPr>
        <w:t>本单</w:t>
      </w:r>
      <w:r>
        <w:rPr>
          <w:rFonts w:ascii="Times New Roman" w:hAnsi="Times New Roman" w:eastAsia="方正仿宋_GBK" w:cs="方正仿宋_GBK"/>
          <w:sz w:val="32"/>
          <w:szCs w:val="32"/>
          <w:shd w:val="clear" w:color="auto" w:fill="FFFFFF"/>
        </w:rPr>
        <w:t>位2023年度一般公共预算财政拨款支出主要用于以下几个方面：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Fonts w:ascii="Times New Roman" w:hAnsi="Times New Roman" w:eastAsia="方正仿宋_GBK" w:cs="方正仿宋_GBK"/>
          <w:sz w:val="32"/>
          <w:szCs w:val="32"/>
          <w:shd w:val="clear" w:color="auto" w:fill="FFFFFF"/>
        </w:rPr>
        <w:t>（</w:t>
      </w:r>
      <w:r>
        <w:rPr>
          <w:rFonts w:hint="eastAsia" w:ascii="Times New Roman" w:hAnsi="Times New Roman" w:eastAsia="方正仿宋_GBK" w:cs="方正仿宋_GBK"/>
          <w:sz w:val="32"/>
          <w:szCs w:val="32"/>
          <w:shd w:val="clear" w:color="auto" w:fill="FFFFFF"/>
          <w:lang w:val="en-US" w:eastAsia="zh-CN"/>
        </w:rPr>
        <w:t>1</w:t>
      </w:r>
      <w:r>
        <w:rPr>
          <w:rFonts w:ascii="Times New Roman" w:hAnsi="Times New Roman" w:eastAsia="方正仿宋_GBK" w:cs="方正仿宋_GBK"/>
          <w:sz w:val="32"/>
          <w:szCs w:val="32"/>
          <w:shd w:val="clear" w:color="auto" w:fill="FFFFFF"/>
        </w:rPr>
        <w:t>）社会保障与就业支出</w:t>
      </w:r>
      <w:r>
        <w:rPr>
          <w:rFonts w:ascii="Times New Roman" w:hAnsi="Times New Roman" w:eastAsia="方正仿宋_GBK" w:cs="方正仿宋_GBK"/>
          <w:sz w:val="32"/>
          <w:szCs w:val="32"/>
        </w:rPr>
        <w:t>8.12</w:t>
      </w:r>
      <w:r>
        <w:rPr>
          <w:rFonts w:ascii="Times New Roman" w:hAnsi="Times New Roman" w:eastAsia="方正仿宋_GBK" w:cs="方正仿宋_GBK"/>
          <w:sz w:val="32"/>
          <w:szCs w:val="32"/>
          <w:shd w:val="clear" w:color="auto" w:fill="FFFFFF"/>
        </w:rPr>
        <w:t>万元，占</w:t>
      </w:r>
      <w:r>
        <w:rPr>
          <w:rFonts w:ascii="Times New Roman" w:hAnsi="Times New Roman" w:eastAsia="方正仿宋_GBK" w:cs="方正仿宋_GBK"/>
          <w:sz w:val="32"/>
          <w:szCs w:val="32"/>
        </w:rPr>
        <w:t>7.82</w:t>
      </w:r>
      <w:r>
        <w:rPr>
          <w:rFonts w:ascii="Times New Roman" w:hAnsi="Times New Roman" w:eastAsia="方正仿宋_GBK" w:cs="方正仿宋_GBK"/>
          <w:sz w:val="32"/>
          <w:szCs w:val="32"/>
          <w:shd w:val="clear" w:color="auto" w:fill="FFFFFF"/>
        </w:rPr>
        <w:t>%，较年初预算数无增减，主要原因是</w:t>
      </w:r>
      <w:r>
        <w:rPr>
          <w:rFonts w:hint="eastAsia" w:ascii="Times New Roman" w:hAnsi="Times New Roman" w:eastAsia="方正仿宋_GBK" w:cs="方正仿宋_GBK"/>
          <w:b w:val="0"/>
          <w:bCs/>
          <w:sz w:val="32"/>
          <w:szCs w:val="32"/>
          <w:lang w:eastAsia="zh-CN"/>
        </w:rPr>
        <w:t>社保基数每年有调整，本单位支出来源于财政实际拨款。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Fonts w:ascii="Times New Roman" w:hAnsi="Times New Roman" w:eastAsia="方正仿宋_GBK" w:cs="方正仿宋_GBK"/>
          <w:sz w:val="32"/>
          <w:szCs w:val="32"/>
          <w:shd w:val="clear" w:color="auto" w:fill="FFFFFF"/>
        </w:rPr>
        <w:t>（</w:t>
      </w:r>
      <w:r>
        <w:rPr>
          <w:rFonts w:hint="eastAsia" w:ascii="Times New Roman" w:hAnsi="Times New Roman" w:eastAsia="方正仿宋_GBK" w:cs="方正仿宋_GBK"/>
          <w:sz w:val="32"/>
          <w:szCs w:val="32"/>
          <w:shd w:val="clear" w:color="auto" w:fill="FFFFFF"/>
          <w:lang w:val="en-US" w:eastAsia="zh-CN"/>
        </w:rPr>
        <w:t>2</w:t>
      </w:r>
      <w:r>
        <w:rPr>
          <w:rFonts w:ascii="Times New Roman" w:hAnsi="Times New Roman" w:eastAsia="方正仿宋_GBK" w:cs="方正仿宋_GBK"/>
          <w:sz w:val="32"/>
          <w:szCs w:val="32"/>
          <w:shd w:val="clear" w:color="auto" w:fill="FFFFFF"/>
        </w:rPr>
        <w:t>）卫生健康支出</w:t>
      </w:r>
      <w:r>
        <w:rPr>
          <w:rFonts w:ascii="Times New Roman" w:hAnsi="Times New Roman" w:eastAsia="方正仿宋_GBK" w:cs="方正仿宋_GBK"/>
          <w:sz w:val="32"/>
          <w:szCs w:val="32"/>
        </w:rPr>
        <w:t>92.69</w:t>
      </w:r>
      <w:r>
        <w:rPr>
          <w:rFonts w:ascii="Times New Roman" w:hAnsi="Times New Roman" w:eastAsia="方正仿宋_GBK" w:cs="方正仿宋_GBK"/>
          <w:sz w:val="32"/>
          <w:szCs w:val="32"/>
          <w:shd w:val="clear" w:color="auto" w:fill="FFFFFF"/>
        </w:rPr>
        <w:t>万元，占</w:t>
      </w:r>
      <w:r>
        <w:rPr>
          <w:rFonts w:ascii="Times New Roman" w:hAnsi="Times New Roman" w:eastAsia="方正仿宋_GBK" w:cs="方正仿宋_GBK"/>
          <w:sz w:val="32"/>
          <w:szCs w:val="32"/>
        </w:rPr>
        <w:t>89.29</w:t>
      </w:r>
      <w:r>
        <w:rPr>
          <w:rFonts w:ascii="Times New Roman" w:hAnsi="Times New Roman" w:eastAsia="方正仿宋_GBK" w:cs="方正仿宋_GBK"/>
          <w:sz w:val="32"/>
          <w:szCs w:val="32"/>
          <w:shd w:val="clear" w:color="auto" w:fill="FFFFFF"/>
        </w:rPr>
        <w:t>%，较年初预算数增加50.29万元，增长118.61%，主要原因</w:t>
      </w:r>
      <w:r>
        <w:rPr>
          <w:rFonts w:hint="eastAsia" w:ascii="Times New Roman" w:hAnsi="Times New Roman" w:eastAsia="方正仿宋_GBK" w:cs="方正仿宋_GBK"/>
          <w:sz w:val="32"/>
          <w:szCs w:val="32"/>
          <w:shd w:val="clear" w:color="auto" w:fill="FFFFFF"/>
          <w:lang w:eastAsia="zh-CN"/>
        </w:rPr>
        <w:t>是</w:t>
      </w:r>
      <w:r>
        <w:rPr>
          <w:rFonts w:hint="eastAsia" w:ascii="Times New Roman" w:hAnsi="Times New Roman" w:eastAsia="方正仿宋_GBK" w:cs="方正仿宋_GBK"/>
          <w:b w:val="0"/>
          <w:bCs/>
          <w:sz w:val="32"/>
          <w:szCs w:val="32"/>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color w:val="FF0000"/>
          <w:sz w:val="32"/>
          <w:szCs w:val="32"/>
          <w:shd w:val="clear" w:color="auto" w:fill="FFFFFF"/>
        </w:rPr>
      </w:pPr>
      <w:r>
        <w:rPr>
          <w:rFonts w:ascii="Times New Roman" w:hAnsi="Times New Roman" w:eastAsia="方正仿宋_GBK" w:cs="方正仿宋_GBK"/>
          <w:sz w:val="32"/>
          <w:szCs w:val="32"/>
          <w:shd w:val="clear" w:color="auto" w:fill="FFFFFF"/>
        </w:rPr>
        <w:t>（</w:t>
      </w:r>
      <w:r>
        <w:rPr>
          <w:rFonts w:hint="eastAsia" w:ascii="Times New Roman" w:hAnsi="Times New Roman" w:eastAsia="方正仿宋_GBK" w:cs="方正仿宋_GBK"/>
          <w:sz w:val="32"/>
          <w:szCs w:val="32"/>
          <w:shd w:val="clear" w:color="auto" w:fill="FFFFFF"/>
          <w:lang w:val="en-US" w:eastAsia="zh-CN"/>
        </w:rPr>
        <w:t>3</w:t>
      </w:r>
      <w:r>
        <w:rPr>
          <w:rFonts w:ascii="Times New Roman" w:hAnsi="Times New Roman" w:eastAsia="方正仿宋_GBK" w:cs="方正仿宋_GBK"/>
          <w:sz w:val="32"/>
          <w:szCs w:val="32"/>
          <w:shd w:val="clear" w:color="auto" w:fill="FFFFFF"/>
        </w:rPr>
        <w:t>）</w:t>
      </w:r>
      <w:r>
        <w:rPr>
          <w:rFonts w:ascii="Times New Roman" w:hAnsi="Times New Roman" w:eastAsia="方正仿宋_GBK" w:cs="方正仿宋_GBK"/>
          <w:sz w:val="32"/>
          <w:szCs w:val="32"/>
        </w:rPr>
        <w:t>住房保障支出3.00</w:t>
      </w:r>
      <w:r>
        <w:rPr>
          <w:rFonts w:ascii="Times New Roman" w:hAnsi="Times New Roman" w:eastAsia="方正仿宋_GBK" w:cs="方正仿宋_GBK"/>
          <w:sz w:val="32"/>
          <w:szCs w:val="32"/>
          <w:shd w:val="clear" w:color="auto" w:fill="FFFFFF"/>
        </w:rPr>
        <w:t>万元，占</w:t>
      </w:r>
      <w:r>
        <w:rPr>
          <w:rFonts w:ascii="Times New Roman" w:hAnsi="Times New Roman" w:eastAsia="方正仿宋_GBK" w:cs="方正仿宋_GBK"/>
          <w:sz w:val="32"/>
          <w:szCs w:val="32"/>
        </w:rPr>
        <w:t>2.89</w:t>
      </w:r>
      <w:r>
        <w:rPr>
          <w:rFonts w:ascii="Times New Roman" w:hAnsi="Times New Roman" w:eastAsia="方正仿宋_GBK" w:cs="方正仿宋_GBK"/>
          <w:sz w:val="32"/>
          <w:szCs w:val="32"/>
          <w:shd w:val="clear" w:color="auto" w:fill="FFFFFF"/>
        </w:rPr>
        <w:t>%，较年初预算数减少1.66万元，下降35.62%，主要原因是</w:t>
      </w:r>
      <w:r>
        <w:rPr>
          <w:rFonts w:hint="eastAsia" w:ascii="Times New Roman" w:hAnsi="Times New Roman" w:eastAsia="方正仿宋_GBK" w:cs="方正仿宋_GBK"/>
          <w:b w:val="0"/>
          <w:bCs/>
          <w:sz w:val="32"/>
          <w:szCs w:val="32"/>
          <w:lang w:eastAsia="zh-CN"/>
        </w:rPr>
        <w:t>本单位支出来源于财政实际拨款。</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ascii="楷体" w:hAnsi="楷体" w:eastAsia="楷体" w:cs="楷体"/>
          <w:b w:val="0"/>
          <w:bCs w:val="0"/>
          <w:sz w:val="32"/>
          <w:szCs w:val="32"/>
          <w:shd w:val="clear" w:color="auto" w:fill="FFFFFF"/>
        </w:rPr>
      </w:pPr>
      <w:r>
        <w:rPr>
          <w:rFonts w:hint="eastAsia" w:ascii="楷体" w:hAnsi="楷体" w:eastAsia="楷体" w:cs="楷体"/>
          <w:b w:val="0"/>
          <w:bCs w:val="0"/>
          <w:sz w:val="32"/>
          <w:szCs w:val="32"/>
          <w:shd w:val="clear" w:color="auto" w:fill="FFFFFF"/>
        </w:rPr>
        <w:t>（四）一般公共预算财政拨款基本支出决算情况说明</w:t>
      </w:r>
    </w:p>
    <w:p>
      <w:pPr>
        <w:pStyle w:val="8"/>
        <w:snapToGrid w:val="0"/>
        <w:spacing w:before="0" w:beforeAutospacing="0" w:after="0" w:afterAutospacing="0" w:line="600" w:lineRule="exact"/>
        <w:ind w:firstLine="640" w:firstLineChars="200"/>
        <w:jc w:val="both"/>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2023年度一般公共财政拨款基本支出103.81万元。其中：人员经费99.73万元，较上年决算数增加99.73万元，增长100.00%，主要原因是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r>
        <w:rPr>
          <w:rFonts w:ascii="Times New Roman" w:hAnsi="Times New Roman" w:eastAsia="方正仿宋_GBK" w:cs="方正仿宋_GBK"/>
          <w:sz w:val="32"/>
          <w:szCs w:val="32"/>
          <w:shd w:val="clear" w:color="auto" w:fill="FFFFFF"/>
        </w:rPr>
        <w:t>人员经费用途主要包括</w:t>
      </w:r>
      <w:r>
        <w:rPr>
          <w:rFonts w:hint="eastAsia" w:ascii="Times New Roman" w:hAnsi="Times New Roman" w:eastAsia="方正仿宋_GBK" w:cs="方正仿宋_GBK"/>
          <w:sz w:val="32"/>
          <w:szCs w:val="32"/>
          <w:shd w:val="clear" w:color="auto" w:fill="FFFFFF"/>
          <w:lang w:eastAsia="zh-CN"/>
        </w:rPr>
        <w:t>社会保障、基本工资、绩效工资等。</w:t>
      </w:r>
      <w:r>
        <w:rPr>
          <w:rFonts w:ascii="Times New Roman" w:hAnsi="Times New Roman" w:eastAsia="方正仿宋_GBK" w:cs="方正仿宋_GBK"/>
          <w:sz w:val="32"/>
          <w:szCs w:val="32"/>
          <w:shd w:val="clear" w:color="auto" w:fill="FFFFFF"/>
        </w:rPr>
        <w:t>公用经费4.08万元，较上年决算数增加4.08万元，增长100.00%，主要原因是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r>
        <w:rPr>
          <w:rFonts w:ascii="Times New Roman" w:hAnsi="Times New Roman" w:eastAsia="方正仿宋_GBK" w:cs="方正仿宋_GBK"/>
          <w:sz w:val="32"/>
          <w:szCs w:val="32"/>
          <w:shd w:val="clear" w:color="auto" w:fill="FFFFFF"/>
        </w:rPr>
        <w:t>公用经费用途主要包括</w:t>
      </w:r>
      <w:r>
        <w:rPr>
          <w:rFonts w:hint="eastAsia" w:ascii="Times New Roman" w:hAnsi="Times New Roman" w:eastAsia="方正仿宋_GBK" w:cs="方正仿宋_GBK"/>
          <w:sz w:val="32"/>
          <w:szCs w:val="32"/>
          <w:shd w:val="clear" w:color="auto" w:fill="FFFFFF"/>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三、“三公”经费情况说明</w:t>
      </w:r>
    </w:p>
    <w:p>
      <w:pPr>
        <w:pStyle w:val="13"/>
        <w:autoSpaceDE w:val="0"/>
        <w:ind w:firstLine="643"/>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eastAsia" w:ascii="方正仿宋_GBK" w:hAnsi="方正仿宋_GBK" w:eastAsia="方正仿宋_GBK" w:cs="方正仿宋_GBK"/>
          <w:b w:val="0"/>
          <w:bCs/>
          <w:sz w:val="32"/>
          <w:szCs w:val="32"/>
          <w:shd w:val="clear" w:color="auto" w:fill="FFFFFF"/>
          <w:lang w:eastAsia="zh-CN"/>
        </w:rPr>
      </w:pPr>
      <w:r>
        <w:rPr>
          <w:rFonts w:hint="eastAsia" w:ascii="方正仿宋_GBK" w:hAnsi="方正仿宋_GBK" w:eastAsia="方正仿宋_GBK" w:cs="方正仿宋_GBK"/>
          <w:b w:val="0"/>
          <w:bCs/>
          <w:sz w:val="32"/>
          <w:szCs w:val="32"/>
          <w:shd w:val="clear" w:color="auto" w:fill="FFFFFF"/>
          <w:lang w:eastAsia="zh-CN"/>
        </w:rPr>
        <w:t>本单位为委属代管单位，财政未保障“三公”经费。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（一）财政拨款会议费和培训费情况说明</w:t>
      </w:r>
    </w:p>
    <w:p>
      <w:pPr>
        <w:pStyle w:val="13"/>
        <w:autoSpaceDE w:val="0"/>
        <w:ind w:firstLine="643"/>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rPr>
      </w:pPr>
      <w:r>
        <w:rPr>
          <w:rFonts w:hint="default" w:ascii="Times New Roman" w:hAnsi="Times New Roman" w:eastAsia="方正仿宋_GBK" w:cs="方正仿宋_GBK"/>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ascii="楷体" w:hAnsi="楷体" w:eastAsia="楷体" w:cs="楷体"/>
          <w:b/>
          <w:bCs/>
          <w:sz w:val="32"/>
          <w:szCs w:val="32"/>
          <w:shd w:val="clear" w:color="auto" w:fill="FFFFFF"/>
        </w:rPr>
      </w:pPr>
      <w:r>
        <w:rPr>
          <w:rFonts w:ascii="Times New Roman" w:hAnsi="Times New Roman" w:eastAsia="方正仿宋_GBK" w:cs="方正仿宋_GBK"/>
          <w:sz w:val="32"/>
          <w:szCs w:val="32"/>
          <w:shd w:val="clear" w:color="auto" w:fill="FFFFFF"/>
        </w:rPr>
        <w:t>2023年度</w:t>
      </w:r>
      <w:r>
        <w:rPr>
          <w:rFonts w:hint="eastAsia" w:ascii="Times New Roman" w:hAnsi="Times New Roman" w:eastAsia="方正仿宋_GBK" w:cs="方正仿宋_GBK"/>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bookmarkStart w:id="0" w:name="_GoBack"/>
      <w:bookmarkEnd w:id="0"/>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CN"/>
        </w:rPr>
        <w:t>县</w:t>
      </w:r>
      <w:r>
        <w:rPr>
          <w:rFonts w:hint="eastAsia" w:ascii="方正仿宋_GBK" w:hAnsi="方正仿宋_GBK" w:eastAsia="方正仿宋_GBK" w:cs="方正仿宋_GBK"/>
          <w:sz w:val="32"/>
          <w:szCs w:val="32"/>
          <w:shd w:val="clear" w:color="auto" w:fill="FFFFFF"/>
        </w:rPr>
        <w:t>财政局</w:t>
      </w:r>
      <w:r>
        <w:rPr>
          <w:rFonts w:hint="eastAsia" w:ascii="方正仿宋_GBK" w:hAnsi="方正仿宋_GBK" w:eastAsia="方正仿宋_GBK" w:cs="方正仿宋_GBK"/>
          <w:sz w:val="32"/>
          <w:szCs w:val="32"/>
          <w:shd w:val="clear" w:color="auto" w:fill="FFFFFF"/>
          <w:lang w:eastAsia="zh-CN"/>
        </w:rPr>
        <w:t>未</w:t>
      </w:r>
      <w:r>
        <w:rPr>
          <w:rFonts w:hint="eastAsia" w:ascii="方正仿宋_GBK" w:hAnsi="方正仿宋_GBK" w:eastAsia="方正仿宋_GBK" w:cs="方正仿宋_GBK"/>
          <w:sz w:val="32"/>
          <w:szCs w:val="32"/>
          <w:shd w:val="clear" w:color="auto" w:fill="FFFFFF"/>
        </w:rPr>
        <w:t>委托第三方对</w:t>
      </w: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本单位决算公开信息反馈和联系方式：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ascii="方正仿宋_GBK" w:hAnsi="方正仿宋_GBK" w:eastAsia="方正仿宋_GBK" w:cs="方正仿宋_GBK"/>
          <w:sz w:val="32"/>
          <w:szCs w:val="32"/>
          <w:shd w:val="clear" w:color="auto" w:fill="FFFFFF"/>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龚盼</w:t>
      </w:r>
      <w:r>
        <w:rPr>
          <w:rFonts w:hint="eastAsia" w:ascii="方正仿宋_GBK" w:hAnsi="方正仿宋_GBK" w:eastAsia="方正仿宋_GBK" w:cs="方正仿宋_GBK"/>
          <w:sz w:val="32"/>
          <w:szCs w:val="32"/>
          <w:shd w:val="clear" w:color="auto" w:fill="FFFFFF"/>
          <w:lang w:val="en-US" w:eastAsia="zh-CN"/>
        </w:rPr>
        <w:t xml:space="preserve"> </w:t>
      </w:r>
      <w:r>
        <w:rPr>
          <w:rFonts w:hint="eastAsia" w:ascii="Times New Roman" w:hAnsi="Times New Roman" w:eastAsia="方正仿宋_GBK" w:cs="方正仿宋_GBK"/>
          <w:sz w:val="32"/>
          <w:szCs w:val="32"/>
          <w:shd w:val="clear" w:color="auto" w:fill="FFFFFF"/>
          <w:lang w:val="en-US" w:eastAsia="zh-CN"/>
        </w:rPr>
        <w:t>023-76662083</w:t>
      </w:r>
    </w:p>
    <w:p>
      <w:pPr>
        <w:rPr>
          <w:rFonts w:hint="default" w:cs="宋体"/>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4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公开单位：</w:t>
            </w:r>
            <w:r>
              <w:rPr>
                <w:sz w:val="20"/>
                <w:u w:color="auto"/>
              </w:rPr>
              <w:t>重庆市秀山土家族苗族自治县卫生应急管理中心</w:t>
            </w: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103.81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8.12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92.69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3.00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103.81</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103.81</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103.81</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103.81</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106"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重庆市秀山土家族苗族自治县卫生应急管理中心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106"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5.41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5.41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2.71</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92.69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92.69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90.24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90.24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90.24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5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重庆市秀山土家族苗族自治县卫生应急管理中心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5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5.41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5.41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2.71</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92.69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92.69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90.24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90.24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90.24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2.46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2.46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3.00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3.00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96"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96"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8.12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8.12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92.69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103.81</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7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7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103.81</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5.41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5.41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2.71</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2.71</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92.69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92.69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90.24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90.24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90.24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90.24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2.46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2.46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3.00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3.00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3.00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3.00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3.00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3.00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5557" w:type="dxa"/>
            <w:gridSpan w:val="4"/>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5557" w:type="dxa"/>
            <w:gridSpan w:val="4"/>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99.73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20.65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20.75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15.00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28.96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5.41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0.56</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2.36</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2.46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0.07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3.00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0.72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0.58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99.73</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4.08</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4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4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21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21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6207"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重庆市秀山土家族苗族自治县卫生应急管理中心</w:t>
            </w: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466C9B"/>
    <w:rsid w:val="00550ABE"/>
    <w:rsid w:val="00770383"/>
    <w:rsid w:val="007819D4"/>
    <w:rsid w:val="007B419D"/>
    <w:rsid w:val="007B7C4B"/>
    <w:rsid w:val="007D3D39"/>
    <w:rsid w:val="00994AF7"/>
    <w:rsid w:val="009B67B8"/>
    <w:rsid w:val="009D2B67"/>
    <w:rsid w:val="00A566F9"/>
    <w:rsid w:val="00AF2751"/>
    <w:rsid w:val="00B03CCD"/>
    <w:rsid w:val="00BE2B89"/>
    <w:rsid w:val="00C10E9E"/>
    <w:rsid w:val="00C20C3E"/>
    <w:rsid w:val="00F73F90"/>
    <w:rsid w:val="01474EBF"/>
    <w:rsid w:val="01F3521E"/>
    <w:rsid w:val="02872676"/>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974BED"/>
    <w:rsid w:val="0BF2311A"/>
    <w:rsid w:val="0C7927C4"/>
    <w:rsid w:val="0C9B098C"/>
    <w:rsid w:val="0D673E11"/>
    <w:rsid w:val="0DA45B27"/>
    <w:rsid w:val="0DDA54E4"/>
    <w:rsid w:val="0E3A5F83"/>
    <w:rsid w:val="0F836721"/>
    <w:rsid w:val="0F862545"/>
    <w:rsid w:val="0FA25D96"/>
    <w:rsid w:val="107B59E5"/>
    <w:rsid w:val="10EC0126"/>
    <w:rsid w:val="10F70B9A"/>
    <w:rsid w:val="111445C7"/>
    <w:rsid w:val="114278C6"/>
    <w:rsid w:val="1158083A"/>
    <w:rsid w:val="11643A4B"/>
    <w:rsid w:val="11ED0F98"/>
    <w:rsid w:val="11F03528"/>
    <w:rsid w:val="121316AE"/>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B142E"/>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2FF84265"/>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048EF"/>
    <w:rsid w:val="3E42660A"/>
    <w:rsid w:val="3E7555B1"/>
    <w:rsid w:val="3E787ED9"/>
    <w:rsid w:val="3E8C47CC"/>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725781"/>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76429"/>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312760"/>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0F5701"/>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4001</Words>
  <Characters>22811</Characters>
  <Lines>190</Lines>
  <Paragraphs>53</Paragraphs>
  <TotalTime>0</TotalTime>
  <ScaleCrop>false</ScaleCrop>
  <LinksUpToDate>false</LinksUpToDate>
  <CharactersWithSpaces>26759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2024-09-23T05:24:57Z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