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shd w:val="clear"/>
        <w:kinsoku/>
        <w:overflowPunct/>
        <w:topLinePunct w:val="0"/>
        <w:autoSpaceDN/>
        <w:bidi w:val="0"/>
        <w:adjustRightInd/>
        <w:spacing w:before="0" w:beforeAutospacing="0" w:afterAutospacing="0" w:line="540" w:lineRule="exact"/>
        <w:jc w:val="center"/>
        <w:rPr>
          <w:rFonts w:hint="default" w:ascii="Times New Roman" w:hAnsi="Times New Roman" w:eastAsia="方正小标宋_GBK" w:cs="Times New Roman"/>
          <w:b w:val="0"/>
          <w:bCs w:val="0"/>
          <w:sz w:val="40"/>
          <w:szCs w:val="40"/>
          <w:shd w:val="clear" w:color="auto" w:fill="FFFFFF"/>
        </w:rPr>
      </w:pPr>
      <w:r>
        <w:rPr>
          <w:rFonts w:hint="eastAsia" w:ascii="Times New Roman" w:hAnsi="Times New Roman" w:eastAsia="方正小标宋_GBK" w:cs="Times New Roman"/>
          <w:b w:val="0"/>
          <w:bCs w:val="0"/>
          <w:sz w:val="40"/>
          <w:szCs w:val="40"/>
          <w:lang w:eastAsia="zh-CN"/>
        </w:rPr>
        <w:t>重庆市</w:t>
      </w:r>
      <w:r>
        <w:rPr>
          <w:rFonts w:hint="default" w:ascii="Times New Roman" w:hAnsi="Times New Roman" w:eastAsia="方正小标宋_GBK" w:cs="Times New Roman"/>
          <w:b w:val="0"/>
          <w:bCs w:val="0"/>
          <w:sz w:val="40"/>
          <w:szCs w:val="40"/>
        </w:rPr>
        <w:t>秀山土家族苗族自治县石堤镇中心卫生院</w:t>
      </w:r>
      <w:r>
        <w:rPr>
          <w:rFonts w:hint="default" w:ascii="Times New Roman" w:hAnsi="Times New Roman" w:eastAsia="方正小标宋_GBK" w:cs="Times New Roman"/>
          <w:b w:val="0"/>
          <w:bCs w:val="0"/>
          <w:sz w:val="40"/>
          <w:szCs w:val="40"/>
          <w:shd w:val="clear" w:color="auto" w:fill="FFFFFF"/>
        </w:rPr>
        <w:t>2023年度决算公开说明</w:t>
      </w:r>
      <w:bookmarkStart w:id="0" w:name="_GoBack"/>
      <w:bookmarkEnd w:id="0"/>
    </w:p>
    <w:p>
      <w:pPr>
        <w:pStyle w:val="9"/>
        <w:keepNext w:val="0"/>
        <w:keepLines w:val="0"/>
        <w:pageBreakBefore w:val="0"/>
        <w:shd w:val="clear"/>
        <w:kinsoku/>
        <w:overflowPunct/>
        <w:topLinePunct w:val="0"/>
        <w:autoSpaceDN/>
        <w:bidi w:val="0"/>
        <w:adjustRightInd/>
        <w:spacing w:before="0" w:beforeAutospacing="0" w:afterAutospacing="0" w:line="540" w:lineRule="exact"/>
        <w:jc w:val="center"/>
        <w:rPr>
          <w:rFonts w:hint="default" w:ascii="Times New Roman" w:hAnsi="Times New Roman" w:eastAsia="方正小标宋_GBK" w:cs="Times New Roman"/>
          <w:b w:val="0"/>
          <w:bCs w:val="0"/>
          <w:sz w:val="44"/>
          <w:szCs w:val="44"/>
          <w:shd w:val="clear" w:color="auto" w:fill="FFFFFF"/>
        </w:rPr>
      </w:pPr>
    </w:p>
    <w:p>
      <w:pPr>
        <w:pStyle w:val="9"/>
        <w:keepNext w:val="0"/>
        <w:keepLines w:val="0"/>
        <w:pageBreakBefore w:val="0"/>
        <w:widowControl/>
        <w:numPr>
          <w:ilvl w:val="0"/>
          <w:numId w:val="0"/>
        </w:numPr>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lang w:val="en-US" w:eastAsia="zh-CN"/>
        </w:rPr>
        <w:t>一、</w:t>
      </w:r>
      <w:r>
        <w:rPr>
          <w:rStyle w:val="11"/>
          <w:rFonts w:hint="default" w:ascii="Times New Roman" w:hAnsi="Times New Roman" w:eastAsia="方正黑体_GBK" w:cs="Times New Roman"/>
          <w:b w:val="0"/>
          <w:bCs w:val="0"/>
          <w:sz w:val="32"/>
          <w:szCs w:val="32"/>
          <w:shd w:val="clear" w:color="auto" w:fill="FFFFFF"/>
        </w:rPr>
        <w:t>单位基本情况</w:t>
      </w:r>
    </w:p>
    <w:p>
      <w:pPr>
        <w:pStyle w:val="9"/>
        <w:keepNext w:val="0"/>
        <w:keepLines w:val="0"/>
        <w:pageBreakBefore w:val="0"/>
        <w:widowControl/>
        <w:numPr>
          <w:ilvl w:val="0"/>
          <w:numId w:val="0"/>
        </w:numPr>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kern w:val="0"/>
          <w:sz w:val="32"/>
          <w:szCs w:val="32"/>
        </w:rPr>
      </w:pPr>
      <w:r>
        <w:rPr>
          <w:rStyle w:val="19"/>
          <w:rFonts w:hint="default" w:ascii="Times New Roman" w:hAnsi="Times New Roman" w:eastAsia="方正楷体_GBK" w:cs="Times New Roman"/>
          <w:b w:val="0"/>
          <w:bCs w:val="0"/>
          <w:sz w:val="32"/>
          <w:szCs w:val="32"/>
          <w:shd w:val="clear" w:fill="FFFFFF"/>
          <w:lang w:eastAsia="zh-CN"/>
        </w:rPr>
        <w:t>（</w:t>
      </w:r>
      <w:r>
        <w:rPr>
          <w:rStyle w:val="19"/>
          <w:rFonts w:hint="default" w:ascii="Times New Roman" w:hAnsi="Times New Roman" w:eastAsia="方正楷体_GBK" w:cs="Times New Roman"/>
          <w:b w:val="0"/>
          <w:bCs w:val="0"/>
          <w:sz w:val="32"/>
          <w:szCs w:val="32"/>
          <w:shd w:val="clear" w:fill="FFFFFF"/>
          <w:lang w:val="en-US" w:eastAsia="zh-CN"/>
        </w:rPr>
        <w:t>一</w:t>
      </w:r>
      <w:r>
        <w:rPr>
          <w:rStyle w:val="19"/>
          <w:rFonts w:hint="default" w:ascii="Times New Roman" w:hAnsi="Times New Roman" w:eastAsia="方正楷体_GBK" w:cs="Times New Roman"/>
          <w:b w:val="0"/>
          <w:bCs w:val="0"/>
          <w:sz w:val="32"/>
          <w:szCs w:val="32"/>
          <w:shd w:val="clear" w:fill="FFFFFF"/>
          <w:lang w:eastAsia="zh-CN"/>
        </w:rPr>
        <w:t>）</w:t>
      </w:r>
      <w:r>
        <w:rPr>
          <w:rStyle w:val="19"/>
          <w:rFonts w:hint="default" w:ascii="Times New Roman" w:hAnsi="Times New Roman" w:eastAsia="方正楷体_GBK" w:cs="Times New Roman"/>
          <w:b w:val="0"/>
          <w:bCs w:val="0"/>
          <w:sz w:val="32"/>
          <w:szCs w:val="32"/>
          <w:shd w:val="clear" w:fill="FFFFFF"/>
        </w:rPr>
        <w:t>职能职责</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中心乡镇卫生院，应当履行以下公共卫生职责：</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1.根据国家和本市规定收集、报送辖区内卫生健康信息，建立和管理居民健康档案，提出改进辖区公共卫生状况的建议；</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2.开展健康教育，普及健康知识；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3.协助开展传染病以及地方病、寄生虫病的预防控制，配合开展爱国卫生工作；</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4.做好高危人群、重点慢性病患者的筛查和病例管理；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5.提供心理健康指导服务，实施精神病社区管理；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6.为妇女、儿童、老年人、残疾人等重点人群提供保健和康复服务；</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7.提供计划生育技术服务，协助处置辖区内突发公共卫生事件等；</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8.按要求提供其他公共卫生服务。</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kern w:val="0"/>
          <w:sz w:val="32"/>
          <w:szCs w:val="32"/>
          <w:shd w:val="clear" w:fill="FFFFFF"/>
        </w:rPr>
      </w:pPr>
      <w:r>
        <w:rPr>
          <w:rStyle w:val="19"/>
          <w:rFonts w:hint="default" w:ascii="Times New Roman" w:hAnsi="Times New Roman" w:eastAsia="方正楷体_GBK" w:cs="Times New Roman"/>
          <w:b w:val="0"/>
          <w:bCs w:val="0"/>
          <w:sz w:val="32"/>
          <w:szCs w:val="32"/>
          <w:shd w:val="clear" w:fill="FFFFFF"/>
        </w:rPr>
        <w:t>（二）机构设置</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本单位下设办公室、财务科、医务科、内儿科、外妇科、门诊部、中医科、库房、药房、收费室、公共卫生科。本单位实有事业编</w:t>
      </w:r>
      <w:r>
        <w:rPr>
          <w:rFonts w:hint="default" w:ascii="Times New Roman" w:hAnsi="Times New Roman" w:eastAsia="方正仿宋_GBK" w:cs="Times New Roman"/>
          <w:b w:val="0"/>
          <w:bCs w:val="0"/>
          <w:color w:val="333333"/>
          <w:kern w:val="0"/>
          <w:sz w:val="32"/>
          <w:szCs w:val="32"/>
          <w:highlight w:val="none"/>
          <w:shd w:val="clear" w:fill="FFFFFF"/>
        </w:rPr>
        <w:t>制</w:t>
      </w:r>
      <w:r>
        <w:rPr>
          <w:rFonts w:hint="default" w:ascii="Times New Roman" w:hAnsi="Times New Roman" w:eastAsia="方正仿宋_GBK" w:cs="Times New Roman"/>
          <w:b w:val="0"/>
          <w:bCs w:val="0"/>
          <w:color w:val="333333"/>
          <w:kern w:val="0"/>
          <w:sz w:val="32"/>
          <w:szCs w:val="32"/>
          <w:highlight w:val="none"/>
          <w:shd w:val="clear" w:fill="FFFFFF"/>
          <w:lang w:val="en-US" w:eastAsia="zh-CN"/>
        </w:rPr>
        <w:t xml:space="preserve"> 37</w:t>
      </w:r>
      <w:r>
        <w:rPr>
          <w:rFonts w:hint="default" w:ascii="Times New Roman" w:hAnsi="Times New Roman" w:eastAsia="方正仿宋_GBK" w:cs="Times New Roman"/>
          <w:b w:val="0"/>
          <w:bCs w:val="0"/>
          <w:color w:val="333333"/>
          <w:kern w:val="0"/>
          <w:sz w:val="32"/>
          <w:szCs w:val="32"/>
          <w:highlight w:val="none"/>
          <w:shd w:val="clear" w:fill="FFFFFF"/>
        </w:rPr>
        <w:t>名，临聘人员</w:t>
      </w:r>
      <w:r>
        <w:rPr>
          <w:rFonts w:hint="default" w:ascii="Times New Roman" w:hAnsi="Times New Roman" w:eastAsia="方正仿宋_GBK" w:cs="Times New Roman"/>
          <w:b w:val="0"/>
          <w:bCs w:val="0"/>
          <w:color w:val="333333"/>
          <w:kern w:val="0"/>
          <w:sz w:val="32"/>
          <w:szCs w:val="32"/>
          <w:highlight w:val="none"/>
          <w:shd w:val="clear" w:fill="FFFFFF"/>
          <w:lang w:val="en-US" w:eastAsia="zh-CN"/>
        </w:rPr>
        <w:t xml:space="preserve"> 22 </w:t>
      </w:r>
      <w:r>
        <w:rPr>
          <w:rFonts w:hint="default" w:ascii="Times New Roman" w:hAnsi="Times New Roman" w:eastAsia="方正仿宋_GBK" w:cs="Times New Roman"/>
          <w:b w:val="0"/>
          <w:bCs w:val="0"/>
          <w:color w:val="333333"/>
          <w:kern w:val="0"/>
          <w:sz w:val="32"/>
          <w:szCs w:val="32"/>
          <w:highlight w:val="none"/>
          <w:shd w:val="clear" w:fill="FFFFFF"/>
        </w:rPr>
        <w:t>人。</w:t>
      </w:r>
    </w:p>
    <w:p>
      <w:pPr>
        <w:pStyle w:val="9"/>
        <w:keepNext w:val="0"/>
        <w:keepLines w:val="0"/>
        <w:pageBreakBefore w:val="0"/>
        <w:widowControl/>
        <w:shd w:val="clear" w:color="auto"/>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二、单位决算情况说明</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Style w:val="11"/>
          <w:rFonts w:hint="default" w:ascii="Times New Roman" w:hAnsi="Times New Roman" w:eastAsia="方正仿宋_GBK" w:cs="Times New Roman"/>
          <w:b w:val="0"/>
          <w:bCs w:val="0"/>
          <w:sz w:val="32"/>
          <w:szCs w:val="32"/>
          <w:shd w:val="clear" w:color="auto" w:fill="FFFFFF"/>
        </w:rPr>
        <w:t>1.总体情况。</w:t>
      </w:r>
      <w:r>
        <w:rPr>
          <w:rFonts w:hint="default" w:ascii="Times New Roman" w:hAnsi="Times New Roman" w:eastAsia="方正仿宋_GBK" w:cs="Times New Roman"/>
          <w:b w:val="0"/>
          <w:bCs w:val="0"/>
          <w:sz w:val="32"/>
          <w:szCs w:val="32"/>
          <w:shd w:val="clear" w:color="auto" w:fill="FFFFFF"/>
        </w:rPr>
        <w:t>2023年度收入总计1433.71万元，支出总计</w:t>
      </w:r>
      <w:r>
        <w:rPr>
          <w:rFonts w:hint="default" w:ascii="Times New Roman" w:hAnsi="Times New Roman" w:eastAsia="方正仿宋_GBK" w:cs="Times New Roman"/>
          <w:b w:val="0"/>
          <w:bCs w:val="0"/>
          <w:sz w:val="32"/>
          <w:szCs w:val="32"/>
        </w:rPr>
        <w:t>1433.71</w:t>
      </w:r>
      <w:r>
        <w:rPr>
          <w:rFonts w:hint="default" w:ascii="Times New Roman" w:hAnsi="Times New Roman" w:eastAsia="方正仿宋_GBK" w:cs="Times New Roman"/>
          <w:b w:val="0"/>
          <w:bCs w:val="0"/>
          <w:sz w:val="32"/>
          <w:szCs w:val="32"/>
          <w:shd w:val="clear" w:color="auto" w:fill="FFFFFF"/>
        </w:rPr>
        <w:t>万元。收支较上年决算数增加138.63万元，增长10.70%，主要原因是</w:t>
      </w:r>
      <w:r>
        <w:rPr>
          <w:rFonts w:hint="default" w:ascii="Times New Roman" w:hAnsi="Times New Roman" w:eastAsia="方正仿宋_GBK" w:cs="Times New Roman"/>
          <w:b w:val="0"/>
          <w:bCs w:val="0"/>
          <w:sz w:val="32"/>
          <w:szCs w:val="32"/>
          <w:shd w:val="clear" w:color="auto" w:fill="FFFFFF"/>
          <w:lang w:eastAsia="zh-CN"/>
        </w:rPr>
        <w:t>财政拨款、医疗收入增加，相对应的支出增加。</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2.收入情况。</w:t>
      </w:r>
      <w:r>
        <w:rPr>
          <w:rFonts w:hint="default" w:ascii="Times New Roman" w:hAnsi="Times New Roman" w:eastAsia="方正仿宋_GBK" w:cs="Times New Roman"/>
          <w:b w:val="0"/>
          <w:bCs w:val="0"/>
          <w:sz w:val="32"/>
          <w:szCs w:val="32"/>
          <w:shd w:val="clear" w:color="auto" w:fill="FFFFFF"/>
        </w:rPr>
        <w:t>2023年度收入合计1433.71万元，较上年决算数增加180.76万元，增长14.43%，主要原因是</w:t>
      </w:r>
      <w:r>
        <w:rPr>
          <w:rFonts w:hint="default" w:ascii="Times New Roman" w:hAnsi="Times New Roman" w:eastAsia="方正仿宋_GBK" w:cs="Times New Roman"/>
          <w:b w:val="0"/>
          <w:bCs w:val="0"/>
          <w:sz w:val="32"/>
          <w:szCs w:val="32"/>
          <w:shd w:val="clear" w:color="auto" w:fill="FFFFFF"/>
          <w:lang w:eastAsia="zh-CN"/>
        </w:rPr>
        <w:t>医疗收入、</w:t>
      </w:r>
      <w:r>
        <w:rPr>
          <w:rFonts w:hint="default" w:ascii="Times New Roman" w:hAnsi="Times New Roman" w:eastAsia="方正仿宋_GBK" w:cs="Times New Roman"/>
          <w:b w:val="0"/>
          <w:bCs w:val="0"/>
          <w:color w:val="auto"/>
          <w:sz w:val="32"/>
          <w:szCs w:val="32"/>
          <w:shd w:val="clear" w:color="auto" w:fill="FFFFFF"/>
          <w:lang w:eastAsia="zh-CN"/>
        </w:rPr>
        <w:t>财政拨款增加</w:t>
      </w: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628.39</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43.83</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rPr>
        <w:t>696.75</w:t>
      </w:r>
      <w:r>
        <w:rPr>
          <w:rFonts w:hint="default" w:ascii="Times New Roman" w:hAnsi="Times New Roman" w:eastAsia="方正仿宋_GBK" w:cs="Times New Roman"/>
          <w:b w:val="0"/>
          <w:bCs w:val="0"/>
          <w:sz w:val="32"/>
          <w:szCs w:val="32"/>
          <w:shd w:val="clear" w:color="auto" w:fill="FFFFFF"/>
        </w:rPr>
        <w:t>万元，占48.60%；经营收入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万元，占0.00%；其他收入</w:t>
      </w:r>
      <w:r>
        <w:rPr>
          <w:rFonts w:hint="default" w:ascii="Times New Roman" w:hAnsi="Times New Roman" w:eastAsia="方正仿宋_GBK" w:cs="Times New Roman"/>
          <w:b w:val="0"/>
          <w:bCs w:val="0"/>
          <w:sz w:val="32"/>
          <w:szCs w:val="32"/>
        </w:rPr>
        <w:t>108.56</w:t>
      </w:r>
      <w:r>
        <w:rPr>
          <w:rFonts w:hint="default" w:ascii="Times New Roman" w:hAnsi="Times New Roman" w:eastAsia="方正仿宋_GBK" w:cs="Times New Roman"/>
          <w:b w:val="0"/>
          <w:bCs w:val="0"/>
          <w:sz w:val="32"/>
          <w:szCs w:val="32"/>
          <w:shd w:val="clear" w:color="auto" w:fill="FFFFFF"/>
        </w:rPr>
        <w:t>万元，占7.57%。此外，使用非财政拨款结余和专用结余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eastAsia="zh-CN"/>
        </w:rPr>
      </w:pPr>
      <w:r>
        <w:rPr>
          <w:rStyle w:val="11"/>
          <w:rFonts w:hint="default" w:ascii="Times New Roman" w:hAnsi="Times New Roman" w:eastAsia="方正仿宋_GBK" w:cs="Times New Roman"/>
          <w:b w:val="0"/>
          <w:bCs w:val="0"/>
          <w:sz w:val="32"/>
          <w:szCs w:val="32"/>
          <w:shd w:val="clear" w:color="auto" w:fill="FFFFFF"/>
        </w:rPr>
        <w:t>3.支出情况。</w:t>
      </w:r>
      <w:r>
        <w:rPr>
          <w:rFonts w:hint="default" w:ascii="Times New Roman" w:hAnsi="Times New Roman" w:eastAsia="方正仿宋_GBK" w:cs="Times New Roman"/>
          <w:b w:val="0"/>
          <w:bCs w:val="0"/>
          <w:sz w:val="32"/>
          <w:szCs w:val="32"/>
          <w:shd w:val="clear" w:color="auto" w:fill="FFFFFF"/>
        </w:rPr>
        <w:t>2023年度支出合计</w:t>
      </w:r>
      <w:r>
        <w:rPr>
          <w:rFonts w:hint="default" w:ascii="Times New Roman" w:hAnsi="Times New Roman" w:eastAsia="方正仿宋_GBK" w:cs="Times New Roman"/>
          <w:b w:val="0"/>
          <w:bCs w:val="0"/>
          <w:sz w:val="32"/>
          <w:szCs w:val="32"/>
        </w:rPr>
        <w:t>1384.36</w:t>
      </w:r>
      <w:r>
        <w:rPr>
          <w:rFonts w:hint="default" w:ascii="Times New Roman" w:hAnsi="Times New Roman" w:eastAsia="方正仿宋_GBK" w:cs="Times New Roman"/>
          <w:b w:val="0"/>
          <w:bCs w:val="0"/>
          <w:sz w:val="32"/>
          <w:szCs w:val="32"/>
          <w:shd w:val="clear" w:color="auto" w:fill="FFFFFF"/>
        </w:rPr>
        <w:t>万元，较上年决算数增加89.28万元，增长6.89%，</w:t>
      </w:r>
      <w:r>
        <w:rPr>
          <w:rFonts w:hint="default" w:ascii="Times New Roman" w:hAnsi="Times New Roman" w:eastAsia="方正仿宋_GBK" w:cs="Times New Roman"/>
          <w:b w:val="0"/>
          <w:bCs w:val="0"/>
          <w:color w:val="auto"/>
          <w:sz w:val="32"/>
          <w:szCs w:val="32"/>
          <w:shd w:val="clear" w:color="auto" w:fill="FFFFFF"/>
        </w:rPr>
        <w:t>主要原因是</w:t>
      </w:r>
      <w:r>
        <w:rPr>
          <w:rFonts w:hint="default" w:ascii="Times New Roman" w:hAnsi="Times New Roman" w:eastAsia="方正仿宋_GBK" w:cs="Times New Roman"/>
          <w:b w:val="0"/>
          <w:bCs w:val="0"/>
          <w:color w:val="auto"/>
          <w:sz w:val="32"/>
          <w:szCs w:val="32"/>
          <w:shd w:val="clear" w:color="auto" w:fill="FFFFFF"/>
          <w:lang w:eastAsia="zh-CN"/>
        </w:rPr>
        <w:t>基本支出、项目支出增加。</w:t>
      </w:r>
      <w:r>
        <w:rPr>
          <w:rFonts w:hint="default" w:ascii="Times New Roman" w:hAnsi="Times New Roman" w:eastAsia="方正仿宋_GBK" w:cs="Times New Roman"/>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1360.64</w:t>
      </w:r>
      <w:r>
        <w:rPr>
          <w:rFonts w:hint="default" w:ascii="Times New Roman" w:hAnsi="Times New Roman" w:eastAsia="方正仿宋_GBK" w:cs="Times New Roman"/>
          <w:b w:val="0"/>
          <w:bCs w:val="0"/>
          <w:sz w:val="32"/>
          <w:szCs w:val="32"/>
          <w:shd w:val="clear" w:color="auto" w:fill="FFFFFF"/>
        </w:rPr>
        <w:t>万元，占98.29%；项目支出</w:t>
      </w:r>
      <w:r>
        <w:rPr>
          <w:rFonts w:hint="default" w:ascii="Times New Roman" w:hAnsi="Times New Roman" w:eastAsia="方正仿宋_GBK" w:cs="Times New Roman"/>
          <w:b w:val="0"/>
          <w:bCs w:val="0"/>
          <w:sz w:val="32"/>
          <w:szCs w:val="32"/>
        </w:rPr>
        <w:t>23.72</w:t>
      </w:r>
      <w:r>
        <w:rPr>
          <w:rFonts w:hint="default" w:ascii="Times New Roman" w:hAnsi="Times New Roman" w:eastAsia="方正仿宋_GBK" w:cs="Times New Roman"/>
          <w:b w:val="0"/>
          <w:bCs w:val="0"/>
          <w:sz w:val="32"/>
          <w:szCs w:val="32"/>
          <w:shd w:val="clear" w:color="auto" w:fill="FFFFFF"/>
        </w:rPr>
        <w:t>万元，占1.71%</w:t>
      </w:r>
      <w:r>
        <w:rPr>
          <w:rFonts w:hint="default"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Style w:val="11"/>
          <w:rFonts w:hint="default" w:ascii="Times New Roman" w:hAnsi="Times New Roman" w:eastAsia="方正仿宋_GBK" w:cs="Times New Roman"/>
          <w:b w:val="0"/>
          <w:bCs w:val="0"/>
          <w:sz w:val="32"/>
          <w:szCs w:val="32"/>
          <w:shd w:val="clear" w:color="auto" w:fill="FFFFFF"/>
        </w:rPr>
        <w:t>4.结转结余情况。</w:t>
      </w:r>
      <w:r>
        <w:rPr>
          <w:rFonts w:hint="default" w:ascii="Times New Roman" w:hAnsi="Times New Roman" w:eastAsia="方正仿宋_GBK" w:cs="Times New Roman"/>
          <w:b w:val="0"/>
          <w:bCs w:val="0"/>
          <w:sz w:val="32"/>
          <w:szCs w:val="32"/>
          <w:shd w:val="clear" w:color="auto" w:fill="FFFFFF"/>
        </w:rPr>
        <w:t>2023年度年末结转和结余</w:t>
      </w:r>
      <w:r>
        <w:rPr>
          <w:rFonts w:hint="default" w:ascii="Times New Roman" w:hAnsi="Times New Roman" w:eastAsia="方正仿宋_GBK" w:cs="Times New Roman"/>
          <w:b w:val="0"/>
          <w:bCs w:val="0"/>
          <w:sz w:val="32"/>
          <w:szCs w:val="32"/>
        </w:rPr>
        <w:t>49.34</w:t>
      </w:r>
      <w:r>
        <w:rPr>
          <w:rFonts w:hint="default" w:ascii="Times New Roman" w:hAnsi="Times New Roman" w:eastAsia="方正仿宋_GBK" w:cs="Times New Roman"/>
          <w:b w:val="0"/>
          <w:bCs w:val="0"/>
          <w:sz w:val="32"/>
          <w:szCs w:val="32"/>
          <w:shd w:val="clear" w:color="auto" w:fill="FFFFFF"/>
        </w:rPr>
        <w:t>万元，较上年决算数增加49.34万元，增长100.00%，主要原因是</w:t>
      </w:r>
      <w:r>
        <w:rPr>
          <w:rFonts w:hint="default" w:ascii="Times New Roman" w:hAnsi="Times New Roman" w:eastAsia="方正仿宋_GBK" w:cs="Times New Roman"/>
          <w:b w:val="0"/>
          <w:bCs w:val="0"/>
          <w:sz w:val="32"/>
          <w:szCs w:val="32"/>
          <w:shd w:val="clear" w:color="auto" w:fill="FFFFFF"/>
          <w:lang w:eastAsia="zh-CN"/>
        </w:rPr>
        <w:t>财政拨</w:t>
      </w:r>
      <w:r>
        <w:rPr>
          <w:rFonts w:hint="default" w:ascii="Times New Roman" w:hAnsi="Times New Roman" w:eastAsia="方正仿宋_GBK" w:cs="Times New Roman"/>
          <w:b w:val="0"/>
          <w:bCs w:val="0"/>
          <w:sz w:val="32"/>
          <w:szCs w:val="32"/>
          <w:shd w:val="clear" w:color="auto" w:fill="FFFFFF"/>
          <w:lang w:val="en-US" w:eastAsia="zh-CN"/>
        </w:rPr>
        <w:t>2022年超额绩效款</w:t>
      </w:r>
      <w:r>
        <w:rPr>
          <w:rFonts w:hint="eastAsia" w:ascii="Times New Roman" w:hAnsi="Times New Roman" w:eastAsia="方正仿宋_GBK" w:cs="Times New Roman"/>
          <w:b w:val="0"/>
          <w:bCs w:val="0"/>
          <w:sz w:val="32"/>
          <w:szCs w:val="32"/>
          <w:shd w:val="clear" w:color="auto" w:fill="FFFFFF"/>
          <w:lang w:val="en-US" w:eastAsia="zh-CN"/>
        </w:rPr>
        <w:t>未支付</w:t>
      </w:r>
      <w:r>
        <w:rPr>
          <w:rFonts w:hint="default" w:ascii="Times New Roman" w:hAnsi="Times New Roman" w:eastAsia="方正仿宋_GBK" w:cs="Times New Roman"/>
          <w:b w:val="0"/>
          <w:bCs w:val="0"/>
          <w:color w:val="auto"/>
          <w:sz w:val="32"/>
          <w:szCs w:val="32"/>
          <w:shd w:val="clear" w:color="auto" w:fill="FFFFFF"/>
          <w:lang w:eastAsia="zh-CN"/>
        </w:rPr>
        <w:t>。</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9"/>
        <w:keepNext w:val="0"/>
        <w:keepLines w:val="0"/>
        <w:pageBreakBefore w:val="0"/>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shd w:val="clear" w:color="auto" w:fill="FFFFFF"/>
        </w:rPr>
        <w:t>2023年度财政拨款收、支总计628.39万元。与2022年相比，财政拨款收、支总计各增加70.38万元，增长12.61%。主要原因是</w:t>
      </w:r>
      <w:r>
        <w:rPr>
          <w:rFonts w:hint="default" w:ascii="Times New Roman" w:hAnsi="Times New Roman" w:eastAsia="方正仿宋_GBK" w:cs="Times New Roman"/>
          <w:b w:val="0"/>
          <w:bCs w:val="0"/>
          <w:sz w:val="32"/>
          <w:szCs w:val="32"/>
          <w:shd w:val="clear" w:color="auto" w:fill="FFFFFF"/>
          <w:lang w:eastAsia="zh-CN"/>
        </w:rPr>
        <w:t>财政拨</w:t>
      </w:r>
      <w:r>
        <w:rPr>
          <w:rFonts w:hint="eastAsia" w:ascii="Times New Roman" w:hAnsi="Times New Roman" w:eastAsia="方正仿宋_GBK" w:cs="Times New Roman"/>
          <w:b w:val="0"/>
          <w:bCs w:val="0"/>
          <w:sz w:val="32"/>
          <w:szCs w:val="32"/>
          <w:shd w:val="clear" w:color="auto" w:fill="FFFFFF"/>
          <w:lang w:eastAsia="zh-CN"/>
        </w:rPr>
        <w:t>款增加</w:t>
      </w:r>
      <w:r>
        <w:rPr>
          <w:rFonts w:hint="default" w:ascii="Times New Roman" w:hAnsi="Times New Roman" w:eastAsia="方正仿宋_GBK" w:cs="Times New Roman"/>
          <w:b w:val="0"/>
          <w:bCs w:val="0"/>
          <w:color w:val="auto"/>
          <w:sz w:val="32"/>
          <w:szCs w:val="32"/>
          <w:shd w:val="clear" w:color="auto" w:fill="FFFFFF"/>
          <w:lang w:val="en-US" w:eastAsia="zh-CN"/>
        </w:rPr>
        <w:t>，相对应的收支增加。</w:t>
      </w: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cs="Times New Roman"/>
          <w:b w:val="0"/>
          <w:bCs w:val="0"/>
          <w:sz w:val="32"/>
          <w:szCs w:val="32"/>
          <w:shd w:val="clear" w:color="auto" w:fill="FFFFFF"/>
        </w:rPr>
        <w:t>2023年度一般公共预算财政拨款收入</w:t>
      </w:r>
      <w:r>
        <w:rPr>
          <w:rFonts w:hint="default" w:ascii="Times New Roman" w:hAnsi="Times New Roman" w:eastAsia="方正仿宋_GBK" w:cs="Times New Roman"/>
          <w:b w:val="0"/>
          <w:bCs w:val="0"/>
          <w:sz w:val="32"/>
          <w:szCs w:val="32"/>
        </w:rPr>
        <w:t>628.39</w:t>
      </w:r>
      <w:r>
        <w:rPr>
          <w:rFonts w:hint="default" w:ascii="Times New Roman" w:hAnsi="Times New Roman" w:eastAsia="方正仿宋_GBK" w:cs="Times New Roman"/>
          <w:b w:val="0"/>
          <w:bCs w:val="0"/>
          <w:sz w:val="32"/>
          <w:szCs w:val="32"/>
          <w:shd w:val="clear" w:color="auto" w:fill="FFFFFF"/>
        </w:rPr>
        <w:t>万元，较上年决算数增加70.38万元，增长12.61%。主要原因是</w:t>
      </w:r>
      <w:r>
        <w:rPr>
          <w:rFonts w:hint="eastAsia" w:ascii="Times New Roman" w:hAnsi="Times New Roman" w:eastAsia="方正仿宋_GBK" w:cs="Times New Roman"/>
          <w:b w:val="0"/>
          <w:bCs w:val="0"/>
          <w:sz w:val="32"/>
          <w:szCs w:val="32"/>
          <w:shd w:val="clear" w:color="auto" w:fill="FFFFFF"/>
          <w:lang w:val="en-US" w:eastAsia="zh-CN"/>
        </w:rPr>
        <w:t>财政拨款收入</w:t>
      </w:r>
      <w:r>
        <w:rPr>
          <w:rFonts w:hint="default" w:ascii="Times New Roman" w:hAnsi="Times New Roman" w:eastAsia="方正仿宋_GBK" w:cs="Times New Roman"/>
          <w:b w:val="0"/>
          <w:bCs w:val="0"/>
          <w:color w:val="auto"/>
          <w:sz w:val="32"/>
          <w:szCs w:val="32"/>
          <w:shd w:val="clear" w:color="auto" w:fill="FFFFFF"/>
          <w:lang w:val="en-US" w:eastAsia="zh-CN"/>
        </w:rPr>
        <w:t>增加。</w:t>
      </w:r>
      <w:r>
        <w:rPr>
          <w:rFonts w:hint="default" w:ascii="Times New Roman" w:hAnsi="Times New Roman" w:eastAsia="方正仿宋_GBK" w:cs="Times New Roman"/>
          <w:b w:val="0"/>
          <w:bCs w:val="0"/>
          <w:sz w:val="32"/>
          <w:szCs w:val="32"/>
          <w:shd w:val="clear" w:color="auto" w:fill="FFFFFF"/>
        </w:rPr>
        <w:t>较年初预算数增加186.68万元，增长42.26%。</w:t>
      </w:r>
      <w:r>
        <w:rPr>
          <w:rFonts w:hint="default" w:ascii="Times New Roman" w:hAnsi="Times New Roman" w:eastAsia="方正仿宋_GBK" w:cs="Times New Roman"/>
          <w:b w:val="0"/>
          <w:bCs w:val="0"/>
          <w:color w:val="333333"/>
          <w:kern w:val="0"/>
          <w:sz w:val="32"/>
          <w:szCs w:val="32"/>
          <w:shd w:val="clear" w:fill="FFFFFF"/>
        </w:rPr>
        <w:t>主要原因是根据单位情况预估核算，实际财政拨款收入由财政根据资金分配情况统一安排拨款。</w:t>
      </w:r>
      <w:r>
        <w:rPr>
          <w:rFonts w:hint="default" w:ascii="Times New Roman" w:hAnsi="Times New Roman" w:eastAsia="方正仿宋_GBK" w:cs="Times New Roman"/>
          <w:b w:val="0"/>
          <w:bCs w:val="0"/>
          <w:sz w:val="32"/>
          <w:szCs w:val="32"/>
          <w:shd w:val="clear" w:color="auto" w:fill="FFFFFF"/>
        </w:rPr>
        <w:t>此外，年初财政拨款结转和结余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2.支出情况。</w:t>
      </w:r>
      <w:r>
        <w:rPr>
          <w:rFonts w:hint="default" w:ascii="Times New Roman" w:hAnsi="Times New Roman" w:eastAsia="方正仿宋_GBK" w:cs="Times New Roman"/>
          <w:b w:val="0"/>
          <w:bCs w:val="0"/>
          <w:sz w:val="32"/>
          <w:szCs w:val="32"/>
          <w:shd w:val="clear" w:color="auto" w:fill="FFFFFF"/>
        </w:rPr>
        <w:t>2023年度一般公共预算财政拨款支出</w:t>
      </w:r>
      <w:r>
        <w:rPr>
          <w:rFonts w:hint="default" w:ascii="Times New Roman" w:hAnsi="Times New Roman" w:eastAsia="方正仿宋_GBK" w:cs="Times New Roman"/>
          <w:b w:val="0"/>
          <w:bCs w:val="0"/>
          <w:sz w:val="32"/>
          <w:szCs w:val="32"/>
        </w:rPr>
        <w:t>597.05</w:t>
      </w:r>
      <w:r>
        <w:rPr>
          <w:rFonts w:hint="default" w:ascii="Times New Roman" w:hAnsi="Times New Roman" w:eastAsia="方正仿宋_GBK" w:cs="Times New Roman"/>
          <w:b w:val="0"/>
          <w:bCs w:val="0"/>
          <w:sz w:val="32"/>
          <w:szCs w:val="32"/>
          <w:shd w:val="clear" w:color="auto" w:fill="FFFFFF"/>
        </w:rPr>
        <w:t>万元，较上年决算数增加39.04万元，增长7.00%。主要原因是</w:t>
      </w:r>
      <w:r>
        <w:rPr>
          <w:rFonts w:hint="eastAsia" w:ascii="Times New Roman" w:hAnsi="Times New Roman" w:eastAsia="方正仿宋_GBK" w:cs="Times New Roman"/>
          <w:b w:val="0"/>
          <w:bCs w:val="0"/>
          <w:sz w:val="32"/>
          <w:szCs w:val="32"/>
          <w:shd w:val="clear" w:color="auto" w:fill="FFFFFF"/>
          <w:lang w:eastAsia="zh-CN"/>
        </w:rPr>
        <w:t>财政拨款增加，相对应支出增加</w:t>
      </w:r>
      <w:r>
        <w:rPr>
          <w:rFonts w:hint="default" w:ascii="Times New Roman" w:hAnsi="Times New Roman" w:eastAsia="方正仿宋_GBK" w:cs="Times New Roman"/>
          <w:b w:val="0"/>
          <w:bCs w:val="0"/>
          <w:color w:val="auto"/>
          <w:sz w:val="32"/>
          <w:szCs w:val="32"/>
          <w:shd w:val="clear" w:color="auto" w:fill="FFFFFF"/>
          <w:lang w:val="en-US" w:eastAsia="zh-CN"/>
        </w:rPr>
        <w:t>。</w:t>
      </w:r>
      <w:r>
        <w:rPr>
          <w:rFonts w:hint="default" w:ascii="Times New Roman" w:hAnsi="Times New Roman" w:eastAsia="方正仿宋_GBK" w:cs="Times New Roman"/>
          <w:b w:val="0"/>
          <w:bCs w:val="0"/>
          <w:sz w:val="32"/>
          <w:szCs w:val="32"/>
          <w:shd w:val="clear" w:color="auto" w:fill="FFFFFF"/>
        </w:rPr>
        <w:t>较年初预算数增加155.34万元，增长35.17%。</w:t>
      </w:r>
      <w:r>
        <w:rPr>
          <w:rFonts w:hint="default" w:ascii="Times New Roman" w:hAnsi="Times New Roman" w:eastAsia="方正仿宋_GBK" w:cs="Times New Roman"/>
          <w:b w:val="0"/>
          <w:bCs w:val="0"/>
          <w:color w:val="333333"/>
          <w:kern w:val="0"/>
          <w:sz w:val="32"/>
          <w:szCs w:val="32"/>
          <w:shd w:val="clear" w:fill="FFFFFF"/>
        </w:rPr>
        <w:t>主要原因是根据单位情况预估核算，实际财政拨款收入由财政根据资金分配情况统一安排拨款。</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Style w:val="11"/>
          <w:rFonts w:hint="default" w:ascii="Times New Roman" w:hAnsi="Times New Roman" w:eastAsia="方正仿宋_GBK" w:cs="Times New Roman"/>
          <w:b w:val="0"/>
          <w:bCs w:val="0"/>
          <w:sz w:val="32"/>
          <w:szCs w:val="32"/>
          <w:shd w:val="clear" w:color="auto" w:fill="FFFFFF"/>
        </w:rPr>
        <w:t>3.结转结余情况。</w:t>
      </w:r>
      <w:r>
        <w:rPr>
          <w:rFonts w:hint="default" w:ascii="Times New Roman" w:hAnsi="Times New Roman" w:eastAsia="方正仿宋_GBK" w:cs="Times New Roman"/>
          <w:b w:val="0"/>
          <w:bCs w:val="0"/>
          <w:sz w:val="32"/>
          <w:szCs w:val="32"/>
          <w:shd w:val="clear" w:color="auto" w:fill="FFFFFF"/>
        </w:rPr>
        <w:t>2023年度年末一般公共预算财政拨款结转和结余</w:t>
      </w:r>
      <w:r>
        <w:rPr>
          <w:rFonts w:hint="default" w:ascii="Times New Roman" w:hAnsi="Times New Roman" w:eastAsia="方正仿宋_GBK" w:cs="Times New Roman"/>
          <w:b w:val="0"/>
          <w:bCs w:val="0"/>
          <w:sz w:val="32"/>
          <w:szCs w:val="32"/>
        </w:rPr>
        <w:t>31.35</w:t>
      </w:r>
      <w:r>
        <w:rPr>
          <w:rFonts w:hint="default" w:ascii="Times New Roman" w:hAnsi="Times New Roman" w:eastAsia="方正仿宋_GBK" w:cs="Times New Roman"/>
          <w:b w:val="0"/>
          <w:bCs w:val="0"/>
          <w:sz w:val="32"/>
          <w:szCs w:val="32"/>
          <w:shd w:val="clear" w:color="auto" w:fill="FFFFFF"/>
        </w:rPr>
        <w:t>万元，较上年决算数增加31.35万元，增长100.00%，主要原因</w:t>
      </w:r>
      <w:r>
        <w:rPr>
          <w:rFonts w:hint="default" w:ascii="Times New Roman" w:hAnsi="Times New Roman" w:eastAsia="方正仿宋_GBK" w:cs="Times New Roman"/>
          <w:b w:val="0"/>
          <w:bCs w:val="0"/>
          <w:sz w:val="32"/>
          <w:szCs w:val="32"/>
          <w:shd w:val="clear" w:color="auto" w:fill="FFFFFF"/>
          <w:lang w:eastAsia="zh-CN"/>
        </w:rPr>
        <w:t>是财政拨</w:t>
      </w:r>
      <w:r>
        <w:rPr>
          <w:rFonts w:hint="default" w:ascii="Times New Roman" w:hAnsi="Times New Roman" w:eastAsia="方正仿宋_GBK" w:cs="Times New Roman"/>
          <w:b w:val="0"/>
          <w:bCs w:val="0"/>
          <w:sz w:val="32"/>
          <w:szCs w:val="32"/>
          <w:shd w:val="clear" w:color="auto" w:fill="FFFFFF"/>
          <w:lang w:val="en-US" w:eastAsia="zh-CN"/>
        </w:rPr>
        <w:t>2022年超额绩效款</w:t>
      </w:r>
      <w:r>
        <w:rPr>
          <w:rFonts w:hint="default" w:ascii="Times New Roman" w:hAnsi="Times New Roman" w:eastAsia="方正仿宋_GBK" w:cs="Times New Roman"/>
          <w:b w:val="0"/>
          <w:bCs w:val="0"/>
          <w:sz w:val="32"/>
          <w:szCs w:val="32"/>
          <w:shd w:val="clear" w:color="auto" w:fill="FFFFFF"/>
          <w:lang w:eastAsia="zh-CN"/>
        </w:rPr>
        <w:t>。</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highlight w:val="cyan"/>
          <w:shd w:val="clear" w:color="auto" w:fill="FFFFFF"/>
        </w:rPr>
      </w:pPr>
      <w:r>
        <w:rPr>
          <w:rStyle w:val="11"/>
          <w:rFonts w:hint="default" w:ascii="Times New Roman" w:hAnsi="Times New Roman" w:eastAsia="方正仿宋_GBK" w:cs="Times New Roman"/>
          <w:b w:val="0"/>
          <w:bCs w:val="0"/>
          <w:sz w:val="32"/>
          <w:szCs w:val="32"/>
          <w:shd w:val="clear" w:color="auto" w:fill="FFFFFF"/>
        </w:rPr>
        <w:t>4.比较情况。</w:t>
      </w:r>
      <w:r>
        <w:rPr>
          <w:rFonts w:hint="default" w:ascii="Times New Roman" w:hAnsi="Times New Roman" w:eastAsia="方正仿宋_GBK" w:cs="Times New Roman"/>
          <w:b w:val="0"/>
          <w:bCs w:val="0"/>
          <w:sz w:val="32"/>
          <w:szCs w:val="32"/>
          <w:shd w:val="clear" w:color="auto" w:fill="FFFFFF"/>
        </w:rPr>
        <w:t>本单位2023年度一般公共预算财政拨款支出主要用于以下几个方面：</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1</w:t>
      </w:r>
      <w:r>
        <w:rPr>
          <w:rFonts w:hint="default" w:ascii="Times New Roman" w:hAnsi="Times New Roman" w:eastAsia="方正仿宋_GBK" w:cs="Times New Roman"/>
          <w:b w:val="0"/>
          <w:bCs w:val="0"/>
          <w:sz w:val="32"/>
          <w:szCs w:val="32"/>
          <w:shd w:val="clear" w:color="auto" w:fill="FFFFFF"/>
        </w:rPr>
        <w:t>）社会保障与就业支出</w:t>
      </w:r>
      <w:r>
        <w:rPr>
          <w:rFonts w:hint="default" w:ascii="Times New Roman" w:hAnsi="Times New Roman" w:eastAsia="方正仿宋_GBK" w:cs="Times New Roman"/>
          <w:b w:val="0"/>
          <w:bCs w:val="0"/>
          <w:sz w:val="32"/>
          <w:szCs w:val="32"/>
        </w:rPr>
        <w:t>55.49</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9.29</w:t>
      </w:r>
      <w:r>
        <w:rPr>
          <w:rFonts w:hint="default" w:ascii="Times New Roman" w:hAnsi="Times New Roman" w:eastAsia="方正仿宋_GBK" w:cs="Times New Roman"/>
          <w:b w:val="0"/>
          <w:bCs w:val="0"/>
          <w:sz w:val="32"/>
          <w:szCs w:val="32"/>
          <w:shd w:val="clear" w:color="auto" w:fill="FFFFFF"/>
        </w:rPr>
        <w:t>%，较年初预算数减少19.92万元，下降26.42%，</w:t>
      </w:r>
      <w:r>
        <w:rPr>
          <w:rFonts w:hint="default" w:ascii="Times New Roman" w:hAnsi="Times New Roman" w:eastAsia="方正仿宋_GBK" w:cs="Times New Roman"/>
          <w:b w:val="0"/>
          <w:bCs w:val="0"/>
          <w:color w:val="333333"/>
          <w:kern w:val="0"/>
          <w:sz w:val="32"/>
          <w:szCs w:val="32"/>
          <w:shd w:val="clear" w:fill="FFFFFF"/>
        </w:rPr>
        <w:t>主要原因是根据单位情况预估核算，实际财政拨款收入由财政根据资金分配情况统一安排拨款。</w:t>
      </w:r>
    </w:p>
    <w:p>
      <w:pPr>
        <w:pStyle w:val="9"/>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）卫生健康支出</w:t>
      </w:r>
      <w:r>
        <w:rPr>
          <w:rFonts w:hint="default" w:ascii="Times New Roman" w:hAnsi="Times New Roman" w:eastAsia="方正仿宋_GBK" w:cs="Times New Roman"/>
          <w:b w:val="0"/>
          <w:bCs w:val="0"/>
          <w:sz w:val="32"/>
          <w:szCs w:val="32"/>
        </w:rPr>
        <w:t>523.84</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87.74</w:t>
      </w:r>
      <w:r>
        <w:rPr>
          <w:rFonts w:hint="default" w:ascii="Times New Roman" w:hAnsi="Times New Roman" w:eastAsia="方正仿宋_GBK" w:cs="Times New Roman"/>
          <w:b w:val="0"/>
          <w:bCs w:val="0"/>
          <w:sz w:val="32"/>
          <w:szCs w:val="32"/>
          <w:shd w:val="clear" w:color="auto" w:fill="FFFFFF"/>
        </w:rPr>
        <w:t>%，较年初预算数增加190.16万元，增长56.99%，</w:t>
      </w:r>
      <w:r>
        <w:rPr>
          <w:rFonts w:hint="default" w:ascii="Times New Roman" w:hAnsi="Times New Roman" w:eastAsia="方正仿宋_GBK" w:cs="Times New Roman"/>
          <w:b w:val="0"/>
          <w:bCs w:val="0"/>
          <w:color w:val="333333"/>
          <w:kern w:val="0"/>
          <w:sz w:val="32"/>
          <w:szCs w:val="32"/>
          <w:shd w:val="clear" w:fill="FFFFFF"/>
        </w:rPr>
        <w:t>主要原因是根据单位情况预估核算</w:t>
      </w:r>
      <w:r>
        <w:rPr>
          <w:rFonts w:hint="default" w:ascii="Times New Roman" w:hAnsi="Times New Roman" w:eastAsia="方正仿宋_GBK" w:cs="Times New Roman"/>
          <w:b w:val="0"/>
          <w:bCs w:val="0"/>
          <w:color w:val="333333"/>
          <w:kern w:val="0"/>
          <w:sz w:val="32"/>
          <w:szCs w:val="32"/>
          <w:shd w:val="clear" w:fill="FFFFFF"/>
          <w:lang w:eastAsia="zh-CN"/>
        </w:rPr>
        <w:t>，</w:t>
      </w:r>
      <w:r>
        <w:rPr>
          <w:rFonts w:hint="default" w:ascii="Times New Roman" w:hAnsi="Times New Roman" w:eastAsia="方正仿宋_GBK" w:cs="Times New Roman"/>
          <w:b w:val="0"/>
          <w:bCs w:val="0"/>
          <w:color w:val="333333"/>
          <w:kern w:val="0"/>
          <w:sz w:val="32"/>
          <w:szCs w:val="32"/>
          <w:shd w:val="clear" w:fill="FFFFFF"/>
        </w:rPr>
        <w:t>实际财政拨款收入由财政根据资金分配情况统一安排拨款。</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rPr>
        <w:t>住房保障支出17.72</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2.97</w:t>
      </w:r>
      <w:r>
        <w:rPr>
          <w:rFonts w:hint="default" w:ascii="Times New Roman" w:hAnsi="Times New Roman" w:eastAsia="方正仿宋_GBK" w:cs="Times New Roman"/>
          <w:b w:val="0"/>
          <w:bCs w:val="0"/>
          <w:sz w:val="32"/>
          <w:szCs w:val="32"/>
          <w:shd w:val="clear" w:color="auto" w:fill="FFFFFF"/>
        </w:rPr>
        <w:t>%，较年初预算数减少14.90万元，下降45.68%，</w:t>
      </w:r>
      <w:r>
        <w:rPr>
          <w:rFonts w:hint="default" w:ascii="Times New Roman" w:hAnsi="Times New Roman" w:eastAsia="方正仿宋_GBK" w:cs="Times New Roman"/>
          <w:b w:val="0"/>
          <w:bCs w:val="0"/>
          <w:color w:val="333333"/>
          <w:kern w:val="0"/>
          <w:sz w:val="32"/>
          <w:szCs w:val="32"/>
          <w:shd w:val="clear" w:fill="FFFFFF"/>
        </w:rPr>
        <w:t>主要原因是根据单位情况预估核算，实际财政拨款收入由财政根据资金分配情况统一安排拨款。</w:t>
      </w:r>
    </w:p>
    <w:p>
      <w:pPr>
        <w:pStyle w:val="14"/>
        <w:keepNext w:val="0"/>
        <w:keepLines w:val="0"/>
        <w:pageBreakBefore w:val="0"/>
        <w:widowControl/>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9"/>
        <w:keepNext w:val="0"/>
        <w:keepLines w:val="0"/>
        <w:pageBreakBefore w:val="0"/>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2023年度一般公共财政拨款基本支出</w:t>
      </w:r>
      <w:r>
        <w:rPr>
          <w:rFonts w:hint="default" w:ascii="Times New Roman" w:hAnsi="Times New Roman" w:eastAsia="方正仿宋_GBK" w:cs="Times New Roman"/>
          <w:b w:val="0"/>
          <w:bCs w:val="0"/>
          <w:sz w:val="32"/>
          <w:szCs w:val="32"/>
        </w:rPr>
        <w:t>573.33</w:t>
      </w:r>
      <w:r>
        <w:rPr>
          <w:rFonts w:hint="default" w:ascii="Times New Roman" w:hAnsi="Times New Roman" w:eastAsia="方正仿宋_GBK" w:cs="Times New Roman"/>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545.86</w:t>
      </w:r>
      <w:r>
        <w:rPr>
          <w:rFonts w:hint="default" w:ascii="Times New Roman" w:hAnsi="Times New Roman" w:eastAsia="方正仿宋_GBK" w:cs="Times New Roman"/>
          <w:b w:val="0"/>
          <w:bCs w:val="0"/>
          <w:sz w:val="32"/>
          <w:szCs w:val="32"/>
          <w:shd w:val="clear" w:color="auto" w:fill="FFFFFF"/>
        </w:rPr>
        <w:t>万元，较上年决算数增加50.15万元，增长10.12%，</w:t>
      </w:r>
      <w:r>
        <w:rPr>
          <w:rFonts w:hint="default" w:ascii="Times New Roman" w:hAnsi="Times New Roman" w:eastAsia="方正仿宋_GBK" w:cs="Times New Roman"/>
          <w:b w:val="0"/>
          <w:bCs w:val="0"/>
          <w:snapToGrid w:val="0"/>
          <w:sz w:val="32"/>
          <w:szCs w:val="32"/>
          <w:shd w:val="clear" w:fill="FFFFFF"/>
          <w:lang w:eastAsia="zh-CN"/>
        </w:rPr>
        <w:t>主要原因是</w:t>
      </w:r>
      <w:r>
        <w:rPr>
          <w:rFonts w:hint="default" w:ascii="Times New Roman" w:hAnsi="Times New Roman" w:eastAsia="方正仿宋_GBK" w:cs="Times New Roman"/>
          <w:b w:val="0"/>
          <w:bCs w:val="0"/>
          <w:snapToGrid w:val="0"/>
          <w:sz w:val="32"/>
          <w:szCs w:val="32"/>
          <w:shd w:val="clear" w:fill="FFFFFF"/>
          <w:lang w:val="en-US" w:eastAsia="zh-CN"/>
        </w:rPr>
        <w:t>2023年五险一金调整</w:t>
      </w:r>
      <w:r>
        <w:rPr>
          <w:rFonts w:hint="eastAsia" w:ascii="Times New Roman" w:hAnsi="Times New Roman" w:eastAsia="方正仿宋_GBK" w:cs="Times New Roman"/>
          <w:b w:val="0"/>
          <w:bCs w:val="0"/>
          <w:snapToGrid w:val="0"/>
          <w:sz w:val="32"/>
          <w:szCs w:val="32"/>
          <w:shd w:val="clear" w:fill="FFFFFF"/>
          <w:lang w:val="en-US" w:eastAsia="zh-CN"/>
        </w:rPr>
        <w:t>，在编人员基本工资、津贴、绩效调整</w:t>
      </w:r>
      <w:r>
        <w:rPr>
          <w:rFonts w:hint="default" w:ascii="Times New Roman" w:hAnsi="Times New Roman" w:eastAsia="方正仿宋_GBK" w:cs="Times New Roman"/>
          <w:b w:val="0"/>
          <w:bCs w:val="0"/>
          <w:snapToGrid w:val="0"/>
          <w:sz w:val="32"/>
          <w:szCs w:val="32"/>
          <w:shd w:val="clear" w:fill="FFFFFF"/>
          <w:lang w:val="en-US" w:eastAsia="zh-CN"/>
        </w:rPr>
        <w:t>，</w:t>
      </w:r>
      <w:r>
        <w:rPr>
          <w:rFonts w:hint="default" w:ascii="Times New Roman" w:hAnsi="Times New Roman" w:eastAsia="方正仿宋_GBK" w:cs="Times New Roman"/>
          <w:b w:val="0"/>
          <w:bCs w:val="0"/>
          <w:color w:val="333333"/>
          <w:kern w:val="0"/>
          <w:sz w:val="32"/>
          <w:szCs w:val="32"/>
          <w:shd w:val="clear" w:fill="FFFFFF"/>
        </w:rPr>
        <w:t>人员经费用途主要包括人员社会保障、工资、绩效、津补贴支出等。</w:t>
      </w:r>
      <w:r>
        <w:rPr>
          <w:rFonts w:hint="default" w:ascii="Times New Roman" w:hAnsi="Times New Roman" w:eastAsia="方正仿宋_GBK" w:cs="Times New Roman"/>
          <w:b w:val="0"/>
          <w:bCs w:val="0"/>
          <w:sz w:val="32"/>
          <w:szCs w:val="32"/>
          <w:shd w:val="clear" w:color="auto" w:fill="FFFFFF"/>
        </w:rPr>
        <w:t>公用经费</w:t>
      </w:r>
      <w:r>
        <w:rPr>
          <w:rFonts w:hint="default" w:ascii="Times New Roman" w:hAnsi="Times New Roman" w:eastAsia="方正仿宋_GBK" w:cs="Times New Roman"/>
          <w:b w:val="0"/>
          <w:bCs w:val="0"/>
          <w:sz w:val="32"/>
          <w:szCs w:val="32"/>
        </w:rPr>
        <w:t>27.46</w:t>
      </w:r>
      <w:r>
        <w:rPr>
          <w:rFonts w:hint="default" w:ascii="Times New Roman" w:hAnsi="Times New Roman" w:eastAsia="方正仿宋_GBK" w:cs="Times New Roman"/>
          <w:b w:val="0"/>
          <w:bCs w:val="0"/>
          <w:sz w:val="32"/>
          <w:szCs w:val="32"/>
          <w:shd w:val="clear" w:color="auto" w:fill="FFFFFF"/>
        </w:rPr>
        <w:t>万元，较上年决算数减少34.84万元，下降55.92%，</w:t>
      </w:r>
      <w:r>
        <w:rPr>
          <w:rFonts w:hint="default" w:ascii="Times New Roman" w:hAnsi="Times New Roman" w:eastAsia="方正仿宋_GBK" w:cs="Times New Roman"/>
          <w:b w:val="0"/>
          <w:bCs w:val="0"/>
          <w:color w:val="333333"/>
          <w:kern w:val="0"/>
          <w:sz w:val="32"/>
          <w:szCs w:val="32"/>
          <w:shd w:val="clear" w:fill="FFFFFF"/>
        </w:rPr>
        <w:t>主要原因是合理控制了成本，减少了办公费等的支出。公用经费用途主要包括办公费、水电费、培训费等。</w:t>
      </w: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default" w:ascii="Times New Roman" w:hAnsi="Times New Roman" w:eastAsia="楷体" w:cs="Times New Roman"/>
          <w:b w:val="0"/>
          <w:bCs w:val="0"/>
          <w:sz w:val="32"/>
          <w:szCs w:val="32"/>
          <w:shd w:val="clear" w:color="auto" w:fill="FFFFFF"/>
        </w:rPr>
      </w:pP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fill="FFFFFF"/>
          <w:lang w:val="en-US" w:eastAsia="zh-CN"/>
        </w:rPr>
      </w:pPr>
      <w:r>
        <w:rPr>
          <w:rFonts w:hint="default" w:ascii="Times New Roman" w:hAnsi="Times New Roman" w:eastAsia="方正仿宋_GBK" w:cs="Times New Roman"/>
          <w:b w:val="0"/>
          <w:bCs w:val="0"/>
          <w:sz w:val="32"/>
          <w:szCs w:val="32"/>
          <w:shd w:val="clear" w:fill="FFFFFF"/>
          <w:lang w:val="en-US" w:eastAsia="zh-CN"/>
        </w:rPr>
        <w:t>本单位2023年度无政府性基金预算财政拨款收支。</w:t>
      </w: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本单位202</w:t>
      </w:r>
      <w:r>
        <w:rPr>
          <w:rFonts w:hint="default" w:ascii="Times New Roman" w:hAnsi="Times New Roman" w:eastAsia="方正仿宋_GBK" w:cs="Times New Roman"/>
          <w:b w:val="0"/>
          <w:bCs w:val="0"/>
          <w:color w:val="333333"/>
          <w:kern w:val="0"/>
          <w:sz w:val="32"/>
          <w:szCs w:val="32"/>
          <w:shd w:val="clear" w:fill="FFFFFF"/>
          <w:lang w:val="en-US" w:eastAsia="zh-CN"/>
        </w:rPr>
        <w:t>3</w:t>
      </w:r>
      <w:r>
        <w:rPr>
          <w:rFonts w:hint="default" w:ascii="Times New Roman" w:hAnsi="Times New Roman" w:eastAsia="方正仿宋_GBK" w:cs="Times New Roman"/>
          <w:b w:val="0"/>
          <w:bCs w:val="0"/>
          <w:color w:val="333333"/>
          <w:kern w:val="0"/>
          <w:sz w:val="32"/>
          <w:szCs w:val="32"/>
          <w:shd w:val="clear" w:fill="FFFFFF"/>
        </w:rPr>
        <w:t>年度无国有资本经营预算财政拨款支出。</w:t>
      </w:r>
    </w:p>
    <w:p>
      <w:pPr>
        <w:pStyle w:val="9"/>
        <w:keepNext w:val="0"/>
        <w:keepLines w:val="0"/>
        <w:pageBreakBefore w:val="0"/>
        <w:shd w:val="clear" w:color="auto"/>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三、“三公”经费情况说明</w:t>
      </w: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（一）“三公”经费支出总体情况说明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本单位为差额拨款单位，财政未保障本单位“三公”经费。</w:t>
      </w: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numPr>
          <w:ilvl w:val="0"/>
          <w:numId w:val="1"/>
        </w:numPr>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“三公”经费实物量情况</w:t>
      </w:r>
    </w:p>
    <w:p>
      <w:pPr>
        <w:pStyle w:val="14"/>
        <w:keepNext w:val="0"/>
        <w:keepLines w:val="0"/>
        <w:pageBreakBefore w:val="0"/>
        <w:numPr>
          <w:ilvl w:val="0"/>
          <w:numId w:val="0"/>
        </w:numPr>
        <w:shd w:val="clear"/>
        <w:kinsoku/>
        <w:wordWrap/>
        <w:overflowPunct/>
        <w:topLinePunct w:val="0"/>
        <w:autoSpaceDE w:val="0"/>
        <w:autoSpaceDN/>
        <w:bidi w:val="0"/>
        <w:adjustRightInd/>
        <w:snapToGrid/>
        <w:spacing w:beforeAutospacing="0" w:afterAutospacing="0" w:line="560" w:lineRule="exact"/>
        <w:ind w:leftChars="0" w:firstLine="640" w:firstLineChars="200"/>
        <w:jc w:val="both"/>
        <w:textAlignment w:val="auto"/>
        <w:outlineLvl w:val="9"/>
        <w:rPr>
          <w:rStyle w:val="11"/>
          <w:rFonts w:hint="default" w:ascii="Times New Roman" w:hAnsi="Times New Roman" w:eastAsia="黑体"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2023年度本单位因公出国（境）共计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人。2023年本单位人均接待费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四、其他需要说明的事项</w:t>
      </w: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（一）财政拨款会议费和培训费情况说明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本单位为差额拨款单位，财政未保障本单位会议费和培训费。</w:t>
      </w: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按照部门决算列报口径，本单位</w:t>
      </w:r>
      <w:r>
        <w:rPr>
          <w:rFonts w:hint="eastAsia" w:ascii="Times New Roman" w:hAnsi="Times New Roman" w:eastAsia="方正仿宋_GBK" w:cs="Times New Roman"/>
          <w:b w:val="0"/>
          <w:bCs w:val="0"/>
          <w:color w:val="333333"/>
          <w:kern w:val="0"/>
          <w:sz w:val="32"/>
          <w:szCs w:val="32"/>
          <w:shd w:val="clear" w:fill="FFFFFF"/>
          <w:lang w:eastAsia="zh-CN"/>
        </w:rPr>
        <w:t>为差额拨款单位</w:t>
      </w:r>
      <w:r>
        <w:rPr>
          <w:rFonts w:hint="default" w:ascii="Times New Roman" w:hAnsi="Times New Roman" w:eastAsia="方正仿宋_GBK" w:cs="Times New Roman"/>
          <w:b w:val="0"/>
          <w:bCs w:val="0"/>
          <w:color w:val="333333"/>
          <w:kern w:val="0"/>
          <w:sz w:val="32"/>
          <w:szCs w:val="32"/>
          <w:shd w:val="clear" w:fill="FFFFFF"/>
        </w:rPr>
        <w:t>不在机关运行经费统计范围之内。</w:t>
      </w: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9"/>
        <w:keepNext w:val="0"/>
        <w:keepLines w:val="0"/>
        <w:pageBreakBefore w:val="0"/>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截至2023年12月31日，本单位共有车辆</w:t>
      </w:r>
      <w:r>
        <w:rPr>
          <w:rFonts w:hint="default" w:ascii="Times New Roman" w:hAnsi="Times New Roman" w:eastAsia="方正仿宋_GBK" w:cs="Times New Roman"/>
          <w:b w:val="0"/>
          <w:bCs w:val="0"/>
          <w:sz w:val="32"/>
          <w:szCs w:val="32"/>
        </w:rPr>
        <w:t>2</w:t>
      </w:r>
      <w:r>
        <w:rPr>
          <w:rFonts w:hint="default" w:ascii="Times New Roman" w:hAnsi="Times New Roman" w:eastAsia="方正仿宋_GBK" w:cs="Times New Roman"/>
          <w:b w:val="0"/>
          <w:bCs w:val="0"/>
          <w:sz w:val="32"/>
          <w:szCs w:val="32"/>
          <w:shd w:val="clear" w:color="auto" w:fill="FFFFFF"/>
        </w:rPr>
        <w:t>辆，其中，副部（省）级及以上领导用车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辆、主要负责人用车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辆、机要通信用车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辆、应急保障用车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辆、执法执勤用车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辆，特种专业技术用车</w:t>
      </w:r>
      <w:r>
        <w:rPr>
          <w:rFonts w:hint="default" w:ascii="Times New Roman" w:hAnsi="Times New Roman" w:eastAsia="方正仿宋_GBK" w:cs="Times New Roman"/>
          <w:b w:val="0"/>
          <w:bCs w:val="0"/>
          <w:sz w:val="32"/>
          <w:szCs w:val="32"/>
        </w:rPr>
        <w:t>2</w:t>
      </w:r>
      <w:r>
        <w:rPr>
          <w:rFonts w:hint="default" w:ascii="Times New Roman" w:hAnsi="Times New Roman" w:eastAsia="方正仿宋_GBK" w:cs="Times New Roman"/>
          <w:b w:val="0"/>
          <w:bCs w:val="0"/>
          <w:sz w:val="32"/>
          <w:szCs w:val="32"/>
          <w:shd w:val="clear" w:color="auto" w:fill="FFFFFF"/>
        </w:rPr>
        <w:t>辆，离退休干部用车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辆。单价100万元（含）以上专用设备</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台（套）。</w:t>
      </w:r>
    </w:p>
    <w:p>
      <w:pPr>
        <w:pStyle w:val="14"/>
        <w:keepNext w:val="0"/>
        <w:keepLines w:val="0"/>
        <w:pageBreakBefore w:val="0"/>
        <w:shd w:val="clear"/>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rPr>
        <w:t>四）政府采购支出情况说明</w:t>
      </w:r>
    </w:p>
    <w:p>
      <w:pPr>
        <w:pStyle w:val="9"/>
        <w:keepNext w:val="0"/>
        <w:keepLines w:val="0"/>
        <w:pageBreakBefore w:val="0"/>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2023年度本单位政府采购支出总额</w:t>
      </w:r>
      <w:r>
        <w:rPr>
          <w:rFonts w:hint="default" w:ascii="Times New Roman" w:hAnsi="Times New Roman" w:eastAsia="方正仿宋_GBK" w:cs="Times New Roman"/>
          <w:b w:val="0"/>
          <w:bCs w:val="0"/>
          <w:sz w:val="32"/>
          <w:szCs w:val="32"/>
        </w:rPr>
        <w:t>2.08</w:t>
      </w:r>
      <w:r>
        <w:rPr>
          <w:rFonts w:hint="default" w:ascii="Times New Roman" w:hAnsi="Times New Roman" w:eastAsia="方正仿宋_GBK" w:cs="Times New Roman"/>
          <w:b w:val="0"/>
          <w:bCs w:val="0"/>
          <w:sz w:val="32"/>
          <w:szCs w:val="32"/>
          <w:shd w:val="clear" w:color="auto" w:fill="FFFFFF"/>
        </w:rPr>
        <w:t>万元，其中：政府采购货物支出</w:t>
      </w:r>
      <w:r>
        <w:rPr>
          <w:rFonts w:hint="default" w:ascii="Times New Roman" w:hAnsi="Times New Roman" w:eastAsia="方正仿宋_GBK" w:cs="Times New Roman"/>
          <w:b w:val="0"/>
          <w:bCs w:val="0"/>
          <w:sz w:val="32"/>
          <w:szCs w:val="32"/>
        </w:rPr>
        <w:t>2.08</w:t>
      </w:r>
      <w:r>
        <w:rPr>
          <w:rFonts w:hint="default" w:ascii="Times New Roman" w:hAnsi="Times New Roman" w:eastAsia="方正仿宋_GBK" w:cs="Times New Roman"/>
          <w:b w:val="0"/>
          <w:bCs w:val="0"/>
          <w:sz w:val="32"/>
          <w:szCs w:val="32"/>
          <w:shd w:val="clear" w:color="auto" w:fill="FFFFFF"/>
        </w:rPr>
        <w:t>万元、政府采购工程支出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万元、政府采购服务支出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万元。授予中小企业合同金额</w:t>
      </w:r>
      <w:r>
        <w:rPr>
          <w:rFonts w:hint="default" w:ascii="Times New Roman" w:hAnsi="Times New Roman" w:eastAsia="方正仿宋_GBK" w:cs="Times New Roman"/>
          <w:b w:val="0"/>
          <w:bCs w:val="0"/>
          <w:sz w:val="32"/>
          <w:szCs w:val="32"/>
        </w:rPr>
        <w:t>2.08万</w:t>
      </w:r>
      <w:r>
        <w:rPr>
          <w:rFonts w:hint="default" w:ascii="Times New Roman" w:hAnsi="Times New Roman" w:eastAsia="方正仿宋_GBK" w:cs="Times New Roman"/>
          <w:b w:val="0"/>
          <w:bCs w:val="0"/>
          <w:sz w:val="32"/>
          <w:szCs w:val="32"/>
          <w:shd w:val="clear" w:color="auto" w:fill="FFFFFF"/>
        </w:rPr>
        <w:t>元，占政府采购支出总额的</w:t>
      </w:r>
      <w:r>
        <w:rPr>
          <w:rFonts w:hint="default" w:ascii="Times New Roman" w:hAnsi="Times New Roman" w:eastAsia="方正仿宋_GBK" w:cs="Times New Roman"/>
          <w:b w:val="0"/>
          <w:bCs w:val="0"/>
          <w:sz w:val="32"/>
          <w:szCs w:val="32"/>
        </w:rPr>
        <w:t>100.00</w:t>
      </w:r>
      <w:r>
        <w:rPr>
          <w:rFonts w:hint="default" w:ascii="Times New Roman" w:hAnsi="Times New Roman" w:eastAsia="方正仿宋_GBK" w:cs="Times New Roman"/>
          <w:b w:val="0"/>
          <w:bCs w:val="0"/>
          <w:sz w:val="32"/>
          <w:szCs w:val="32"/>
          <w:shd w:val="clear" w:color="auto" w:fill="FFFFFF"/>
        </w:rPr>
        <w:t>%，其中：授予小微企业合同金额</w:t>
      </w:r>
      <w:r>
        <w:rPr>
          <w:rFonts w:hint="default" w:ascii="Times New Roman" w:hAnsi="Times New Roman" w:eastAsia="方正仿宋_GBK" w:cs="Times New Roman"/>
          <w:b w:val="0"/>
          <w:bCs w:val="0"/>
          <w:sz w:val="32"/>
          <w:szCs w:val="32"/>
        </w:rPr>
        <w:t>2.08</w:t>
      </w:r>
      <w:r>
        <w:rPr>
          <w:rFonts w:hint="default" w:ascii="Times New Roman" w:hAnsi="Times New Roman" w:eastAsia="方正仿宋_GBK" w:cs="Times New Roman"/>
          <w:b w:val="0"/>
          <w:bCs w:val="0"/>
          <w:sz w:val="32"/>
          <w:szCs w:val="32"/>
          <w:shd w:val="clear" w:color="auto" w:fill="FFFFFF"/>
        </w:rPr>
        <w:t>万元，占政府采购支出总额的</w:t>
      </w:r>
      <w:r>
        <w:rPr>
          <w:rFonts w:hint="default" w:ascii="Times New Roman" w:hAnsi="Times New Roman" w:eastAsia="方正仿宋_GBK" w:cs="Times New Roman"/>
          <w:b w:val="0"/>
          <w:bCs w:val="0"/>
          <w:sz w:val="32"/>
          <w:szCs w:val="32"/>
        </w:rPr>
        <w:t>100.00</w:t>
      </w:r>
      <w:r>
        <w:rPr>
          <w:rFonts w:hint="default" w:ascii="Times New Roman" w:hAnsi="Times New Roman" w:eastAsia="方正仿宋_GBK" w:cs="Times New Roman"/>
          <w:b w:val="0"/>
          <w:bCs w:val="0"/>
          <w:sz w:val="32"/>
          <w:szCs w:val="32"/>
          <w:shd w:val="clear" w:color="auto" w:fill="FFFFFF"/>
        </w:rPr>
        <w:t xml:space="preserve"> %。主要用于采购</w:t>
      </w:r>
      <w:r>
        <w:rPr>
          <w:rFonts w:hint="default" w:ascii="Times New Roman" w:hAnsi="Times New Roman" w:eastAsia="方正仿宋_GBK" w:cs="Times New Roman"/>
          <w:b w:val="0"/>
          <w:bCs w:val="0"/>
          <w:sz w:val="32"/>
          <w:szCs w:val="32"/>
          <w:shd w:val="clear" w:color="auto" w:fill="FFFFFF"/>
          <w:lang w:eastAsia="zh-CN"/>
        </w:rPr>
        <w:t>办公设备。</w:t>
      </w:r>
    </w:p>
    <w:p>
      <w:pPr>
        <w:pStyle w:val="9"/>
        <w:keepNext w:val="0"/>
        <w:keepLines w:val="0"/>
        <w:pageBreakBefore w:val="0"/>
        <w:numPr>
          <w:ilvl w:val="0"/>
          <w:numId w:val="2"/>
        </w:numPr>
        <w:shd w:val="clear" w:color="auto"/>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873" w:tblpY="353"/>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shd w:val="clear" w:color="auto"/>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六、专业名词解释</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（二）事业收入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（三）经营收入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（四）其他收入</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（五）使用非财政拨款结余</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（六）年初结转和结余</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（七）结余分配</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（八）年末结转和结余</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（九）基本支出</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（十）项目支出</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（十一）经营支出</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（十二）“三公”经费</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（十三）机关运行经费</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黑体" w:cs="Times New Roman"/>
          <w:b w:val="0"/>
          <w:bCs w:val="0"/>
          <w:sz w:val="32"/>
          <w:szCs w:val="32"/>
          <w:shd w:val="clear" w:color="auto" w:fill="FFFFFF"/>
        </w:rPr>
      </w:pPr>
      <w:r>
        <w:rPr>
          <w:rStyle w:val="11"/>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hint="eastAsia" w:ascii="方正楷体_GBK" w:hAnsi="方正楷体_GBK" w:eastAsia="方正楷体_GBK" w:cs="方正楷体_GBK"/>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黑体" w:cs="Times New Roman"/>
          <w:b w:val="0"/>
          <w:bCs w:val="0"/>
          <w:sz w:val="32"/>
          <w:szCs w:val="32"/>
          <w:shd w:val="clear" w:color="auto" w:fill="FFFFFF"/>
        </w:rPr>
      </w:pPr>
      <w:r>
        <w:rPr>
          <w:rStyle w:val="11"/>
          <w:rFonts w:hint="default" w:ascii="Times New Roman" w:hAnsi="Times New Roman" w:eastAsia="黑体" w:cs="Times New Roman"/>
          <w:b w:val="0"/>
          <w:bCs w:val="0"/>
          <w:sz w:val="32"/>
          <w:szCs w:val="32"/>
          <w:shd w:val="clear" w:color="auto" w:fill="FFFFFF"/>
        </w:rPr>
        <w:t>七、决算公开联系方式及信息反馈渠道</w:t>
      </w:r>
    </w:p>
    <w:p>
      <w:pPr>
        <w:pStyle w:val="9"/>
        <w:keepNext w:val="0"/>
        <w:keepLines w:val="0"/>
        <w:pageBreakBefore w:val="0"/>
        <w:widowControl/>
        <w:shd w:val="clear" w:color="auto"/>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sectPr>
          <w:headerReference r:id="rId4" w:type="first"/>
          <w:headerReference r:id="rId3" w:type="default"/>
          <w:footerReference r:id="rId5" w:type="default"/>
          <w:pgSz w:w="11915" w:h="16840"/>
          <w:pgMar w:top="2098" w:right="1474" w:bottom="1984" w:left="1587" w:header="851" w:footer="992" w:gutter="0"/>
          <w:pgNumType w:fmt="numberInDash"/>
          <w:cols w:space="720" w:num="1"/>
          <w:titlePg/>
          <w:docGrid w:type="lines" w:linePitch="312" w:charSpace="0"/>
        </w:sectPr>
      </w:pPr>
      <w:r>
        <w:rPr>
          <w:rFonts w:hint="default" w:ascii="Times New Roman" w:hAnsi="Times New Roman" w:eastAsia="方正仿宋_GBK" w:cs="Times New Roman"/>
          <w:b w:val="0"/>
          <w:bCs w:val="0"/>
          <w:color w:val="333333"/>
          <w:kern w:val="0"/>
          <w:sz w:val="32"/>
          <w:szCs w:val="32"/>
          <w:shd w:val="clear" w:fill="FFFFFF"/>
        </w:rPr>
        <w:t>本单位决算公开信息反馈和联系方式：</w:t>
      </w:r>
      <w:r>
        <w:rPr>
          <w:rFonts w:hint="default" w:ascii="Times New Roman" w:hAnsi="Times New Roman" w:eastAsia="方正仿宋_GBK" w:cs="Times New Roman"/>
          <w:b w:val="0"/>
          <w:bCs w:val="0"/>
          <w:sz w:val="32"/>
          <w:szCs w:val="32"/>
          <w:shd w:val="clear" w:color="auto" w:fill="FFFFFF"/>
          <w:lang w:eastAsia="zh-CN"/>
        </w:rPr>
        <w:t>田佳</w:t>
      </w:r>
      <w:r>
        <w:rPr>
          <w:rFonts w:hint="default" w:ascii="Times New Roman" w:hAnsi="Times New Roman" w:eastAsia="方正仿宋_GBK" w:cs="Times New Roman"/>
          <w:b w:val="0"/>
          <w:bCs w:val="0"/>
          <w:sz w:val="32"/>
          <w:szCs w:val="32"/>
          <w:shd w:val="clear" w:color="auto" w:fill="FFFFFF"/>
          <w:lang w:val="en-US" w:eastAsia="zh-CN"/>
        </w:rPr>
        <w:t xml:space="preserve"> 023-76620191</w:t>
      </w:r>
    </w:p>
    <w:tbl>
      <w:tblPr>
        <w:tblStyle w:val="12"/>
        <w:tblW w:w="14601" w:type="dxa"/>
        <w:tblInd w:w="0" w:type="dxa"/>
        <w:tblLayout w:type="fixed"/>
        <w:tblCellMar>
          <w:top w:w="0" w:type="dxa"/>
          <w:left w:w="0" w:type="dxa"/>
          <w:bottom w:w="0" w:type="dxa"/>
          <w:right w:w="0" w:type="dxa"/>
        </w:tblCellMar>
      </w:tblPr>
      <w:tblGrid>
        <w:gridCol w:w="5598"/>
        <w:gridCol w:w="1668"/>
        <w:gridCol w:w="4311"/>
        <w:gridCol w:w="3024"/>
      </w:tblGrid>
      <w:tr>
        <w:tblPrEx>
          <w:tblLayout w:type="fixed"/>
          <w:tblCellMar>
            <w:top w:w="0" w:type="dxa"/>
            <w:left w:w="0" w:type="dxa"/>
            <w:bottom w:w="0" w:type="dxa"/>
            <w:right w:w="0" w:type="dxa"/>
          </w:tblCellMar>
        </w:tblPrEx>
        <w:trPr>
          <w:trHeight w:val="376" w:hRule="atLeast"/>
        </w:trPr>
        <w:tc>
          <w:tcPr>
            <w:tcW w:w="14601"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收入支出决算总表</w:t>
            </w:r>
          </w:p>
        </w:tc>
      </w:tr>
      <w:tr>
        <w:tblPrEx>
          <w:tblLayout w:type="fixed"/>
          <w:tblCellMar>
            <w:top w:w="0" w:type="dxa"/>
            <w:left w:w="0" w:type="dxa"/>
            <w:bottom w:w="0" w:type="dxa"/>
            <w:right w:w="0" w:type="dxa"/>
          </w:tblCellMar>
        </w:tblPrEx>
        <w:trPr>
          <w:trHeight w:val="267" w:hRule="atLeast"/>
        </w:trPr>
        <w:tc>
          <w:tcPr>
            <w:tcW w:w="559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0"/>
                <w:szCs w:val="20"/>
              </w:rPr>
            </w:pPr>
          </w:p>
        </w:tc>
        <w:tc>
          <w:tcPr>
            <w:tcW w:w="166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b w:val="0"/>
                <w:bCs w:val="0"/>
                <w:color w:val="000000"/>
                <w:sz w:val="20"/>
                <w:szCs w:val="20"/>
              </w:rPr>
            </w:pPr>
          </w:p>
        </w:tc>
        <w:tc>
          <w:tcPr>
            <w:tcW w:w="431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0"/>
                <w:szCs w:val="20"/>
              </w:rPr>
            </w:pPr>
          </w:p>
        </w:tc>
        <w:tc>
          <w:tcPr>
            <w:tcW w:w="302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公开01表</w:t>
            </w:r>
          </w:p>
        </w:tc>
      </w:tr>
      <w:tr>
        <w:tblPrEx>
          <w:tblLayout w:type="fixed"/>
          <w:tblCellMar>
            <w:top w:w="0" w:type="dxa"/>
            <w:left w:w="0" w:type="dxa"/>
            <w:bottom w:w="0" w:type="dxa"/>
            <w:right w:w="0" w:type="dxa"/>
          </w:tblCellMar>
        </w:tblPrEx>
        <w:trPr>
          <w:trHeight w:val="267" w:hRule="atLeast"/>
        </w:trPr>
        <w:tc>
          <w:tcPr>
            <w:tcW w:w="5598"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b w:val="0"/>
                <w:bCs w:val="0"/>
                <w:color w:val="000000"/>
                <w:sz w:val="20"/>
                <w:szCs w:val="20"/>
              </w:rPr>
            </w:pPr>
            <w:r>
              <w:rPr>
                <w:rFonts w:cs="宋体"/>
                <w:b w:val="0"/>
                <w:bCs w:val="0"/>
                <w:sz w:val="20"/>
                <w:szCs w:val="20"/>
              </w:rPr>
              <w:t>公开单位：</w:t>
            </w:r>
            <w:r>
              <w:rPr>
                <w:b w:val="0"/>
                <w:bCs w:val="0"/>
                <w:sz w:val="20"/>
              </w:rPr>
              <w:t>重庆市秀山土家族苗族自治县石堤镇中心卫生院</w:t>
            </w:r>
          </w:p>
        </w:tc>
        <w:tc>
          <w:tcPr>
            <w:tcW w:w="166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b w:val="0"/>
                <w:bCs w:val="0"/>
                <w:color w:val="000000"/>
                <w:sz w:val="22"/>
                <w:szCs w:val="22"/>
              </w:rPr>
            </w:pPr>
          </w:p>
        </w:tc>
        <w:tc>
          <w:tcPr>
            <w:tcW w:w="431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2"/>
                <w:szCs w:val="22"/>
              </w:rPr>
            </w:pPr>
          </w:p>
        </w:tc>
        <w:tc>
          <w:tcPr>
            <w:tcW w:w="302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26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收入</w:t>
            </w:r>
          </w:p>
        </w:tc>
        <w:tc>
          <w:tcPr>
            <w:tcW w:w="7335"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支出</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1668"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功能分类科目</w:t>
            </w:r>
          </w:p>
        </w:tc>
        <w:tc>
          <w:tcPr>
            <w:tcW w:w="302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一、一般公共预算财政拨款收入</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628.39</w:t>
            </w: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一、一般公共服务支出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二、政府性基金预算财政拨款收入</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二、外交支出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三、国有资本经营预算财政拨款收入</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三、国防支出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四、上级补助收入</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四、公共安全支出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五、事业收入</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696.75</w:t>
            </w: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五、教育支出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六、经营收入</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六、科学技术支出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七、附属单位上缴收入</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七、文化旅游体育与传媒支出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八、其他收入</w:t>
            </w:r>
          </w:p>
        </w:tc>
        <w:tc>
          <w:tcPr>
            <w:tcW w:w="1668"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108.56</w:t>
            </w: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八、社会保障和就业支出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九、卫生健康支出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1,311.16</w:t>
            </w:r>
            <w:r>
              <w:rPr>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十、节能环保支出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十一、城乡社区支出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十二、农林水支出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十三、交通运输支出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十四、资源勘探工业信息等支出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十五、商业服务业等支出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十六、金融支出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十七、援助其他地区支出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十八、自然资源海洋气象等支出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十九、住房保障支出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二十、粮油物资储备支出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二十一、国有资本经营预算支出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二十二、灾害防治及应急管理支出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二十三、其他支出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二十四、债务还本支出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二十五、债务付息支出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二十六、抗疫特别国债安排的支出</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本年收入合计</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1,433.71</w:t>
            </w: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本年支出合计</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1,384.36</w:t>
            </w: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使用非财政拨款结余和专用结余</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结余分配</w:t>
            </w:r>
          </w:p>
        </w:tc>
        <w:tc>
          <w:tcPr>
            <w:tcW w:w="3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234"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年初结转和结余</w:t>
            </w:r>
          </w:p>
        </w:tc>
        <w:tc>
          <w:tcPr>
            <w:tcW w:w="1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rPr>
              <w:t xml:space="preserve"> </w:t>
            </w:r>
          </w:p>
        </w:tc>
        <w:tc>
          <w:tcPr>
            <w:tcW w:w="431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年末结转和结余</w:t>
            </w:r>
          </w:p>
        </w:tc>
        <w:tc>
          <w:tcPr>
            <w:tcW w:w="3024"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49.34</w:t>
            </w:r>
            <w:r>
              <w:rPr>
                <w:b w:val="0"/>
                <w:bCs w:val="0"/>
                <w:color w:val="000000"/>
                <w:sz w:val="20"/>
              </w:rPr>
              <w:t xml:space="preserve"> </w:t>
            </w:r>
          </w:p>
        </w:tc>
      </w:tr>
      <w:tr>
        <w:tblPrEx>
          <w:tblLayout w:type="fixed"/>
          <w:tblCellMar>
            <w:top w:w="0" w:type="dxa"/>
            <w:left w:w="0" w:type="dxa"/>
            <w:bottom w:w="0" w:type="dxa"/>
            <w:right w:w="0" w:type="dxa"/>
          </w:tblCellMar>
        </w:tblPrEx>
        <w:trPr>
          <w:trHeight w:val="261" w:hRule="atLeast"/>
        </w:trPr>
        <w:tc>
          <w:tcPr>
            <w:tcW w:w="5598"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总计</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1,433.71</w:t>
            </w:r>
            <w:r>
              <w:rPr>
                <w:b w:val="0"/>
                <w:bCs w:val="0"/>
                <w:color w:val="000000"/>
                <w:sz w:val="20"/>
              </w:rPr>
              <w:t xml:space="preserve"> </w:t>
            </w:r>
          </w:p>
        </w:tc>
        <w:tc>
          <w:tcPr>
            <w:tcW w:w="4311"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总计</w:t>
            </w:r>
          </w:p>
        </w:tc>
        <w:tc>
          <w:tcPr>
            <w:tcW w:w="30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1,433.71</w:t>
            </w:r>
            <w:r>
              <w:rPr>
                <w:b w:val="0"/>
                <w:bCs w:val="0"/>
                <w:color w:val="000000"/>
                <w:sz w:val="20"/>
              </w:rPr>
              <w:t xml:space="preserve"> </w:t>
            </w:r>
          </w:p>
        </w:tc>
      </w:tr>
    </w:tbl>
    <w:p>
      <w:pPr>
        <w:spacing w:line="240" w:lineRule="exact"/>
        <w:rPr>
          <w:rFonts w:cs="宋体"/>
          <w:b w:val="0"/>
          <w:bCs w:val="0"/>
          <w:sz w:val="20"/>
          <w:szCs w:val="20"/>
        </w:rPr>
      </w:pPr>
      <w:r>
        <w:rPr>
          <w:rFonts w:cs="宋体"/>
          <w:b w:val="0"/>
          <w:bCs w:val="0"/>
          <w:sz w:val="20"/>
          <w:szCs w:val="20"/>
        </w:rPr>
        <w:t>备注：1.本表反映单位本年度的总收支和年末结转结余情况。</w:t>
      </w:r>
      <w:r>
        <w:rPr>
          <w:rFonts w:cs="宋体"/>
          <w:b w:val="0"/>
          <w:bCs w:val="0"/>
          <w:sz w:val="20"/>
          <w:szCs w:val="20"/>
        </w:rPr>
        <w:br w:type="textWrapping"/>
      </w:r>
      <w:r>
        <w:rPr>
          <w:rFonts w:cs="宋体"/>
          <w:b w:val="0"/>
          <w:bCs w:val="0"/>
          <w:sz w:val="20"/>
          <w:szCs w:val="20"/>
        </w:rPr>
        <w:t xml:space="preserve">      2.本套报表金额单位转换时可能存在尾数误差。</w:t>
      </w:r>
    </w:p>
    <w:tbl>
      <w:tblPr>
        <w:tblStyle w:val="12"/>
        <w:tblpPr w:leftFromText="180" w:rightFromText="180" w:vertAnchor="text" w:horzAnchor="page" w:tblpX="1161" w:tblpY="-510"/>
        <w:tblOverlap w:val="never"/>
        <w:tblW w:w="14699" w:type="dxa"/>
        <w:tblInd w:w="0" w:type="dxa"/>
        <w:tblLayout w:type="fixed"/>
        <w:tblCellMar>
          <w:top w:w="0" w:type="dxa"/>
          <w:left w:w="0" w:type="dxa"/>
          <w:bottom w:w="0" w:type="dxa"/>
          <w:right w:w="0" w:type="dxa"/>
        </w:tblCellMar>
      </w:tblPr>
      <w:tblGrid>
        <w:gridCol w:w="1621"/>
        <w:gridCol w:w="3029"/>
        <w:gridCol w:w="1173"/>
        <w:gridCol w:w="1173"/>
        <w:gridCol w:w="1173"/>
        <w:gridCol w:w="1173"/>
        <w:gridCol w:w="1300"/>
        <w:gridCol w:w="1245"/>
        <w:gridCol w:w="1367"/>
        <w:gridCol w:w="1445"/>
      </w:tblGrid>
      <w:tr>
        <w:tblPrEx>
          <w:tblLayout w:type="fixed"/>
          <w:tblCellMar>
            <w:top w:w="0" w:type="dxa"/>
            <w:left w:w="0" w:type="dxa"/>
            <w:bottom w:w="0" w:type="dxa"/>
            <w:right w:w="0" w:type="dxa"/>
          </w:tblCellMar>
        </w:tblPrEx>
        <w:trPr>
          <w:trHeight w:val="90" w:hRule="atLeast"/>
        </w:trPr>
        <w:tc>
          <w:tcPr>
            <w:tcW w:w="14699"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收入决算表</w:t>
            </w:r>
          </w:p>
        </w:tc>
      </w:tr>
      <w:tr>
        <w:tblPrEx>
          <w:tblLayout w:type="fixed"/>
          <w:tblCellMar>
            <w:top w:w="0" w:type="dxa"/>
            <w:left w:w="0" w:type="dxa"/>
            <w:bottom w:w="0" w:type="dxa"/>
            <w:right w:w="0" w:type="dxa"/>
          </w:tblCellMar>
        </w:tblPrEx>
        <w:trPr>
          <w:trHeight w:val="90" w:hRule="atLeast"/>
        </w:trPr>
        <w:tc>
          <w:tcPr>
            <w:tcW w:w="465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b w:val="0"/>
                <w:bCs w:val="0"/>
                <w:sz w:val="20"/>
              </w:rPr>
              <w:t>重庆市秀山土家族苗族自治县石堤镇中心卫生院</w:t>
            </w:r>
          </w:p>
        </w:tc>
        <w:tc>
          <w:tcPr>
            <w:tcW w:w="117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00"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4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4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公开02表</w:t>
            </w:r>
          </w:p>
        </w:tc>
      </w:tr>
      <w:tr>
        <w:tblPrEx>
          <w:tblLayout w:type="fixed"/>
          <w:tblCellMar>
            <w:top w:w="0" w:type="dxa"/>
            <w:left w:w="0" w:type="dxa"/>
            <w:bottom w:w="0" w:type="dxa"/>
            <w:right w:w="0" w:type="dxa"/>
          </w:tblCellMar>
        </w:tblPrEx>
        <w:trPr>
          <w:trHeight w:val="90" w:hRule="atLeast"/>
        </w:trPr>
        <w:tc>
          <w:tcPr>
            <w:tcW w:w="465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00"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4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4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650"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本年收入合计</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财政拨款收入</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上级补助收入</w:t>
            </w:r>
          </w:p>
        </w:tc>
        <w:tc>
          <w:tcPr>
            <w:tcW w:w="2473"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事业收入</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经营收入</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附属单位上缴收入</w:t>
            </w:r>
          </w:p>
        </w:tc>
        <w:tc>
          <w:tcPr>
            <w:tcW w:w="144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621"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029"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小计</w:t>
            </w:r>
          </w:p>
        </w:tc>
        <w:tc>
          <w:tcPr>
            <w:tcW w:w="130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其中：教育收费</w:t>
            </w:r>
          </w:p>
        </w:tc>
        <w:tc>
          <w:tcPr>
            <w:tcW w:w="124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4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62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2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4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62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2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4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62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2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4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465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1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1,433.71</w:t>
            </w:r>
            <w:r>
              <w:rPr>
                <w:b w:val="0"/>
                <w:bCs w:val="0"/>
                <w:color w:val="000000"/>
                <w:sz w:val="20"/>
              </w:rPr>
              <w:t xml:space="preserve"> </w:t>
            </w:r>
          </w:p>
        </w:tc>
        <w:tc>
          <w:tcPr>
            <w:tcW w:w="11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628.39</w:t>
            </w:r>
            <w:r>
              <w:rPr>
                <w:b w:val="0"/>
                <w:bCs w:val="0"/>
                <w:color w:val="000000"/>
                <w:sz w:val="20"/>
              </w:rPr>
              <w:t xml:space="preserve"> </w:t>
            </w:r>
          </w:p>
        </w:tc>
        <w:tc>
          <w:tcPr>
            <w:tcW w:w="11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696.75</w:t>
            </w:r>
            <w:r>
              <w:rPr>
                <w:b w:val="0"/>
                <w:bCs w:val="0"/>
                <w:color w:val="000000"/>
                <w:sz w:val="20"/>
              </w:rPr>
              <w:t xml:space="preserve"> </w:t>
            </w:r>
          </w:p>
        </w:tc>
        <w:tc>
          <w:tcPr>
            <w:tcW w:w="1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108.56</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2080502</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事业单位离退休</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2.18</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2.18</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23.62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23.62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11.74</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11.74</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2080599</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其他行政事业单位养老支出</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17.94</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17.94</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1,360.50</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555.19</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696.75</w:t>
            </w: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108.56</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基层医疗卫生机构</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1,157.74</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352.43</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696.75</w:t>
            </w: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108.56</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2100302</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乡镇卫生院</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1,157.74</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352.43</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696.75</w:t>
            </w: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108.56</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187.10</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187.10</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2100408</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基本公共卫生服务</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163.38</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163.38</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2100410</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突发公共卫生事件应急处理</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住房保障支出</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住房改革支出</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6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2210201</w:t>
            </w:r>
          </w:p>
        </w:tc>
        <w:tc>
          <w:tcPr>
            <w:tcW w:w="30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住房公积金</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bl>
    <w:tbl>
      <w:tblPr>
        <w:tblStyle w:val="12"/>
        <w:tblpPr w:leftFromText="180" w:rightFromText="180" w:vertAnchor="text" w:horzAnchor="page" w:tblpX="1146" w:tblpY="-56"/>
        <w:tblOverlap w:val="never"/>
        <w:tblW w:w="14601" w:type="dxa"/>
        <w:tblInd w:w="0" w:type="dxa"/>
        <w:tblLayout w:type="fixed"/>
        <w:tblCellMar>
          <w:top w:w="0" w:type="dxa"/>
          <w:left w:w="0" w:type="dxa"/>
          <w:bottom w:w="0" w:type="dxa"/>
          <w:right w:w="0" w:type="dxa"/>
        </w:tblCellMar>
      </w:tblPr>
      <w:tblGrid>
        <w:gridCol w:w="1955"/>
        <w:gridCol w:w="3662"/>
        <w:gridCol w:w="1479"/>
        <w:gridCol w:w="1483"/>
        <w:gridCol w:w="1482"/>
        <w:gridCol w:w="1468"/>
        <w:gridCol w:w="1471"/>
        <w:gridCol w:w="1601"/>
      </w:tblGrid>
      <w:tr>
        <w:tblPrEx>
          <w:tblLayout w:type="fixed"/>
          <w:tblCellMar>
            <w:top w:w="0" w:type="dxa"/>
            <w:left w:w="0" w:type="dxa"/>
            <w:bottom w:w="0" w:type="dxa"/>
            <w:right w:w="0" w:type="dxa"/>
          </w:tblCellMar>
        </w:tblPrEx>
        <w:trPr>
          <w:trHeight w:val="90" w:hRule="atLeast"/>
        </w:trPr>
        <w:tc>
          <w:tcPr>
            <w:tcW w:w="14601"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支出决算表</w:t>
            </w:r>
          </w:p>
        </w:tc>
      </w:tr>
      <w:tr>
        <w:tblPrEx>
          <w:tblLayout w:type="fixed"/>
          <w:tblCellMar>
            <w:top w:w="0" w:type="dxa"/>
            <w:left w:w="0" w:type="dxa"/>
            <w:bottom w:w="0" w:type="dxa"/>
            <w:right w:w="0" w:type="dxa"/>
          </w:tblCellMar>
        </w:tblPrEx>
        <w:trPr>
          <w:trHeight w:val="90" w:hRule="atLeast"/>
        </w:trPr>
        <w:tc>
          <w:tcPr>
            <w:tcW w:w="5617"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rPr>
              <w:t xml:space="preserve">重庆市秀山土家族苗族自治县石堤镇中心卫生院 </w:t>
            </w:r>
          </w:p>
        </w:tc>
        <w:tc>
          <w:tcPr>
            <w:tcW w:w="147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8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8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6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7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公开03表</w:t>
            </w:r>
          </w:p>
        </w:tc>
      </w:tr>
      <w:tr>
        <w:tblPrEx>
          <w:tblLayout w:type="fixed"/>
          <w:tblCellMar>
            <w:top w:w="0" w:type="dxa"/>
            <w:left w:w="0" w:type="dxa"/>
            <w:bottom w:w="0" w:type="dxa"/>
            <w:right w:w="0" w:type="dxa"/>
          </w:tblCellMar>
        </w:tblPrEx>
        <w:trPr>
          <w:trHeight w:val="90" w:hRule="atLeast"/>
        </w:trPr>
        <w:tc>
          <w:tcPr>
            <w:tcW w:w="5617"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7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8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8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6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7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561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4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本年支出合计</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148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c>
          <w:tcPr>
            <w:tcW w:w="146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上缴上级支出</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经营支出</w:t>
            </w:r>
          </w:p>
        </w:tc>
        <w:tc>
          <w:tcPr>
            <w:tcW w:w="16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12" w:hRule="atLeast"/>
        </w:trPr>
        <w:tc>
          <w:tcPr>
            <w:tcW w:w="195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662"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4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95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66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95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66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95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66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561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4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1,384.36</w:t>
            </w:r>
            <w:r>
              <w:rPr>
                <w:b w:val="0"/>
                <w:bCs w:val="0"/>
                <w:color w:val="000000"/>
                <w:sz w:val="20"/>
              </w:rPr>
              <w:t xml:space="preserve"> </w:t>
            </w:r>
          </w:p>
        </w:tc>
        <w:tc>
          <w:tcPr>
            <w:tcW w:w="148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1,360.64</w:t>
            </w:r>
            <w:r>
              <w:rPr>
                <w:b w:val="0"/>
                <w:bCs w:val="0"/>
                <w:color w:val="000000"/>
                <w:sz w:val="20"/>
              </w:rPr>
              <w:t xml:space="preserve"> </w:t>
            </w:r>
          </w:p>
        </w:tc>
        <w:tc>
          <w:tcPr>
            <w:tcW w:w="14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c>
          <w:tcPr>
            <w:tcW w:w="1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2080502</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事业单位离退休</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2.18</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2.18</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23.62</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23.62</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11.74</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11.74</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2080599</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其他行政事业单位养老支出</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17.94</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17.94</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1,311.16</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1,287.44</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基层医疗卫生机构</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1,108.40</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1,108.40</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2100302</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乡镇卫生院</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1,108.40</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1,108.40</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187.10</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163.38</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2100408</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基本公共卫生服务</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163.38</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163.38</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2100410</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突发公共卫生事件应急处理</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住房保障支出</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住房改革支出</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5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2210201</w:t>
            </w:r>
          </w:p>
        </w:tc>
        <w:tc>
          <w:tcPr>
            <w:tcW w:w="36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住房公积金</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1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bl>
    <w:p>
      <w:pPr>
        <w:rPr>
          <w:rFonts w:hint="default" w:cs="宋体"/>
          <w:b w:val="0"/>
          <w:bCs w:val="0"/>
          <w:sz w:val="21"/>
          <w:szCs w:val="21"/>
        </w:rPr>
      </w:pPr>
    </w:p>
    <w:tbl>
      <w:tblPr>
        <w:tblStyle w:val="12"/>
        <w:tblW w:w="14601" w:type="dxa"/>
        <w:tblInd w:w="0" w:type="dxa"/>
        <w:tblLayout w:type="fixed"/>
        <w:tblCellMar>
          <w:top w:w="0" w:type="dxa"/>
          <w:left w:w="0" w:type="dxa"/>
          <w:bottom w:w="0" w:type="dxa"/>
          <w:right w:w="0" w:type="dxa"/>
        </w:tblCellMar>
      </w:tblPr>
      <w:tblGrid>
        <w:gridCol w:w="3678"/>
        <w:gridCol w:w="1886"/>
        <w:gridCol w:w="2942"/>
        <w:gridCol w:w="1"/>
        <w:gridCol w:w="1464"/>
        <w:gridCol w:w="1465"/>
        <w:gridCol w:w="1"/>
        <w:gridCol w:w="1465"/>
        <w:gridCol w:w="1"/>
        <w:gridCol w:w="1698"/>
      </w:tblGrid>
      <w:tr>
        <w:tblPrEx>
          <w:tblLayout w:type="fixed"/>
          <w:tblCellMar>
            <w:top w:w="0" w:type="dxa"/>
            <w:left w:w="0" w:type="dxa"/>
            <w:bottom w:w="0" w:type="dxa"/>
            <w:right w:w="0" w:type="dxa"/>
          </w:tblCellMar>
        </w:tblPrEx>
        <w:trPr>
          <w:trHeight w:val="90" w:hRule="atLeast"/>
        </w:trPr>
        <w:tc>
          <w:tcPr>
            <w:tcW w:w="14601" w:type="dxa"/>
            <w:gridSpan w:val="10"/>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5564"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b w:val="0"/>
                <w:bCs w:val="0"/>
                <w:color w:val="000000"/>
                <w:sz w:val="18"/>
                <w:szCs w:val="18"/>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rPr>
              <w:t>重庆市秀山土家族苗族自治县石堤镇中心卫生院</w:t>
            </w:r>
          </w:p>
        </w:tc>
        <w:tc>
          <w:tcPr>
            <w:tcW w:w="294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46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46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466"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99" w:type="dxa"/>
            <w:gridSpan w:val="2"/>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5564"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294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46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46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466"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99" w:type="dxa"/>
            <w:gridSpan w:val="2"/>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556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收     入</w:t>
            </w:r>
          </w:p>
        </w:tc>
        <w:tc>
          <w:tcPr>
            <w:tcW w:w="9037" w:type="dxa"/>
            <w:gridSpan w:val="8"/>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67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项目</w:t>
            </w:r>
          </w:p>
        </w:tc>
        <w:tc>
          <w:tcPr>
            <w:tcW w:w="188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决算数</w:t>
            </w:r>
          </w:p>
        </w:tc>
        <w:tc>
          <w:tcPr>
            <w:tcW w:w="2943"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功能分类科目</w:t>
            </w:r>
          </w:p>
        </w:tc>
        <w:tc>
          <w:tcPr>
            <w:tcW w:w="6094" w:type="dxa"/>
            <w:gridSpan w:val="6"/>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67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8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2943"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46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小计</w:t>
            </w:r>
          </w:p>
        </w:tc>
        <w:tc>
          <w:tcPr>
            <w:tcW w:w="146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一般公共预算财政拨款</w:t>
            </w:r>
          </w:p>
        </w:tc>
        <w:tc>
          <w:tcPr>
            <w:tcW w:w="146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政府性基金预算财政拨款</w:t>
            </w:r>
          </w:p>
        </w:tc>
        <w:tc>
          <w:tcPr>
            <w:tcW w:w="169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一、一般公共预算财政拨款</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628.39</w:t>
            </w:r>
            <w:r>
              <w:rPr>
                <w:b w:val="0"/>
                <w:bCs w:val="0"/>
                <w:color w:val="000000"/>
                <w:sz w:val="18"/>
              </w:rPr>
              <w:t xml:space="preserve"> </w:t>
            </w: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一、一般公共服务支出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二、政府性基金预算财政拨款</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二、外交支出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三、国有资本经营预算财政拨款</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三、国防支出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四、公共安全支出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五、教育支出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六、科学技术支出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七、文化旅游体育与传媒支出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八、社会保障和就业支出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55.49</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55.49</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九、卫生健康支出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523.84</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523.84</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十、节能环保支出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十一、城乡社区支出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十二、农林水支出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十三、交通运输支出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十四、资源勘探工业信息等支出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十五、商业服务业等支出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十六、金融支出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十七、援助其他地区支出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十八、自然资源海洋气象等支出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十九、住房保障支出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17.72</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17.72</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二十、粮油物资储备支出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二十一、国有资本经营预算支出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二十二、灾害防治及应急管理支出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二十三、其他支出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二十四、债务还本支出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二十五、债务付息支出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二十六、抗疫特别国债安排的支出</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本年收入合计</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628.39</w:t>
            </w:r>
            <w:r>
              <w:rPr>
                <w:b w:val="0"/>
                <w:bCs w:val="0"/>
                <w:color w:val="000000"/>
                <w:sz w:val="18"/>
              </w:rPr>
              <w:t xml:space="preserve"> </w:t>
            </w: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本年支出合计</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597.05</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597.05</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年初财政拨款结转和结余</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年末财政拨款结转和结余</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31.35</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31.35</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一般公共预算财政拨款</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2943"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政府性基金预算财政拨款</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国有资本经营预算财政拨款</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67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总计</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628.39</w:t>
            </w:r>
            <w:r>
              <w:rPr>
                <w:b w:val="0"/>
                <w:bCs w:val="0"/>
                <w:color w:val="000000"/>
                <w:sz w:val="18"/>
              </w:rPr>
              <w:t xml:space="preserve"> </w:t>
            </w:r>
          </w:p>
        </w:tc>
        <w:tc>
          <w:tcPr>
            <w:tcW w:w="294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总计</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628.39</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628.39</w:t>
            </w:r>
            <w:r>
              <w:rPr>
                <w:b w:val="0"/>
                <w:bCs w:val="0"/>
                <w:color w:val="000000"/>
                <w:sz w:val="18"/>
              </w:rPr>
              <w:t xml:space="preserve">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16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bl>
    <w:p>
      <w:pPr>
        <w:spacing w:line="240" w:lineRule="exact"/>
        <w:rPr>
          <w:rFonts w:hint="default" w:cs="宋体"/>
          <w:b w:val="0"/>
          <w:bCs w:val="0"/>
          <w:sz w:val="20"/>
          <w:szCs w:val="20"/>
        </w:rPr>
      </w:pPr>
      <w:r>
        <w:rPr>
          <w:rFonts w:cs="宋体"/>
          <w:b w:val="0"/>
          <w:bCs w:val="0"/>
          <w:sz w:val="20"/>
          <w:szCs w:val="20"/>
        </w:rPr>
        <w:t>备注：1.本表反映单位本年度一般公共预算财政拨款、政府性基金预算财政拨款及国有资本经营预算财政拨款的总收支和年末结转结余情况。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r>
        <w:rPr>
          <w:rFonts w:cs="宋体"/>
          <w:b w:val="0"/>
          <w:bCs w:val="0"/>
          <w:sz w:val="21"/>
          <w:szCs w:val="21"/>
        </w:rPr>
        <w:br w:type="page"/>
      </w:r>
    </w:p>
    <w:tbl>
      <w:tblPr>
        <w:tblStyle w:val="12"/>
        <w:tblW w:w="14601" w:type="dxa"/>
        <w:tblInd w:w="0" w:type="dxa"/>
        <w:tblLayout w:type="fixed"/>
        <w:tblCellMar>
          <w:top w:w="0" w:type="dxa"/>
          <w:left w:w="0" w:type="dxa"/>
          <w:bottom w:w="0" w:type="dxa"/>
          <w:right w:w="0" w:type="dxa"/>
        </w:tblCellMar>
      </w:tblPr>
      <w:tblGrid>
        <w:gridCol w:w="1904"/>
        <w:gridCol w:w="3680"/>
        <w:gridCol w:w="2978"/>
        <w:gridCol w:w="1"/>
        <w:gridCol w:w="2981"/>
        <w:gridCol w:w="3057"/>
      </w:tblGrid>
      <w:tr>
        <w:tblPrEx>
          <w:tblLayout w:type="fixed"/>
          <w:tblCellMar>
            <w:top w:w="0" w:type="dxa"/>
            <w:left w:w="0" w:type="dxa"/>
            <w:bottom w:w="0" w:type="dxa"/>
            <w:right w:w="0" w:type="dxa"/>
          </w:tblCellMar>
        </w:tblPrEx>
        <w:trPr>
          <w:trHeight w:val="90" w:hRule="atLeast"/>
        </w:trPr>
        <w:tc>
          <w:tcPr>
            <w:tcW w:w="14601" w:type="dxa"/>
            <w:gridSpan w:val="6"/>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90" w:hRule="atLeast"/>
        </w:trPr>
        <w:tc>
          <w:tcPr>
            <w:tcW w:w="5584"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rPr>
              <w:t>重庆市秀山土家族苗族自治县石堤镇中心卫生院</w:t>
            </w:r>
          </w:p>
        </w:tc>
        <w:tc>
          <w:tcPr>
            <w:tcW w:w="297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2982"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05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公开05表</w:t>
            </w:r>
          </w:p>
        </w:tc>
      </w:tr>
      <w:tr>
        <w:tblPrEx>
          <w:tblLayout w:type="fixed"/>
          <w:tblCellMar>
            <w:top w:w="0" w:type="dxa"/>
            <w:left w:w="0" w:type="dxa"/>
            <w:bottom w:w="0" w:type="dxa"/>
            <w:right w:w="0" w:type="dxa"/>
          </w:tblCellMar>
        </w:tblPrEx>
        <w:trPr>
          <w:trHeight w:val="90" w:hRule="atLeast"/>
        </w:trPr>
        <w:tc>
          <w:tcPr>
            <w:tcW w:w="5584"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2978"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2982"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05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558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9017"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w:t>
            </w:r>
          </w:p>
        </w:tc>
      </w:tr>
      <w:tr>
        <w:tblPrEx>
          <w:tblLayout w:type="fixed"/>
          <w:tblCellMar>
            <w:top w:w="0" w:type="dxa"/>
            <w:left w:w="0" w:type="dxa"/>
            <w:bottom w:w="0" w:type="dxa"/>
            <w:right w:w="0" w:type="dxa"/>
          </w:tblCellMar>
        </w:tblPrEx>
        <w:trPr>
          <w:trHeight w:val="312" w:hRule="atLeast"/>
        </w:trPr>
        <w:tc>
          <w:tcPr>
            <w:tcW w:w="1904"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68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2979"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298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305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r>
      <w:tr>
        <w:tblPrEx>
          <w:tblLayout w:type="fixed"/>
          <w:tblCellMar>
            <w:top w:w="0" w:type="dxa"/>
            <w:left w:w="0" w:type="dxa"/>
            <w:bottom w:w="0" w:type="dxa"/>
            <w:right w:w="0" w:type="dxa"/>
          </w:tblCellMar>
        </w:tblPrEx>
        <w:trPr>
          <w:trHeight w:val="312" w:hRule="atLeast"/>
        </w:trPr>
        <w:tc>
          <w:tcPr>
            <w:tcW w:w="190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68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2979"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298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5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90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68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2979"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298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5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5584"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597.05</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573.33</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55.49</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2080502</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事业单位离退休</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2.18</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2.18</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23.62</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23.62</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11.74</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11.74</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2080599</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其他行政事业单位养老支出</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17.94</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17.94</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523.84</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500.12</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0.90</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基层医疗卫生机构</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321.08</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321.08</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2100302</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乡镇卫生院</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321.08</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321.08</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187.10</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163.38</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2100408</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基本公共卫生服务</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163.38</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163.38</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2100410</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突发公共卫生事件应急处理</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23.72</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14.76</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住房保障支出</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住房改革支出</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19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2210201</w:t>
            </w:r>
          </w:p>
        </w:tc>
        <w:tc>
          <w:tcPr>
            <w:tcW w:w="36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住房公积金</w:t>
            </w:r>
          </w:p>
        </w:tc>
        <w:tc>
          <w:tcPr>
            <w:tcW w:w="297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2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17.72</w:t>
            </w:r>
            <w:r>
              <w:rPr>
                <w:b w:val="0"/>
                <w:bCs w:val="0"/>
                <w:color w:val="000000"/>
                <w:sz w:val="20"/>
              </w:rPr>
              <w:t xml:space="preserve"> </w:t>
            </w:r>
          </w:p>
        </w:tc>
        <w:tc>
          <w:tcPr>
            <w:tcW w:w="30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bl>
    <w:p>
      <w:pPr>
        <w:rPr>
          <w:rFonts w:hint="default" w:cs="宋体"/>
          <w:b w:val="0"/>
          <w:bCs w:val="0"/>
          <w:sz w:val="21"/>
          <w:szCs w:val="21"/>
        </w:rPr>
      </w:pPr>
      <w:r>
        <w:rPr>
          <w:rFonts w:cs="宋体"/>
          <w:b w:val="0"/>
          <w:bCs w:val="0"/>
          <w:sz w:val="20"/>
          <w:szCs w:val="20"/>
        </w:rPr>
        <w:t>备注：1.本表反映单位本年度一般公共预算财政拨款支出情况。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p>
    <w:tbl>
      <w:tblPr>
        <w:tblStyle w:val="12"/>
        <w:tblW w:w="14601" w:type="dxa"/>
        <w:tblInd w:w="0" w:type="dxa"/>
        <w:tblLayout w:type="fixed"/>
        <w:tblCellMar>
          <w:top w:w="0" w:type="dxa"/>
          <w:left w:w="0" w:type="dxa"/>
          <w:bottom w:w="0" w:type="dxa"/>
          <w:right w:w="0" w:type="dxa"/>
        </w:tblCellMar>
      </w:tblPr>
      <w:tblGrid>
        <w:gridCol w:w="568"/>
        <w:gridCol w:w="2603"/>
        <w:gridCol w:w="1300"/>
        <w:gridCol w:w="788"/>
        <w:gridCol w:w="1824"/>
        <w:gridCol w:w="1566"/>
        <w:gridCol w:w="762"/>
        <w:gridCol w:w="3347"/>
        <w:gridCol w:w="1843"/>
      </w:tblGrid>
      <w:tr>
        <w:tblPrEx>
          <w:tblLayout w:type="fixed"/>
          <w:tblCellMar>
            <w:top w:w="0" w:type="dxa"/>
            <w:left w:w="0" w:type="dxa"/>
            <w:bottom w:w="0" w:type="dxa"/>
            <w:right w:w="0" w:type="dxa"/>
          </w:tblCellMar>
        </w:tblPrEx>
        <w:trPr>
          <w:trHeight w:val="90" w:hRule="atLeast"/>
        </w:trPr>
        <w:tc>
          <w:tcPr>
            <w:tcW w:w="14601"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val="0"/>
                <w:bCs w:val="0"/>
                <w:color w:val="000000"/>
                <w:sz w:val="32"/>
                <w:szCs w:val="32"/>
              </w:rPr>
            </w:pPr>
            <w:r>
              <w:rPr>
                <w:rFonts w:cs="宋体"/>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171"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b w:val="0"/>
                <w:bCs w:val="0"/>
                <w:color w:val="000000"/>
                <w:sz w:val="18"/>
                <w:szCs w:val="18"/>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rPr>
              <w:t>重庆市秀山土家族苗族自治县石堤镇中心卫生院</w:t>
            </w:r>
          </w:p>
        </w:tc>
        <w:tc>
          <w:tcPr>
            <w:tcW w:w="13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8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2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6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6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34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43"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171"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3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8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2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56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6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34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43"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47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人员经费</w:t>
            </w:r>
          </w:p>
        </w:tc>
        <w:tc>
          <w:tcPr>
            <w:tcW w:w="10130"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56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260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30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c>
          <w:tcPr>
            <w:tcW w:w="78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182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56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c>
          <w:tcPr>
            <w:tcW w:w="76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334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84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56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260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78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82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56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7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334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84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工资福利支出</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525.74</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商品和服务支出</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27.46</w:t>
            </w: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资本性支出</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30101</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基本工资</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183.05</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30201</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办公费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31001</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房屋建筑物购建</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30102</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津贴补贴</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156.57</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30202</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印刷费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31002</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办公设备购置</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30103</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奖金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30203</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咨询费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31003</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专用设备购置</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30106</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伙食补助费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30204</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手续费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31005</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基础设施建设</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30107</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绩效工资</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118.27</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30205</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水费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31006</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大型修缮</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30108</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机关事业单位基本养老保险缴费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23.62</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30206</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电费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31007</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信息网络及软件购置更新</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30109</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职业年金缴费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11.74</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30207</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邮电费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31008</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物资储备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30110</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职工基本医疗保险缴费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14.76</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30208</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取暖费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31009</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土地补偿</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30111</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公务员医疗补助缴费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30209</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物业管理费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31010</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安置补助</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30112</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其他社会保障缴费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30211</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差旅费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31011</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地上附着物和青苗补偿</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30113</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住房公积金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17.72</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30212</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因公出国（境）费用</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31012</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拆迁补偿</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30114</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医疗费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30213</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维修（护）费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31013</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公务用车购置</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30199</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其他工资福利支出</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30214</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租赁费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31019</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其他交通工具购置</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对个人和家庭的补助</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20.12</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30215</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会议费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31021</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文物和陈列品购置</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30301</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离休费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30216</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培训费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31022</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无形资产购置</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30302</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退休费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30217</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公务接待费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31099</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其他资本性支出</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30303</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退职（役）费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30218</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专用材料费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对企业补助</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30304</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抚恤金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30224</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被装购置费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31201</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资本金注入</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30305</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生活补助</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17.94</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30225</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专用燃料费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31203</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政府投资基金股权投资</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30306</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救济费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30226</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劳务费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27.46</w:t>
            </w: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31204</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费用补贴</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30307</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医疗费补助</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2.18</w:t>
            </w: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30227</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委托业务费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31205</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利息补贴</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30308</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助学金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30228</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工会经费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31299</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其他对企业补助</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30309</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奖励金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30229</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福利费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其他支出</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30310</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个人农业生产补贴</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30231</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公务用车运行维护费</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39907</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国家赔偿费用支出</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30311</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代缴社会保险费</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30239</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其他交通费用</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39908</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对民间非营利组织和群众性自治组织补贴</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30399</w:t>
            </w: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其他对个人和家庭的补助</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30240</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税金及附加费用</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39909</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经常性赠与</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30299</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其他商品和服务支出</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39910</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资本性赠与</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债务利息及费用支出</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39999</w:t>
            </w: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其他支出</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30701</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国内债务付息</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30702</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国外债务付息</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30703</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国内债务发行费用</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5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30704</w:t>
            </w:r>
          </w:p>
        </w:tc>
        <w:tc>
          <w:tcPr>
            <w:tcW w:w="18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国外债务发行费用</w:t>
            </w:r>
          </w:p>
        </w:tc>
        <w:tc>
          <w:tcPr>
            <w:tcW w:w="1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rPr>
              <w:t xml:space="preserve"> </w:t>
            </w:r>
          </w:p>
        </w:tc>
        <w:tc>
          <w:tcPr>
            <w:tcW w:w="76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34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171"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人员经费合计</w:t>
            </w:r>
          </w:p>
        </w:tc>
        <w:tc>
          <w:tcPr>
            <w:tcW w:w="1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b w:val="0"/>
                <w:bCs w:val="0"/>
                <w:color w:val="000000"/>
                <w:sz w:val="18"/>
                <w:szCs w:val="18"/>
              </w:rPr>
            </w:pPr>
            <w:r>
              <w:rPr>
                <w:rFonts w:cs="宋体"/>
                <w:b w:val="0"/>
                <w:bCs w:val="0"/>
                <w:color w:val="000000"/>
                <w:sz w:val="18"/>
                <w:szCs w:val="18"/>
              </w:rPr>
              <w:t>545.86</w:t>
            </w:r>
            <w:r>
              <w:rPr>
                <w:b w:val="0"/>
                <w:bCs w:val="0"/>
                <w:color w:val="000000"/>
                <w:sz w:val="18"/>
              </w:rPr>
              <w:t xml:space="preserve"> </w:t>
            </w:r>
          </w:p>
        </w:tc>
        <w:tc>
          <w:tcPr>
            <w:tcW w:w="8287"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公用经费合计</w:t>
            </w:r>
          </w:p>
        </w:tc>
        <w:tc>
          <w:tcPr>
            <w:tcW w:w="18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27.46</w:t>
            </w:r>
            <w:r>
              <w:rPr>
                <w:b w:val="0"/>
                <w:bCs w:val="0"/>
                <w:color w:val="000000"/>
                <w:sz w:val="18"/>
              </w:rPr>
              <w:t xml:space="preserve"> </w:t>
            </w:r>
          </w:p>
        </w:tc>
      </w:tr>
    </w:tbl>
    <w:p>
      <w:pPr>
        <w:spacing w:line="280" w:lineRule="exact"/>
        <w:rPr>
          <w:rFonts w:hint="default" w:cs="宋体"/>
          <w:b w:val="0"/>
          <w:bCs w:val="0"/>
          <w:sz w:val="20"/>
          <w:szCs w:val="20"/>
        </w:rPr>
      </w:pPr>
      <w:r>
        <w:rPr>
          <w:rFonts w:cs="宋体"/>
          <w:b w:val="0"/>
          <w:bCs w:val="0"/>
          <w:sz w:val="20"/>
          <w:szCs w:val="20"/>
        </w:rPr>
        <w:t>备注：1.本表反映单位本年度一般公共预算财政拨款基本支出明细情况。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r>
        <w:rPr>
          <w:rFonts w:cs="宋体"/>
          <w:b w:val="0"/>
          <w:bCs w:val="0"/>
          <w:sz w:val="21"/>
          <w:szCs w:val="21"/>
        </w:rPr>
        <w:br w:type="page"/>
      </w:r>
    </w:p>
    <w:tbl>
      <w:tblPr>
        <w:tblStyle w:val="12"/>
        <w:tblW w:w="14601" w:type="dxa"/>
        <w:tblInd w:w="0" w:type="dxa"/>
        <w:tblLayout w:type="fixed"/>
        <w:tblCellMar>
          <w:top w:w="0" w:type="dxa"/>
          <w:left w:w="0" w:type="dxa"/>
          <w:bottom w:w="0" w:type="dxa"/>
          <w:right w:w="0" w:type="dxa"/>
        </w:tblCellMar>
      </w:tblPr>
      <w:tblGrid>
        <w:gridCol w:w="2000"/>
        <w:gridCol w:w="3330"/>
        <w:gridCol w:w="1514"/>
        <w:gridCol w:w="1514"/>
        <w:gridCol w:w="1515"/>
        <w:gridCol w:w="1515"/>
        <w:gridCol w:w="1576"/>
        <w:gridCol w:w="1637"/>
      </w:tblGrid>
      <w:tr>
        <w:tblPrEx>
          <w:tblLayout w:type="fixed"/>
          <w:tblCellMar>
            <w:top w:w="0" w:type="dxa"/>
            <w:left w:w="0" w:type="dxa"/>
            <w:bottom w:w="0" w:type="dxa"/>
            <w:right w:w="0" w:type="dxa"/>
          </w:tblCellMar>
        </w:tblPrEx>
        <w:trPr>
          <w:trHeight w:val="644" w:hRule="atLeast"/>
        </w:trPr>
        <w:tc>
          <w:tcPr>
            <w:tcW w:w="14601"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rPr>
              <w:t>重庆市秀山土家族苗族自治县石堤镇中心卫生院</w:t>
            </w:r>
          </w:p>
        </w:tc>
        <w:tc>
          <w:tcPr>
            <w:tcW w:w="1514"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514"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51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51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57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3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514"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514"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51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51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57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3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1514"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年初结转和结余</w:t>
            </w:r>
          </w:p>
        </w:tc>
        <w:tc>
          <w:tcPr>
            <w:tcW w:w="151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本年收入</w:t>
            </w:r>
          </w:p>
        </w:tc>
        <w:tc>
          <w:tcPr>
            <w:tcW w:w="460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w:t>
            </w:r>
          </w:p>
        </w:tc>
        <w:tc>
          <w:tcPr>
            <w:tcW w:w="163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200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3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51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51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15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c>
          <w:tcPr>
            <w:tcW w:w="16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20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20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1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5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533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5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5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5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5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5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16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bl>
    <w:p>
      <w:pPr>
        <w:rPr>
          <w:rFonts w:hint="default" w:cs="宋体"/>
          <w:b w:val="0"/>
          <w:bCs w:val="0"/>
          <w:sz w:val="21"/>
          <w:szCs w:val="21"/>
        </w:rPr>
      </w:pPr>
      <w:r>
        <w:rPr>
          <w:rFonts w:cs="宋体"/>
          <w:b w:val="0"/>
          <w:bCs w:val="0"/>
          <w:sz w:val="20"/>
          <w:szCs w:val="20"/>
        </w:rPr>
        <w:t>备注：本表反映单位本年度政府性基金预算财政拨款收入支出及结转和结余情况。本单位无政府性基金收支，故本表无数据。</w:t>
      </w:r>
      <w:r>
        <w:rPr>
          <w:rFonts w:cs="宋体"/>
          <w:b w:val="0"/>
          <w:bCs w:val="0"/>
          <w:sz w:val="20"/>
          <w:szCs w:val="20"/>
        </w:rPr>
        <w:br w:type="textWrapping"/>
      </w:r>
      <w:r>
        <w:rPr>
          <w:rFonts w:cs="宋体"/>
          <w:b w:val="0"/>
          <w:bCs w:val="0"/>
          <w:sz w:val="20"/>
          <w:szCs w:val="20"/>
        </w:rPr>
        <w:br w:type="textWrapping"/>
      </w:r>
    </w:p>
    <w:p>
      <w:pPr>
        <w:rPr>
          <w:rFonts w:hint="default" w:cs="宋体"/>
          <w:b w:val="0"/>
          <w:bCs w:val="0"/>
          <w:sz w:val="21"/>
          <w:szCs w:val="21"/>
        </w:rPr>
      </w:pPr>
      <w:r>
        <w:rPr>
          <w:rFonts w:cs="宋体"/>
          <w:b w:val="0"/>
          <w:bCs w:val="0"/>
          <w:sz w:val="21"/>
          <w:szCs w:val="21"/>
        </w:rPr>
        <w:br w:type="page"/>
      </w:r>
    </w:p>
    <w:tbl>
      <w:tblPr>
        <w:tblStyle w:val="12"/>
        <w:tblW w:w="14601" w:type="dxa"/>
        <w:tblInd w:w="0" w:type="dxa"/>
        <w:tblLayout w:type="fixed"/>
        <w:tblCellMar>
          <w:top w:w="0" w:type="dxa"/>
          <w:left w:w="0" w:type="dxa"/>
          <w:bottom w:w="0" w:type="dxa"/>
          <w:right w:w="0" w:type="dxa"/>
        </w:tblCellMar>
      </w:tblPr>
      <w:tblGrid>
        <w:gridCol w:w="2030"/>
        <w:gridCol w:w="3300"/>
        <w:gridCol w:w="2982"/>
        <w:gridCol w:w="71"/>
        <w:gridCol w:w="3164"/>
        <w:gridCol w:w="27"/>
        <w:gridCol w:w="3027"/>
      </w:tblGrid>
      <w:tr>
        <w:tblPrEx>
          <w:tblLayout w:type="fixed"/>
          <w:tblCellMar>
            <w:top w:w="0" w:type="dxa"/>
            <w:left w:w="0" w:type="dxa"/>
            <w:bottom w:w="0" w:type="dxa"/>
            <w:right w:w="0" w:type="dxa"/>
          </w:tblCellMar>
        </w:tblPrEx>
        <w:trPr>
          <w:trHeight w:val="650" w:hRule="atLeast"/>
        </w:trPr>
        <w:tc>
          <w:tcPr>
            <w:tcW w:w="14601"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rPr>
              <w:t>重庆市秀山土家族苗族自治县石堤镇中心卫生院</w:t>
            </w:r>
          </w:p>
        </w:tc>
        <w:tc>
          <w:tcPr>
            <w:tcW w:w="298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26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02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298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26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02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9271"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3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30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科目名称</w:t>
            </w:r>
          </w:p>
        </w:tc>
        <w:tc>
          <w:tcPr>
            <w:tcW w:w="3053"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16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3054"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5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6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54"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5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6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54"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5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6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54"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05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c>
          <w:tcPr>
            <w:tcW w:w="31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val="0"/>
                <w:bCs w:val="0"/>
                <w:color w:val="000000"/>
                <w:sz w:val="20"/>
                <w:szCs w:val="20"/>
              </w:rPr>
            </w:pPr>
          </w:p>
        </w:tc>
        <w:tc>
          <w:tcPr>
            <w:tcW w:w="305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rPr>
              <w:t xml:space="preserve"> </w:t>
            </w:r>
          </w:p>
        </w:tc>
      </w:tr>
    </w:tbl>
    <w:p>
      <w:pPr>
        <w:rPr>
          <w:rFonts w:hint="default" w:cs="宋体"/>
          <w:b w:val="0"/>
          <w:bCs w:val="0"/>
          <w:sz w:val="21"/>
          <w:szCs w:val="21"/>
        </w:rPr>
      </w:pPr>
      <w:r>
        <w:rPr>
          <w:rFonts w:cs="宋体"/>
          <w:b w:val="0"/>
          <w:bCs w:val="0"/>
          <w:sz w:val="20"/>
          <w:szCs w:val="20"/>
        </w:rPr>
        <w:t>备注：本表反映单位本年度国有资本经营预算财政拨款支出情况。本单位无国有资本经营收支，故本表无数据。</w:t>
      </w:r>
      <w:r>
        <w:rPr>
          <w:rFonts w:cs="宋体"/>
          <w:b w:val="0"/>
          <w:bCs w:val="0"/>
          <w:sz w:val="20"/>
          <w:szCs w:val="20"/>
        </w:rPr>
        <w:br w:type="textWrapping"/>
      </w:r>
      <w:r>
        <w:rPr>
          <w:rFonts w:cs="宋体"/>
          <w:b w:val="0"/>
          <w:bCs w:val="0"/>
          <w:sz w:val="20"/>
          <w:szCs w:val="20"/>
        </w:rPr>
        <w:br w:type="textWrapping"/>
      </w:r>
    </w:p>
    <w:p>
      <w:pPr>
        <w:rPr>
          <w:rFonts w:hint="default" w:cs="宋体"/>
          <w:b w:val="0"/>
          <w:bCs w:val="0"/>
          <w:sz w:val="21"/>
          <w:szCs w:val="21"/>
        </w:rPr>
      </w:pPr>
      <w:r>
        <w:rPr>
          <w:rFonts w:hint="default" w:cs="宋体"/>
          <w:b w:val="0"/>
          <w:bCs w:val="0"/>
          <w:sz w:val="21"/>
          <w:szCs w:val="21"/>
        </w:rPr>
        <w:br w:type="page"/>
      </w:r>
    </w:p>
    <w:tbl>
      <w:tblPr>
        <w:tblStyle w:val="12"/>
        <w:tblW w:w="14780" w:type="dxa"/>
        <w:tblInd w:w="0" w:type="dxa"/>
        <w:tblLayout w:type="fixed"/>
        <w:tblCellMar>
          <w:top w:w="0" w:type="dxa"/>
          <w:left w:w="0" w:type="dxa"/>
          <w:bottom w:w="0" w:type="dxa"/>
          <w:right w:w="0" w:type="dxa"/>
        </w:tblCellMar>
      </w:tblPr>
      <w:tblGrid>
        <w:gridCol w:w="4002"/>
        <w:gridCol w:w="2148"/>
        <w:gridCol w:w="2098"/>
        <w:gridCol w:w="4475"/>
        <w:gridCol w:w="2057"/>
      </w:tblGrid>
      <w:tr>
        <w:tblPrEx>
          <w:tblLayout w:type="fixed"/>
          <w:tblCellMar>
            <w:top w:w="0" w:type="dxa"/>
            <w:left w:w="0" w:type="dxa"/>
            <w:bottom w:w="0" w:type="dxa"/>
            <w:right w:w="0" w:type="dxa"/>
          </w:tblCellMar>
        </w:tblPrEx>
        <w:trPr>
          <w:trHeight w:val="90" w:hRule="atLeast"/>
        </w:trPr>
        <w:tc>
          <w:tcPr>
            <w:tcW w:w="1478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机构运行信息表</w:t>
            </w:r>
          </w:p>
        </w:tc>
      </w:tr>
      <w:tr>
        <w:tblPrEx>
          <w:tblLayout w:type="fixed"/>
          <w:tblCellMar>
            <w:top w:w="0" w:type="dxa"/>
            <w:left w:w="0" w:type="dxa"/>
            <w:bottom w:w="0" w:type="dxa"/>
            <w:right w:w="0" w:type="dxa"/>
          </w:tblCellMar>
        </w:tblPrEx>
        <w:trPr>
          <w:trHeight w:val="90" w:hRule="atLeast"/>
        </w:trPr>
        <w:tc>
          <w:tcPr>
            <w:tcW w:w="4002"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p>
        </w:tc>
        <w:tc>
          <w:tcPr>
            <w:tcW w:w="2148"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b w:val="0"/>
                <w:bCs w:val="0"/>
                <w:color w:val="000000"/>
                <w:sz w:val="20"/>
                <w:szCs w:val="20"/>
              </w:rPr>
            </w:pPr>
          </w:p>
        </w:tc>
        <w:tc>
          <w:tcPr>
            <w:tcW w:w="2098"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b w:val="0"/>
                <w:bCs w:val="0"/>
                <w:color w:val="000000"/>
                <w:sz w:val="20"/>
                <w:szCs w:val="20"/>
              </w:rPr>
            </w:pPr>
          </w:p>
        </w:tc>
        <w:tc>
          <w:tcPr>
            <w:tcW w:w="4475"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p>
        </w:tc>
        <w:tc>
          <w:tcPr>
            <w:tcW w:w="2057"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公开09表</w:t>
            </w:r>
          </w:p>
        </w:tc>
      </w:tr>
      <w:tr>
        <w:tblPrEx>
          <w:tblLayout w:type="fixed"/>
          <w:tblCellMar>
            <w:top w:w="0" w:type="dxa"/>
            <w:left w:w="0" w:type="dxa"/>
            <w:bottom w:w="0" w:type="dxa"/>
            <w:right w:w="0" w:type="dxa"/>
          </w:tblCellMar>
        </w:tblPrEx>
        <w:trPr>
          <w:trHeight w:val="90" w:hRule="atLeast"/>
        </w:trPr>
        <w:tc>
          <w:tcPr>
            <w:tcW w:w="4002"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rPr>
              <w:t>重庆市秀山土家族苗族自治县石堤镇中心卫生院</w:t>
            </w:r>
          </w:p>
        </w:tc>
        <w:tc>
          <w:tcPr>
            <w:tcW w:w="2148"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b w:val="0"/>
                <w:bCs w:val="0"/>
                <w:color w:val="000000"/>
                <w:sz w:val="20"/>
                <w:szCs w:val="20"/>
              </w:rPr>
            </w:pPr>
          </w:p>
        </w:tc>
        <w:tc>
          <w:tcPr>
            <w:tcW w:w="2098"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b w:val="0"/>
                <w:bCs w:val="0"/>
                <w:color w:val="000000"/>
                <w:sz w:val="20"/>
                <w:szCs w:val="20"/>
              </w:rPr>
            </w:pPr>
          </w:p>
        </w:tc>
        <w:tc>
          <w:tcPr>
            <w:tcW w:w="44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p>
        </w:tc>
        <w:tc>
          <w:tcPr>
            <w:tcW w:w="205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项  目</w:t>
            </w:r>
          </w:p>
        </w:tc>
        <w:tc>
          <w:tcPr>
            <w:tcW w:w="214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预算数</w:t>
            </w:r>
          </w:p>
        </w:tc>
        <w:tc>
          <w:tcPr>
            <w:tcW w:w="209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项  目</w:t>
            </w:r>
          </w:p>
        </w:tc>
        <w:tc>
          <w:tcPr>
            <w:tcW w:w="205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一、“三公”经费支出</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四、机关运行经费</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（一）支出合计</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（一）行政单位</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1．因公出国（境）费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（二）参照公务员法管理事业单位</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2．公务用车购置及运行维护费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五、资产信息</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（1）公务用车购置费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（一）车辆数合计（辆）</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2</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（2）公务用车运行维护费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1．副部（省）级及以上领导用车</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3．公务接待费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2．主要领导干部用车</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（1）国内接待费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3．机要通信用车</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其中：外事接待费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4．应急保障用车</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（2）国（境）外接待费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5．执法执勤用车</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（二）相关统计数</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6．特种专业技术用车</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2</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1．因公出国（境）团组数（个）</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7．离退休干部用车</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2．因公出国（境）人次数（人）</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8．其他用车</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3．公务用车购置数（辆）</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（二）单价100万元（含）以上设备（不含车辆）</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4．公务用车保有量（辆）</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六、政府采购支出信息</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5．国内公务接待批次（个）</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（一）政府采购支出合计</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2.08</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其中：外事接待批次（个）</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1．政府采购货物支出</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2.08</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6．国内公务接待人次（人）</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2．政府采购工程支出</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其中：外事接待人次（人）</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3．政府采购服务支出</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7．国（境）外公务接待批次（个）</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（二）政府采购授予中小企业合同金额</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2.08</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8．国（境）外公务接待人次（人）</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 xml:space="preserve">        其中：授予小微企业合同金额</w:t>
            </w: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2.08</w:t>
            </w:r>
            <w:r>
              <w:rPr>
                <w:b w:val="0"/>
                <w:bCs w:val="0"/>
                <w:color w:val="000000"/>
                <w:sz w:val="20"/>
              </w:rPr>
              <w:t xml:space="preserve"> </w:t>
            </w: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二、会议费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90" w:hRule="atLeast"/>
        </w:trPr>
        <w:tc>
          <w:tcPr>
            <w:tcW w:w="4002"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三、培训费</w:t>
            </w:r>
          </w:p>
        </w:tc>
        <w:tc>
          <w:tcPr>
            <w:tcW w:w="21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w:t>
            </w:r>
          </w:p>
        </w:tc>
        <w:tc>
          <w:tcPr>
            <w:tcW w:w="20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b w:val="0"/>
                <w:bCs w:val="0"/>
                <w:color w:val="000000"/>
                <w:sz w:val="20"/>
              </w:rPr>
              <w:t xml:space="preserve"> </w:t>
            </w:r>
          </w:p>
        </w:tc>
        <w:tc>
          <w:tcPr>
            <w:tcW w:w="447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b w:val="0"/>
                <w:bCs w:val="0"/>
                <w:color w:val="000000"/>
                <w:sz w:val="20"/>
                <w:szCs w:val="20"/>
              </w:rPr>
            </w:pPr>
          </w:p>
        </w:tc>
      </w:tr>
    </w:tbl>
    <w:p>
      <w:pPr>
        <w:keepNext w:val="0"/>
        <w:keepLines w:val="0"/>
        <w:pageBreakBefore w:val="0"/>
        <w:shd w:val="clear"/>
        <w:kinsoku/>
        <w:overflowPunct/>
        <w:topLinePunct w:val="0"/>
        <w:autoSpaceDN/>
        <w:bidi w:val="0"/>
        <w:adjustRightInd/>
        <w:spacing w:beforeAutospacing="0" w:afterAutospacing="0" w:line="540" w:lineRule="exact"/>
        <w:rPr>
          <w:rFonts w:hint="default" w:ascii="Times New Roman" w:hAnsi="Times New Roman" w:cs="Times New Roman"/>
          <w:b w:val="0"/>
          <w:bCs w:val="0"/>
        </w:rPr>
      </w:pPr>
      <w:r>
        <w:rPr>
          <w:rFonts w:cs="宋体"/>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b w:val="0"/>
          <w:bCs w:val="0"/>
          <w:sz w:val="20"/>
          <w:szCs w:val="20"/>
        </w:rPr>
        <w:br w:type="textWrapping"/>
      </w:r>
      <w:r>
        <w:rPr>
          <w:rFonts w:cs="宋体"/>
          <w:b w:val="0"/>
          <w:bCs w:val="0"/>
          <w:sz w:val="20"/>
          <w:szCs w:val="20"/>
        </w:rPr>
        <w:t xml:space="preserve">      2.本套报表金额单位转换时可能存在尾数误差。</w:t>
      </w:r>
    </w:p>
    <w:sectPr>
      <w:headerReference r:id="rId6" w:type="default"/>
      <w:footerReference r:id="rId7" w:type="default"/>
      <w:pgSz w:w="16839" w:h="11907" w:orient="landscape"/>
      <w:pgMar w:top="850" w:right="1134" w:bottom="850" w:left="1134" w:header="0" w:footer="283" w:gutter="0"/>
      <w:pgNumType w:fmt="numberInDash"/>
      <w:cols w:space="0" w:num="1"/>
      <w:rtlGutter w:val="0"/>
      <w:docGrid w:type="lines" w:linePitch="32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default"/>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SVju&#10;0AAAAAUBAAAPAAAAAAAAAAEAIAAAACIAAABkcnMvZG93bnJldi54bWxQSwECFAAUAAAACACHTuJA&#10;YhLgFbcBAABUAwAADgAAAAAAAAABACAAAAAfAQAAZHJzL2Uyb0RvYy54bWxQSwUGAAAAAAYABgBZ&#10;AQAASAUAAAAA&#10;">
              <v:fill on="f" focussize="0,0"/>
              <v:stroke on="f" weight="0.5pt"/>
              <v:imagedata o:title=""/>
              <o:lock v:ext="edit" aspectratio="f"/>
              <v:textbox inset="0mm,0mm,0mm,0mm" style="mso-fit-shape-to-text:t;">
                <w:txbxContent>
                  <w:p>
                    <w:pPr>
                      <w:pStyle w:val="6"/>
                      <w:rPr>
                        <w:rFonts w:hint="default"/>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28 -</w:t>
                          </w:r>
                          <w:r>
                            <w:fldChar w:fldCharType="end"/>
                          </w:r>
                          <w:r>
                            <w:t xml:space="preserve"> </w:t>
                          </w: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P8+P2m4AQAAVAMAAA4AAAAAAAAAAQAgAAAAHwEAAGRycy9lMm9Eb2MueG1sUEsFBgAAAAAGAAYA&#10;WQEAAEkFA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28 -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wps:spPr>
                    <wps:txbx>
                      <w:txbxContent>
                        <w:p>
                          <w:pPr>
                            <w:pStyle w:val="6"/>
                            <w:jc w:val="both"/>
                            <w:rPr>
                              <w:rFonts w:hint="default" w:cs="宋体"/>
                            </w:rPr>
                          </w:pPr>
                          <w:r>
                            <w:rPr>
                              <w:rFonts w:cs="宋体"/>
                            </w:rPr>
                            <w:t>— 27.1 —</w:t>
                          </w:r>
                        </w:p>
                      </w:txbxContent>
                    </wps:txbx>
                    <wps:bodyPr wrap="none" lIns="0" tIns="0" rIns="0" bIns="0" upright="1"/>
                  </wps:wsp>
                </a:graphicData>
              </a:graphic>
            </wp:anchor>
          </w:drawing>
        </mc:Choice>
        <mc:Fallback>
          <w:pict>
            <v:shape id="文本框 3"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4DVRU&#10;2AAAAAoBAAAPAAAAAAAAAAEAIAAAACIAAABkcnMvZG93bnJldi54bWxQSwECFAAUAAAACACHTuJA&#10;piUkFa8BAAA5AwAADgAAAAAAAAABACAAAAAnAQAAZHJzL2Uyb0RvYy54bWxQSwUGAAAAAAYABgBZ&#10;AQAASAUAAA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abstractNum w:abstractNumId="1">
    <w:nsid w:val="5AB58324"/>
    <w:multiLevelType w:val="singleLevel"/>
    <w:tmpl w:val="5AB5832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5"/>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zE3ZDk2MjdkOGQyNjJkNDZlMDIzNmU2MmQzZTMifQ=="/>
    <w:docVar w:name="KSO_WPS_MARK_KEY" w:val="6d7d435b-7d88-4495-a419-5fedda6601ce"/>
  </w:docVars>
  <w:rsids>
    <w:rsidRoot w:val="00B03CCD"/>
    <w:rsid w:val="002B254B"/>
    <w:rsid w:val="00550ABE"/>
    <w:rsid w:val="00770383"/>
    <w:rsid w:val="007819D4"/>
    <w:rsid w:val="007B419D"/>
    <w:rsid w:val="00900021"/>
    <w:rsid w:val="00997D30"/>
    <w:rsid w:val="009B67B8"/>
    <w:rsid w:val="009D2B67"/>
    <w:rsid w:val="00AD4581"/>
    <w:rsid w:val="00B03CCD"/>
    <w:rsid w:val="00BC3A1F"/>
    <w:rsid w:val="00C20C3E"/>
    <w:rsid w:val="00C33CD1"/>
    <w:rsid w:val="00E645F8"/>
    <w:rsid w:val="00ED3BD8"/>
    <w:rsid w:val="00F02FD8"/>
    <w:rsid w:val="00F73F90"/>
    <w:rsid w:val="01474EBF"/>
    <w:rsid w:val="014F6641"/>
    <w:rsid w:val="01F3521E"/>
    <w:rsid w:val="01F62F61"/>
    <w:rsid w:val="02967A5D"/>
    <w:rsid w:val="02AB3D4B"/>
    <w:rsid w:val="02DA1F3A"/>
    <w:rsid w:val="02E20FEB"/>
    <w:rsid w:val="03367AB9"/>
    <w:rsid w:val="03474BD8"/>
    <w:rsid w:val="036839EA"/>
    <w:rsid w:val="037F79DF"/>
    <w:rsid w:val="03B31109"/>
    <w:rsid w:val="03B31C99"/>
    <w:rsid w:val="03B87EA0"/>
    <w:rsid w:val="03E3214F"/>
    <w:rsid w:val="043E3B3F"/>
    <w:rsid w:val="044036B7"/>
    <w:rsid w:val="044C50BA"/>
    <w:rsid w:val="047C7628"/>
    <w:rsid w:val="050B0AD1"/>
    <w:rsid w:val="05120E5B"/>
    <w:rsid w:val="056106F1"/>
    <w:rsid w:val="05AA103C"/>
    <w:rsid w:val="05BC6D49"/>
    <w:rsid w:val="05BE1FE7"/>
    <w:rsid w:val="05C02D3F"/>
    <w:rsid w:val="060519C4"/>
    <w:rsid w:val="06194FF1"/>
    <w:rsid w:val="06283F63"/>
    <w:rsid w:val="06A05249"/>
    <w:rsid w:val="06A2550B"/>
    <w:rsid w:val="06D51397"/>
    <w:rsid w:val="06F15AA5"/>
    <w:rsid w:val="06F7755F"/>
    <w:rsid w:val="06F80EE2"/>
    <w:rsid w:val="06FD0777"/>
    <w:rsid w:val="07000B16"/>
    <w:rsid w:val="07001CCA"/>
    <w:rsid w:val="070103DE"/>
    <w:rsid w:val="070E6657"/>
    <w:rsid w:val="072F4F4B"/>
    <w:rsid w:val="074E7C4C"/>
    <w:rsid w:val="075678DB"/>
    <w:rsid w:val="077706A0"/>
    <w:rsid w:val="079D7CC7"/>
    <w:rsid w:val="07E61381"/>
    <w:rsid w:val="08051BCA"/>
    <w:rsid w:val="08206641"/>
    <w:rsid w:val="082C0402"/>
    <w:rsid w:val="082F2D28"/>
    <w:rsid w:val="085A56E8"/>
    <w:rsid w:val="086C12F4"/>
    <w:rsid w:val="08705944"/>
    <w:rsid w:val="08824449"/>
    <w:rsid w:val="08BA052C"/>
    <w:rsid w:val="08DB07BA"/>
    <w:rsid w:val="08FF6B9F"/>
    <w:rsid w:val="0949606C"/>
    <w:rsid w:val="095A3DD5"/>
    <w:rsid w:val="0969353F"/>
    <w:rsid w:val="097D27EC"/>
    <w:rsid w:val="098305D0"/>
    <w:rsid w:val="09A432A2"/>
    <w:rsid w:val="09AC3C19"/>
    <w:rsid w:val="09D122E9"/>
    <w:rsid w:val="0A0E0BAF"/>
    <w:rsid w:val="0A1F0C00"/>
    <w:rsid w:val="0A3317EA"/>
    <w:rsid w:val="0A477867"/>
    <w:rsid w:val="0A5C4B69"/>
    <w:rsid w:val="0A610844"/>
    <w:rsid w:val="0A86124A"/>
    <w:rsid w:val="0AB54CC0"/>
    <w:rsid w:val="0AC0235E"/>
    <w:rsid w:val="0AE62115"/>
    <w:rsid w:val="0AFE344A"/>
    <w:rsid w:val="0B097861"/>
    <w:rsid w:val="0B494AD1"/>
    <w:rsid w:val="0B4C5836"/>
    <w:rsid w:val="0B9335CE"/>
    <w:rsid w:val="0BBF38E1"/>
    <w:rsid w:val="0BF2311A"/>
    <w:rsid w:val="0C083FBC"/>
    <w:rsid w:val="0C321039"/>
    <w:rsid w:val="0C523489"/>
    <w:rsid w:val="0C7927C4"/>
    <w:rsid w:val="0C937D2A"/>
    <w:rsid w:val="0C9B098C"/>
    <w:rsid w:val="0D3F756A"/>
    <w:rsid w:val="0D673E11"/>
    <w:rsid w:val="0DA25D4B"/>
    <w:rsid w:val="0DD8176C"/>
    <w:rsid w:val="0DDA54E4"/>
    <w:rsid w:val="0DE173BA"/>
    <w:rsid w:val="0E3A5F83"/>
    <w:rsid w:val="0E895448"/>
    <w:rsid w:val="0EA53D44"/>
    <w:rsid w:val="0EB36461"/>
    <w:rsid w:val="0EDD528C"/>
    <w:rsid w:val="0EFE3455"/>
    <w:rsid w:val="0F243DDF"/>
    <w:rsid w:val="0F3330FE"/>
    <w:rsid w:val="0F6E05DA"/>
    <w:rsid w:val="0F836721"/>
    <w:rsid w:val="0FA25D96"/>
    <w:rsid w:val="0FA861BC"/>
    <w:rsid w:val="0FAF7625"/>
    <w:rsid w:val="0FCE72CB"/>
    <w:rsid w:val="0FDE750E"/>
    <w:rsid w:val="0FF02A5D"/>
    <w:rsid w:val="10304FFB"/>
    <w:rsid w:val="107B59E5"/>
    <w:rsid w:val="10802373"/>
    <w:rsid w:val="10945E1E"/>
    <w:rsid w:val="10BE733F"/>
    <w:rsid w:val="10E87F18"/>
    <w:rsid w:val="10EC0126"/>
    <w:rsid w:val="10F70B9A"/>
    <w:rsid w:val="111445C7"/>
    <w:rsid w:val="114278C6"/>
    <w:rsid w:val="115017EB"/>
    <w:rsid w:val="1158083A"/>
    <w:rsid w:val="11643A4B"/>
    <w:rsid w:val="119F2CCD"/>
    <w:rsid w:val="11ED0F98"/>
    <w:rsid w:val="11F03528"/>
    <w:rsid w:val="11F1104F"/>
    <w:rsid w:val="120B489E"/>
    <w:rsid w:val="121629A4"/>
    <w:rsid w:val="1257411B"/>
    <w:rsid w:val="12C921C4"/>
    <w:rsid w:val="12D266E8"/>
    <w:rsid w:val="12FB4D13"/>
    <w:rsid w:val="130F79DE"/>
    <w:rsid w:val="13105ABA"/>
    <w:rsid w:val="13165211"/>
    <w:rsid w:val="132C6D5F"/>
    <w:rsid w:val="13464F7E"/>
    <w:rsid w:val="136C6BDF"/>
    <w:rsid w:val="13871C70"/>
    <w:rsid w:val="13992A3A"/>
    <w:rsid w:val="13A71CB4"/>
    <w:rsid w:val="13AF1D43"/>
    <w:rsid w:val="13C133CE"/>
    <w:rsid w:val="13CE1647"/>
    <w:rsid w:val="13D47B7A"/>
    <w:rsid w:val="13FD55AB"/>
    <w:rsid w:val="14200702"/>
    <w:rsid w:val="142D2812"/>
    <w:rsid w:val="146D2C0E"/>
    <w:rsid w:val="147C6832"/>
    <w:rsid w:val="148E0DD7"/>
    <w:rsid w:val="14C71776"/>
    <w:rsid w:val="14D07641"/>
    <w:rsid w:val="14E32ED1"/>
    <w:rsid w:val="15161E60"/>
    <w:rsid w:val="152138E1"/>
    <w:rsid w:val="153320AA"/>
    <w:rsid w:val="154047C7"/>
    <w:rsid w:val="154648C4"/>
    <w:rsid w:val="154F67B8"/>
    <w:rsid w:val="15D52B4A"/>
    <w:rsid w:val="15E72E94"/>
    <w:rsid w:val="16096967"/>
    <w:rsid w:val="162C3DEF"/>
    <w:rsid w:val="163A6CEE"/>
    <w:rsid w:val="163B5D40"/>
    <w:rsid w:val="1642631D"/>
    <w:rsid w:val="16BA0E20"/>
    <w:rsid w:val="16F92E7F"/>
    <w:rsid w:val="173708E3"/>
    <w:rsid w:val="1738769E"/>
    <w:rsid w:val="177B0E6C"/>
    <w:rsid w:val="17C374FC"/>
    <w:rsid w:val="182E4AB6"/>
    <w:rsid w:val="1840688C"/>
    <w:rsid w:val="185809BE"/>
    <w:rsid w:val="189079DC"/>
    <w:rsid w:val="189B0D0B"/>
    <w:rsid w:val="18A84B5D"/>
    <w:rsid w:val="18B43F7C"/>
    <w:rsid w:val="194A1770"/>
    <w:rsid w:val="19520625"/>
    <w:rsid w:val="195425EF"/>
    <w:rsid w:val="195A4111"/>
    <w:rsid w:val="19B906A4"/>
    <w:rsid w:val="19CE23A1"/>
    <w:rsid w:val="1A037B71"/>
    <w:rsid w:val="1A1D0C33"/>
    <w:rsid w:val="1A2E5B14"/>
    <w:rsid w:val="1A2F0966"/>
    <w:rsid w:val="1A3C158D"/>
    <w:rsid w:val="1A450189"/>
    <w:rsid w:val="1AF714CA"/>
    <w:rsid w:val="1B065F16"/>
    <w:rsid w:val="1B4E306E"/>
    <w:rsid w:val="1B534E7E"/>
    <w:rsid w:val="1B567294"/>
    <w:rsid w:val="1B6F15B6"/>
    <w:rsid w:val="1B830F69"/>
    <w:rsid w:val="1B8371BB"/>
    <w:rsid w:val="1B910BFE"/>
    <w:rsid w:val="1BAA2EDC"/>
    <w:rsid w:val="1BAB0ADF"/>
    <w:rsid w:val="1BD16179"/>
    <w:rsid w:val="1BF067CF"/>
    <w:rsid w:val="1C024584"/>
    <w:rsid w:val="1C44293B"/>
    <w:rsid w:val="1C556DAA"/>
    <w:rsid w:val="1C5B3293"/>
    <w:rsid w:val="1C6963B1"/>
    <w:rsid w:val="1C6C7C4F"/>
    <w:rsid w:val="1C7B4336"/>
    <w:rsid w:val="1C8925AF"/>
    <w:rsid w:val="1CA55E64"/>
    <w:rsid w:val="1CA94A00"/>
    <w:rsid w:val="1CBD66FD"/>
    <w:rsid w:val="1CC74762"/>
    <w:rsid w:val="1CE617B0"/>
    <w:rsid w:val="1CF3211F"/>
    <w:rsid w:val="1D014A01"/>
    <w:rsid w:val="1D021844"/>
    <w:rsid w:val="1D022362"/>
    <w:rsid w:val="1D152095"/>
    <w:rsid w:val="1D1B04B0"/>
    <w:rsid w:val="1D1D4CB4"/>
    <w:rsid w:val="1D84721B"/>
    <w:rsid w:val="1DA52501"/>
    <w:rsid w:val="1DB573D4"/>
    <w:rsid w:val="1DBD6767"/>
    <w:rsid w:val="1DC52125"/>
    <w:rsid w:val="1DD26311"/>
    <w:rsid w:val="1DD65CC8"/>
    <w:rsid w:val="1E0D5462"/>
    <w:rsid w:val="1E253203"/>
    <w:rsid w:val="1E320A25"/>
    <w:rsid w:val="1E374ACB"/>
    <w:rsid w:val="1E45337F"/>
    <w:rsid w:val="1EB51D82"/>
    <w:rsid w:val="1ECF0A66"/>
    <w:rsid w:val="1ED0096A"/>
    <w:rsid w:val="1EDC31E0"/>
    <w:rsid w:val="1EF67CA4"/>
    <w:rsid w:val="1F020D3A"/>
    <w:rsid w:val="1F1D2E75"/>
    <w:rsid w:val="1F2C5189"/>
    <w:rsid w:val="1F4B0B02"/>
    <w:rsid w:val="1F761371"/>
    <w:rsid w:val="1F8B2AE2"/>
    <w:rsid w:val="1FA71D89"/>
    <w:rsid w:val="1FBB35CD"/>
    <w:rsid w:val="1FCD26AF"/>
    <w:rsid w:val="1FD75D28"/>
    <w:rsid w:val="20642787"/>
    <w:rsid w:val="20665C82"/>
    <w:rsid w:val="20872DB2"/>
    <w:rsid w:val="20BE47F2"/>
    <w:rsid w:val="20C75D9C"/>
    <w:rsid w:val="21556F04"/>
    <w:rsid w:val="21725D08"/>
    <w:rsid w:val="21921D0D"/>
    <w:rsid w:val="219F63D1"/>
    <w:rsid w:val="21C127EB"/>
    <w:rsid w:val="21C267AA"/>
    <w:rsid w:val="21E21422"/>
    <w:rsid w:val="223C6316"/>
    <w:rsid w:val="22403BD3"/>
    <w:rsid w:val="2252572E"/>
    <w:rsid w:val="22631AF5"/>
    <w:rsid w:val="22BA2C18"/>
    <w:rsid w:val="22C24795"/>
    <w:rsid w:val="230E1A60"/>
    <w:rsid w:val="234424ED"/>
    <w:rsid w:val="234436D4"/>
    <w:rsid w:val="235F050E"/>
    <w:rsid w:val="2376400F"/>
    <w:rsid w:val="23996B76"/>
    <w:rsid w:val="239E064B"/>
    <w:rsid w:val="23AC345A"/>
    <w:rsid w:val="240F760C"/>
    <w:rsid w:val="24547947"/>
    <w:rsid w:val="2455546D"/>
    <w:rsid w:val="24594F5D"/>
    <w:rsid w:val="246456B0"/>
    <w:rsid w:val="24873565"/>
    <w:rsid w:val="24A17272"/>
    <w:rsid w:val="24AB32DF"/>
    <w:rsid w:val="24B6578B"/>
    <w:rsid w:val="24B92327"/>
    <w:rsid w:val="24C14514"/>
    <w:rsid w:val="24FE17C6"/>
    <w:rsid w:val="25164559"/>
    <w:rsid w:val="252235A1"/>
    <w:rsid w:val="2533755C"/>
    <w:rsid w:val="25707940"/>
    <w:rsid w:val="257528B1"/>
    <w:rsid w:val="25791755"/>
    <w:rsid w:val="257D2ECD"/>
    <w:rsid w:val="259207B1"/>
    <w:rsid w:val="25E62821"/>
    <w:rsid w:val="262241EA"/>
    <w:rsid w:val="26396DF4"/>
    <w:rsid w:val="263C4B36"/>
    <w:rsid w:val="26D012AA"/>
    <w:rsid w:val="26DE174A"/>
    <w:rsid w:val="27133681"/>
    <w:rsid w:val="271433BD"/>
    <w:rsid w:val="27167136"/>
    <w:rsid w:val="271B442C"/>
    <w:rsid w:val="27AE3812"/>
    <w:rsid w:val="27B23302"/>
    <w:rsid w:val="27C60B5C"/>
    <w:rsid w:val="27D36DD5"/>
    <w:rsid w:val="27DF1BE6"/>
    <w:rsid w:val="28201A72"/>
    <w:rsid w:val="283D6944"/>
    <w:rsid w:val="28AC65F1"/>
    <w:rsid w:val="28C026FD"/>
    <w:rsid w:val="28E374EB"/>
    <w:rsid w:val="28FB65E3"/>
    <w:rsid w:val="292C49EE"/>
    <w:rsid w:val="29310A5F"/>
    <w:rsid w:val="29387837"/>
    <w:rsid w:val="294743AC"/>
    <w:rsid w:val="297A26A8"/>
    <w:rsid w:val="29802F8C"/>
    <w:rsid w:val="298A7967"/>
    <w:rsid w:val="29A529F3"/>
    <w:rsid w:val="29C05500"/>
    <w:rsid w:val="29C37A35"/>
    <w:rsid w:val="29F8727E"/>
    <w:rsid w:val="2A076083"/>
    <w:rsid w:val="2A2F7AAF"/>
    <w:rsid w:val="2A41727C"/>
    <w:rsid w:val="2A4D10C0"/>
    <w:rsid w:val="2A500BB0"/>
    <w:rsid w:val="2A73162E"/>
    <w:rsid w:val="2A816FBC"/>
    <w:rsid w:val="2B167953"/>
    <w:rsid w:val="2B200583"/>
    <w:rsid w:val="2B8209DE"/>
    <w:rsid w:val="2BBB0F8D"/>
    <w:rsid w:val="2BE45A54"/>
    <w:rsid w:val="2C106849"/>
    <w:rsid w:val="2C5223C6"/>
    <w:rsid w:val="2C5B55EB"/>
    <w:rsid w:val="2C636760"/>
    <w:rsid w:val="2C6762A3"/>
    <w:rsid w:val="2C8114F5"/>
    <w:rsid w:val="2CB05936"/>
    <w:rsid w:val="2CCA2E9C"/>
    <w:rsid w:val="2CDC672B"/>
    <w:rsid w:val="2CE91050"/>
    <w:rsid w:val="2D42455B"/>
    <w:rsid w:val="2D430559"/>
    <w:rsid w:val="2E0A22D5"/>
    <w:rsid w:val="2E0F2F21"/>
    <w:rsid w:val="2E56250D"/>
    <w:rsid w:val="2EAE5EA6"/>
    <w:rsid w:val="2EB31F56"/>
    <w:rsid w:val="2F067A90"/>
    <w:rsid w:val="2F087CAC"/>
    <w:rsid w:val="2F1321AD"/>
    <w:rsid w:val="2F5051AF"/>
    <w:rsid w:val="2FCA4B37"/>
    <w:rsid w:val="2FD933F6"/>
    <w:rsid w:val="2FE029D7"/>
    <w:rsid w:val="2FF06E00"/>
    <w:rsid w:val="2FF81ACE"/>
    <w:rsid w:val="30071D11"/>
    <w:rsid w:val="30586FEC"/>
    <w:rsid w:val="309061AB"/>
    <w:rsid w:val="30CE282F"/>
    <w:rsid w:val="31010E56"/>
    <w:rsid w:val="31061FC9"/>
    <w:rsid w:val="315F0B22"/>
    <w:rsid w:val="31A0241D"/>
    <w:rsid w:val="31C07EB9"/>
    <w:rsid w:val="31D84415"/>
    <w:rsid w:val="32285F6F"/>
    <w:rsid w:val="323C72AF"/>
    <w:rsid w:val="32770556"/>
    <w:rsid w:val="32847649"/>
    <w:rsid w:val="329C0913"/>
    <w:rsid w:val="32AA0460"/>
    <w:rsid w:val="332638F5"/>
    <w:rsid w:val="3337290D"/>
    <w:rsid w:val="334703EE"/>
    <w:rsid w:val="33E31118"/>
    <w:rsid w:val="33EF7674"/>
    <w:rsid w:val="34117602"/>
    <w:rsid w:val="34120C85"/>
    <w:rsid w:val="341E6BA4"/>
    <w:rsid w:val="342D7BC6"/>
    <w:rsid w:val="344C7AC7"/>
    <w:rsid w:val="347875E0"/>
    <w:rsid w:val="34A51AF9"/>
    <w:rsid w:val="34B41D3C"/>
    <w:rsid w:val="34D21DD1"/>
    <w:rsid w:val="34E70363"/>
    <w:rsid w:val="352930DB"/>
    <w:rsid w:val="35573069"/>
    <w:rsid w:val="355F6038"/>
    <w:rsid w:val="358C217E"/>
    <w:rsid w:val="35951B6D"/>
    <w:rsid w:val="35A719B3"/>
    <w:rsid w:val="35D418F8"/>
    <w:rsid w:val="364D6C28"/>
    <w:rsid w:val="365F7AE2"/>
    <w:rsid w:val="36703696"/>
    <w:rsid w:val="36820344"/>
    <w:rsid w:val="36C9128A"/>
    <w:rsid w:val="36E56B24"/>
    <w:rsid w:val="373D24BC"/>
    <w:rsid w:val="375A6BCB"/>
    <w:rsid w:val="37841E99"/>
    <w:rsid w:val="379D1950"/>
    <w:rsid w:val="37AD3E74"/>
    <w:rsid w:val="37BF1123"/>
    <w:rsid w:val="37CE75B8"/>
    <w:rsid w:val="37FF7772"/>
    <w:rsid w:val="382611A3"/>
    <w:rsid w:val="38341B11"/>
    <w:rsid w:val="383C3F15"/>
    <w:rsid w:val="3847643F"/>
    <w:rsid w:val="385E4403"/>
    <w:rsid w:val="38BE4696"/>
    <w:rsid w:val="38D34E86"/>
    <w:rsid w:val="38F4304F"/>
    <w:rsid w:val="38FD1FAA"/>
    <w:rsid w:val="39274E26"/>
    <w:rsid w:val="3939115E"/>
    <w:rsid w:val="39B5458C"/>
    <w:rsid w:val="39B82A39"/>
    <w:rsid w:val="39C24EFB"/>
    <w:rsid w:val="39C42CA8"/>
    <w:rsid w:val="39DC4FD6"/>
    <w:rsid w:val="39F03D7A"/>
    <w:rsid w:val="39F33306"/>
    <w:rsid w:val="3A2C1C67"/>
    <w:rsid w:val="3A6A181A"/>
    <w:rsid w:val="3A7A745C"/>
    <w:rsid w:val="3A913617"/>
    <w:rsid w:val="3A982920"/>
    <w:rsid w:val="3AA7481D"/>
    <w:rsid w:val="3AA86B23"/>
    <w:rsid w:val="3AD91407"/>
    <w:rsid w:val="3ADD7F09"/>
    <w:rsid w:val="3AFB6916"/>
    <w:rsid w:val="3B1705E5"/>
    <w:rsid w:val="3B18334B"/>
    <w:rsid w:val="3B36794F"/>
    <w:rsid w:val="3B5F0C53"/>
    <w:rsid w:val="3B5F6EA5"/>
    <w:rsid w:val="3B6F6EE0"/>
    <w:rsid w:val="3B7C7A57"/>
    <w:rsid w:val="3B806E1C"/>
    <w:rsid w:val="3B8E39E8"/>
    <w:rsid w:val="3C1F3E60"/>
    <w:rsid w:val="3C320116"/>
    <w:rsid w:val="3C3A4691"/>
    <w:rsid w:val="3C566AD6"/>
    <w:rsid w:val="3C594871"/>
    <w:rsid w:val="3C6A5B02"/>
    <w:rsid w:val="3C74072E"/>
    <w:rsid w:val="3C862210"/>
    <w:rsid w:val="3C9568F7"/>
    <w:rsid w:val="3CC47D9B"/>
    <w:rsid w:val="3CEA09F1"/>
    <w:rsid w:val="3D2757A1"/>
    <w:rsid w:val="3D3A4005"/>
    <w:rsid w:val="3D3D4FC4"/>
    <w:rsid w:val="3D5B369C"/>
    <w:rsid w:val="3D8047D6"/>
    <w:rsid w:val="3DC41242"/>
    <w:rsid w:val="3DDF3AB1"/>
    <w:rsid w:val="3DE40522"/>
    <w:rsid w:val="3E0C2BE9"/>
    <w:rsid w:val="3E1D0952"/>
    <w:rsid w:val="3E42660A"/>
    <w:rsid w:val="3E485BA6"/>
    <w:rsid w:val="3E595E2E"/>
    <w:rsid w:val="3E7555B1"/>
    <w:rsid w:val="3E787ED9"/>
    <w:rsid w:val="3EAF47CF"/>
    <w:rsid w:val="3F032E93"/>
    <w:rsid w:val="3F0527E5"/>
    <w:rsid w:val="3F204B9E"/>
    <w:rsid w:val="3F20694C"/>
    <w:rsid w:val="3F3348D1"/>
    <w:rsid w:val="3F3529B1"/>
    <w:rsid w:val="3F593C0C"/>
    <w:rsid w:val="3F694D83"/>
    <w:rsid w:val="3F885DCC"/>
    <w:rsid w:val="3F99132C"/>
    <w:rsid w:val="3FA06623"/>
    <w:rsid w:val="3FC13EEF"/>
    <w:rsid w:val="3FCD675E"/>
    <w:rsid w:val="3FD332A4"/>
    <w:rsid w:val="3FEA3FB4"/>
    <w:rsid w:val="3FF04570"/>
    <w:rsid w:val="4004000C"/>
    <w:rsid w:val="401A339B"/>
    <w:rsid w:val="402030B9"/>
    <w:rsid w:val="403B0335"/>
    <w:rsid w:val="4042698B"/>
    <w:rsid w:val="40580367"/>
    <w:rsid w:val="405B04B1"/>
    <w:rsid w:val="406311E7"/>
    <w:rsid w:val="406639AE"/>
    <w:rsid w:val="407229BD"/>
    <w:rsid w:val="409C3422"/>
    <w:rsid w:val="40B27F79"/>
    <w:rsid w:val="40BD5482"/>
    <w:rsid w:val="411B6CE5"/>
    <w:rsid w:val="412070D7"/>
    <w:rsid w:val="41314E40"/>
    <w:rsid w:val="414C7ECC"/>
    <w:rsid w:val="41601281"/>
    <w:rsid w:val="419E624E"/>
    <w:rsid w:val="41E035F1"/>
    <w:rsid w:val="41E0734B"/>
    <w:rsid w:val="41E9305C"/>
    <w:rsid w:val="42100EF9"/>
    <w:rsid w:val="426C1EA8"/>
    <w:rsid w:val="42736402"/>
    <w:rsid w:val="42A534A6"/>
    <w:rsid w:val="42C615B8"/>
    <w:rsid w:val="42DF6822"/>
    <w:rsid w:val="42E86A87"/>
    <w:rsid w:val="42F06635"/>
    <w:rsid w:val="42F731C4"/>
    <w:rsid w:val="43307B09"/>
    <w:rsid w:val="43654793"/>
    <w:rsid w:val="43860D47"/>
    <w:rsid w:val="439A3EB9"/>
    <w:rsid w:val="439C39D8"/>
    <w:rsid w:val="43A35D9D"/>
    <w:rsid w:val="43BB152F"/>
    <w:rsid w:val="43D8015A"/>
    <w:rsid w:val="43E837B0"/>
    <w:rsid w:val="43F2740D"/>
    <w:rsid w:val="43FB34E3"/>
    <w:rsid w:val="44134CD1"/>
    <w:rsid w:val="44160997"/>
    <w:rsid w:val="444B13EE"/>
    <w:rsid w:val="44737CB1"/>
    <w:rsid w:val="448F2E5D"/>
    <w:rsid w:val="44C37687"/>
    <w:rsid w:val="44E97466"/>
    <w:rsid w:val="45036AF3"/>
    <w:rsid w:val="455A21A9"/>
    <w:rsid w:val="457335CB"/>
    <w:rsid w:val="45745DCC"/>
    <w:rsid w:val="458C4D3B"/>
    <w:rsid w:val="45B778DE"/>
    <w:rsid w:val="45CB699A"/>
    <w:rsid w:val="45EF0E26"/>
    <w:rsid w:val="461E4B14"/>
    <w:rsid w:val="464738A3"/>
    <w:rsid w:val="465B470D"/>
    <w:rsid w:val="46616D51"/>
    <w:rsid w:val="467557CF"/>
    <w:rsid w:val="4677165D"/>
    <w:rsid w:val="46842833"/>
    <w:rsid w:val="46913D4B"/>
    <w:rsid w:val="46963997"/>
    <w:rsid w:val="469D6AD4"/>
    <w:rsid w:val="47096AF6"/>
    <w:rsid w:val="471E6C84"/>
    <w:rsid w:val="47256253"/>
    <w:rsid w:val="4748792B"/>
    <w:rsid w:val="475D719D"/>
    <w:rsid w:val="475E0317"/>
    <w:rsid w:val="47674801"/>
    <w:rsid w:val="47700128"/>
    <w:rsid w:val="47775577"/>
    <w:rsid w:val="47777325"/>
    <w:rsid w:val="47881532"/>
    <w:rsid w:val="47CD4EBE"/>
    <w:rsid w:val="47E50732"/>
    <w:rsid w:val="47EA7AF7"/>
    <w:rsid w:val="48225EF7"/>
    <w:rsid w:val="488F422B"/>
    <w:rsid w:val="489B5295"/>
    <w:rsid w:val="48A16297"/>
    <w:rsid w:val="48E36915"/>
    <w:rsid w:val="48EB6572"/>
    <w:rsid w:val="48ED4974"/>
    <w:rsid w:val="48F30C2D"/>
    <w:rsid w:val="49007E35"/>
    <w:rsid w:val="491E1491"/>
    <w:rsid w:val="4929197F"/>
    <w:rsid w:val="49385D8C"/>
    <w:rsid w:val="4940325A"/>
    <w:rsid w:val="49462887"/>
    <w:rsid w:val="495A142F"/>
    <w:rsid w:val="495C4A24"/>
    <w:rsid w:val="497135DF"/>
    <w:rsid w:val="49843F7B"/>
    <w:rsid w:val="49EB7B56"/>
    <w:rsid w:val="4A09451E"/>
    <w:rsid w:val="4A260AE1"/>
    <w:rsid w:val="4A263DF2"/>
    <w:rsid w:val="4A6F6675"/>
    <w:rsid w:val="4AA405EB"/>
    <w:rsid w:val="4AB64608"/>
    <w:rsid w:val="4AD44F71"/>
    <w:rsid w:val="4B0709C0"/>
    <w:rsid w:val="4B135857"/>
    <w:rsid w:val="4B6B510A"/>
    <w:rsid w:val="4B7951CB"/>
    <w:rsid w:val="4B7C315C"/>
    <w:rsid w:val="4BB01057"/>
    <w:rsid w:val="4BD74836"/>
    <w:rsid w:val="4BE85F82"/>
    <w:rsid w:val="4C0875E3"/>
    <w:rsid w:val="4C3954F1"/>
    <w:rsid w:val="4C6D6F48"/>
    <w:rsid w:val="4CBB7CB4"/>
    <w:rsid w:val="4CED6E66"/>
    <w:rsid w:val="4D1A0E09"/>
    <w:rsid w:val="4D1A2C2C"/>
    <w:rsid w:val="4D3D2085"/>
    <w:rsid w:val="4D7025A8"/>
    <w:rsid w:val="4D87403A"/>
    <w:rsid w:val="4DAC4ACA"/>
    <w:rsid w:val="4DBE01D2"/>
    <w:rsid w:val="4DBE343F"/>
    <w:rsid w:val="4E9D67B7"/>
    <w:rsid w:val="4EA053B3"/>
    <w:rsid w:val="4ED92533"/>
    <w:rsid w:val="4EE45F9F"/>
    <w:rsid w:val="4F0C6BA3"/>
    <w:rsid w:val="4F186D58"/>
    <w:rsid w:val="4F2D2696"/>
    <w:rsid w:val="4F501413"/>
    <w:rsid w:val="4F6E54B1"/>
    <w:rsid w:val="4F7D74A2"/>
    <w:rsid w:val="4F9842DC"/>
    <w:rsid w:val="4FA233AD"/>
    <w:rsid w:val="4FA73C9B"/>
    <w:rsid w:val="4FC41575"/>
    <w:rsid w:val="504B57F2"/>
    <w:rsid w:val="505020D0"/>
    <w:rsid w:val="50506965"/>
    <w:rsid w:val="50C07F8E"/>
    <w:rsid w:val="50CA4969"/>
    <w:rsid w:val="50ED0658"/>
    <w:rsid w:val="50F06B6E"/>
    <w:rsid w:val="51356054"/>
    <w:rsid w:val="515D4046"/>
    <w:rsid w:val="51751D7D"/>
    <w:rsid w:val="51795733"/>
    <w:rsid w:val="519B65AE"/>
    <w:rsid w:val="51AB6549"/>
    <w:rsid w:val="51B44ABB"/>
    <w:rsid w:val="51B868DE"/>
    <w:rsid w:val="51D21804"/>
    <w:rsid w:val="51DD247A"/>
    <w:rsid w:val="51E14BE7"/>
    <w:rsid w:val="51EE0B2B"/>
    <w:rsid w:val="52234D33"/>
    <w:rsid w:val="522F6E0C"/>
    <w:rsid w:val="52463BA1"/>
    <w:rsid w:val="52F163D4"/>
    <w:rsid w:val="531445C2"/>
    <w:rsid w:val="531A2DB4"/>
    <w:rsid w:val="537365E6"/>
    <w:rsid w:val="537B78D3"/>
    <w:rsid w:val="53BF452D"/>
    <w:rsid w:val="53C0244D"/>
    <w:rsid w:val="53C723EA"/>
    <w:rsid w:val="53DD4D4E"/>
    <w:rsid w:val="53E53868"/>
    <w:rsid w:val="53E578CE"/>
    <w:rsid w:val="53F32429"/>
    <w:rsid w:val="541330F0"/>
    <w:rsid w:val="54272666"/>
    <w:rsid w:val="543B029D"/>
    <w:rsid w:val="54861779"/>
    <w:rsid w:val="54BD0A70"/>
    <w:rsid w:val="54C375B0"/>
    <w:rsid w:val="54FC70BB"/>
    <w:rsid w:val="552256E1"/>
    <w:rsid w:val="55456CB4"/>
    <w:rsid w:val="55482300"/>
    <w:rsid w:val="554E5773"/>
    <w:rsid w:val="555A3CBC"/>
    <w:rsid w:val="5582012B"/>
    <w:rsid w:val="5583158B"/>
    <w:rsid w:val="558E4E05"/>
    <w:rsid w:val="55A169B1"/>
    <w:rsid w:val="55A325CC"/>
    <w:rsid w:val="55AE4859"/>
    <w:rsid w:val="55B77E63"/>
    <w:rsid w:val="55BE2E85"/>
    <w:rsid w:val="55FB1B64"/>
    <w:rsid w:val="56327C6C"/>
    <w:rsid w:val="56530F5D"/>
    <w:rsid w:val="566D64C3"/>
    <w:rsid w:val="566E303C"/>
    <w:rsid w:val="56755377"/>
    <w:rsid w:val="567700D3"/>
    <w:rsid w:val="56981066"/>
    <w:rsid w:val="569D042A"/>
    <w:rsid w:val="569F0646"/>
    <w:rsid w:val="56BA5117"/>
    <w:rsid w:val="56FC2B51"/>
    <w:rsid w:val="56FF7E9E"/>
    <w:rsid w:val="571F3DCC"/>
    <w:rsid w:val="573C40E7"/>
    <w:rsid w:val="57603931"/>
    <w:rsid w:val="578867FC"/>
    <w:rsid w:val="57D476F8"/>
    <w:rsid w:val="58093FC9"/>
    <w:rsid w:val="580C03E7"/>
    <w:rsid w:val="58134E48"/>
    <w:rsid w:val="583F79EB"/>
    <w:rsid w:val="5842572D"/>
    <w:rsid w:val="58466FCB"/>
    <w:rsid w:val="58613D19"/>
    <w:rsid w:val="58847AF3"/>
    <w:rsid w:val="588F3CB0"/>
    <w:rsid w:val="58AE6CE1"/>
    <w:rsid w:val="5906675A"/>
    <w:rsid w:val="590C546F"/>
    <w:rsid w:val="5923730C"/>
    <w:rsid w:val="59266DFD"/>
    <w:rsid w:val="592B7F6F"/>
    <w:rsid w:val="594B3DB8"/>
    <w:rsid w:val="597A1831"/>
    <w:rsid w:val="59F20A8D"/>
    <w:rsid w:val="5A054C64"/>
    <w:rsid w:val="5A0E23E4"/>
    <w:rsid w:val="5A2828EF"/>
    <w:rsid w:val="5A3B59D6"/>
    <w:rsid w:val="5AA60BC7"/>
    <w:rsid w:val="5ABB5323"/>
    <w:rsid w:val="5AD134D8"/>
    <w:rsid w:val="5ADC3C17"/>
    <w:rsid w:val="5AE91E90"/>
    <w:rsid w:val="5B062A42"/>
    <w:rsid w:val="5B392E17"/>
    <w:rsid w:val="5BBB04A6"/>
    <w:rsid w:val="5BEF1728"/>
    <w:rsid w:val="5C1358B5"/>
    <w:rsid w:val="5C263CE4"/>
    <w:rsid w:val="5C5D2777"/>
    <w:rsid w:val="5C62014C"/>
    <w:rsid w:val="5CAA564F"/>
    <w:rsid w:val="5CBD35D4"/>
    <w:rsid w:val="5CCD5FF9"/>
    <w:rsid w:val="5CD64696"/>
    <w:rsid w:val="5CF66BF3"/>
    <w:rsid w:val="5D290C69"/>
    <w:rsid w:val="5D5F2621"/>
    <w:rsid w:val="5D8365CC"/>
    <w:rsid w:val="5DC170F4"/>
    <w:rsid w:val="5E2F037E"/>
    <w:rsid w:val="5E5268C4"/>
    <w:rsid w:val="5E6A32E8"/>
    <w:rsid w:val="5E6F6B50"/>
    <w:rsid w:val="5E744166"/>
    <w:rsid w:val="5E9D546B"/>
    <w:rsid w:val="5EA44A4C"/>
    <w:rsid w:val="5EA901E5"/>
    <w:rsid w:val="5EF552A7"/>
    <w:rsid w:val="5F225970"/>
    <w:rsid w:val="5F2D4A41"/>
    <w:rsid w:val="5F374E01"/>
    <w:rsid w:val="5F403B22"/>
    <w:rsid w:val="5F5101AF"/>
    <w:rsid w:val="5F54111E"/>
    <w:rsid w:val="5F79628E"/>
    <w:rsid w:val="5F9F1931"/>
    <w:rsid w:val="5FD56E87"/>
    <w:rsid w:val="5FE86BBA"/>
    <w:rsid w:val="606C77EB"/>
    <w:rsid w:val="60741B68"/>
    <w:rsid w:val="60C2565D"/>
    <w:rsid w:val="60C74F6C"/>
    <w:rsid w:val="60D84021"/>
    <w:rsid w:val="61025A59"/>
    <w:rsid w:val="610E7D0F"/>
    <w:rsid w:val="613D5BBC"/>
    <w:rsid w:val="61471ACE"/>
    <w:rsid w:val="61536C39"/>
    <w:rsid w:val="6183303E"/>
    <w:rsid w:val="61F53810"/>
    <w:rsid w:val="61F94A96"/>
    <w:rsid w:val="620852F1"/>
    <w:rsid w:val="6285521D"/>
    <w:rsid w:val="62944DD7"/>
    <w:rsid w:val="62A579B9"/>
    <w:rsid w:val="62A74B0A"/>
    <w:rsid w:val="62C162E2"/>
    <w:rsid w:val="62FB09B2"/>
    <w:rsid w:val="6319381F"/>
    <w:rsid w:val="634B193A"/>
    <w:rsid w:val="639E415F"/>
    <w:rsid w:val="63C25DC5"/>
    <w:rsid w:val="63C62057"/>
    <w:rsid w:val="64030466"/>
    <w:rsid w:val="64151F2C"/>
    <w:rsid w:val="64571EF5"/>
    <w:rsid w:val="647C1FC7"/>
    <w:rsid w:val="64C22D81"/>
    <w:rsid w:val="64DB4F3F"/>
    <w:rsid w:val="64E3141B"/>
    <w:rsid w:val="64EB560C"/>
    <w:rsid w:val="64EC4A56"/>
    <w:rsid w:val="64F32289"/>
    <w:rsid w:val="64FB113D"/>
    <w:rsid w:val="653D3504"/>
    <w:rsid w:val="653F6597"/>
    <w:rsid w:val="65530F79"/>
    <w:rsid w:val="656152C6"/>
    <w:rsid w:val="6587477F"/>
    <w:rsid w:val="658C3A08"/>
    <w:rsid w:val="65C031CA"/>
    <w:rsid w:val="65CE6852"/>
    <w:rsid w:val="6609788A"/>
    <w:rsid w:val="661C420B"/>
    <w:rsid w:val="661F761B"/>
    <w:rsid w:val="66267C04"/>
    <w:rsid w:val="663F505A"/>
    <w:rsid w:val="66B772E6"/>
    <w:rsid w:val="66DC6D4D"/>
    <w:rsid w:val="66DD4F9F"/>
    <w:rsid w:val="66EE5541"/>
    <w:rsid w:val="677E1BB2"/>
    <w:rsid w:val="67924660"/>
    <w:rsid w:val="67CF7936"/>
    <w:rsid w:val="67D143D7"/>
    <w:rsid w:val="67D23D20"/>
    <w:rsid w:val="68052F4A"/>
    <w:rsid w:val="683822FD"/>
    <w:rsid w:val="68407834"/>
    <w:rsid w:val="6883293E"/>
    <w:rsid w:val="688412AD"/>
    <w:rsid w:val="68942261"/>
    <w:rsid w:val="689B3E62"/>
    <w:rsid w:val="68B84965"/>
    <w:rsid w:val="68CA77A4"/>
    <w:rsid w:val="68D44D66"/>
    <w:rsid w:val="68EB1B71"/>
    <w:rsid w:val="691B1DAE"/>
    <w:rsid w:val="697912BE"/>
    <w:rsid w:val="69DB0E38"/>
    <w:rsid w:val="6A0B1FC8"/>
    <w:rsid w:val="6A5E63F6"/>
    <w:rsid w:val="6A6A0E11"/>
    <w:rsid w:val="6A6C7940"/>
    <w:rsid w:val="6AAD2300"/>
    <w:rsid w:val="6AF9611F"/>
    <w:rsid w:val="6B1765A5"/>
    <w:rsid w:val="6B192137"/>
    <w:rsid w:val="6B29136D"/>
    <w:rsid w:val="6B401D1B"/>
    <w:rsid w:val="6B474EF5"/>
    <w:rsid w:val="6BE744F4"/>
    <w:rsid w:val="6BEA3CBA"/>
    <w:rsid w:val="6BEE37AA"/>
    <w:rsid w:val="6BF61418"/>
    <w:rsid w:val="6C0A5AC5"/>
    <w:rsid w:val="6C237218"/>
    <w:rsid w:val="6C326B02"/>
    <w:rsid w:val="6C560CAE"/>
    <w:rsid w:val="6C576495"/>
    <w:rsid w:val="6C8251EB"/>
    <w:rsid w:val="6CAE6A95"/>
    <w:rsid w:val="6CC0449A"/>
    <w:rsid w:val="6CDC1854"/>
    <w:rsid w:val="6CE23D5D"/>
    <w:rsid w:val="6CFE65E7"/>
    <w:rsid w:val="6D2A0A99"/>
    <w:rsid w:val="6D903FF5"/>
    <w:rsid w:val="6DA955B8"/>
    <w:rsid w:val="6DDE48EF"/>
    <w:rsid w:val="6DE346AB"/>
    <w:rsid w:val="6DE5391A"/>
    <w:rsid w:val="6E431589"/>
    <w:rsid w:val="6E55366C"/>
    <w:rsid w:val="6E5D72E6"/>
    <w:rsid w:val="6ECD1D23"/>
    <w:rsid w:val="6EFD1324"/>
    <w:rsid w:val="6F0F3400"/>
    <w:rsid w:val="6F5A53AC"/>
    <w:rsid w:val="6F7D124E"/>
    <w:rsid w:val="6FAC003D"/>
    <w:rsid w:val="6FC347F3"/>
    <w:rsid w:val="6FE55E12"/>
    <w:rsid w:val="6FFB2E76"/>
    <w:rsid w:val="708F6F7F"/>
    <w:rsid w:val="70D94BD3"/>
    <w:rsid w:val="71036841"/>
    <w:rsid w:val="71333A0D"/>
    <w:rsid w:val="71724A0A"/>
    <w:rsid w:val="717449DD"/>
    <w:rsid w:val="718B6B08"/>
    <w:rsid w:val="71A8294E"/>
    <w:rsid w:val="71B763EC"/>
    <w:rsid w:val="71BE59CD"/>
    <w:rsid w:val="71C34D91"/>
    <w:rsid w:val="721D26F3"/>
    <w:rsid w:val="723B526F"/>
    <w:rsid w:val="724B6118"/>
    <w:rsid w:val="72595674"/>
    <w:rsid w:val="726E73F3"/>
    <w:rsid w:val="727B566C"/>
    <w:rsid w:val="72DB435C"/>
    <w:rsid w:val="72E254FD"/>
    <w:rsid w:val="72E2613A"/>
    <w:rsid w:val="72E53DAB"/>
    <w:rsid w:val="72F771F4"/>
    <w:rsid w:val="730E66E3"/>
    <w:rsid w:val="735A1725"/>
    <w:rsid w:val="7371350F"/>
    <w:rsid w:val="73880040"/>
    <w:rsid w:val="73934AD2"/>
    <w:rsid w:val="73DD583E"/>
    <w:rsid w:val="73F97190"/>
    <w:rsid w:val="742541DA"/>
    <w:rsid w:val="743D707D"/>
    <w:rsid w:val="74473636"/>
    <w:rsid w:val="745A0DD6"/>
    <w:rsid w:val="745C253A"/>
    <w:rsid w:val="747B5DF7"/>
    <w:rsid w:val="749E5641"/>
    <w:rsid w:val="74C02942"/>
    <w:rsid w:val="74D80B53"/>
    <w:rsid w:val="750837F0"/>
    <w:rsid w:val="751D4246"/>
    <w:rsid w:val="753541F8"/>
    <w:rsid w:val="754758CF"/>
    <w:rsid w:val="75931D2D"/>
    <w:rsid w:val="759E7FEF"/>
    <w:rsid w:val="75BF7F65"/>
    <w:rsid w:val="764F62AB"/>
    <w:rsid w:val="765C45EC"/>
    <w:rsid w:val="768A7619"/>
    <w:rsid w:val="772E1EBA"/>
    <w:rsid w:val="77381D7D"/>
    <w:rsid w:val="77527BB9"/>
    <w:rsid w:val="779B6F6B"/>
    <w:rsid w:val="77C47AB5"/>
    <w:rsid w:val="77F57C6E"/>
    <w:rsid w:val="781926BC"/>
    <w:rsid w:val="78471D7E"/>
    <w:rsid w:val="78847AC6"/>
    <w:rsid w:val="78B15398"/>
    <w:rsid w:val="78B67763"/>
    <w:rsid w:val="78C466ED"/>
    <w:rsid w:val="78E35FBF"/>
    <w:rsid w:val="793238A9"/>
    <w:rsid w:val="79406FE8"/>
    <w:rsid w:val="794964C4"/>
    <w:rsid w:val="7956298E"/>
    <w:rsid w:val="796D60A4"/>
    <w:rsid w:val="79766B8D"/>
    <w:rsid w:val="797F3C93"/>
    <w:rsid w:val="79A031D5"/>
    <w:rsid w:val="79F0693F"/>
    <w:rsid w:val="7A0C0146"/>
    <w:rsid w:val="7A1525F7"/>
    <w:rsid w:val="7A155EF8"/>
    <w:rsid w:val="7A3D4029"/>
    <w:rsid w:val="7A9113F7"/>
    <w:rsid w:val="7AC57DCC"/>
    <w:rsid w:val="7AFB4EDE"/>
    <w:rsid w:val="7B001C0E"/>
    <w:rsid w:val="7B045B68"/>
    <w:rsid w:val="7B187EFC"/>
    <w:rsid w:val="7B203254"/>
    <w:rsid w:val="7B2921F4"/>
    <w:rsid w:val="7B420052"/>
    <w:rsid w:val="7B430CF1"/>
    <w:rsid w:val="7B641393"/>
    <w:rsid w:val="7BAF117B"/>
    <w:rsid w:val="7BD06A28"/>
    <w:rsid w:val="7C0E7550"/>
    <w:rsid w:val="7C3A7C0B"/>
    <w:rsid w:val="7C5248E4"/>
    <w:rsid w:val="7C566698"/>
    <w:rsid w:val="7C5866A3"/>
    <w:rsid w:val="7C611D76"/>
    <w:rsid w:val="7C8D7B71"/>
    <w:rsid w:val="7CB41EA6"/>
    <w:rsid w:val="7CCC55D6"/>
    <w:rsid w:val="7CF14CE5"/>
    <w:rsid w:val="7D171309"/>
    <w:rsid w:val="7D5745DC"/>
    <w:rsid w:val="7D7406BB"/>
    <w:rsid w:val="7DB83977"/>
    <w:rsid w:val="7DB91EB6"/>
    <w:rsid w:val="7DC852C0"/>
    <w:rsid w:val="7DE94331"/>
    <w:rsid w:val="7E4C261E"/>
    <w:rsid w:val="7E4F49A7"/>
    <w:rsid w:val="7E7B3547"/>
    <w:rsid w:val="7EAB1087"/>
    <w:rsid w:val="7EB268B9"/>
    <w:rsid w:val="7F054C3B"/>
    <w:rsid w:val="7F446A19"/>
    <w:rsid w:val="7F7452B9"/>
    <w:rsid w:val="7FD02479"/>
    <w:rsid w:val="7FD30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character" w:customStyle="1" w:styleId="19">
    <w:name w:val="16"/>
    <w:basedOn w:val="10"/>
    <w:qFormat/>
    <w:uiPriority w:val="0"/>
    <w:rPr>
      <w:rFonts w:hint="default" w:ascii="Times New Roman" w:hAnsi="Times New Roman" w:cs="Times New Roman"/>
      <w:b/>
      <w:bCs/>
    </w:rPr>
  </w:style>
  <w:style w:type="paragraph" w:customStyle="1" w:styleId="20">
    <w:name w:val="List Paragraph"/>
    <w:basedOn w:val="1"/>
    <w:qFormat/>
    <w:uiPriority w:val="34"/>
    <w:pPr>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8205</Words>
  <Characters>10271</Characters>
  <Lines>46</Lines>
  <Paragraphs>32</Paragraphs>
  <TotalTime>5</TotalTime>
  <ScaleCrop>false</ScaleCrop>
  <LinksUpToDate>false</LinksUpToDate>
  <CharactersWithSpaces>11344</CharactersWithSpaces>
  <Application>WPS Office_10.8.2.6666_F1E327BC-269C-435d-A152-05C5408002CA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2024-09-04T00:30:00Z</dcterms:created>
  <dc:creator>Administrator</dc:creator>
  <cp:lastModifiedBy>Administrator</cp:lastModifiedBy>
  <dcterms:modified xsi:type="dcterms:W3CDTF">2024-10-05T04:38:47Z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51136670B861446194D7B4B6BF62BA8A</vt:lpwstr>
  </property>
</Properties>
</file>