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重庆市秀山土家族苗族自治县中心血库</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b w:val="0"/>
          <w:bCs w:val="0"/>
          <w:sz w:val="44"/>
          <w:szCs w:val="44"/>
          <w:lang w:val="en-US" w:eastAsia="zh-CN"/>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楷体_GBK" w:hAnsi="方正楷体_GBK" w:eastAsia="方正楷体_GBK" w:cs="方正楷体_GBK"/>
          <w:b w:val="0"/>
          <w:bCs w:val="0"/>
          <w:sz w:val="32"/>
          <w:szCs w:val="32"/>
          <w:shd w:val="clear" w:color="auto" w:fill="FFFFFF"/>
        </w:rPr>
      </w:pPr>
      <w:r>
        <w:rPr>
          <w:rStyle w:val="10"/>
          <w:rFonts w:hint="eastAsia" w:ascii="方正楷体_GBK" w:hAnsi="方正楷体_GBK" w:eastAsia="方正楷体_GBK" w:cs="方正楷体_GBK"/>
          <w:b w:val="0"/>
          <w:bCs w:val="0"/>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负责全县范围内无偿献血的招募、血液采集、储存、临床用血供应等工作；承担临床用血业务指导及质量控制</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本单位为秀山土家族苗族自治县卫生健康委员会下属二级预算单位。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ascii="楷体" w:hAnsi="楷体" w:eastAsia="楷体" w:cs="楷体"/>
          <w:b w:val="0"/>
          <w:bCs w:val="0"/>
          <w:sz w:val="32"/>
          <w:szCs w:val="32"/>
          <w:shd w:val="clear" w:color="auto" w:fill="FFFFFF"/>
        </w:rPr>
      </w:pPr>
      <w:r>
        <w:rPr>
          <w:rFonts w:hint="eastAsia" w:ascii="楷体" w:hAnsi="楷体" w:eastAsia="楷体" w:cs="楷体"/>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仿宋_GBK" w:cs="方正仿宋_GBK"/>
          <w:b w:val="0"/>
          <w:bCs/>
          <w:sz w:val="32"/>
          <w:szCs w:val="32"/>
          <w:shd w:val="clear" w:color="auto" w:fill="FFFFFF"/>
          <w:lang w:eastAsia="zh-CN"/>
        </w:rPr>
      </w:pPr>
      <w:r>
        <w:rPr>
          <w:rStyle w:val="10"/>
          <w:rFonts w:ascii="Times New Roman" w:hAnsi="Times New Roman" w:eastAsia="方正仿宋_GBK" w:cs="方正仿宋_GBK"/>
          <w:b w:val="0"/>
          <w:bCs/>
          <w:sz w:val="32"/>
          <w:szCs w:val="32"/>
          <w:shd w:val="clear" w:color="auto" w:fill="FFFFFF"/>
        </w:rPr>
        <w:t>1.总体情况。2023年度收入总计46.85万元，支出总计46.85万元。收支较上年决算数增加46.85万元，增长100.00%，主要原因是</w:t>
      </w:r>
      <w:r>
        <w:rPr>
          <w:rStyle w:val="10"/>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2.收入情况。2023年度收入合计46.85万元，较上年决算数增加46.85万元，增长100.00%，主要原因是</w:t>
      </w:r>
      <w:r>
        <w:rPr>
          <w:rStyle w:val="10"/>
          <w:rFonts w:hint="eastAsia" w:ascii="Times New Roman" w:hAnsi="Times New Roman" w:eastAsia="方正仿宋_GBK" w:cs="方正仿宋_GBK"/>
          <w:b w:val="0"/>
          <w:bCs/>
          <w:sz w:val="32"/>
          <w:szCs w:val="32"/>
          <w:shd w:val="clear" w:color="auto" w:fill="FFFFFF"/>
          <w:lang w:eastAsia="zh-CN"/>
        </w:rPr>
        <w:t>本单位为新增单位，无上年数据对比。</w:t>
      </w:r>
      <w:r>
        <w:rPr>
          <w:rStyle w:val="10"/>
          <w:rFonts w:ascii="Times New Roman" w:hAnsi="Times New Roman" w:eastAsia="方正仿宋_GBK" w:cs="方正仿宋_GBK"/>
          <w:b w:val="0"/>
          <w:bCs/>
          <w:sz w:val="32"/>
          <w:szCs w:val="32"/>
          <w:shd w:val="clear" w:color="auto" w:fill="FFFFFF"/>
        </w:rPr>
        <w:t>其中：财政拨款收入46.85万元，占100.00%；事业收入0.00万元，占0.00%；经营收入0.00万元，占0.00%；其他收入0.00万元，占0.00%。此外，使用非财政拨款结余和专用结余0.00万元，年初结转和结余0.00万元。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3.支出情况。2023年度支出合计46.85万元，较上年决算数增加46.85万元，增长100.00%，主要原因是</w:t>
      </w:r>
      <w:r>
        <w:rPr>
          <w:rStyle w:val="10"/>
          <w:rFonts w:hint="eastAsia" w:ascii="Times New Roman" w:hAnsi="Times New Roman" w:eastAsia="方正仿宋_GBK" w:cs="方正仿宋_GBK"/>
          <w:b w:val="0"/>
          <w:bCs/>
          <w:sz w:val="32"/>
          <w:szCs w:val="32"/>
          <w:shd w:val="clear" w:color="auto" w:fill="FFFFFF"/>
          <w:lang w:eastAsia="zh-CN"/>
        </w:rPr>
        <w:t>本单位为新增单位，无上年数据对比。</w:t>
      </w:r>
      <w:r>
        <w:rPr>
          <w:rStyle w:val="10"/>
          <w:rFonts w:ascii="Times New Roman" w:hAnsi="Times New Roman" w:eastAsia="方正仿宋_GBK" w:cs="方正仿宋_GBK"/>
          <w:b w:val="0"/>
          <w:bCs/>
          <w:sz w:val="32"/>
          <w:szCs w:val="32"/>
          <w:shd w:val="clear" w:color="auto" w:fill="FFFFFF"/>
        </w:rPr>
        <w:t>其中：基本支出46.85万元，占100.00%；项目支出0.00万元，占0.00%；经营支出0.00万元，占0.00%。此外，结余分配0.00万元。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4.结转结余情况。2023年度年末结转和结余0.00万元，较上年决算数无增减，主要原因是</w:t>
      </w:r>
      <w:r>
        <w:rPr>
          <w:rStyle w:val="10"/>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2023年度财政拨款收、支总计46.85万元。与2022年相比，财政拨款收、支总计各增加46.85万元，增长100.00%。主要原因是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1.收入情况。2023年度一般公共预算财政拨款收入46.85万元，较上年决算数增加46.85万元，增长100.00%。主要原因是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较年初预算数减少13.21万元，下降21.99%。主要原因是</w:t>
      </w:r>
      <w:r>
        <w:rPr>
          <w:rFonts w:hint="eastAsia" w:ascii="Times New Roman" w:hAnsi="Times New Roman" w:eastAsia="方正仿宋_GBK" w:cs="方正仿宋_GBK"/>
          <w:b w:val="0"/>
          <w:bCs/>
          <w:sz w:val="32"/>
          <w:szCs w:val="32"/>
          <w:shd w:val="clear" w:color="auto" w:fill="FFFFFF"/>
          <w:lang w:eastAsia="zh-CN"/>
        </w:rPr>
        <w:t>本单位年初预算为预估数，实际财拨收入来源于财政安排。</w:t>
      </w:r>
      <w:r>
        <w:rPr>
          <w:rFonts w:ascii="Times New Roman" w:hAnsi="Times New Roman" w:eastAsia="方正仿宋_GBK" w:cs="方正仿宋_GBK"/>
          <w:b w:val="0"/>
          <w:bCs/>
          <w:sz w:val="32"/>
          <w:szCs w:val="32"/>
          <w:shd w:val="clear" w:color="auto" w:fill="FFFFFF"/>
        </w:rPr>
        <w:t>此外，年初财政拨款结转和结余0.00万元。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Fonts w:ascii="Times New Roman" w:hAnsi="Times New Roman" w:eastAsia="方正仿宋_GBK" w:cs="方正仿宋_GBK"/>
          <w:b w:val="0"/>
          <w:bCs/>
          <w:sz w:val="32"/>
          <w:szCs w:val="32"/>
          <w:shd w:val="clear" w:color="auto" w:fill="FFFFFF"/>
        </w:rPr>
        <w:t>2.支出情况。2023年度一般公共预算财政拨款支出46.85万元，较上年决算数增加46.85万元，增长100.00%。主要原因是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较年初预算数减少13.21万元，下降21.99%。主要原因是</w:t>
      </w:r>
      <w:r>
        <w:rPr>
          <w:rFonts w:hint="eastAsia" w:ascii="Times New Roman" w:hAnsi="Times New Roman" w:eastAsia="方正仿宋_GBK" w:cs="方正仿宋_GBK"/>
          <w:b w:val="0"/>
          <w:bCs/>
          <w:sz w:val="32"/>
          <w:szCs w:val="32"/>
          <w:shd w:val="clear" w:color="auto" w:fill="FFFFFF"/>
          <w:lang w:eastAsia="zh-CN"/>
        </w:rPr>
        <w:t>本单位年初预算为预估数，实际财拨支出来源于财政安排。</w:t>
      </w:r>
      <w:r>
        <w:rPr>
          <w:rFonts w:ascii="Times New Roman" w:hAnsi="Times New Roman" w:eastAsia="方正仿宋_GBK" w:cs="方正仿宋_GBK"/>
          <w:b w:val="0"/>
          <w:bCs/>
          <w:sz w:val="32"/>
          <w:szCs w:val="32"/>
          <w:shd w:val="clear" w:color="auto" w:fill="FFFFFF"/>
        </w:rPr>
        <w:t>3.结转结余情况。2023年度年末一般公共预算财政拨款结转和结余0.00万元，较上年决算数无增减，主要原因是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 xml:space="preserve"> 4.比较情况。本单位2023年度一般公共预算财政拨款支出主要用于以下几个方面：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1</w:t>
      </w:r>
      <w:r>
        <w:rPr>
          <w:rFonts w:ascii="Times New Roman" w:hAnsi="Times New Roman" w:eastAsia="方正仿宋_GBK" w:cs="方正仿宋_GBK"/>
          <w:b w:val="0"/>
          <w:bCs/>
          <w:sz w:val="32"/>
          <w:szCs w:val="32"/>
          <w:shd w:val="clear" w:color="auto" w:fill="FFFFFF"/>
        </w:rPr>
        <w:t>）社会保障与就业支出8.67万元，占18.50%，较年初预算数无增减，主要原因是</w:t>
      </w:r>
      <w:r>
        <w:rPr>
          <w:rFonts w:hint="eastAsia" w:ascii="Times New Roman" w:hAnsi="Times New Roman" w:eastAsia="方正仿宋_GBK" w:cs="方正仿宋_GBK"/>
          <w:b w:val="0"/>
          <w:bCs/>
          <w:sz w:val="32"/>
          <w:szCs w:val="32"/>
          <w:shd w:val="clear" w:color="auto" w:fill="FFFFFF"/>
          <w:lang w:eastAsia="zh-CN"/>
        </w:rPr>
        <w:t>社保基数每年有调整，本单位支出取决于财政实际拨款。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2</w:t>
      </w:r>
      <w:r>
        <w:rPr>
          <w:rFonts w:ascii="Times New Roman" w:hAnsi="Times New Roman" w:eastAsia="方正仿宋_GBK" w:cs="方正仿宋_GBK"/>
          <w:b w:val="0"/>
          <w:bCs/>
          <w:sz w:val="32"/>
          <w:szCs w:val="32"/>
          <w:shd w:val="clear" w:color="auto" w:fill="FFFFFF"/>
        </w:rPr>
        <w:t>）卫生健康支出38.19万元，占81.50%，较年初预算数减少13.21万元，下降25.70%，主要原因是</w:t>
      </w:r>
      <w:r>
        <w:rPr>
          <w:rFonts w:hint="eastAsia" w:ascii="Times New Roman" w:hAnsi="Times New Roman" w:eastAsia="方正仿宋_GBK" w:cs="方正仿宋_GBK"/>
          <w:b w:val="0"/>
          <w:bCs/>
          <w:sz w:val="32"/>
          <w:szCs w:val="32"/>
          <w:shd w:val="clear" w:color="auto" w:fill="FFFFFF"/>
          <w:lang w:eastAsia="zh-CN"/>
        </w:rPr>
        <w:t>本单位年初预算为暂估数，决算支出以实际为准。</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val="en-US" w:eastAsia="zh-CN"/>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3</w:t>
      </w:r>
      <w:r>
        <w:rPr>
          <w:rFonts w:ascii="Times New Roman" w:hAnsi="Times New Roman" w:eastAsia="方正仿宋_GBK" w:cs="方正仿宋_GBK"/>
          <w:b w:val="0"/>
          <w:bCs/>
          <w:sz w:val="32"/>
          <w:szCs w:val="32"/>
          <w:shd w:val="clear" w:color="auto" w:fill="FFFFFF"/>
        </w:rPr>
        <w:t>）住房保障支出0.00万元，占0.00%，较年初预算数无增减，主要原因是</w:t>
      </w:r>
      <w:r>
        <w:rPr>
          <w:rFonts w:hint="eastAsia" w:ascii="Times New Roman" w:hAnsi="Times New Roman" w:eastAsia="方正仿宋_GBK" w:cs="方正仿宋_GBK"/>
          <w:b w:val="0"/>
          <w:bCs/>
          <w:sz w:val="32"/>
          <w:szCs w:val="32"/>
          <w:shd w:val="clear" w:color="auto" w:fill="FFFFFF"/>
          <w:lang w:val="en-US" w:eastAsia="zh-CN"/>
        </w:rPr>
        <w:t>2023年度住房保障由上级主管部门统一安排。</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Fonts w:ascii="Times New Roman" w:hAnsi="Times New Roman" w:eastAsia="方正仿宋_GBK" w:cs="方正仿宋_GBK"/>
          <w:b w:val="0"/>
          <w:bCs/>
          <w:sz w:val="32"/>
          <w:szCs w:val="32"/>
          <w:shd w:val="clear" w:color="auto" w:fill="FFFFFF"/>
        </w:rPr>
        <w:t> 2023年度一般公共财政拨款基本支出46.85万元。其中：人员经费40.97万元，较上年决算数增加40.97万元，增长100.00%，主要原因是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人员经费用途主要包括</w:t>
      </w:r>
      <w:r>
        <w:rPr>
          <w:rFonts w:hint="eastAsia" w:ascii="Times New Roman" w:hAnsi="Times New Roman" w:eastAsia="方正仿宋_GBK" w:cs="方正仿宋_GBK"/>
          <w:b w:val="0"/>
          <w:bCs/>
          <w:sz w:val="32"/>
          <w:szCs w:val="32"/>
          <w:shd w:val="clear" w:color="auto" w:fill="FFFFFF"/>
          <w:lang w:eastAsia="zh-CN"/>
        </w:rPr>
        <w:t>社会保障、基本工资、绩效工资等。</w:t>
      </w:r>
      <w:r>
        <w:rPr>
          <w:rFonts w:ascii="Times New Roman" w:hAnsi="Times New Roman" w:eastAsia="方正仿宋_GBK" w:cs="方正仿宋_GBK"/>
          <w:b w:val="0"/>
          <w:bCs/>
          <w:sz w:val="32"/>
          <w:szCs w:val="32"/>
          <w:shd w:val="clear" w:color="auto" w:fill="FFFFFF"/>
        </w:rPr>
        <w:t>公用经费5.88万元，较上年决算数增加5.88万元，增长100.00%，主要原因是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公用经费用途主要包括</w:t>
      </w:r>
      <w:r>
        <w:rPr>
          <w:rFonts w:hint="eastAsia" w:ascii="Times New Roman" w:hAnsi="Times New Roman" w:eastAsia="方正仿宋_GBK" w:cs="方正仿宋_GBK"/>
          <w:b w:val="0"/>
          <w:bCs/>
          <w:sz w:val="32"/>
          <w:szCs w:val="32"/>
          <w:shd w:val="clear" w:color="auto" w:fill="FFFFFF"/>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Times New Roman" w:hAnsi="Times New Roman"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 xml:space="preserve"> （一）“三公”经费支出总体情况说明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sz w:val="32"/>
          <w:szCs w:val="32"/>
        </w:rPr>
      </w:pPr>
      <w:r>
        <w:rPr>
          <w:rFonts w:ascii="Times New Roman" w:hAnsi="Times New Roman" w:eastAsia="方正仿宋_GBK" w:cs="方正仿宋_GBK"/>
          <w:b w:val="0"/>
          <w:bCs w:val="0"/>
          <w:sz w:val="32"/>
          <w:szCs w:val="32"/>
        </w:rPr>
        <w:t>2023年度“三公”经费支出共计0.17万元，较年初预算数增加0.17万元，增长100.00%，主要原因是</w:t>
      </w:r>
      <w:r>
        <w:rPr>
          <w:rFonts w:hint="eastAsia" w:ascii="Times New Roman" w:hAnsi="Times New Roman" w:eastAsia="方正仿宋_GBK" w:cs="方正仿宋_GBK"/>
          <w:b w:val="0"/>
          <w:bCs w:val="0"/>
          <w:sz w:val="32"/>
          <w:szCs w:val="32"/>
          <w:lang w:eastAsia="zh-CN"/>
        </w:rPr>
        <w:t>本单位为新增单位，无上年数据对比。</w:t>
      </w:r>
      <w:r>
        <w:rPr>
          <w:rFonts w:ascii="Times New Roman" w:hAnsi="Times New Roman" w:eastAsia="方正仿宋_GBK" w:cs="方正仿宋_GBK"/>
          <w:b w:val="0"/>
          <w:bCs w:val="0"/>
          <w:sz w:val="32"/>
          <w:szCs w:val="32"/>
        </w:rPr>
        <w:t>较上年支出数增加0.17万元，增长100.00%，主要原因是</w:t>
      </w:r>
      <w:r>
        <w:rPr>
          <w:rFonts w:hint="eastAsia" w:ascii="Times New Roman" w:hAnsi="Times New Roman" w:eastAsia="方正仿宋_GBK" w:cs="方正仿宋_GBK"/>
          <w:b w:val="0"/>
          <w:bCs w:val="0"/>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sz w:val="32"/>
          <w:szCs w:val="32"/>
          <w:shd w:val="clear" w:color="auto" w:fill="FFFFFF"/>
        </w:rPr>
      </w:pPr>
      <w:r>
        <w:rPr>
          <w:rFonts w:hint="eastAsia" w:ascii="Times New Roman" w:hAnsi="Times New Roman" w:eastAsia="方正仿宋_GBK" w:cs="方正仿宋_GBK"/>
          <w:sz w:val="32"/>
          <w:szCs w:val="32"/>
          <w:shd w:val="clear" w:color="auto" w:fill="FFFFFF"/>
          <w:lang w:val="en-US" w:eastAsia="zh-CN"/>
        </w:rPr>
        <w:t>2023年度</w:t>
      </w:r>
      <w:r>
        <w:rPr>
          <w:rFonts w:ascii="Times New Roman" w:hAnsi="Times New Roman" w:eastAsia="方正仿宋_GBK" w:cs="方正仿宋_GBK"/>
          <w:sz w:val="32"/>
          <w:szCs w:val="32"/>
          <w:shd w:val="clear" w:color="auto" w:fill="FFFFFF"/>
        </w:rPr>
        <w:t> 公务接待费0.17万元，主要</w:t>
      </w:r>
      <w:r>
        <w:rPr>
          <w:rFonts w:hint="eastAsia" w:ascii="Times New Roman" w:hAnsi="Times New Roman" w:eastAsia="方正仿宋_GBK" w:cs="方正仿宋_GBK"/>
          <w:sz w:val="32"/>
          <w:szCs w:val="32"/>
          <w:shd w:val="clear" w:color="auto" w:fill="FFFFFF"/>
          <w:lang w:eastAsia="zh-CN"/>
        </w:rPr>
        <w:t>用于血液安全技术核查生活费，</w:t>
      </w:r>
      <w:r>
        <w:rPr>
          <w:rFonts w:ascii="Times New Roman" w:hAnsi="Times New Roman" w:eastAsia="方正仿宋_GBK" w:cs="方正仿宋_GBK"/>
          <w:sz w:val="32"/>
          <w:szCs w:val="32"/>
          <w:shd w:val="clear" w:color="auto" w:fill="FFFFFF"/>
        </w:rPr>
        <w:t>支出较年初预算数增加0.17万元，增长100.00%，主要原因是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r>
        <w:rPr>
          <w:rFonts w:ascii="Times New Roman" w:hAnsi="Times New Roman" w:eastAsia="方正仿宋_GBK" w:cs="方正仿宋_GBK"/>
          <w:sz w:val="32"/>
          <w:szCs w:val="32"/>
          <w:shd w:val="clear" w:color="auto" w:fill="FFFFFF"/>
        </w:rPr>
        <w:t>较上年支出数增加0.17万元，增长100.00%，主要原因是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  2023年度本单位因公出国（境）共计0个团组，0人；公务用车购置0辆，公务车保有量为0辆；国内公务接待1批次17人，其中：国内外事接待0批次，0人；国（境）外公务接待0批次，0人。2023年本单位人均接待费99.94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（一）财政拨款会议费和培训费情况说明</w:t>
      </w:r>
    </w:p>
    <w:p>
      <w:pPr>
        <w:pStyle w:val="13"/>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color w:val="FF0000"/>
          <w:sz w:val="32"/>
          <w:szCs w:val="32"/>
        </w:rPr>
      </w:pPr>
      <w:r>
        <w:rPr>
          <w:rFonts w:hint="default" w:ascii="Times New Roman" w:hAnsi="Times New Roman" w:eastAsia="方正仿宋_GBK" w:cs="方正仿宋_GBK"/>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bCs/>
          <w:sz w:val="32"/>
          <w:szCs w:val="32"/>
          <w:shd w:val="clear" w:color="auto" w:fill="FFFFFF"/>
        </w:rPr>
      </w:pPr>
      <w:r>
        <w:rPr>
          <w:rFonts w:ascii="Times New Roman" w:hAnsi="Times New Roman" w:eastAsia="方正仿宋_GBK" w:cs="方正仿宋_GBK"/>
          <w:sz w:val="32"/>
          <w:szCs w:val="32"/>
          <w:shd w:val="clear" w:color="auto" w:fill="FFFFFF"/>
        </w:rPr>
        <w:t>2023年度</w:t>
      </w:r>
      <w:r>
        <w:rPr>
          <w:rFonts w:hint="eastAsia" w:ascii="Times New Roman" w:hAnsi="Times New Roman" w:eastAsia="方正仿宋_GBK" w:cs="方正仿宋_GBK"/>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单位未发生政府采购事项，无相关经费支出。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bookmarkStart w:id="0" w:name="_GoBack"/>
      <w:bookmarkEnd w:id="0"/>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CN"/>
        </w:rPr>
        <w:t>县</w:t>
      </w:r>
      <w:r>
        <w:rPr>
          <w:rFonts w:hint="eastAsia" w:ascii="方正仿宋_GBK" w:hAnsi="方正仿宋_GBK" w:eastAsia="方正仿宋_GBK" w:cs="方正仿宋_GBK"/>
          <w:sz w:val="32"/>
          <w:szCs w:val="32"/>
          <w:shd w:val="clear" w:color="auto" w:fill="FFFFFF"/>
        </w:rPr>
        <w:t>财政局</w:t>
      </w:r>
      <w:r>
        <w:rPr>
          <w:rFonts w:hint="eastAsia" w:ascii="方正仿宋_GBK" w:hAnsi="方正仿宋_GBK" w:eastAsia="方正仿宋_GBK" w:cs="方正仿宋_GBK"/>
          <w:sz w:val="32"/>
          <w:szCs w:val="32"/>
          <w:shd w:val="clear" w:color="auto" w:fill="FFFFFF"/>
          <w:lang w:eastAsia="zh-CN"/>
        </w:rPr>
        <w:t>未</w:t>
      </w:r>
      <w:r>
        <w:rPr>
          <w:rFonts w:hint="eastAsia" w:ascii="方正仿宋_GBK" w:hAnsi="方正仿宋_GBK" w:eastAsia="方正仿宋_GBK" w:cs="方正仿宋_GBK"/>
          <w:sz w:val="32"/>
          <w:szCs w:val="32"/>
          <w:shd w:val="clear" w:color="auto" w:fill="FFFFFF"/>
        </w:rPr>
        <w:t>委托第三方对</w:t>
      </w: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ascii="方正仿宋_GBK" w:hAnsi="方正仿宋_GBK" w:eastAsia="方正仿宋_GBK" w:cs="方正仿宋_GBK"/>
          <w:b w:val="0"/>
          <w:bCs w:val="0"/>
          <w:sz w:val="32"/>
          <w:szCs w:val="32"/>
          <w:shd w:val="clear" w:color="auto" w:fill="FFFFFF"/>
        </w:rPr>
        <w:t xml:space="preserve">  </w:t>
      </w: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仿宋_GBK" w:hAnsi="方正仿宋_GBK" w:eastAsia="方正仿宋_GBK" w:cs="方正仿宋_GBK"/>
          <w:b w:val="0"/>
          <w:bCs w:val="0"/>
          <w:sz w:val="32"/>
          <w:szCs w:val="32"/>
          <w:shd w:val="clear" w:color="auto" w:fill="FFFFFF"/>
        </w:rPr>
      </w:pPr>
      <w:r>
        <w:rPr>
          <w:rStyle w:val="10"/>
          <w:rFonts w:ascii="方正仿宋_GBK" w:hAnsi="方正仿宋_GBK" w:eastAsia="方正仿宋_GBK" w:cs="方正仿宋_GBK"/>
          <w:b w:val="0"/>
          <w:bCs w:val="0"/>
          <w:sz w:val="32"/>
          <w:szCs w:val="32"/>
          <w:shd w:val="clear" w:color="auto" w:fill="FFFFFF"/>
        </w:rPr>
        <w:t> </w:t>
      </w:r>
      <w:r>
        <w:rPr>
          <w:rStyle w:val="10"/>
          <w:rFonts w:ascii="黑体" w:hAnsi="黑体" w:eastAsia="黑体" w:cs="黑体"/>
          <w:b w:val="0"/>
          <w:bCs w:val="0"/>
          <w:sz w:val="32"/>
          <w:szCs w:val="32"/>
          <w:shd w:val="clear" w:color="auto" w:fill="FFFFFF"/>
        </w:rPr>
        <w:t>七、决算公开联系方式及信息反馈渠道</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ascii="方正仿宋_GBK" w:hAnsi="方正仿宋_GBK" w:eastAsia="方正仿宋_GBK" w:cs="方正仿宋_GBK"/>
          <w:b w:val="0"/>
          <w:bCs w:val="0"/>
          <w:sz w:val="32"/>
          <w:szCs w:val="32"/>
          <w:shd w:val="clear" w:color="auto" w:fill="FFFFFF"/>
        </w:rPr>
      </w:pPr>
      <w:r>
        <w:rPr>
          <w:rFonts w:ascii="方正仿宋_GBK" w:hAnsi="方正仿宋_GBK" w:eastAsia="方正仿宋_GBK" w:cs="方正仿宋_GBK"/>
          <w:b w:val="0"/>
          <w:bCs w:val="0"/>
          <w:sz w:val="32"/>
          <w:szCs w:val="32"/>
          <w:shd w:val="clear" w:color="auto" w:fill="FFFFFF"/>
        </w:rPr>
        <w:t>本单位决算公开信息反馈和联系方式：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Style w:val="10"/>
          <w:rFonts w:hint="eastAsia" w:ascii="Times New Roman" w:hAnsi="Times New Roman" w:eastAsia="方正仿宋_GBK" w:cs="方正仿宋_GBK"/>
          <w:b w:val="0"/>
          <w:bCs w:val="0"/>
          <w:sz w:val="32"/>
          <w:szCs w:val="32"/>
          <w:shd w:val="clear" w:color="auto" w:fill="FFFF00"/>
          <w:lang w:val="en-US" w:eastAsia="zh-CN"/>
        </w:rPr>
        <w:sectPr>
          <w:footerReference r:id="rId3" w:type="default"/>
          <w:pgSz w:w="11915" w:h="16840"/>
          <w:pgMar w:top="1440" w:right="1475" w:bottom="1440" w:left="1560" w:header="851" w:footer="992" w:gutter="0"/>
          <w:pgNumType w:fmt="numberInDash"/>
          <w:cols w:space="720" w:num="1"/>
          <w:docGrid w:type="lines" w:linePitch="312" w:charSpace="0"/>
        </w:sectPr>
      </w:pPr>
      <w:r>
        <w:rPr>
          <w:rFonts w:hint="eastAsia" w:ascii="方正仿宋_GBK" w:hAnsi="方正仿宋_GBK" w:eastAsia="方正仿宋_GBK" w:cs="方正仿宋_GBK"/>
          <w:b w:val="0"/>
          <w:bCs w:val="0"/>
          <w:sz w:val="32"/>
          <w:szCs w:val="32"/>
          <w:shd w:val="clear" w:color="auto" w:fill="FFFFFF"/>
          <w:lang w:eastAsia="zh-CN"/>
        </w:rPr>
        <w:t>张菲</w:t>
      </w:r>
      <w:r>
        <w:rPr>
          <w:rFonts w:hint="eastAsia" w:ascii="方正仿宋_GBK" w:hAnsi="方正仿宋_GBK" w:eastAsia="方正仿宋_GBK" w:cs="方正仿宋_GBK"/>
          <w:b w:val="0"/>
          <w:bCs w:val="0"/>
          <w:sz w:val="32"/>
          <w:szCs w:val="32"/>
          <w:shd w:val="clear" w:color="auto" w:fill="FFFFFF"/>
          <w:lang w:val="en-US" w:eastAsia="zh-CN"/>
        </w:rPr>
        <w:t xml:space="preserve"> </w:t>
      </w:r>
      <w:r>
        <w:rPr>
          <w:rFonts w:hint="eastAsia" w:ascii="Times New Roman" w:hAnsi="Times New Roman" w:eastAsia="方正仿宋_GBK" w:cs="方正仿宋_GBK"/>
          <w:b w:val="0"/>
          <w:bCs w:val="0"/>
          <w:sz w:val="32"/>
          <w:szCs w:val="32"/>
          <w:shd w:val="clear" w:color="auto" w:fill="FFFFFF"/>
          <w:lang w:val="en-US" w:eastAsia="zh-CN"/>
        </w:rPr>
        <w:t>023-87670253</w:t>
      </w:r>
    </w:p>
    <w:p>
      <w:pPr>
        <w:rPr>
          <w:rFonts w:hint="default" w:cs="宋体"/>
          <w:b w:val="0"/>
          <w:bCs w:val="0"/>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2"/>
                <w:szCs w:val="22"/>
              </w:rPr>
            </w:pPr>
            <w:r>
              <w:rPr>
                <w:rFonts w:cs="宋体"/>
                <w:b w:val="0"/>
                <w:bCs w:val="0"/>
                <w:sz w:val="20"/>
                <w:szCs w:val="20"/>
              </w:rPr>
              <w:t>公开单位：</w:t>
            </w:r>
            <w:r>
              <w:rPr>
                <w:b w:val="0"/>
                <w:bCs w:val="0"/>
                <w:sz w:val="20"/>
                <w:u w:color="auto"/>
              </w:rPr>
              <w:t>重庆市秀山土家族苗族自治县中心血库</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b w:val="0"/>
                <w:bCs w:val="0"/>
                <w:color w:val="000000"/>
                <w:sz w:val="20"/>
                <w:szCs w:val="20"/>
              </w:rPr>
            </w:pPr>
            <w:r>
              <w:rPr>
                <w:rFonts w:cs="宋体"/>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val="0"/>
                <w:bCs w:val="0"/>
                <w:color w:val="000000"/>
                <w:sz w:val="20"/>
                <w:szCs w:val="20"/>
              </w:rPr>
            </w:pPr>
            <w:r>
              <w:rPr>
                <w:rFonts w:cs="宋体"/>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r>
    </w:tbl>
    <w:p>
      <w:pPr>
        <w:spacing w:line="240" w:lineRule="exact"/>
        <w:rPr>
          <w:rFonts w:hint="default" w:cs="宋体"/>
          <w:b w:val="0"/>
          <w:bCs w:val="0"/>
          <w:sz w:val="20"/>
          <w:szCs w:val="20"/>
        </w:rPr>
      </w:pPr>
      <w:r>
        <w:rPr>
          <w:rFonts w:cs="宋体"/>
          <w:b w:val="0"/>
          <w:bCs w:val="0"/>
          <w:sz w:val="20"/>
          <w:szCs w:val="20"/>
        </w:rPr>
        <w:t>备注：1.本表反映单位本年度的总收支和年末结转结余情况。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b w:val="0"/>
                <w:bCs w:val="0"/>
                <w:sz w:val="20"/>
                <w:u w:color="auto"/>
              </w:rPr>
              <w:t>重庆市秀山土家族苗族自治县中心血库</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采供血机构</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ind w:left="600" w:hanging="600" w:hangingChars="300"/>
        <w:rPr>
          <w:rFonts w:hint="default" w:cs="宋体"/>
          <w:b w:val="0"/>
          <w:bCs w:val="0"/>
          <w:sz w:val="20"/>
          <w:szCs w:val="20"/>
        </w:rPr>
      </w:pPr>
      <w:r>
        <w:rPr>
          <w:rFonts w:cs="宋体"/>
          <w:b w:val="0"/>
          <w:bCs w:val="0"/>
          <w:sz w:val="20"/>
          <w:szCs w:val="20"/>
        </w:rPr>
        <w:t>备注：1.本表反映单位本年度取得的各项收入情况。</w:t>
      </w:r>
      <w:r>
        <w:rPr>
          <w:rFonts w:cs="宋体"/>
          <w:b w:val="0"/>
          <w:bCs w:val="0"/>
          <w:sz w:val="20"/>
          <w:szCs w:val="20"/>
        </w:rPr>
        <w:br w:type="textWrapping"/>
      </w:r>
      <w:r>
        <w:rPr>
          <w:rFonts w:cs="宋体"/>
          <w:b w:val="0"/>
          <w:bCs w:val="0"/>
          <w:sz w:val="20"/>
          <w:szCs w:val="20"/>
        </w:rPr>
        <w:t>2.本套报表金额单位转换时可能存在尾数误差。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0"/>
          <w:szCs w:val="20"/>
        </w:rPr>
      </w:pPr>
      <w:r>
        <w:rPr>
          <w:rFonts w:cs="宋体"/>
          <w:b w:val="0"/>
          <w:bCs w:val="0"/>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 xml:space="preserve">重庆市秀山土家族苗族自治县中心血库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采供血机构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0"/>
          <w:szCs w:val="20"/>
        </w:rPr>
      </w:pPr>
      <w:r>
        <w:rPr>
          <w:rFonts w:cs="宋体"/>
          <w:b w:val="0"/>
          <w:bCs w:val="0"/>
          <w:sz w:val="20"/>
          <w:szCs w:val="20"/>
        </w:rPr>
        <w:t>备注：1.本表反映单位本年度各项支出情况。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cs="宋体"/>
          <w:b w:val="0"/>
          <w:bCs w:val="0"/>
          <w:sz w:val="21"/>
          <w:szCs w:val="21"/>
        </w:rPr>
        <w:br w:type="page"/>
      </w:r>
    </w:p>
    <w:p>
      <w:pPr>
        <w:rPr>
          <w:rFonts w:hint="default" w:cs="宋体"/>
          <w:b w:val="0"/>
          <w:bCs w:val="0"/>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b w:val="0"/>
                <w:bCs w:val="0"/>
                <w:color w:val="000000"/>
                <w:sz w:val="20"/>
                <w:szCs w:val="20"/>
              </w:rPr>
            </w:pPr>
            <w:r>
              <w:rPr>
                <w:rFonts w:cs="宋体"/>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8.67</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8.67</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38.19</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38.19</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46.85</w:t>
            </w:r>
            <w:r>
              <w:rPr>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bl>
    <w:p>
      <w:pPr>
        <w:spacing w:line="240" w:lineRule="exact"/>
        <w:rPr>
          <w:rFonts w:hint="default" w:cs="宋体"/>
          <w:b w:val="0"/>
          <w:bCs w:val="0"/>
          <w:sz w:val="20"/>
          <w:szCs w:val="20"/>
        </w:rPr>
      </w:pPr>
      <w:r>
        <w:rPr>
          <w:rFonts w:cs="宋体"/>
          <w:b w:val="0"/>
          <w:bCs w:val="0"/>
          <w:sz w:val="20"/>
          <w:szCs w:val="20"/>
        </w:rPr>
        <w:t>备注：1.本表反映单位本年度一般公共预算财政拨款、政府性基金预算财政拨款及国有资本经营预算财政拨款的总收支和年末结转结余情况。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46.85</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8.67</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5.78</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2.89</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38.19</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35.46</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公共卫生</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2100406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采供血机构</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0.33</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b w:val="0"/>
                <w:bCs w:val="0"/>
                <w:color w:val="000000"/>
                <w:sz w:val="20"/>
                <w:szCs w:val="20"/>
              </w:rPr>
            </w:pPr>
            <w:r>
              <w:rPr>
                <w:rFonts w:cs="宋体"/>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rFonts w:cs="宋体"/>
                <w:b w:val="0"/>
                <w:bCs w:val="0"/>
                <w:color w:val="000000"/>
                <w:sz w:val="20"/>
                <w:szCs w:val="20"/>
              </w:rPr>
              <w:t>2.40</w:t>
            </w:r>
            <w:r>
              <w:rPr>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备注：1.本表反映单位本年度一般公共预算财政拨款支出情况。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p>
      <w:pPr>
        <w:ind w:firstLine="630" w:firstLineChars="300"/>
        <w:rPr>
          <w:rFonts w:hint="default" w:cs="宋体"/>
          <w:b w:val="0"/>
          <w:bCs w:val="0"/>
          <w:sz w:val="21"/>
          <w:szCs w:val="21"/>
        </w:rPr>
      </w:pPr>
      <w:r>
        <w:rPr>
          <w:rFonts w:cs="宋体"/>
          <w:b w:val="0"/>
          <w:bCs w:val="0"/>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val="0"/>
                <w:bCs w:val="0"/>
                <w:color w:val="000000"/>
                <w:sz w:val="32"/>
                <w:szCs w:val="32"/>
              </w:rPr>
            </w:pPr>
            <w:r>
              <w:rPr>
                <w:rFonts w:cs="宋体"/>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40.97</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5.88</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4.52</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2.10</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0.86</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23.50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5.78</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2.89</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2.03</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2.40</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0.07</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0.42</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0.96</w:t>
            </w: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0.17</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0.02</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1.13</w:t>
            </w: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8"/>
                <w:szCs w:val="18"/>
              </w:rPr>
            </w:pPr>
            <w:r>
              <w:rPr>
                <w:rFonts w:cs="宋体"/>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b w:val="0"/>
                <w:bCs w:val="0"/>
                <w:color w:val="000000"/>
                <w:sz w:val="18"/>
                <w:szCs w:val="18"/>
              </w:rPr>
            </w:pPr>
            <w:r>
              <w:rPr>
                <w:rFonts w:cs="宋体"/>
                <w:b w:val="0"/>
                <w:bCs w:val="0"/>
                <w:color w:val="000000"/>
                <w:sz w:val="18"/>
                <w:szCs w:val="18"/>
              </w:rPr>
              <w:t>40.97</w:t>
            </w:r>
            <w:r>
              <w:rPr>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8"/>
                <w:szCs w:val="18"/>
              </w:rPr>
            </w:pPr>
            <w:r>
              <w:rPr>
                <w:rFonts w:cs="宋体"/>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b w:val="0"/>
                <w:bCs w:val="0"/>
                <w:color w:val="000000"/>
                <w:sz w:val="18"/>
                <w:szCs w:val="18"/>
              </w:rPr>
            </w:pPr>
            <w:r>
              <w:rPr>
                <w:rFonts w:cs="宋体"/>
                <w:b w:val="0"/>
                <w:bCs w:val="0"/>
                <w:color w:val="000000"/>
                <w:sz w:val="18"/>
                <w:szCs w:val="18"/>
              </w:rPr>
              <w:t>5.88</w:t>
            </w:r>
            <w:r>
              <w:rPr>
                <w:b w:val="0"/>
                <w:bCs w:val="0"/>
                <w:color w:val="000000"/>
                <w:sz w:val="18"/>
                <w:u w:color="auto"/>
              </w:rPr>
              <w:t xml:space="preserve"> </w:t>
            </w:r>
          </w:p>
        </w:tc>
      </w:tr>
    </w:tbl>
    <w:p>
      <w:pPr>
        <w:spacing w:line="280" w:lineRule="exact"/>
        <w:rPr>
          <w:rFonts w:hint="default" w:cs="宋体"/>
          <w:b w:val="0"/>
          <w:bCs w:val="0"/>
          <w:sz w:val="20"/>
          <w:szCs w:val="20"/>
        </w:rPr>
      </w:pPr>
      <w:r>
        <w:rPr>
          <w:rFonts w:cs="宋体"/>
          <w:b w:val="0"/>
          <w:bCs w:val="0"/>
          <w:sz w:val="20"/>
          <w:szCs w:val="20"/>
        </w:rPr>
        <w:t>备注：1.本表反映单位本年度一般公共预算财政拨款基本支出明细情况。</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r>
        <w:rPr>
          <w:rFonts w:cs="宋体"/>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备注：本表反映单位本年度政府性基金预算财政拨款收入支出及结转和结余情况。本单位无政府性基金收支，故本表无数据。</w:t>
      </w:r>
      <w:r>
        <w:rPr>
          <w:rFonts w:cs="宋体"/>
          <w:b w:val="0"/>
          <w:bCs w:val="0"/>
          <w:sz w:val="20"/>
          <w:szCs w:val="20"/>
        </w:rPr>
        <w:br w:type="textWrapping"/>
      </w:r>
      <w:r>
        <w:rPr>
          <w:rFonts w:cs="宋体"/>
          <w:b w:val="0"/>
          <w:bCs w:val="0"/>
          <w:sz w:val="20"/>
          <w:szCs w:val="20"/>
        </w:rPr>
        <w:br w:type="textWrapping"/>
      </w:r>
    </w:p>
    <w:p>
      <w:pPr>
        <w:rPr>
          <w:rFonts w:hint="default" w:cs="宋体"/>
          <w:b w:val="0"/>
          <w:bCs w:val="0"/>
          <w:sz w:val="21"/>
          <w:szCs w:val="21"/>
        </w:rPr>
      </w:pPr>
      <w:r>
        <w:rPr>
          <w:rFonts w:cs="宋体"/>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val="0"/>
                <w:bCs w:val="0"/>
                <w:color w:val="000000"/>
                <w:sz w:val="32"/>
                <w:szCs w:val="32"/>
              </w:rPr>
            </w:pPr>
            <w:r>
              <w:rPr>
                <w:rFonts w:cs="宋体"/>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val="0"/>
                <w:bCs w:val="0"/>
                <w:color w:val="000000"/>
                <w:sz w:val="20"/>
                <w:szCs w:val="20"/>
              </w:rPr>
            </w:pPr>
            <w:r>
              <w:rPr>
                <w:rFonts w:cs="宋体"/>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val="0"/>
                <w:bCs w:val="0"/>
                <w:color w:val="000000"/>
                <w:sz w:val="20"/>
                <w:szCs w:val="20"/>
              </w:rPr>
            </w:pPr>
            <w:r>
              <w:rPr>
                <w:rFonts w:cs="宋体"/>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val="0"/>
                <w:bCs w:val="0"/>
                <w:color w:val="000000"/>
                <w:sz w:val="20"/>
                <w:szCs w:val="20"/>
              </w:rPr>
            </w:pPr>
            <w:r>
              <w:rPr>
                <w:b w:val="0"/>
                <w:bCs w:val="0"/>
                <w:color w:val="000000"/>
                <w:sz w:val="20"/>
                <w:u w:color="auto"/>
              </w:rPr>
              <w:t xml:space="preserve"> </w:t>
            </w:r>
          </w:p>
        </w:tc>
      </w:tr>
    </w:tbl>
    <w:p>
      <w:pPr>
        <w:rPr>
          <w:rFonts w:hint="default" w:cs="宋体"/>
          <w:b w:val="0"/>
          <w:bCs w:val="0"/>
          <w:sz w:val="21"/>
          <w:szCs w:val="21"/>
        </w:rPr>
      </w:pPr>
      <w:r>
        <w:rPr>
          <w:rFonts w:cs="宋体"/>
          <w:b w:val="0"/>
          <w:bCs w:val="0"/>
          <w:sz w:val="20"/>
          <w:szCs w:val="20"/>
        </w:rPr>
        <w:t>备注：本表反映单位本年度国有资本经营预算财政拨款支出情况。本单位无国有资本经营收支，故本表无数据。</w:t>
      </w:r>
      <w:r>
        <w:rPr>
          <w:rFonts w:cs="宋体"/>
          <w:b w:val="0"/>
          <w:bCs w:val="0"/>
          <w:sz w:val="20"/>
          <w:szCs w:val="20"/>
        </w:rPr>
        <w:br w:type="textWrapping"/>
      </w:r>
      <w:r>
        <w:rPr>
          <w:rFonts w:cs="宋体"/>
          <w:b w:val="0"/>
          <w:bCs w:val="0"/>
          <w:sz w:val="20"/>
          <w:szCs w:val="20"/>
        </w:rPr>
        <w:br w:type="textWrapping"/>
      </w:r>
      <w:r>
        <w:rPr>
          <w:rFonts w:hint="default" w:cs="宋体"/>
          <w:b w:val="0"/>
          <w:bCs w:val="0"/>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val="0"/>
                <w:bCs w:val="0"/>
                <w:color w:val="000000"/>
                <w:sz w:val="32"/>
                <w:szCs w:val="32"/>
              </w:rPr>
            </w:pPr>
            <w:r>
              <w:rPr>
                <w:rFonts w:cs="宋体"/>
                <w:b w:val="0"/>
                <w:bCs w:val="0"/>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b w:val="0"/>
                <w:bCs w:val="0"/>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r>
              <w:rPr>
                <w:rFonts w:cs="宋体"/>
                <w:b w:val="0"/>
                <w:bCs w:val="0"/>
                <w:sz w:val="20"/>
                <w:szCs w:val="20"/>
              </w:rPr>
              <w:t>公开单位</w:t>
            </w:r>
            <w:r>
              <w:rPr>
                <w:rFonts w:cs="宋体"/>
                <w:b w:val="0"/>
                <w:bCs w:val="0"/>
                <w:color w:val="000000"/>
                <w:sz w:val="20"/>
                <w:szCs w:val="20"/>
              </w:rPr>
              <w:t xml:space="preserve">： </w:t>
            </w:r>
            <w:r>
              <w:rPr>
                <w:b w:val="0"/>
                <w:bCs w:val="0"/>
                <w:color w:val="000000"/>
                <w:sz w:val="20"/>
                <w:u w:color="auto"/>
              </w:rPr>
              <w:t>重庆市秀山土家族苗族自治县中心血库</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b w:val="0"/>
                <w:bCs w:val="0"/>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b w:val="0"/>
                <w:bCs w:val="0"/>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b w:val="0"/>
                <w:bCs w:val="0"/>
                <w:color w:val="000000"/>
                <w:sz w:val="20"/>
                <w:szCs w:val="20"/>
              </w:rPr>
            </w:pPr>
            <w:r>
              <w:rPr>
                <w:rFonts w:cs="宋体"/>
                <w:b w:val="0"/>
                <w:bCs w:val="0"/>
                <w:color w:val="000000"/>
                <w:sz w:val="20"/>
                <w:szCs w:val="20"/>
              </w:rPr>
              <w:t>单位：</w:t>
            </w:r>
            <w:r>
              <w:rPr>
                <w:rFonts w:cs="宋体"/>
                <w:b w:val="0"/>
                <w:bCs w:val="0"/>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0.17</w:t>
            </w: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0.17</w:t>
            </w: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0.17</w:t>
            </w:r>
            <w:r>
              <w:rPr>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0.17</w:t>
            </w: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0.17</w:t>
            </w: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1</w:t>
            </w: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rFonts w:cs="宋体"/>
                <w:b w:val="0"/>
                <w:bCs w:val="0"/>
                <w:color w:val="000000"/>
                <w:sz w:val="16"/>
                <w:szCs w:val="16"/>
              </w:rPr>
              <w:t>17</w:t>
            </w: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b w:val="0"/>
                <w:bCs w:val="0"/>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b w:val="0"/>
                <w:bCs w:val="0"/>
                <w:color w:val="000000"/>
                <w:sz w:val="16"/>
                <w:szCs w:val="16"/>
              </w:rPr>
            </w:pPr>
            <w:r>
              <w:rPr>
                <w:rFonts w:cs="宋体"/>
                <w:b w:val="0"/>
                <w:bCs w:val="0"/>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val="0"/>
                <w:bCs w:val="0"/>
                <w:color w:val="000000"/>
                <w:sz w:val="16"/>
                <w:szCs w:val="16"/>
              </w:rPr>
            </w:pPr>
            <w:r>
              <w:rPr>
                <w:rFonts w:cs="宋体"/>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b w:val="0"/>
                <w:bCs w:val="0"/>
                <w:color w:val="000000"/>
                <w:sz w:val="16"/>
                <w:szCs w:val="16"/>
              </w:rPr>
            </w:pPr>
            <w:r>
              <w:rPr>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b w:val="0"/>
                <w:bCs w:val="0"/>
                <w:color w:val="000000"/>
                <w:sz w:val="16"/>
                <w:szCs w:val="16"/>
              </w:rPr>
            </w:pPr>
          </w:p>
        </w:tc>
      </w:tr>
    </w:tbl>
    <w:p>
      <w:pPr>
        <w:rPr>
          <w:rFonts w:hint="default" w:cs="宋体"/>
          <w:b w:val="0"/>
          <w:bCs w:val="0"/>
          <w:sz w:val="21"/>
          <w:szCs w:val="21"/>
        </w:rPr>
      </w:pPr>
      <w:r>
        <w:rPr>
          <w:rFonts w:cs="宋体"/>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b w:val="0"/>
          <w:bCs w:val="0"/>
          <w:sz w:val="20"/>
          <w:szCs w:val="20"/>
        </w:rPr>
        <w:br w:type="textWrapping"/>
      </w:r>
      <w:r>
        <w:rPr>
          <w:rFonts w:cs="宋体"/>
          <w:b w:val="0"/>
          <w:bCs w:val="0"/>
          <w:sz w:val="20"/>
          <w:szCs w:val="20"/>
        </w:rPr>
        <w:t xml:space="preserve">      2.本套报表金额单位转换时可能存在尾数误差。</w:t>
      </w:r>
      <w:r>
        <w:rPr>
          <w:rFonts w:cs="宋体"/>
          <w:b w:val="0"/>
          <w:bCs w:val="0"/>
          <w:sz w:val="20"/>
          <w:szCs w:val="20"/>
        </w:rPr>
        <w:br w:type="textWrapping"/>
      </w:r>
      <w:r>
        <w:rPr>
          <w:rFonts w:cs="宋体"/>
          <w:b w:val="0"/>
          <w:bCs w:val="0"/>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333A0"/>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6E2F40"/>
    <w:rsid w:val="1FBB35CD"/>
    <w:rsid w:val="1FCD26AF"/>
    <w:rsid w:val="20642787"/>
    <w:rsid w:val="21556F04"/>
    <w:rsid w:val="22403BD3"/>
    <w:rsid w:val="24B92327"/>
    <w:rsid w:val="24C14514"/>
    <w:rsid w:val="2533755C"/>
    <w:rsid w:val="25791755"/>
    <w:rsid w:val="26396DF4"/>
    <w:rsid w:val="264156B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46E2EF7"/>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8844E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A3B59D6"/>
    <w:rsid w:val="5AD134D8"/>
    <w:rsid w:val="5C263CE4"/>
    <w:rsid w:val="5C5D2777"/>
    <w:rsid w:val="5C8A6890"/>
    <w:rsid w:val="5CF66BF3"/>
    <w:rsid w:val="5D290C69"/>
    <w:rsid w:val="5F2D4A41"/>
    <w:rsid w:val="60C74F6C"/>
    <w:rsid w:val="61025A59"/>
    <w:rsid w:val="613D5BBC"/>
    <w:rsid w:val="61536C39"/>
    <w:rsid w:val="62944DD7"/>
    <w:rsid w:val="6319381F"/>
    <w:rsid w:val="63C25DC5"/>
    <w:rsid w:val="63C62057"/>
    <w:rsid w:val="64571EF5"/>
    <w:rsid w:val="64FB113D"/>
    <w:rsid w:val="65263E46"/>
    <w:rsid w:val="656152C6"/>
    <w:rsid w:val="6587477F"/>
    <w:rsid w:val="658C3A08"/>
    <w:rsid w:val="65C031CA"/>
    <w:rsid w:val="65CE6852"/>
    <w:rsid w:val="66267C04"/>
    <w:rsid w:val="663F505A"/>
    <w:rsid w:val="66EE5541"/>
    <w:rsid w:val="67924660"/>
    <w:rsid w:val="68407834"/>
    <w:rsid w:val="6883293E"/>
    <w:rsid w:val="688412AD"/>
    <w:rsid w:val="68EB1B71"/>
    <w:rsid w:val="69CD4879"/>
    <w:rsid w:val="6A6C7940"/>
    <w:rsid w:val="6AAD2300"/>
    <w:rsid w:val="6B474EF5"/>
    <w:rsid w:val="6C0A5AC5"/>
    <w:rsid w:val="6C560CAE"/>
    <w:rsid w:val="6C576495"/>
    <w:rsid w:val="6D903FF5"/>
    <w:rsid w:val="6DA955B8"/>
    <w:rsid w:val="6DE346AB"/>
    <w:rsid w:val="6DE5391A"/>
    <w:rsid w:val="6E740F74"/>
    <w:rsid w:val="6EFD1324"/>
    <w:rsid w:val="6F5A53AC"/>
    <w:rsid w:val="6FAC003D"/>
    <w:rsid w:val="6FE55E12"/>
    <w:rsid w:val="6FFB2E76"/>
    <w:rsid w:val="708F6F7F"/>
    <w:rsid w:val="70D94BD3"/>
    <w:rsid w:val="71C34D91"/>
    <w:rsid w:val="727D398A"/>
    <w:rsid w:val="72DB435C"/>
    <w:rsid w:val="72E2613A"/>
    <w:rsid w:val="72F771F4"/>
    <w:rsid w:val="73934AD2"/>
    <w:rsid w:val="750837F0"/>
    <w:rsid w:val="754758CF"/>
    <w:rsid w:val="75EE3493"/>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0</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2024-09-23T05:34:30Z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