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_GBK" w:hAnsi="方正小标宋_GBK" w:eastAsia="方正小标宋_GBK" w:cs="方正小标宋_GBK"/>
          <w:color w:val="auto"/>
          <w:sz w:val="44"/>
          <w:szCs w:val="44"/>
          <w:shd w:val="clear" w:color="auto" w:fill="FFFFFF"/>
        </w:rPr>
      </w:pPr>
      <w:r>
        <w:rPr>
          <w:rFonts w:hint="eastAsia" w:ascii="方正小标宋_GBK" w:hAnsi="方正小标宋_GBK" w:eastAsia="方正小标宋_GBK" w:cs="方正小标宋_GBK"/>
          <w:color w:val="auto"/>
          <w:sz w:val="44"/>
          <w:szCs w:val="44"/>
        </w:rPr>
        <w:t>重庆市秀山土家族苗族自治县中和街道社区卫生服务中心</w:t>
      </w:r>
      <w:r>
        <w:rPr>
          <w:rFonts w:hint="default" w:ascii="Times New Roman" w:hAnsi="Times New Roman" w:eastAsia="方正小标宋_GBK" w:cs="Times New Roman"/>
          <w:color w:val="auto"/>
          <w:sz w:val="44"/>
          <w:szCs w:val="44"/>
          <w:shd w:val="clear" w:color="auto" w:fill="FFFFFF"/>
        </w:rPr>
        <w:t>2023</w:t>
      </w:r>
      <w:r>
        <w:rPr>
          <w:rFonts w:hint="eastAsia" w:ascii="方正小标宋_GBK" w:hAnsi="方正小标宋_GBK" w:eastAsia="方正小标宋_GBK" w:cs="方正小标宋_GBK"/>
          <w:color w:val="auto"/>
          <w:sz w:val="44"/>
          <w:szCs w:val="44"/>
          <w:shd w:val="clear" w:color="auto" w:fill="FFFFFF"/>
        </w:rPr>
        <w:t>年度决算公开说明</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lang w:val="en-US" w:eastAsia="zh-CN"/>
        </w:rPr>
      </w:pP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lang w:val="en-US" w:eastAsia="zh-CN"/>
        </w:rPr>
        <w:t>一、</w:t>
      </w:r>
      <w:r>
        <w:rPr>
          <w:rStyle w:val="11"/>
          <w:rFonts w:hint="eastAsia" w:ascii="方正黑体_GBK" w:hAnsi="方正黑体_GBK" w:eastAsia="方正黑体_GBK" w:cs="方正黑体_GBK"/>
          <w:b w:val="0"/>
          <w:bCs/>
          <w:color w:val="auto"/>
          <w:sz w:val="32"/>
          <w:szCs w:val="32"/>
          <w:shd w:val="clear" w:color="auto" w:fill="FFFFFF"/>
        </w:rPr>
        <w:t>单位基本情况</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color w:val="auto"/>
          <w:sz w:val="32"/>
          <w:szCs w:val="32"/>
        </w:rPr>
      </w:pPr>
      <w:r>
        <w:rPr>
          <w:rStyle w:val="11"/>
          <w:rFonts w:hint="eastAsia" w:ascii="方正楷体_GBK" w:hAnsi="方正楷体_GBK" w:eastAsia="方正楷体_GBK" w:cs="方正楷体_GBK"/>
          <w:b w:val="0"/>
          <w:bCs/>
          <w:color w:val="auto"/>
          <w:sz w:val="32"/>
          <w:szCs w:val="32"/>
          <w:shd w:val="clear" w:color="auto" w:fill="FFFFFF"/>
        </w:rPr>
        <w:t>（一）职能职责</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本单位属基层医疗卫生机构，职责是提供基本医疗和基本公共卫生服务。本单位应当使用与能力相适应的技术设备和药物，按照规范诊疗程序开展常见病、多发病的诊疗和部分疾病的康复护理，提供中医药诊疗、双向转诊、现场急诊急救等医疗服务。本单位应当履行以下公共卫生职责：</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1.</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根据国家和本市规定收集、报送辖区内卫生健康信息，建立和管理居民健康档案，提出改进辖区公共卫生状况的建议；</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2.</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开展健康教育，普及健康知识；</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3.</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协助开展传染病以及地方病、寄生虫病的预防控制，配合开展爱国卫生工作；</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4.</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做好高危人群、重点慢性病患者的筛查和病例管理；</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5.</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提供心理健康指导服务，实施精神病社区管理；</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6.</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为妇女、儿童、老年人、残疾人等重点人群提供保健和康复服务；</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7.</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提供计划生育技术服务，协助处置辖区内突发公共卫生事件等；</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i w:val="0"/>
          <w:iCs w:val="0"/>
          <w:caps w:val="0"/>
          <w:color w:val="auto"/>
          <w:spacing w:val="0"/>
          <w:sz w:val="32"/>
          <w:szCs w:val="32"/>
          <w:u w:val="none"/>
          <w:shd w:val="clear" w:fill="FFFFFF"/>
          <w:lang w:val="en-US" w:eastAsia="zh-CN"/>
        </w:rPr>
        <w:t>8.</w:t>
      </w: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按要求提供其他公共卫生服务。</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（二）机构设置</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b w:val="0"/>
          <w:bCs/>
          <w:i w:val="0"/>
          <w:iCs w:val="0"/>
          <w:caps w:val="0"/>
          <w:color w:val="auto"/>
          <w:spacing w:val="0"/>
          <w:sz w:val="32"/>
          <w:szCs w:val="32"/>
          <w:u w:val="none"/>
          <w:shd w:val="clear" w:fill="FFFFFF"/>
          <w:lang w:eastAsia="zh-CN"/>
        </w:rPr>
      </w:pPr>
      <w:r>
        <w:rPr>
          <w:rFonts w:hint="eastAsia" w:ascii="Times New Roman" w:hAnsi="Times New Roman" w:eastAsia="方正仿宋_GBK" w:cs="Times New Roman"/>
          <w:b w:val="0"/>
          <w:bCs/>
          <w:i w:val="0"/>
          <w:iCs w:val="0"/>
          <w:caps w:val="0"/>
          <w:color w:val="auto"/>
          <w:spacing w:val="0"/>
          <w:sz w:val="32"/>
          <w:szCs w:val="32"/>
          <w:u w:val="none"/>
          <w:shd w:val="clear" w:fill="FFFFFF"/>
          <w:lang w:val="en-US" w:eastAsia="zh-CN"/>
        </w:rPr>
        <w:t>本单位下设党政办、质控办、财务资产科、医务科、护理部、总务信息科、药械科、公共卫生科、预防保健科、医技科、内科、外科、妇科、儿科、康复医学科、口腔科、门诊部。</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二、单位决算情况说明</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（一）收入支出决算总体情况说明</w:t>
      </w:r>
    </w:p>
    <w:p>
      <w:pPr>
        <w:pStyle w:val="9"/>
        <w:keepNext w:val="0"/>
        <w:keepLines w:val="0"/>
        <w:pageBreakBefore w:val="0"/>
        <w:widowControl w:val="0"/>
        <w:shd w:val="clear" w:color="auto" w:fill="FFFFFF"/>
        <w:kinsoku/>
        <w:wordWrap/>
        <w:overflowPunct/>
        <w:topLinePunct w:val="0"/>
        <w:autoSpaceDE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Style w:val="11"/>
          <w:rFonts w:ascii="Times New Roman" w:hAnsi="Times New Roman" w:eastAsia="方正仿宋_GBK" w:cs="方正仿宋_GBK"/>
          <w:b w:val="0"/>
          <w:bCs/>
          <w:color w:val="auto"/>
          <w:sz w:val="32"/>
          <w:szCs w:val="32"/>
          <w:shd w:val="clear" w:color="auto" w:fill="FFFFFF"/>
        </w:rPr>
        <w:t>1.总体情况。</w:t>
      </w:r>
      <w:r>
        <w:rPr>
          <w:rFonts w:ascii="Times New Roman" w:hAnsi="Times New Roman" w:eastAsia="方正仿宋_GBK" w:cs="方正仿宋_GBK"/>
          <w:b w:val="0"/>
          <w:bCs/>
          <w:color w:val="auto"/>
          <w:sz w:val="32"/>
          <w:szCs w:val="32"/>
          <w:shd w:val="clear" w:color="auto" w:fill="FFFFFF"/>
        </w:rPr>
        <w:t>2023年度收入总计4676.15万元，支出总计</w:t>
      </w:r>
      <w:r>
        <w:rPr>
          <w:rFonts w:ascii="Times New Roman" w:hAnsi="Times New Roman" w:eastAsia="方正仿宋_GBK" w:cs="方正仿宋_GBK"/>
          <w:b w:val="0"/>
          <w:bCs/>
          <w:color w:val="auto"/>
          <w:sz w:val="32"/>
          <w:szCs w:val="32"/>
        </w:rPr>
        <w:t>4676.15</w:t>
      </w:r>
      <w:r>
        <w:rPr>
          <w:rFonts w:ascii="Times New Roman" w:hAnsi="Times New Roman" w:eastAsia="方正仿宋_GBK" w:cs="方正仿宋_GBK"/>
          <w:b w:val="0"/>
          <w:bCs/>
          <w:color w:val="auto"/>
          <w:sz w:val="32"/>
          <w:szCs w:val="32"/>
          <w:shd w:val="clear" w:color="auto" w:fill="FFFFFF"/>
        </w:rPr>
        <w:t>万元。收支较上年决算数减少41.49万元，下降0.88%，主要原因是</w:t>
      </w:r>
      <w:r>
        <w:rPr>
          <w:rFonts w:hint="eastAsia" w:ascii="Times New Roman" w:hAnsi="Times New Roman" w:eastAsia="方正仿宋_GBK" w:cs="方正仿宋_GBK"/>
          <w:b w:val="0"/>
          <w:bCs/>
          <w:color w:val="auto"/>
          <w:sz w:val="32"/>
          <w:szCs w:val="32"/>
          <w:shd w:val="clear" w:color="auto" w:fill="FFFFFF"/>
          <w:lang w:eastAsia="zh-CN"/>
        </w:rPr>
        <w:t>事业收入减少。</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shd w:val="clear" w:color="auto" w:fill="FFFFFF"/>
        </w:rPr>
      </w:pPr>
      <w:r>
        <w:rPr>
          <w:rStyle w:val="11"/>
          <w:rFonts w:ascii="Times New Roman" w:hAnsi="Times New Roman" w:eastAsia="方正仿宋_GBK" w:cs="方正仿宋_GBK"/>
          <w:b w:val="0"/>
          <w:bCs/>
          <w:color w:val="auto"/>
          <w:sz w:val="32"/>
          <w:szCs w:val="32"/>
          <w:shd w:val="clear" w:color="auto" w:fill="FFFFFF"/>
        </w:rPr>
        <w:t>2.收入情况。</w:t>
      </w:r>
      <w:r>
        <w:rPr>
          <w:rFonts w:ascii="Times New Roman" w:hAnsi="Times New Roman" w:eastAsia="方正仿宋_GBK" w:cs="方正仿宋_GBK"/>
          <w:b w:val="0"/>
          <w:bCs/>
          <w:color w:val="auto"/>
          <w:sz w:val="32"/>
          <w:szCs w:val="32"/>
          <w:shd w:val="clear" w:color="auto" w:fill="FFFFFF"/>
        </w:rPr>
        <w:t>2023年度收入合计4641.10万元，较上年决算数减少76.54万元，下降1.62%，主要原因是</w:t>
      </w:r>
      <w:r>
        <w:rPr>
          <w:rFonts w:hint="eastAsia" w:ascii="Times New Roman" w:hAnsi="Times New Roman" w:eastAsia="方正仿宋_GBK" w:cs="方正仿宋_GBK"/>
          <w:b w:val="0"/>
          <w:bCs/>
          <w:color w:val="auto"/>
          <w:sz w:val="32"/>
          <w:szCs w:val="32"/>
          <w:shd w:val="clear" w:color="auto" w:fill="FFFFFF"/>
          <w:lang w:eastAsia="zh-CN"/>
        </w:rPr>
        <w:t>医疗业务收入下降</w:t>
      </w:r>
      <w:r>
        <w:rPr>
          <w:rFonts w:ascii="Times New Roman" w:hAnsi="Times New Roman" w:eastAsia="方正仿宋_GBK" w:cs="方正仿宋_GBK"/>
          <w:b w:val="0"/>
          <w:bCs/>
          <w:color w:val="auto"/>
          <w:sz w:val="32"/>
          <w:szCs w:val="32"/>
          <w:shd w:val="clear" w:color="auto" w:fill="FFFFFF"/>
        </w:rPr>
        <w:t>。其中：财政拨款收入</w:t>
      </w:r>
      <w:r>
        <w:rPr>
          <w:rFonts w:ascii="Times New Roman" w:hAnsi="Times New Roman" w:eastAsia="方正仿宋_GBK" w:cs="方正仿宋_GBK"/>
          <w:b w:val="0"/>
          <w:bCs/>
          <w:color w:val="auto"/>
          <w:sz w:val="32"/>
          <w:szCs w:val="32"/>
        </w:rPr>
        <w:t>1565.24</w:t>
      </w:r>
      <w:r>
        <w:rPr>
          <w:rFonts w:ascii="Times New Roman" w:hAnsi="Times New Roman" w:eastAsia="方正仿宋_GBK" w:cs="方正仿宋_GBK"/>
          <w:b w:val="0"/>
          <w:bCs/>
          <w:color w:val="auto"/>
          <w:sz w:val="32"/>
          <w:szCs w:val="32"/>
          <w:shd w:val="clear" w:color="auto" w:fill="FFFFFF"/>
        </w:rPr>
        <w:t>万元，占</w:t>
      </w:r>
      <w:r>
        <w:rPr>
          <w:rFonts w:ascii="Times New Roman" w:hAnsi="Times New Roman" w:eastAsia="方正仿宋_GBK" w:cs="方正仿宋_GBK"/>
          <w:b w:val="0"/>
          <w:bCs/>
          <w:color w:val="auto"/>
          <w:sz w:val="32"/>
          <w:szCs w:val="32"/>
        </w:rPr>
        <w:t>33.73</w:t>
      </w:r>
      <w:r>
        <w:rPr>
          <w:rFonts w:ascii="Times New Roman" w:hAnsi="Times New Roman" w:eastAsia="方正仿宋_GBK" w:cs="方正仿宋_GBK"/>
          <w:b w:val="0"/>
          <w:bCs/>
          <w:color w:val="auto"/>
          <w:sz w:val="32"/>
          <w:szCs w:val="32"/>
          <w:shd w:val="clear" w:color="auto" w:fill="FFFFFF"/>
        </w:rPr>
        <w:t>%；事业收入</w:t>
      </w:r>
      <w:r>
        <w:rPr>
          <w:rFonts w:ascii="Times New Roman" w:hAnsi="Times New Roman" w:eastAsia="方正仿宋_GBK" w:cs="方正仿宋_GBK"/>
          <w:b w:val="0"/>
          <w:bCs/>
          <w:color w:val="auto"/>
          <w:sz w:val="32"/>
          <w:szCs w:val="32"/>
        </w:rPr>
        <w:t>3047.16</w:t>
      </w:r>
      <w:r>
        <w:rPr>
          <w:rFonts w:ascii="Times New Roman" w:hAnsi="Times New Roman" w:eastAsia="方正仿宋_GBK" w:cs="方正仿宋_GBK"/>
          <w:b w:val="0"/>
          <w:bCs/>
          <w:color w:val="auto"/>
          <w:sz w:val="32"/>
          <w:szCs w:val="32"/>
          <w:shd w:val="clear" w:color="auto" w:fill="FFFFFF"/>
        </w:rPr>
        <w:t>万元，占65.66%；经营收入</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万元，占0.00%；其他收入</w:t>
      </w:r>
      <w:r>
        <w:rPr>
          <w:rFonts w:ascii="Times New Roman" w:hAnsi="Times New Roman" w:eastAsia="方正仿宋_GBK" w:cs="方正仿宋_GBK"/>
          <w:b w:val="0"/>
          <w:bCs/>
          <w:color w:val="auto"/>
          <w:sz w:val="32"/>
          <w:szCs w:val="32"/>
        </w:rPr>
        <w:t>28.69</w:t>
      </w:r>
      <w:r>
        <w:rPr>
          <w:rFonts w:ascii="Times New Roman" w:hAnsi="Times New Roman" w:eastAsia="方正仿宋_GBK" w:cs="方正仿宋_GBK"/>
          <w:b w:val="0"/>
          <w:bCs/>
          <w:color w:val="auto"/>
          <w:sz w:val="32"/>
          <w:szCs w:val="32"/>
          <w:shd w:val="clear" w:color="auto" w:fill="FFFFFF"/>
        </w:rPr>
        <w:t>万元，占0.62%。此外，使用非财政拨款结余和专用结余</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万元，年初结转和结余</w:t>
      </w:r>
      <w:r>
        <w:rPr>
          <w:rFonts w:ascii="Times New Roman" w:hAnsi="Times New Roman" w:eastAsia="方正仿宋_GBK" w:cs="方正仿宋_GBK"/>
          <w:b w:val="0"/>
          <w:bCs/>
          <w:color w:val="auto"/>
          <w:sz w:val="32"/>
          <w:szCs w:val="32"/>
        </w:rPr>
        <w:t>35.05</w:t>
      </w:r>
      <w:r>
        <w:rPr>
          <w:rFonts w:ascii="Times New Roman" w:hAnsi="Times New Roman" w:eastAsia="方正仿宋_GBK" w:cs="方正仿宋_GBK"/>
          <w:b w:val="0"/>
          <w:bCs/>
          <w:color w:val="auto"/>
          <w:sz w:val="32"/>
          <w:szCs w:val="32"/>
          <w:shd w:val="clear" w:color="auto" w:fill="FFFFFF"/>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shd w:val="clear" w:color="auto" w:fill="FFFFFF"/>
        </w:rPr>
      </w:pPr>
      <w:r>
        <w:rPr>
          <w:rStyle w:val="11"/>
          <w:rFonts w:ascii="Times New Roman" w:hAnsi="Times New Roman" w:eastAsia="方正仿宋_GBK" w:cs="方正仿宋_GBK"/>
          <w:b w:val="0"/>
          <w:bCs/>
          <w:color w:val="auto"/>
          <w:sz w:val="32"/>
          <w:szCs w:val="32"/>
          <w:shd w:val="clear" w:color="auto" w:fill="FFFFFF"/>
        </w:rPr>
        <w:t>3.支出情况。</w:t>
      </w:r>
      <w:r>
        <w:rPr>
          <w:rFonts w:ascii="Times New Roman" w:hAnsi="Times New Roman" w:eastAsia="方正仿宋_GBK" w:cs="方正仿宋_GBK"/>
          <w:b w:val="0"/>
          <w:bCs/>
          <w:color w:val="auto"/>
          <w:sz w:val="32"/>
          <w:szCs w:val="32"/>
          <w:shd w:val="clear" w:color="auto" w:fill="FFFFFF"/>
        </w:rPr>
        <w:t>2023年度支出合计</w:t>
      </w:r>
      <w:r>
        <w:rPr>
          <w:rFonts w:ascii="Times New Roman" w:hAnsi="Times New Roman" w:eastAsia="方正仿宋_GBK" w:cs="方正仿宋_GBK"/>
          <w:b w:val="0"/>
          <w:bCs/>
          <w:color w:val="auto"/>
          <w:sz w:val="32"/>
          <w:szCs w:val="32"/>
        </w:rPr>
        <w:t>4603.82</w:t>
      </w:r>
      <w:r>
        <w:rPr>
          <w:rFonts w:ascii="Times New Roman" w:hAnsi="Times New Roman" w:eastAsia="方正仿宋_GBK" w:cs="方正仿宋_GBK"/>
          <w:b w:val="0"/>
          <w:bCs/>
          <w:color w:val="auto"/>
          <w:sz w:val="32"/>
          <w:szCs w:val="32"/>
          <w:shd w:val="clear" w:color="auto" w:fill="FFFFFF"/>
        </w:rPr>
        <w:t>万元，较上年决算数减少78.77万元，下降1.68%，主要原因是</w:t>
      </w:r>
      <w:r>
        <w:rPr>
          <w:rFonts w:hint="eastAsia" w:ascii="Times New Roman" w:hAnsi="Times New Roman" w:eastAsia="方正仿宋_GBK" w:cs="方正仿宋_GBK"/>
          <w:b w:val="0"/>
          <w:bCs/>
          <w:color w:val="auto"/>
          <w:sz w:val="32"/>
          <w:szCs w:val="32"/>
          <w:shd w:val="clear" w:color="auto" w:fill="FFFFFF"/>
          <w:lang w:eastAsia="zh-CN"/>
        </w:rPr>
        <w:t>卫生健康支出减少</w:t>
      </w:r>
      <w:r>
        <w:rPr>
          <w:rFonts w:ascii="Times New Roman" w:hAnsi="Times New Roman" w:eastAsia="方正仿宋_GBK" w:cs="方正仿宋_GBK"/>
          <w:b w:val="0"/>
          <w:bCs/>
          <w:color w:val="auto"/>
          <w:sz w:val="32"/>
          <w:szCs w:val="32"/>
          <w:shd w:val="clear" w:color="auto" w:fill="FFFFFF"/>
        </w:rPr>
        <w:t>。其中：基本支出</w:t>
      </w:r>
      <w:r>
        <w:rPr>
          <w:rFonts w:ascii="Times New Roman" w:hAnsi="Times New Roman" w:eastAsia="方正仿宋_GBK" w:cs="方正仿宋_GBK"/>
          <w:b w:val="0"/>
          <w:bCs/>
          <w:color w:val="auto"/>
          <w:sz w:val="32"/>
          <w:szCs w:val="32"/>
        </w:rPr>
        <w:t>4477.60</w:t>
      </w:r>
      <w:r>
        <w:rPr>
          <w:rFonts w:ascii="Times New Roman" w:hAnsi="Times New Roman" w:eastAsia="方正仿宋_GBK" w:cs="方正仿宋_GBK"/>
          <w:b w:val="0"/>
          <w:bCs/>
          <w:color w:val="auto"/>
          <w:sz w:val="32"/>
          <w:szCs w:val="32"/>
          <w:shd w:val="clear" w:color="auto" w:fill="FFFFFF"/>
        </w:rPr>
        <w:t>万元，占97.26%；项目支出</w:t>
      </w:r>
      <w:r>
        <w:rPr>
          <w:rFonts w:ascii="Times New Roman" w:hAnsi="Times New Roman" w:eastAsia="方正仿宋_GBK" w:cs="方正仿宋_GBK"/>
          <w:b w:val="0"/>
          <w:bCs/>
          <w:color w:val="auto"/>
          <w:sz w:val="32"/>
          <w:szCs w:val="32"/>
        </w:rPr>
        <w:t>126.22</w:t>
      </w:r>
      <w:r>
        <w:rPr>
          <w:rFonts w:ascii="Times New Roman" w:hAnsi="Times New Roman" w:eastAsia="方正仿宋_GBK" w:cs="方正仿宋_GBK"/>
          <w:b w:val="0"/>
          <w:bCs/>
          <w:color w:val="auto"/>
          <w:sz w:val="32"/>
          <w:szCs w:val="32"/>
          <w:shd w:val="clear" w:color="auto" w:fill="FFFFFF"/>
        </w:rPr>
        <w:t>万元，占2.74%；经营支出</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万元，占0.00%。此外，结余分配</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Style w:val="11"/>
          <w:rFonts w:ascii="Times New Roman" w:hAnsi="Times New Roman" w:eastAsia="方正仿宋_GBK" w:cs="方正仿宋_GBK"/>
          <w:b w:val="0"/>
          <w:bCs/>
          <w:color w:val="auto"/>
          <w:sz w:val="32"/>
          <w:szCs w:val="32"/>
          <w:shd w:val="clear" w:color="auto" w:fill="FFFFFF"/>
        </w:rPr>
        <w:t>4.结转结余情况。</w:t>
      </w:r>
      <w:r>
        <w:rPr>
          <w:rFonts w:ascii="Times New Roman" w:hAnsi="Times New Roman" w:eastAsia="方正仿宋_GBK" w:cs="方正仿宋_GBK"/>
          <w:b w:val="0"/>
          <w:bCs/>
          <w:color w:val="auto"/>
          <w:sz w:val="32"/>
          <w:szCs w:val="32"/>
          <w:shd w:val="clear" w:color="auto" w:fill="FFFFFF"/>
        </w:rPr>
        <w:t>2023年度年末结转和结余</w:t>
      </w:r>
      <w:r>
        <w:rPr>
          <w:rFonts w:ascii="Times New Roman" w:hAnsi="Times New Roman" w:eastAsia="方正仿宋_GBK" w:cs="方正仿宋_GBK"/>
          <w:b w:val="0"/>
          <w:bCs/>
          <w:color w:val="auto"/>
          <w:sz w:val="32"/>
          <w:szCs w:val="32"/>
        </w:rPr>
        <w:t>72.33</w:t>
      </w:r>
      <w:r>
        <w:rPr>
          <w:rFonts w:ascii="Times New Roman" w:hAnsi="Times New Roman" w:eastAsia="方正仿宋_GBK" w:cs="方正仿宋_GBK"/>
          <w:b w:val="0"/>
          <w:bCs/>
          <w:color w:val="auto"/>
          <w:sz w:val="32"/>
          <w:szCs w:val="32"/>
          <w:shd w:val="clear" w:color="auto" w:fill="FFFFFF"/>
        </w:rPr>
        <w:t>万元，较上年决算数增加37.28万元，增长106.36%，主要原因是</w:t>
      </w:r>
      <w:r>
        <w:rPr>
          <w:rFonts w:hint="eastAsia" w:ascii="Times New Roman" w:hAnsi="Times New Roman" w:eastAsia="方正仿宋_GBK" w:cs="方正仿宋_GBK"/>
          <w:b w:val="0"/>
          <w:bCs/>
          <w:color w:val="auto"/>
          <w:sz w:val="32"/>
          <w:szCs w:val="32"/>
          <w:shd w:val="clear" w:color="auto" w:fill="FFFFFF"/>
          <w:lang w:val="en-US" w:eastAsia="zh-CN"/>
        </w:rPr>
        <w:t>2023年有人员经费未在决算前办理支付，结转到下一年使用</w:t>
      </w:r>
      <w:r>
        <w:rPr>
          <w:rFonts w:ascii="Times New Roman" w:hAnsi="Times New Roman" w:eastAsia="方正仿宋_GBK" w:cs="方正仿宋_GBK"/>
          <w:b w:val="0"/>
          <w:bCs/>
          <w:color w:val="auto"/>
          <w:sz w:val="32"/>
          <w:szCs w:val="32"/>
          <w:shd w:val="clear" w:color="auto" w:fill="FFFFFF"/>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（二）财政拨款收入支出决算总体情况说明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2023年度财政拨款收、支总计1565.24万元。与2022年相比，财政拨款收、支总计各增加68.73万元，增长4.59%。主要原因是</w:t>
      </w:r>
      <w:r>
        <w:rPr>
          <w:rFonts w:hint="eastAsia" w:ascii="Times New Roman" w:hAnsi="Times New Roman" w:eastAsia="方正仿宋_GBK" w:cs="方正仿宋_GBK"/>
          <w:b w:val="0"/>
          <w:bCs/>
          <w:color w:val="auto"/>
          <w:sz w:val="32"/>
          <w:szCs w:val="32"/>
          <w:shd w:val="clear" w:color="auto" w:fill="FFFFFF"/>
          <w:lang w:val="en-US" w:eastAsia="zh-CN"/>
        </w:rPr>
        <w:t>2023年新增医务人员临时补助项目。</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（三）一般公共预算财政拨款收入支出决算情况说明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Style w:val="11"/>
          <w:rFonts w:ascii="Times New Roman" w:hAnsi="Times New Roman" w:eastAsia="方正仿宋_GBK" w:cs="方正仿宋_GBK"/>
          <w:b w:val="0"/>
          <w:bCs/>
          <w:color w:val="auto"/>
          <w:sz w:val="32"/>
          <w:szCs w:val="32"/>
          <w:shd w:val="clear" w:color="auto" w:fill="FFFFFF"/>
        </w:rPr>
        <w:t>1.收入情况。</w:t>
      </w:r>
      <w:r>
        <w:rPr>
          <w:rFonts w:ascii="Times New Roman" w:hAnsi="Times New Roman" w:eastAsia="方正仿宋_GBK" w:cs="方正仿宋_GBK"/>
          <w:b w:val="0"/>
          <w:bCs/>
          <w:color w:val="auto"/>
          <w:sz w:val="32"/>
          <w:szCs w:val="32"/>
          <w:shd w:val="clear" w:color="auto" w:fill="FFFFFF"/>
        </w:rPr>
        <w:t>2023年度一般公共预算财政拨款收入</w:t>
      </w:r>
      <w:r>
        <w:rPr>
          <w:rFonts w:ascii="Times New Roman" w:hAnsi="Times New Roman" w:eastAsia="方正仿宋_GBK" w:cs="方正仿宋_GBK"/>
          <w:b w:val="0"/>
          <w:bCs/>
          <w:color w:val="auto"/>
          <w:sz w:val="32"/>
          <w:szCs w:val="32"/>
        </w:rPr>
        <w:t>1565.24</w:t>
      </w:r>
      <w:r>
        <w:rPr>
          <w:rFonts w:ascii="Times New Roman" w:hAnsi="Times New Roman" w:eastAsia="方正仿宋_GBK" w:cs="方正仿宋_GBK"/>
          <w:b w:val="0"/>
          <w:bCs/>
          <w:color w:val="auto"/>
          <w:sz w:val="32"/>
          <w:szCs w:val="32"/>
          <w:shd w:val="clear" w:color="auto" w:fill="FFFFFF"/>
        </w:rPr>
        <w:t>万元，较上年决算数增加68.73万元，增长4.59%。主要原因是</w:t>
      </w:r>
      <w:r>
        <w:rPr>
          <w:rFonts w:hint="eastAsia" w:ascii="Times New Roman" w:hAnsi="Times New Roman" w:eastAsia="方正仿宋_GBK" w:cs="方正仿宋_GBK"/>
          <w:b w:val="0"/>
          <w:bCs/>
          <w:color w:val="auto"/>
          <w:sz w:val="32"/>
          <w:szCs w:val="32"/>
          <w:shd w:val="clear" w:color="auto" w:fill="FFFFFF"/>
          <w:lang w:val="en-US" w:eastAsia="zh-CN"/>
        </w:rPr>
        <w:t>2023年新增医务人员临时补助财政拨款收入。</w:t>
      </w:r>
      <w:r>
        <w:rPr>
          <w:rFonts w:ascii="Times New Roman" w:hAnsi="Times New Roman" w:eastAsia="方正仿宋_GBK" w:cs="方正仿宋_GBK"/>
          <w:b w:val="0"/>
          <w:bCs/>
          <w:color w:val="auto"/>
          <w:sz w:val="32"/>
          <w:szCs w:val="32"/>
          <w:shd w:val="clear" w:color="auto" w:fill="FFFFFF"/>
        </w:rPr>
        <w:t>较年初预算数增加907.80万元，增长138.08%。主要原因是</w:t>
      </w:r>
      <w:r>
        <w:rPr>
          <w:rFonts w:hint="eastAsia" w:ascii="Times New Roman" w:hAnsi="Times New Roman" w:eastAsia="方正仿宋_GBK" w:cs="方正仿宋_GBK"/>
          <w:b w:val="0"/>
          <w:bCs/>
          <w:color w:val="auto"/>
          <w:sz w:val="32"/>
          <w:szCs w:val="32"/>
          <w:shd w:val="clear" w:color="auto" w:fill="FFFFFF"/>
          <w:lang w:eastAsia="zh-CN"/>
        </w:rPr>
        <w:t>追加了</w:t>
      </w:r>
      <w:r>
        <w:rPr>
          <w:rFonts w:hint="eastAsia" w:ascii="Times New Roman" w:hAnsi="Times New Roman" w:eastAsia="方正仿宋_GBK" w:cs="方正仿宋_GBK"/>
          <w:b w:val="0"/>
          <w:bCs/>
          <w:color w:val="auto"/>
          <w:sz w:val="32"/>
          <w:szCs w:val="32"/>
          <w:shd w:val="clear" w:color="auto" w:fill="FFFFFF"/>
          <w:lang w:val="en-US" w:eastAsia="zh-CN"/>
        </w:rPr>
        <w:t>基本公共卫生服务预算收入673.49万元。</w:t>
      </w:r>
      <w:r>
        <w:rPr>
          <w:rFonts w:ascii="Times New Roman" w:hAnsi="Times New Roman" w:eastAsia="方正仿宋_GBK" w:cs="方正仿宋_GBK"/>
          <w:b w:val="0"/>
          <w:bCs/>
          <w:color w:val="auto"/>
          <w:sz w:val="32"/>
          <w:szCs w:val="32"/>
          <w:shd w:val="clear" w:color="auto" w:fill="FFFFFF"/>
        </w:rPr>
        <w:t>此外，年初财政拨款结转和结余</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color w:val="auto"/>
          <w:sz w:val="32"/>
          <w:szCs w:val="32"/>
          <w:shd w:val="clear" w:color="auto" w:fill="FFFFFF"/>
          <w:lang w:val="en-US" w:eastAsia="zh-CN"/>
        </w:rPr>
      </w:pPr>
      <w:r>
        <w:rPr>
          <w:rStyle w:val="11"/>
          <w:rFonts w:ascii="Times New Roman" w:hAnsi="Times New Roman" w:eastAsia="方正仿宋_GBK" w:cs="方正仿宋_GBK"/>
          <w:b w:val="0"/>
          <w:bCs/>
          <w:color w:val="auto"/>
          <w:sz w:val="32"/>
          <w:szCs w:val="32"/>
          <w:shd w:val="clear" w:color="auto" w:fill="FFFFFF"/>
        </w:rPr>
        <w:t>2.支出情况。</w:t>
      </w:r>
      <w:r>
        <w:rPr>
          <w:rFonts w:ascii="Times New Roman" w:hAnsi="Times New Roman" w:eastAsia="方正仿宋_GBK" w:cs="方正仿宋_GBK"/>
          <w:b w:val="0"/>
          <w:bCs/>
          <w:color w:val="auto"/>
          <w:sz w:val="32"/>
          <w:szCs w:val="32"/>
          <w:shd w:val="clear" w:color="auto" w:fill="FFFFFF"/>
        </w:rPr>
        <w:t>2023年度一般公共预算财政拨款支出</w:t>
      </w:r>
      <w:r>
        <w:rPr>
          <w:rFonts w:ascii="Times New Roman" w:hAnsi="Times New Roman" w:eastAsia="方正仿宋_GBK" w:cs="方正仿宋_GBK"/>
          <w:b w:val="0"/>
          <w:bCs/>
          <w:color w:val="auto"/>
          <w:sz w:val="32"/>
          <w:szCs w:val="32"/>
        </w:rPr>
        <w:t>1498.26</w:t>
      </w:r>
      <w:r>
        <w:rPr>
          <w:rFonts w:ascii="Times New Roman" w:hAnsi="Times New Roman" w:eastAsia="方正仿宋_GBK" w:cs="方正仿宋_GBK"/>
          <w:b w:val="0"/>
          <w:bCs/>
          <w:color w:val="auto"/>
          <w:sz w:val="32"/>
          <w:szCs w:val="32"/>
          <w:shd w:val="clear" w:color="auto" w:fill="FFFFFF"/>
        </w:rPr>
        <w:t>万元，较上年决算数增加1.75万元，增长0.12%。主要原因是</w:t>
      </w:r>
      <w:r>
        <w:rPr>
          <w:rFonts w:hint="eastAsia" w:ascii="Times New Roman" w:hAnsi="Times New Roman" w:eastAsia="方正仿宋_GBK" w:cs="方正仿宋_GBK"/>
          <w:b w:val="0"/>
          <w:bCs/>
          <w:color w:val="auto"/>
          <w:sz w:val="32"/>
          <w:szCs w:val="32"/>
          <w:shd w:val="clear" w:color="auto" w:fill="FFFFFF"/>
          <w:lang w:val="en-US" w:eastAsia="zh-CN"/>
        </w:rPr>
        <w:t>2023年发放了医务人员防疫补助</w:t>
      </w:r>
      <w:r>
        <w:rPr>
          <w:rFonts w:ascii="Times New Roman" w:hAnsi="Times New Roman" w:eastAsia="方正仿宋_GBK" w:cs="方正仿宋_GBK"/>
          <w:b w:val="0"/>
          <w:bCs/>
          <w:color w:val="auto"/>
          <w:sz w:val="32"/>
          <w:szCs w:val="32"/>
          <w:shd w:val="clear" w:color="auto" w:fill="FFFFFF"/>
        </w:rPr>
        <w:t>。较年初预算数增加806.37万元，增长116.55%。主要原因是</w:t>
      </w:r>
      <w:r>
        <w:rPr>
          <w:rFonts w:hint="eastAsia" w:ascii="Times New Roman" w:hAnsi="Times New Roman" w:eastAsia="方正仿宋_GBK" w:cs="方正仿宋_GBK"/>
          <w:b w:val="0"/>
          <w:bCs/>
          <w:color w:val="auto"/>
          <w:sz w:val="32"/>
          <w:szCs w:val="32"/>
          <w:shd w:val="clear" w:color="auto" w:fill="FFFFFF"/>
          <w:lang w:eastAsia="zh-CN"/>
        </w:rPr>
        <w:t>年初未预算</w:t>
      </w:r>
      <w:r>
        <w:rPr>
          <w:rFonts w:hint="eastAsia" w:ascii="Times New Roman" w:hAnsi="Times New Roman" w:eastAsia="方正仿宋_GBK" w:cs="方正仿宋_GBK"/>
          <w:b w:val="0"/>
          <w:bCs/>
          <w:color w:val="auto"/>
          <w:sz w:val="32"/>
          <w:szCs w:val="32"/>
          <w:shd w:val="clear" w:color="auto" w:fill="FFFFFF"/>
          <w:lang w:val="en-US" w:eastAsia="zh-CN"/>
        </w:rPr>
        <w:t>基本公共卫生服务支出和医务人员临时补助支出。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color w:val="auto"/>
          <w:sz w:val="32"/>
          <w:szCs w:val="32"/>
          <w:shd w:val="clear" w:color="auto" w:fill="FFFFFF"/>
          <w:lang w:val="en-US" w:eastAsia="zh-CN"/>
        </w:rPr>
      </w:pPr>
      <w:r>
        <w:rPr>
          <w:rStyle w:val="11"/>
          <w:rFonts w:ascii="Times New Roman" w:hAnsi="Times New Roman" w:eastAsia="方正仿宋_GBK" w:cs="方正仿宋_GBK"/>
          <w:b w:val="0"/>
          <w:bCs/>
          <w:color w:val="auto"/>
          <w:sz w:val="32"/>
          <w:szCs w:val="32"/>
          <w:shd w:val="clear" w:color="auto" w:fill="FFFFFF"/>
        </w:rPr>
        <w:t>3.结转结余情况。</w:t>
      </w:r>
      <w:r>
        <w:rPr>
          <w:rFonts w:ascii="Times New Roman" w:hAnsi="Times New Roman" w:eastAsia="方正仿宋_GBK" w:cs="方正仿宋_GBK"/>
          <w:b w:val="0"/>
          <w:bCs/>
          <w:color w:val="auto"/>
          <w:sz w:val="32"/>
          <w:szCs w:val="32"/>
          <w:shd w:val="clear" w:color="auto" w:fill="FFFFFF"/>
        </w:rPr>
        <w:t>2023年度年末一般公共预算财政拨款结转和结余</w:t>
      </w:r>
      <w:r>
        <w:rPr>
          <w:rFonts w:ascii="Times New Roman" w:hAnsi="Times New Roman" w:eastAsia="方正仿宋_GBK" w:cs="方正仿宋_GBK"/>
          <w:b w:val="0"/>
          <w:bCs/>
          <w:color w:val="auto"/>
          <w:sz w:val="32"/>
          <w:szCs w:val="32"/>
        </w:rPr>
        <w:t>66.98</w:t>
      </w:r>
      <w:r>
        <w:rPr>
          <w:rFonts w:ascii="Times New Roman" w:hAnsi="Times New Roman" w:eastAsia="方正仿宋_GBK" w:cs="方正仿宋_GBK"/>
          <w:b w:val="0"/>
          <w:bCs/>
          <w:color w:val="auto"/>
          <w:sz w:val="32"/>
          <w:szCs w:val="32"/>
          <w:shd w:val="clear" w:color="auto" w:fill="FFFFFF"/>
        </w:rPr>
        <w:t>万元，较上年决算数增加66.98万元，增长100.00%，主要原因是</w:t>
      </w:r>
      <w:r>
        <w:rPr>
          <w:rFonts w:hint="eastAsia" w:ascii="Times New Roman" w:hAnsi="Times New Roman" w:eastAsia="方正仿宋_GBK" w:cs="方正仿宋_GBK"/>
          <w:b w:val="0"/>
          <w:bCs/>
          <w:color w:val="auto"/>
          <w:sz w:val="32"/>
          <w:szCs w:val="32"/>
          <w:shd w:val="clear" w:color="auto" w:fill="FFFFFF"/>
          <w:lang w:val="en-US" w:eastAsia="zh-CN"/>
        </w:rPr>
        <w:t>2023年有66.98万元的绩效结转到下一年支付。</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highlight w:val="cyan"/>
          <w:shd w:val="clear" w:color="auto" w:fill="FFFFFF"/>
        </w:rPr>
      </w:pPr>
      <w:r>
        <w:rPr>
          <w:rStyle w:val="11"/>
          <w:rFonts w:ascii="Times New Roman" w:hAnsi="Times New Roman" w:eastAsia="方正仿宋_GBK" w:cs="方正仿宋_GBK"/>
          <w:b w:val="0"/>
          <w:bCs/>
          <w:color w:val="auto"/>
          <w:sz w:val="32"/>
          <w:szCs w:val="32"/>
          <w:shd w:val="clear" w:color="auto" w:fill="FFFFFF"/>
        </w:rPr>
        <w:t>4.比较情况。</w:t>
      </w: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2023年度一般公共预算财政拨款支出主要用于以下几个方面：</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w:t>
      </w:r>
      <w:r>
        <w:rPr>
          <w:rFonts w:hint="eastAsia" w:ascii="Times New Roman" w:hAnsi="Times New Roman" w:eastAsia="方正仿宋_GBK" w:cs="方正仿宋_GBK"/>
          <w:b w:val="0"/>
          <w:bCs/>
          <w:color w:val="auto"/>
          <w:sz w:val="32"/>
          <w:szCs w:val="32"/>
          <w:shd w:val="clear" w:color="auto" w:fill="FFFFFF"/>
          <w:lang w:val="en-US" w:eastAsia="zh-CN"/>
        </w:rPr>
        <w:t>1</w:t>
      </w:r>
      <w:r>
        <w:rPr>
          <w:rFonts w:ascii="Times New Roman" w:hAnsi="Times New Roman" w:eastAsia="方正仿宋_GBK" w:cs="方正仿宋_GBK"/>
          <w:b w:val="0"/>
          <w:bCs/>
          <w:color w:val="auto"/>
          <w:sz w:val="32"/>
          <w:szCs w:val="32"/>
          <w:shd w:val="clear" w:color="auto" w:fill="FFFFFF"/>
        </w:rPr>
        <w:t>）社会保障与就业支出</w:t>
      </w:r>
      <w:r>
        <w:rPr>
          <w:rFonts w:ascii="Times New Roman" w:hAnsi="Times New Roman" w:eastAsia="方正仿宋_GBK" w:cs="方正仿宋_GBK"/>
          <w:b w:val="0"/>
          <w:bCs/>
          <w:color w:val="auto"/>
          <w:sz w:val="32"/>
          <w:szCs w:val="32"/>
        </w:rPr>
        <w:t>133.15</w:t>
      </w:r>
      <w:r>
        <w:rPr>
          <w:rFonts w:ascii="Times New Roman" w:hAnsi="Times New Roman" w:eastAsia="方正仿宋_GBK" w:cs="方正仿宋_GBK"/>
          <w:b w:val="0"/>
          <w:bCs/>
          <w:color w:val="auto"/>
          <w:sz w:val="32"/>
          <w:szCs w:val="32"/>
          <w:shd w:val="clear" w:color="auto" w:fill="FFFFFF"/>
        </w:rPr>
        <w:t>万元，占8.89%，较年初预算数减少22.68万元，下降14.55%，主要原因是</w:t>
      </w:r>
      <w:r>
        <w:rPr>
          <w:rFonts w:hint="eastAsia" w:ascii="Times New Roman" w:hAnsi="Times New Roman" w:eastAsia="方正仿宋_GBK" w:cs="方正仿宋_GBK"/>
          <w:b w:val="0"/>
          <w:bCs/>
          <w:color w:val="auto"/>
          <w:sz w:val="32"/>
          <w:szCs w:val="32"/>
          <w:shd w:val="clear" w:color="auto" w:fill="FFFFFF"/>
          <w:lang w:eastAsia="zh-CN"/>
        </w:rPr>
        <w:t>人员减少导致配套养老和年金支出减少</w:t>
      </w:r>
      <w:r>
        <w:rPr>
          <w:rFonts w:ascii="Times New Roman" w:hAnsi="Times New Roman" w:eastAsia="方正仿宋_GBK" w:cs="方正仿宋_GBK"/>
          <w:b w:val="0"/>
          <w:bCs/>
          <w:color w:val="auto"/>
          <w:sz w:val="32"/>
          <w:szCs w:val="32"/>
          <w:shd w:val="clear" w:color="auto" w:fill="FFFFFF"/>
        </w:rPr>
        <w:t>。</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w:t>
      </w:r>
      <w:r>
        <w:rPr>
          <w:rFonts w:hint="eastAsia" w:ascii="Times New Roman" w:hAnsi="Times New Roman" w:eastAsia="方正仿宋_GBK" w:cs="方正仿宋_GBK"/>
          <w:b w:val="0"/>
          <w:bCs/>
          <w:color w:val="auto"/>
          <w:sz w:val="32"/>
          <w:szCs w:val="32"/>
          <w:shd w:val="clear" w:color="auto" w:fill="FFFFFF"/>
          <w:lang w:val="en-US" w:eastAsia="zh-CN"/>
        </w:rPr>
        <w:t>2</w:t>
      </w:r>
      <w:r>
        <w:rPr>
          <w:rFonts w:ascii="Times New Roman" w:hAnsi="Times New Roman" w:eastAsia="方正仿宋_GBK" w:cs="方正仿宋_GBK"/>
          <w:b w:val="0"/>
          <w:bCs/>
          <w:color w:val="auto"/>
          <w:sz w:val="32"/>
          <w:szCs w:val="32"/>
          <w:shd w:val="clear" w:color="auto" w:fill="FFFFFF"/>
        </w:rPr>
        <w:t>）卫生健康支出</w:t>
      </w:r>
      <w:r>
        <w:rPr>
          <w:rFonts w:ascii="Times New Roman" w:hAnsi="Times New Roman" w:eastAsia="方正仿宋_GBK" w:cs="方正仿宋_GBK"/>
          <w:b w:val="0"/>
          <w:bCs/>
          <w:color w:val="auto"/>
          <w:sz w:val="32"/>
          <w:szCs w:val="32"/>
        </w:rPr>
        <w:t>1333.92</w:t>
      </w:r>
      <w:r>
        <w:rPr>
          <w:rFonts w:ascii="Times New Roman" w:hAnsi="Times New Roman" w:eastAsia="方正仿宋_GBK" w:cs="方正仿宋_GBK"/>
          <w:b w:val="0"/>
          <w:bCs/>
          <w:color w:val="auto"/>
          <w:sz w:val="32"/>
          <w:szCs w:val="32"/>
          <w:shd w:val="clear" w:color="auto" w:fill="FFFFFF"/>
        </w:rPr>
        <w:t>万元，占</w:t>
      </w:r>
      <w:r>
        <w:rPr>
          <w:rFonts w:ascii="Times New Roman" w:hAnsi="Times New Roman" w:eastAsia="方正仿宋_GBK" w:cs="方正仿宋_GBK"/>
          <w:b w:val="0"/>
          <w:bCs/>
          <w:color w:val="auto"/>
          <w:sz w:val="32"/>
          <w:szCs w:val="32"/>
        </w:rPr>
        <w:t>89.03</w:t>
      </w:r>
      <w:r>
        <w:rPr>
          <w:rFonts w:ascii="Times New Roman" w:hAnsi="Times New Roman" w:eastAsia="方正仿宋_GBK" w:cs="方正仿宋_GBK"/>
          <w:b w:val="0"/>
          <w:bCs/>
          <w:color w:val="auto"/>
          <w:sz w:val="32"/>
          <w:szCs w:val="32"/>
          <w:shd w:val="clear" w:color="auto" w:fill="FFFFFF"/>
        </w:rPr>
        <w:t>%，较年初预算数增加846.54万元，增长173.69%，主要原因是</w:t>
      </w:r>
      <w:r>
        <w:rPr>
          <w:rFonts w:hint="eastAsia" w:ascii="Times New Roman" w:hAnsi="Times New Roman" w:eastAsia="方正仿宋_GBK" w:cs="方正仿宋_GBK"/>
          <w:b w:val="0"/>
          <w:bCs/>
          <w:color w:val="auto"/>
          <w:sz w:val="32"/>
          <w:szCs w:val="32"/>
          <w:shd w:val="clear" w:color="auto" w:fill="FFFFFF"/>
          <w:lang w:eastAsia="zh-CN"/>
        </w:rPr>
        <w:t>年初未预算</w:t>
      </w:r>
      <w:r>
        <w:rPr>
          <w:rFonts w:hint="eastAsia" w:ascii="Times New Roman" w:hAnsi="Times New Roman" w:eastAsia="方正仿宋_GBK" w:cs="方正仿宋_GBK"/>
          <w:b w:val="0"/>
          <w:bCs/>
          <w:color w:val="auto"/>
          <w:sz w:val="32"/>
          <w:szCs w:val="32"/>
          <w:shd w:val="clear" w:color="auto" w:fill="FFFFFF"/>
          <w:lang w:val="en-US" w:eastAsia="zh-CN"/>
        </w:rPr>
        <w:t>基本公共卫生服务支出和医务人员临时补助支出。</w:t>
      </w:r>
    </w:p>
    <w:p>
      <w:pPr>
        <w:keepNext w:val="0"/>
        <w:keepLines w:val="0"/>
        <w:pageBreakBefore w:val="0"/>
        <w:widowControl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shd w:val="clear" w:color="auto" w:fill="FFFFFF"/>
        </w:rPr>
      </w:pPr>
      <w:r>
        <w:rPr>
          <w:rFonts w:ascii="Times New Roman" w:hAnsi="Times New Roman" w:eastAsia="方正仿宋_GBK" w:cs="方正仿宋_GBK"/>
          <w:b w:val="0"/>
          <w:bCs/>
          <w:color w:val="auto"/>
          <w:sz w:val="32"/>
          <w:szCs w:val="32"/>
          <w:shd w:val="clear" w:color="auto" w:fill="FFFFFF"/>
        </w:rPr>
        <w:t>（</w:t>
      </w:r>
      <w:r>
        <w:rPr>
          <w:rFonts w:hint="eastAsia" w:ascii="Times New Roman" w:hAnsi="Times New Roman" w:eastAsia="方正仿宋_GBK" w:cs="方正仿宋_GBK"/>
          <w:b w:val="0"/>
          <w:bCs/>
          <w:color w:val="auto"/>
          <w:sz w:val="32"/>
          <w:szCs w:val="32"/>
          <w:shd w:val="clear" w:color="auto" w:fill="FFFFFF"/>
          <w:lang w:val="en-US" w:eastAsia="zh-CN"/>
        </w:rPr>
        <w:t>3</w:t>
      </w:r>
      <w:r>
        <w:rPr>
          <w:rFonts w:ascii="Times New Roman" w:hAnsi="Times New Roman" w:eastAsia="方正仿宋_GBK" w:cs="方正仿宋_GBK"/>
          <w:b w:val="0"/>
          <w:bCs/>
          <w:color w:val="auto"/>
          <w:sz w:val="32"/>
          <w:szCs w:val="32"/>
          <w:shd w:val="clear" w:color="auto" w:fill="FFFFFF"/>
        </w:rPr>
        <w:t>）</w:t>
      </w:r>
      <w:r>
        <w:rPr>
          <w:rFonts w:ascii="Times New Roman" w:hAnsi="Times New Roman" w:eastAsia="方正仿宋_GBK" w:cs="方正仿宋_GBK"/>
          <w:b w:val="0"/>
          <w:bCs/>
          <w:color w:val="auto"/>
          <w:sz w:val="32"/>
          <w:szCs w:val="32"/>
        </w:rPr>
        <w:t>住房保障支出31.19</w:t>
      </w:r>
      <w:r>
        <w:rPr>
          <w:rFonts w:ascii="Times New Roman" w:hAnsi="Times New Roman" w:eastAsia="方正仿宋_GBK" w:cs="方正仿宋_GBK"/>
          <w:b w:val="0"/>
          <w:bCs/>
          <w:color w:val="auto"/>
          <w:sz w:val="32"/>
          <w:szCs w:val="32"/>
          <w:shd w:val="clear" w:color="auto" w:fill="FFFFFF"/>
        </w:rPr>
        <w:t>万元，占</w:t>
      </w:r>
      <w:r>
        <w:rPr>
          <w:rFonts w:ascii="Times New Roman" w:hAnsi="Times New Roman" w:eastAsia="方正仿宋_GBK" w:cs="方正仿宋_GBK"/>
          <w:b w:val="0"/>
          <w:bCs/>
          <w:color w:val="auto"/>
          <w:sz w:val="32"/>
          <w:szCs w:val="32"/>
        </w:rPr>
        <w:t>2.08</w:t>
      </w:r>
      <w:r>
        <w:rPr>
          <w:rFonts w:ascii="Times New Roman" w:hAnsi="Times New Roman" w:eastAsia="方正仿宋_GBK" w:cs="方正仿宋_GBK"/>
          <w:b w:val="0"/>
          <w:bCs/>
          <w:color w:val="auto"/>
          <w:sz w:val="32"/>
          <w:szCs w:val="32"/>
          <w:shd w:val="clear" w:color="auto" w:fill="FFFFFF"/>
        </w:rPr>
        <w:t>%，较年初预算数减少17.49万元，下降35.93%，主要原因是</w:t>
      </w:r>
      <w:r>
        <w:rPr>
          <w:rFonts w:hint="eastAsia" w:ascii="Times New Roman" w:hAnsi="Times New Roman" w:eastAsia="方正仿宋_GBK" w:cs="方正仿宋_GBK"/>
          <w:b w:val="0"/>
          <w:bCs/>
          <w:color w:val="auto"/>
          <w:sz w:val="32"/>
          <w:szCs w:val="32"/>
          <w:shd w:val="clear" w:color="auto" w:fill="FFFFFF"/>
          <w:lang w:eastAsia="zh-CN"/>
        </w:rPr>
        <w:t>人员减少，相应住房公积金支出减少</w:t>
      </w:r>
      <w:r>
        <w:rPr>
          <w:rFonts w:ascii="Times New Roman" w:hAnsi="Times New Roman" w:eastAsia="方正仿宋_GBK" w:cs="方正仿宋_GBK"/>
          <w:b w:val="0"/>
          <w:bCs/>
          <w:color w:val="auto"/>
          <w:sz w:val="32"/>
          <w:szCs w:val="32"/>
          <w:shd w:val="clear" w:color="auto" w:fill="FFFFFF"/>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（四）一般公共预算财政拨款基本支出决算情况说明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2023年度一般公共财政拨款基本支出</w:t>
      </w:r>
      <w:r>
        <w:rPr>
          <w:rFonts w:ascii="Times New Roman" w:hAnsi="Times New Roman" w:eastAsia="方正仿宋_GBK" w:cs="方正仿宋_GBK"/>
          <w:b w:val="0"/>
          <w:bCs/>
          <w:color w:val="auto"/>
          <w:sz w:val="32"/>
          <w:szCs w:val="32"/>
        </w:rPr>
        <w:t>1372.04</w:t>
      </w:r>
      <w:r>
        <w:rPr>
          <w:rFonts w:ascii="Times New Roman" w:hAnsi="Times New Roman" w:eastAsia="方正仿宋_GBK" w:cs="方正仿宋_GBK"/>
          <w:b w:val="0"/>
          <w:bCs/>
          <w:color w:val="auto"/>
          <w:sz w:val="32"/>
          <w:szCs w:val="32"/>
          <w:shd w:val="clear" w:color="auto" w:fill="FFFFFF"/>
        </w:rPr>
        <w:t>万元。其中：人员经费</w:t>
      </w:r>
      <w:r>
        <w:rPr>
          <w:rFonts w:ascii="Times New Roman" w:hAnsi="Times New Roman" w:eastAsia="方正仿宋_GBK" w:cs="方正仿宋_GBK"/>
          <w:b w:val="0"/>
          <w:bCs/>
          <w:color w:val="auto"/>
          <w:sz w:val="32"/>
          <w:szCs w:val="32"/>
        </w:rPr>
        <w:t>1096.73</w:t>
      </w:r>
      <w:r>
        <w:rPr>
          <w:rFonts w:ascii="Times New Roman" w:hAnsi="Times New Roman" w:eastAsia="方正仿宋_GBK" w:cs="方正仿宋_GBK"/>
          <w:b w:val="0"/>
          <w:bCs/>
          <w:color w:val="auto"/>
          <w:sz w:val="32"/>
          <w:szCs w:val="32"/>
          <w:shd w:val="clear" w:color="auto" w:fill="FFFFFF"/>
        </w:rPr>
        <w:t>万元，较上年决算数增加138.88万元，增长14.50%，主要原因是</w:t>
      </w:r>
      <w:r>
        <w:rPr>
          <w:rFonts w:hint="eastAsia" w:ascii="Times New Roman" w:hAnsi="Times New Roman" w:eastAsia="方正仿宋_GBK" w:cs="方正仿宋_GBK"/>
          <w:b w:val="0"/>
          <w:bCs/>
          <w:color w:val="auto"/>
          <w:sz w:val="32"/>
          <w:szCs w:val="32"/>
          <w:shd w:val="clear" w:color="auto" w:fill="FFFFFF"/>
          <w:lang w:val="en-US" w:eastAsia="zh-CN"/>
        </w:rPr>
        <w:t>2023年发放疫情补助，工资福利支出增加。</w:t>
      </w:r>
      <w:r>
        <w:rPr>
          <w:rFonts w:ascii="Times New Roman" w:hAnsi="Times New Roman" w:eastAsia="方正仿宋_GBK" w:cs="方正仿宋_GBK"/>
          <w:b w:val="0"/>
          <w:bCs/>
          <w:color w:val="auto"/>
          <w:sz w:val="32"/>
          <w:szCs w:val="32"/>
          <w:shd w:val="clear" w:color="auto" w:fill="FFFFFF"/>
        </w:rPr>
        <w:t>人员经费用途主要包括</w:t>
      </w:r>
      <w:r>
        <w:rPr>
          <w:rFonts w:hint="eastAsia" w:ascii="Times New Roman" w:hAnsi="Times New Roman" w:eastAsia="方正仿宋_GBK" w:cs="方正仿宋_GBK"/>
          <w:b w:val="0"/>
          <w:bCs/>
          <w:color w:val="auto"/>
          <w:sz w:val="32"/>
          <w:szCs w:val="32"/>
          <w:shd w:val="clear" w:color="auto" w:fill="FFFFFF"/>
          <w:lang w:eastAsia="zh-CN"/>
        </w:rPr>
        <w:t>基本工资、绩效、津贴补贴、社会保障支出和对个人和家庭的补助等。</w:t>
      </w:r>
      <w:r>
        <w:rPr>
          <w:rFonts w:ascii="Times New Roman" w:hAnsi="Times New Roman" w:eastAsia="方正仿宋_GBK" w:cs="方正仿宋_GBK"/>
          <w:b w:val="0"/>
          <w:bCs/>
          <w:color w:val="auto"/>
          <w:sz w:val="32"/>
          <w:szCs w:val="32"/>
          <w:shd w:val="clear" w:color="auto" w:fill="FFFFFF"/>
        </w:rPr>
        <w:t>公用经费</w:t>
      </w:r>
      <w:r>
        <w:rPr>
          <w:rFonts w:ascii="Times New Roman" w:hAnsi="Times New Roman" w:eastAsia="方正仿宋_GBK" w:cs="方正仿宋_GBK"/>
          <w:b w:val="0"/>
          <w:bCs/>
          <w:color w:val="auto"/>
          <w:sz w:val="32"/>
          <w:szCs w:val="32"/>
        </w:rPr>
        <w:t>275.31</w:t>
      </w:r>
      <w:r>
        <w:rPr>
          <w:rFonts w:ascii="Times New Roman" w:hAnsi="Times New Roman" w:eastAsia="方正仿宋_GBK" w:cs="方正仿宋_GBK"/>
          <w:b w:val="0"/>
          <w:bCs/>
          <w:color w:val="auto"/>
          <w:sz w:val="32"/>
          <w:szCs w:val="32"/>
          <w:shd w:val="clear" w:color="auto" w:fill="FFFFFF"/>
        </w:rPr>
        <w:t>万元，较上年决算数减少198.35万元，下降41.88%，主要原因是</w:t>
      </w:r>
      <w:r>
        <w:rPr>
          <w:rFonts w:hint="eastAsia" w:ascii="Times New Roman" w:hAnsi="Times New Roman" w:eastAsia="方正仿宋_GBK" w:cs="方正仿宋_GBK"/>
          <w:b w:val="0"/>
          <w:bCs/>
          <w:color w:val="auto"/>
          <w:sz w:val="32"/>
          <w:szCs w:val="32"/>
          <w:shd w:val="clear" w:color="auto" w:fill="FFFFFF"/>
          <w:lang w:eastAsia="zh-CN"/>
        </w:rPr>
        <w:t>与上年相比防疫支出大幅减少</w:t>
      </w:r>
      <w:r>
        <w:rPr>
          <w:rFonts w:ascii="Times New Roman" w:hAnsi="Times New Roman" w:eastAsia="方正仿宋_GBK" w:cs="方正仿宋_GBK"/>
          <w:b w:val="0"/>
          <w:bCs/>
          <w:color w:val="auto"/>
          <w:sz w:val="32"/>
          <w:szCs w:val="32"/>
          <w:shd w:val="clear" w:color="auto" w:fill="FFFFFF"/>
        </w:rPr>
        <w:t>。公用经费用途主要包括</w:t>
      </w:r>
      <w:r>
        <w:rPr>
          <w:rFonts w:hint="eastAsia" w:ascii="Times New Roman" w:hAnsi="Times New Roman" w:eastAsia="方正仿宋_GBK" w:cs="方正仿宋_GBK"/>
          <w:b w:val="0"/>
          <w:bCs/>
          <w:color w:val="auto"/>
          <w:sz w:val="32"/>
          <w:szCs w:val="32"/>
          <w:shd w:val="clear" w:color="auto" w:fill="FFFFFF"/>
          <w:lang w:eastAsia="zh-CN"/>
        </w:rPr>
        <w:t>用于公共卫生的专用材料费、水电费和办公费等。</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（五）政府性基金预算收支决算情况说明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2023年度无政府性基金预算财政拨款收支</w:t>
      </w:r>
      <w:r>
        <w:rPr>
          <w:rFonts w:hint="eastAsia" w:ascii="Times New Roman" w:hAnsi="Times New Roman" w:eastAsia="方正仿宋_GBK" w:cs="方正仿宋_GBK"/>
          <w:b w:val="0"/>
          <w:bCs/>
          <w:color w:val="auto"/>
          <w:sz w:val="32"/>
          <w:szCs w:val="32"/>
          <w:shd w:val="clear" w:color="auto" w:fill="FFFFFF"/>
          <w:lang w:eastAsia="zh-CN"/>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（六）国有资本经营预算财政拨款支出决算情况说明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shd w:val="clear" w:color="auto" w:fill="FFFFFF"/>
        </w:rPr>
      </w:pP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2023年度无国有资本经营预算财政拨款支出。</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rPr>
        <w:t>三、“三公”经费情况说明</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（一）“三公”经费支出总体情况说明</w:t>
      </w: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firstLine="643"/>
        <w:jc w:val="both"/>
        <w:textAlignment w:val="auto"/>
        <w:rPr>
          <w:rFonts w:hint="eastAsia" w:ascii="Times New Roman" w:hAnsi="Times New Roman" w:eastAsia="方正仿宋_GBK" w:cs="方正仿宋_GBK"/>
          <w:b w:val="0"/>
          <w:bCs/>
          <w:color w:val="auto"/>
          <w:sz w:val="32"/>
          <w:szCs w:val="32"/>
          <w:shd w:val="clear" w:color="auto" w:fill="FFFFFF"/>
          <w:lang w:eastAsia="zh-CN"/>
        </w:rPr>
      </w:pPr>
      <w:r>
        <w:rPr>
          <w:rFonts w:hint="eastAsia" w:ascii="Times New Roman" w:hAnsi="Times New Roman" w:eastAsia="方正仿宋_GBK" w:cs="方正仿宋_GBK"/>
          <w:b w:val="0"/>
          <w:bCs/>
          <w:color w:val="auto"/>
          <w:sz w:val="32"/>
          <w:szCs w:val="32"/>
          <w:shd w:val="clear" w:color="auto" w:fill="FFFFFF"/>
          <w:lang w:eastAsia="zh-CN"/>
        </w:rPr>
        <w:t>本单位属于差额拨款单位，财政未保障本单位“三公”经费。</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lang w:eastAsia="zh-CN"/>
        </w:rPr>
        <w:t>（</w:t>
      </w:r>
      <w:r>
        <w:rPr>
          <w:rStyle w:val="11"/>
          <w:rFonts w:hint="eastAsia" w:ascii="方正楷体_GBK" w:hAnsi="方正楷体_GBK" w:eastAsia="方正楷体_GBK" w:cs="方正楷体_GBK"/>
          <w:b w:val="0"/>
          <w:bCs/>
          <w:color w:val="auto"/>
          <w:sz w:val="32"/>
          <w:szCs w:val="32"/>
          <w:shd w:val="clear" w:color="auto" w:fill="FFFFFF"/>
          <w:lang w:val="en-US" w:eastAsia="zh-CN"/>
        </w:rPr>
        <w:t>二</w:t>
      </w:r>
      <w:r>
        <w:rPr>
          <w:rStyle w:val="11"/>
          <w:rFonts w:hint="eastAsia" w:ascii="方正楷体_GBK" w:hAnsi="方正楷体_GBK" w:eastAsia="方正楷体_GBK" w:cs="方正楷体_GBK"/>
          <w:b w:val="0"/>
          <w:bCs/>
          <w:color w:val="auto"/>
          <w:sz w:val="32"/>
          <w:szCs w:val="32"/>
          <w:shd w:val="clear" w:color="auto" w:fill="FFFFFF"/>
          <w:lang w:eastAsia="zh-CN"/>
        </w:rPr>
        <w:t>）</w:t>
      </w:r>
      <w:r>
        <w:rPr>
          <w:rStyle w:val="11"/>
          <w:rFonts w:hint="eastAsia" w:ascii="方正楷体_GBK" w:hAnsi="方正楷体_GBK" w:eastAsia="方正楷体_GBK" w:cs="方正楷体_GBK"/>
          <w:b w:val="0"/>
          <w:bCs/>
          <w:color w:val="auto"/>
          <w:sz w:val="32"/>
          <w:szCs w:val="32"/>
          <w:shd w:val="clear" w:color="auto" w:fill="FFFFFF"/>
        </w:rPr>
        <w:t>“三公”经费分项支出情况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（三）“三公”经费实物量情况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2023年度</w:t>
      </w: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因公出国（境）共计</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个团组，</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人；公务用车购置</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辆，公务车保有量为</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辆；国内公务接待</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批次</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人，其中：国内外事接待</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批次，</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人；国（境）外公务接待</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批次，</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人。2023年</w:t>
      </w: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人均接待费</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元，车均购置费</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万元，车均维护费</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万元。</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lang w:val="en-US" w:eastAsia="zh-CN"/>
        </w:rPr>
        <w:t>四、</w:t>
      </w:r>
      <w:r>
        <w:rPr>
          <w:rStyle w:val="11"/>
          <w:rFonts w:hint="eastAsia" w:ascii="方正黑体_GBK" w:hAnsi="方正黑体_GBK" w:eastAsia="方正黑体_GBK" w:cs="方正黑体_GBK"/>
          <w:b w:val="0"/>
          <w:bCs/>
          <w:color w:val="auto"/>
          <w:sz w:val="32"/>
          <w:szCs w:val="32"/>
          <w:shd w:val="clear" w:color="auto" w:fill="FFFFFF"/>
        </w:rPr>
        <w:t>其他需要说明的事项</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（一）财政拨款会议费和培训费情况说明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color w:val="auto"/>
          <w:sz w:val="32"/>
          <w:szCs w:val="32"/>
          <w:lang w:eastAsia="zh-CN"/>
        </w:rPr>
      </w:pPr>
      <w:r>
        <w:rPr>
          <w:rFonts w:hint="eastAsia" w:ascii="Times New Roman" w:hAnsi="Times New Roman" w:eastAsia="方正仿宋_GBK" w:cs="方正仿宋_GBK"/>
          <w:b w:val="0"/>
          <w:bCs/>
          <w:color w:val="auto"/>
          <w:sz w:val="32"/>
          <w:szCs w:val="32"/>
          <w:shd w:val="clear" w:color="auto" w:fill="FFFFFF"/>
          <w:lang w:eastAsia="zh-CN"/>
        </w:rPr>
        <w:t>因本单位属于差额拨款单位，财政未保障本单位</w:t>
      </w:r>
      <w:r>
        <w:rPr>
          <w:rFonts w:hint="default" w:ascii="Times New Roman" w:hAnsi="Times New Roman" w:eastAsia="方正仿宋_GBK" w:cs="方正仿宋_GBK"/>
          <w:b w:val="0"/>
          <w:bCs/>
          <w:color w:val="auto"/>
          <w:sz w:val="32"/>
          <w:szCs w:val="32"/>
        </w:rPr>
        <w:t>会议费和培训费</w:t>
      </w:r>
      <w:r>
        <w:rPr>
          <w:rFonts w:hint="eastAsia" w:ascii="Times New Roman" w:hAnsi="Times New Roman" w:eastAsia="方正仿宋_GBK" w:cs="方正仿宋_GBK"/>
          <w:b w:val="0"/>
          <w:bCs/>
          <w:color w:val="auto"/>
          <w:sz w:val="32"/>
          <w:szCs w:val="32"/>
          <w:lang w:eastAsia="zh-CN"/>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（二）机关运行经费情况说明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color w:val="auto"/>
          <w:sz w:val="32"/>
          <w:szCs w:val="32"/>
          <w:lang w:eastAsia="zh-CN"/>
        </w:rPr>
      </w:pPr>
      <w:r>
        <w:rPr>
          <w:rFonts w:hint="eastAsia" w:ascii="Times New Roman" w:hAnsi="Times New Roman" w:eastAsia="方正仿宋_GBK" w:cs="方正仿宋_GBK"/>
          <w:b w:val="0"/>
          <w:bCs/>
          <w:color w:val="auto"/>
          <w:sz w:val="32"/>
          <w:szCs w:val="32"/>
          <w:shd w:val="clear" w:color="auto" w:fill="FFFFFF"/>
          <w:lang w:eastAsia="zh-CN"/>
        </w:rPr>
        <w:t>因本单位属于差额拨款单位，财政未保障本单位机关运行经费</w:t>
      </w:r>
      <w:r>
        <w:rPr>
          <w:rFonts w:hint="eastAsia" w:ascii="Times New Roman" w:hAnsi="Times New Roman" w:eastAsia="方正仿宋_GBK" w:cs="方正仿宋_GBK"/>
          <w:b w:val="0"/>
          <w:bCs/>
          <w:color w:val="auto"/>
          <w:sz w:val="32"/>
          <w:szCs w:val="32"/>
          <w:lang w:eastAsia="zh-CN"/>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（三）国有资产占用情况说明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rPr>
      </w:pPr>
      <w:r>
        <w:rPr>
          <w:rFonts w:ascii="Times New Roman" w:hAnsi="Times New Roman" w:eastAsia="方正仿宋_GBK" w:cs="方正仿宋_GBK"/>
          <w:b w:val="0"/>
          <w:bCs/>
          <w:color w:val="auto"/>
          <w:sz w:val="32"/>
          <w:szCs w:val="32"/>
          <w:shd w:val="clear" w:color="auto" w:fill="FFFFFF"/>
        </w:rPr>
        <w:t>截至2023年12月31日，</w:t>
      </w: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共有车辆</w:t>
      </w:r>
      <w:r>
        <w:rPr>
          <w:rFonts w:ascii="Times New Roman" w:hAnsi="Times New Roman" w:eastAsia="方正仿宋_GBK" w:cs="方正仿宋_GBK"/>
          <w:b w:val="0"/>
          <w:bCs/>
          <w:color w:val="auto"/>
          <w:sz w:val="32"/>
          <w:szCs w:val="32"/>
        </w:rPr>
        <w:t>2</w:t>
      </w:r>
      <w:r>
        <w:rPr>
          <w:rFonts w:ascii="Times New Roman" w:hAnsi="Times New Roman" w:eastAsia="方正仿宋_GBK" w:cs="方正仿宋_GBK"/>
          <w:b w:val="0"/>
          <w:bCs/>
          <w:color w:val="auto"/>
          <w:sz w:val="32"/>
          <w:szCs w:val="32"/>
          <w:shd w:val="clear" w:color="auto" w:fill="FFFFFF"/>
        </w:rPr>
        <w:t>辆，其中，副部（省）级及以上领导用车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辆、主要负责人用车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辆、机要通信用车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辆、应急保障用车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辆、执法执勤用车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辆，特种专业技术用车</w:t>
      </w:r>
      <w:r>
        <w:rPr>
          <w:rFonts w:ascii="Times New Roman" w:hAnsi="Times New Roman" w:eastAsia="方正仿宋_GBK" w:cs="方正仿宋_GBK"/>
          <w:b w:val="0"/>
          <w:bCs/>
          <w:color w:val="auto"/>
          <w:sz w:val="32"/>
          <w:szCs w:val="32"/>
        </w:rPr>
        <w:t>2</w:t>
      </w:r>
      <w:r>
        <w:rPr>
          <w:rFonts w:ascii="Times New Roman" w:hAnsi="Times New Roman" w:eastAsia="方正仿宋_GBK" w:cs="方正仿宋_GBK"/>
          <w:b w:val="0"/>
          <w:bCs/>
          <w:color w:val="auto"/>
          <w:sz w:val="32"/>
          <w:szCs w:val="32"/>
          <w:shd w:val="clear" w:color="auto" w:fill="FFFFFF"/>
        </w:rPr>
        <w:t>辆，离退休干部用车</w:t>
      </w:r>
      <w:r>
        <w:rPr>
          <w:rFonts w:ascii="Times New Roman" w:hAnsi="Times New Roman" w:eastAsia="方正仿宋_GBK" w:cs="方正仿宋_GBK"/>
          <w:b w:val="0"/>
          <w:bCs/>
          <w:color w:val="auto"/>
          <w:sz w:val="32"/>
          <w:szCs w:val="32"/>
        </w:rPr>
        <w:t>0</w:t>
      </w:r>
      <w:r>
        <w:rPr>
          <w:rFonts w:ascii="Times New Roman" w:hAnsi="Times New Roman" w:eastAsia="方正仿宋_GBK" w:cs="方正仿宋_GBK"/>
          <w:b w:val="0"/>
          <w:bCs/>
          <w:color w:val="auto"/>
          <w:sz w:val="32"/>
          <w:szCs w:val="32"/>
          <w:shd w:val="clear" w:color="auto" w:fill="FFFFFF"/>
        </w:rPr>
        <w:t>辆。单价100万元（含）以上专用设备</w:t>
      </w:r>
      <w:r>
        <w:rPr>
          <w:rFonts w:ascii="Times New Roman" w:hAnsi="Times New Roman" w:eastAsia="方正仿宋_GBK" w:cs="方正仿宋_GBK"/>
          <w:b w:val="0"/>
          <w:bCs/>
          <w:color w:val="auto"/>
          <w:sz w:val="32"/>
          <w:szCs w:val="32"/>
        </w:rPr>
        <w:t>1</w:t>
      </w:r>
      <w:r>
        <w:rPr>
          <w:rFonts w:ascii="Times New Roman" w:hAnsi="Times New Roman" w:eastAsia="方正仿宋_GBK" w:cs="方正仿宋_GBK"/>
          <w:b w:val="0"/>
          <w:bCs/>
          <w:color w:val="auto"/>
          <w:sz w:val="32"/>
          <w:szCs w:val="32"/>
          <w:shd w:val="clear" w:color="auto" w:fill="FFFFFF"/>
        </w:rPr>
        <w:t>台（套）。</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color w:val="auto"/>
          <w:sz w:val="32"/>
          <w:szCs w:val="32"/>
          <w:shd w:val="clear" w:color="auto" w:fill="FFFFFF"/>
        </w:rPr>
      </w:pPr>
      <w:r>
        <w:rPr>
          <w:rStyle w:val="11"/>
          <w:rFonts w:hint="eastAsia" w:ascii="方正楷体_GBK" w:hAnsi="方正楷体_GBK" w:eastAsia="方正楷体_GBK" w:cs="方正楷体_GBK"/>
          <w:b w:val="0"/>
          <w:bCs/>
          <w:color w:val="auto"/>
          <w:sz w:val="32"/>
          <w:szCs w:val="32"/>
          <w:shd w:val="clear" w:color="auto" w:fill="FFFFFF"/>
        </w:rPr>
        <w:t>（四）政府采购支出情况说明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color w:val="auto"/>
          <w:sz w:val="32"/>
          <w:szCs w:val="32"/>
          <w:shd w:val="clear" w:color="auto" w:fill="FFFFFF"/>
        </w:rPr>
      </w:pPr>
      <w:r>
        <w:rPr>
          <w:rFonts w:ascii="Times New Roman" w:hAnsi="Times New Roman" w:eastAsia="方正仿宋_GBK" w:cs="方正仿宋_GBK"/>
          <w:b w:val="0"/>
          <w:bCs/>
          <w:color w:val="auto"/>
          <w:sz w:val="32"/>
          <w:szCs w:val="32"/>
          <w:shd w:val="clear" w:color="auto" w:fill="FFFFFF"/>
        </w:rPr>
        <w:t>2023年度</w:t>
      </w:r>
      <w:r>
        <w:rPr>
          <w:rFonts w:hint="eastAsia" w:ascii="Times New Roman" w:hAnsi="Times New Roman" w:eastAsia="方正仿宋_GBK" w:cs="方正仿宋_GBK"/>
          <w:b w:val="0"/>
          <w:bCs/>
          <w:color w:val="auto"/>
          <w:sz w:val="32"/>
          <w:szCs w:val="32"/>
          <w:shd w:val="clear" w:color="auto" w:fill="FFFFFF"/>
          <w:lang w:eastAsia="zh-CN"/>
        </w:rPr>
        <w:t>本单位</w:t>
      </w:r>
      <w:r>
        <w:rPr>
          <w:rFonts w:ascii="Times New Roman" w:hAnsi="Times New Roman" w:eastAsia="方正仿宋_GBK" w:cs="方正仿宋_GBK"/>
          <w:b w:val="0"/>
          <w:bCs/>
          <w:color w:val="auto"/>
          <w:sz w:val="32"/>
          <w:szCs w:val="32"/>
          <w:shd w:val="clear" w:color="auto" w:fill="FFFFFF"/>
        </w:rPr>
        <w:t>政府采购支出总额</w:t>
      </w:r>
      <w:r>
        <w:rPr>
          <w:rFonts w:ascii="Times New Roman" w:hAnsi="Times New Roman" w:eastAsia="方正仿宋_GBK" w:cs="方正仿宋_GBK"/>
          <w:b w:val="0"/>
          <w:bCs/>
          <w:color w:val="auto"/>
          <w:sz w:val="32"/>
          <w:szCs w:val="32"/>
        </w:rPr>
        <w:t>2.65</w:t>
      </w:r>
      <w:r>
        <w:rPr>
          <w:rFonts w:ascii="Times New Roman" w:hAnsi="Times New Roman" w:eastAsia="方正仿宋_GBK" w:cs="方正仿宋_GBK"/>
          <w:b w:val="0"/>
          <w:bCs/>
          <w:color w:val="auto"/>
          <w:sz w:val="32"/>
          <w:szCs w:val="32"/>
          <w:shd w:val="clear" w:color="auto" w:fill="FFFFFF"/>
        </w:rPr>
        <w:t>万元，其中：政府采购货物支出</w:t>
      </w:r>
      <w:r>
        <w:rPr>
          <w:rFonts w:ascii="Times New Roman" w:hAnsi="Times New Roman" w:eastAsia="方正仿宋_GBK" w:cs="方正仿宋_GBK"/>
          <w:b w:val="0"/>
          <w:bCs/>
          <w:color w:val="auto"/>
          <w:sz w:val="32"/>
          <w:szCs w:val="32"/>
        </w:rPr>
        <w:t>2.65</w:t>
      </w:r>
      <w:r>
        <w:rPr>
          <w:rFonts w:ascii="Times New Roman" w:hAnsi="Times New Roman" w:eastAsia="方正仿宋_GBK" w:cs="方正仿宋_GBK"/>
          <w:b w:val="0"/>
          <w:bCs/>
          <w:color w:val="auto"/>
          <w:sz w:val="32"/>
          <w:szCs w:val="32"/>
          <w:shd w:val="clear" w:color="auto" w:fill="FFFFFF"/>
        </w:rPr>
        <w:t>万元、政府采购工程支出</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万元、政府采购服务支出</w:t>
      </w:r>
      <w:r>
        <w:rPr>
          <w:rFonts w:ascii="Times New Roman" w:hAnsi="Times New Roman" w:eastAsia="方正仿宋_GBK" w:cs="方正仿宋_GBK"/>
          <w:b w:val="0"/>
          <w:bCs/>
          <w:color w:val="auto"/>
          <w:sz w:val="32"/>
          <w:szCs w:val="32"/>
        </w:rPr>
        <w:t>0.00</w:t>
      </w:r>
      <w:r>
        <w:rPr>
          <w:rFonts w:ascii="Times New Roman" w:hAnsi="Times New Roman" w:eastAsia="方正仿宋_GBK" w:cs="方正仿宋_GBK"/>
          <w:b w:val="0"/>
          <w:bCs/>
          <w:color w:val="auto"/>
          <w:sz w:val="32"/>
          <w:szCs w:val="32"/>
          <w:shd w:val="clear" w:color="auto" w:fill="FFFFFF"/>
        </w:rPr>
        <w:t>万元。授予中小企业合同金额</w:t>
      </w:r>
      <w:r>
        <w:rPr>
          <w:rFonts w:ascii="Times New Roman" w:hAnsi="Times New Roman" w:eastAsia="方正仿宋_GBK" w:cs="方正仿宋_GBK"/>
          <w:b w:val="0"/>
          <w:bCs/>
          <w:color w:val="auto"/>
          <w:sz w:val="32"/>
          <w:szCs w:val="32"/>
        </w:rPr>
        <w:t>2.65万</w:t>
      </w:r>
      <w:r>
        <w:rPr>
          <w:rFonts w:ascii="Times New Roman" w:hAnsi="Times New Roman" w:eastAsia="方正仿宋_GBK" w:cs="方正仿宋_GBK"/>
          <w:b w:val="0"/>
          <w:bCs/>
          <w:color w:val="auto"/>
          <w:sz w:val="32"/>
          <w:szCs w:val="32"/>
          <w:shd w:val="clear" w:color="auto" w:fill="FFFFFF"/>
        </w:rPr>
        <w:t>元，占政府采购支出总额的</w:t>
      </w:r>
      <w:r>
        <w:rPr>
          <w:rFonts w:ascii="Times New Roman" w:hAnsi="Times New Roman" w:eastAsia="方正仿宋_GBK" w:cs="方正仿宋_GBK"/>
          <w:b w:val="0"/>
          <w:bCs/>
          <w:color w:val="auto"/>
          <w:sz w:val="32"/>
          <w:szCs w:val="32"/>
        </w:rPr>
        <w:t>100.00</w:t>
      </w:r>
      <w:r>
        <w:rPr>
          <w:rFonts w:ascii="Times New Roman" w:hAnsi="Times New Roman" w:eastAsia="方正仿宋_GBK" w:cs="方正仿宋_GBK"/>
          <w:b w:val="0"/>
          <w:bCs/>
          <w:color w:val="auto"/>
          <w:sz w:val="32"/>
          <w:szCs w:val="32"/>
          <w:shd w:val="clear" w:color="auto" w:fill="FFFFFF"/>
        </w:rPr>
        <w:t>%，其中：授予小微企业合同金额</w:t>
      </w:r>
      <w:r>
        <w:rPr>
          <w:rFonts w:ascii="Times New Roman" w:hAnsi="Times New Roman" w:eastAsia="方正仿宋_GBK" w:cs="方正仿宋_GBK"/>
          <w:b w:val="0"/>
          <w:bCs/>
          <w:color w:val="auto"/>
          <w:sz w:val="32"/>
          <w:szCs w:val="32"/>
        </w:rPr>
        <w:t>2.65</w:t>
      </w:r>
      <w:r>
        <w:rPr>
          <w:rFonts w:ascii="Times New Roman" w:hAnsi="Times New Roman" w:eastAsia="方正仿宋_GBK" w:cs="方正仿宋_GBK"/>
          <w:b w:val="0"/>
          <w:bCs/>
          <w:color w:val="auto"/>
          <w:sz w:val="32"/>
          <w:szCs w:val="32"/>
          <w:shd w:val="clear" w:color="auto" w:fill="FFFFFF"/>
        </w:rPr>
        <w:t>万元，占政府采购支出总额的</w:t>
      </w:r>
      <w:r>
        <w:rPr>
          <w:rFonts w:ascii="Times New Roman" w:hAnsi="Times New Roman" w:eastAsia="方正仿宋_GBK" w:cs="方正仿宋_GBK"/>
          <w:b w:val="0"/>
          <w:bCs/>
          <w:color w:val="auto"/>
          <w:sz w:val="32"/>
          <w:szCs w:val="32"/>
        </w:rPr>
        <w:t>100.00</w:t>
      </w:r>
      <w:r>
        <w:rPr>
          <w:rFonts w:ascii="Times New Roman" w:hAnsi="Times New Roman" w:eastAsia="方正仿宋_GBK" w:cs="方正仿宋_GBK"/>
          <w:b w:val="0"/>
          <w:bCs/>
          <w:color w:val="auto"/>
          <w:sz w:val="32"/>
          <w:szCs w:val="32"/>
          <w:shd w:val="clear" w:color="auto" w:fill="FFFFFF"/>
        </w:rPr>
        <w:t>%。主要用于采购</w:t>
      </w:r>
      <w:r>
        <w:rPr>
          <w:rFonts w:hint="eastAsia" w:ascii="Times New Roman" w:hAnsi="Times New Roman" w:eastAsia="方正仿宋_GBK" w:cs="方正仿宋_GBK"/>
          <w:b w:val="0"/>
          <w:bCs/>
          <w:color w:val="auto"/>
          <w:sz w:val="32"/>
          <w:szCs w:val="32"/>
          <w:shd w:val="clear" w:color="auto" w:fill="FFFFFF"/>
          <w:lang w:eastAsia="zh-CN"/>
        </w:rPr>
        <w:t>办公电脑</w:t>
      </w:r>
      <w:r>
        <w:rPr>
          <w:rFonts w:ascii="Times New Roman" w:hAnsi="Times New Roman" w:eastAsia="方正仿宋_GBK" w:cs="方正仿宋_GBK"/>
          <w:b w:val="0"/>
          <w:bCs/>
          <w:color w:val="auto"/>
          <w:sz w:val="32"/>
          <w:szCs w:val="32"/>
          <w:shd w:val="clear" w:color="auto" w:fill="FFFFFF"/>
        </w:rPr>
        <w:t>。</w:t>
      </w:r>
    </w:p>
    <w:p>
      <w:pPr>
        <w:pStyle w:val="9"/>
        <w:keepNext w:val="0"/>
        <w:keepLines w:val="0"/>
        <w:pageBreakBefore w:val="0"/>
        <w:widowControl w:val="0"/>
        <w:numPr>
          <w:ilvl w:val="0"/>
          <w:numId w:val="0"/>
        </w:numPr>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方正黑体_GBK" w:hAnsi="方正黑体_GBK" w:eastAsia="方正黑体_GBK" w:cs="方正黑体_GBK"/>
          <w:b w:val="0"/>
          <w:bCs/>
          <w:color w:val="auto"/>
          <w:sz w:val="32"/>
          <w:szCs w:val="32"/>
          <w:shd w:val="clear" w:color="auto" w:fill="FFFFFF"/>
        </w:rPr>
      </w:pPr>
      <w:r>
        <w:rPr>
          <w:rStyle w:val="11"/>
          <w:rFonts w:hint="eastAsia" w:ascii="方正黑体_GBK" w:hAnsi="方正黑体_GBK" w:eastAsia="方正黑体_GBK" w:cs="方正黑体_GBK"/>
          <w:b w:val="0"/>
          <w:bCs/>
          <w:color w:val="auto"/>
          <w:sz w:val="32"/>
          <w:szCs w:val="32"/>
          <w:shd w:val="clear" w:color="auto" w:fill="FFFFFF"/>
          <w:lang w:val="en-US" w:eastAsia="zh-CN"/>
        </w:rPr>
        <w:t>五、</w:t>
      </w:r>
      <w:r>
        <w:rPr>
          <w:rStyle w:val="11"/>
          <w:rFonts w:hint="eastAsia" w:ascii="方正黑体_GBK" w:hAnsi="方正黑体_GBK" w:eastAsia="方正黑体_GBK" w:cs="方正黑体_GBK"/>
          <w:b w:val="0"/>
          <w:bCs/>
          <w:color w:val="auto"/>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rPr>
      </w:pPr>
    </w:p>
    <w:tbl>
      <w:tblPr>
        <w:tblStyle w:val="12"/>
        <w:tblpPr w:leftFromText="180" w:rightFromText="180" w:vertAnchor="text" w:horzAnchor="page" w:tblpX="1993" w:tblpY="11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2023年度项目支出绩效自评情况表（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bookmarkStart w:id="0" w:name="_GoBack" w:colFirst="2" w:colLast="10"/>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bookmarkEnd w:id="0"/>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六、专业名词解释</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（一）财政拨款收入：</w:t>
      </w:r>
      <w:r>
        <w:rPr>
          <w:rFonts w:ascii="Times New Roman" w:hAnsi="Times New Roman" w:eastAsia="方正仿宋_GBK" w:cs="方正仿宋_GBK"/>
          <w:b w:val="0"/>
          <w:bCs/>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（二）事业收入：</w:t>
      </w:r>
      <w:r>
        <w:rPr>
          <w:rFonts w:ascii="Times New Roman" w:hAnsi="Times New Roman" w:eastAsia="方正仿宋_GBK" w:cs="方正仿宋_GBK"/>
          <w:b w:val="0"/>
          <w:bCs/>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（三）经营收入：</w:t>
      </w:r>
      <w:r>
        <w:rPr>
          <w:rFonts w:ascii="Times New Roman" w:hAnsi="Times New Roman" w:eastAsia="方正仿宋_GBK" w:cs="方正仿宋_GBK"/>
          <w:b w:val="0"/>
          <w:bCs/>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（四）其他收入：</w:t>
      </w:r>
      <w:r>
        <w:rPr>
          <w:rFonts w:ascii="Times New Roman" w:hAnsi="Times New Roman" w:eastAsia="方正仿宋_GBK" w:cs="方正仿宋_GBK"/>
          <w:b w:val="0"/>
          <w:bCs/>
          <w:sz w:val="32"/>
          <w:szCs w:val="32"/>
          <w:shd w:val="clear" w:color="auto" w:fill="FFFFFF"/>
        </w:rPr>
        <w:t>指单位取得的除“财政拨款收入”、“事业收入”</w:t>
      </w:r>
      <w:r>
        <w:rPr>
          <w:rFonts w:hint="eastAsia" w:ascii="Times New Roman" w:hAnsi="Times New Roman" w:eastAsia="方正仿宋_GBK" w:cs="方正仿宋_GBK"/>
          <w:b w:val="0"/>
          <w:bCs/>
          <w:sz w:val="32"/>
          <w:szCs w:val="32"/>
          <w:shd w:val="clear" w:color="auto" w:fill="FFFFFF"/>
          <w:lang w:eastAsia="zh-CN"/>
        </w:rPr>
        <w:t>、</w:t>
      </w:r>
      <w:r>
        <w:rPr>
          <w:rFonts w:ascii="Times New Roman" w:hAnsi="Times New Roman" w:eastAsia="方正仿宋_GBK" w:cs="方正仿宋_GBK"/>
          <w:b w:val="0"/>
          <w:bCs/>
          <w:sz w:val="32"/>
          <w:szCs w:val="32"/>
          <w:shd w:val="clear" w:color="auto" w:fill="FFFFFF"/>
        </w:rPr>
        <w:t>“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（五）使用非财政拨款结余：</w:t>
      </w:r>
      <w:r>
        <w:rPr>
          <w:rFonts w:ascii="Times New Roman" w:hAnsi="Times New Roman" w:eastAsia="方正仿宋_GBK" w:cs="方正仿宋_GBK"/>
          <w:b w:val="0"/>
          <w:bCs/>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（六）年初结转和结余：</w:t>
      </w:r>
      <w:r>
        <w:rPr>
          <w:rFonts w:ascii="Times New Roman" w:hAnsi="Times New Roman" w:eastAsia="方正仿宋_GBK" w:cs="方正仿宋_GBK"/>
          <w:b w:val="0"/>
          <w:bCs/>
          <w:sz w:val="32"/>
          <w:szCs w:val="32"/>
          <w:shd w:val="clear" w:color="auto" w:fill="FFFFFF"/>
        </w:rPr>
        <w:t>指单位上年结转本年使用的基本支出结转、项目支出结转和结余、经营结余。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（七）结余分配：</w:t>
      </w:r>
      <w:r>
        <w:rPr>
          <w:rFonts w:ascii="Times New Roman" w:hAnsi="Times New Roman" w:eastAsia="方正仿宋_GBK" w:cs="方正仿宋_GBK"/>
          <w:b w:val="0"/>
          <w:bCs/>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（八）年末结转和结余：</w:t>
      </w:r>
      <w:r>
        <w:rPr>
          <w:rFonts w:ascii="Times New Roman" w:hAnsi="Times New Roman" w:eastAsia="方正仿宋_GBK" w:cs="方正仿宋_GBK"/>
          <w:b w:val="0"/>
          <w:bCs/>
          <w:sz w:val="32"/>
          <w:szCs w:val="32"/>
          <w:shd w:val="clear" w:color="auto" w:fill="FFFFFF"/>
        </w:rPr>
        <w:t>指单位结转下年的基本支出结转、项目支出结转和结余、经营结余。</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（九）基本支出：</w:t>
      </w:r>
      <w:r>
        <w:rPr>
          <w:rFonts w:ascii="Times New Roman" w:hAnsi="Times New Roman" w:eastAsia="方正仿宋_GBK" w:cs="方正仿宋_GBK"/>
          <w:b w:val="0"/>
          <w:bCs/>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（十）项目支出：</w:t>
      </w:r>
      <w:r>
        <w:rPr>
          <w:rFonts w:ascii="Times New Roman" w:hAnsi="Times New Roman" w:eastAsia="方正仿宋_GBK" w:cs="方正仿宋_GBK"/>
          <w:b w:val="0"/>
          <w:bCs/>
          <w:sz w:val="32"/>
          <w:szCs w:val="32"/>
          <w:shd w:val="clear" w:color="auto" w:fill="FFFFFF"/>
        </w:rPr>
        <w:t>指在基本支出之外为完成特定行政任务和事业发展目标所发生的支出。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（十一）经营支出：</w:t>
      </w:r>
      <w:r>
        <w:rPr>
          <w:rFonts w:ascii="Times New Roman" w:hAnsi="Times New Roman" w:eastAsia="方正仿宋_GBK" w:cs="方正仿宋_GBK"/>
          <w:b w:val="0"/>
          <w:bCs/>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（十二）“三公”经费：</w:t>
      </w:r>
      <w:r>
        <w:rPr>
          <w:rFonts w:ascii="Times New Roman" w:hAnsi="Times New Roman" w:eastAsia="方正仿宋_GBK" w:cs="方正仿宋_GBK"/>
          <w:b w:val="0"/>
          <w:bCs/>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（十三）机关运行经费：</w:t>
      </w:r>
      <w:r>
        <w:rPr>
          <w:rFonts w:ascii="Times New Roman" w:hAnsi="Times New Roman" w:eastAsia="方正仿宋_GBK" w:cs="方正仿宋_GBK"/>
          <w:b w:val="0"/>
          <w:bCs/>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（十四）工资福利支出（支出经济分类科目类级）：</w:t>
      </w:r>
      <w:r>
        <w:rPr>
          <w:rFonts w:ascii="Times New Roman" w:hAnsi="Times New Roman" w:eastAsia="方正仿宋_GBK" w:cs="方正仿宋_GBK"/>
          <w:b w:val="0"/>
          <w:bCs/>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（十五）商品和服务支出（支出经济分类科目类级）：</w:t>
      </w:r>
      <w:r>
        <w:rPr>
          <w:rFonts w:ascii="Times New Roman" w:hAnsi="Times New Roman" w:eastAsia="方正仿宋_GBK" w:cs="方正仿宋_GBK"/>
          <w:b w:val="0"/>
          <w:bCs/>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（十六）对个人和家庭的补助（支出经济分类科目类级）</w:t>
      </w:r>
      <w:r>
        <w:rPr>
          <w:rFonts w:ascii="Times New Roman" w:hAnsi="Times New Roman" w:eastAsia="方正仿宋_GBK" w:cs="楷体"/>
          <w:b w:val="0"/>
          <w:bCs/>
          <w:sz w:val="32"/>
          <w:szCs w:val="32"/>
          <w:shd w:val="clear" w:color="auto" w:fill="FFFFFF"/>
        </w:rPr>
        <w:t>：</w:t>
      </w:r>
      <w:r>
        <w:rPr>
          <w:rFonts w:ascii="Times New Roman" w:hAnsi="Times New Roman" w:eastAsia="方正仿宋_GBK" w:cs="方正仿宋_GBK"/>
          <w:b w:val="0"/>
          <w:bCs/>
          <w:sz w:val="32"/>
          <w:szCs w:val="32"/>
          <w:shd w:val="clear" w:color="auto" w:fill="FFFFFF"/>
        </w:rPr>
        <w:t>反映用于对个人和家庭的补助支出。</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1"/>
          <w:rFonts w:hint="eastAsia" w:ascii="方正楷体_GBK" w:hAnsi="方正楷体_GBK" w:eastAsia="方正楷体_GBK" w:cs="方正楷体_GBK"/>
          <w:b w:val="0"/>
          <w:bCs/>
          <w:color w:val="auto"/>
          <w:sz w:val="32"/>
          <w:szCs w:val="32"/>
          <w:shd w:val="clear" w:color="auto" w:fill="FFFFFF"/>
          <w:lang w:val="en-US" w:eastAsia="zh-CN" w:bidi="ar-SA"/>
        </w:rPr>
        <w:t>（十七）其他资本性支出（支出经济分类科目类级）：</w:t>
      </w:r>
      <w:r>
        <w:rPr>
          <w:rFonts w:ascii="Times New Roman" w:hAnsi="Times New Roman" w:eastAsia="方正仿宋_GBK" w:cs="方正仿宋_GBK"/>
          <w:b w:val="0"/>
          <w:bCs/>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仿宋_GBK" w:cs="方正仿宋_GBK"/>
          <w:b w:val="0"/>
          <w:bCs/>
          <w:sz w:val="32"/>
          <w:szCs w:val="32"/>
          <w:shd w:val="clear" w:color="auto" w:fill="FFFFFF"/>
        </w:rPr>
      </w:pPr>
      <w:r>
        <w:rPr>
          <w:rFonts w:hint="eastAsia" w:ascii="Times New Roman" w:hAnsi="Times New Roman" w:eastAsia="方正仿宋_GBK" w:cs="方正仿宋_GBK"/>
          <w:b w:val="0"/>
          <w:bCs/>
          <w:sz w:val="32"/>
          <w:szCs w:val="32"/>
          <w:shd w:val="clear" w:color="auto" w:fill="FFFFFF"/>
          <w:lang w:eastAsia="zh-CN"/>
        </w:rPr>
        <w:t>本单位</w:t>
      </w:r>
      <w:r>
        <w:rPr>
          <w:rFonts w:ascii="Times New Roman" w:hAnsi="Times New Roman" w:eastAsia="方正仿宋_GBK" w:cs="方正仿宋_GBK"/>
          <w:b w:val="0"/>
          <w:bCs/>
          <w:sz w:val="32"/>
          <w:szCs w:val="32"/>
          <w:shd w:val="clear" w:color="auto" w:fill="FFFFFF"/>
        </w:rPr>
        <w:t>决算公开信息反馈和联系方式：</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Fonts w:hint="eastAsia" w:ascii="Times New Roman" w:hAnsi="Times New Roman" w:eastAsia="方正仿宋_GBK" w:cs="方正仿宋_GBK"/>
          <w:b w:val="0"/>
          <w:bCs/>
          <w:sz w:val="32"/>
          <w:szCs w:val="32"/>
          <w:shd w:val="clear" w:color="auto" w:fill="FFFFFF"/>
          <w:lang w:val="en-US" w:eastAsia="zh-CN"/>
        </w:rPr>
        <w:t xml:space="preserve">杜琪星  </w:t>
      </w:r>
      <w:r>
        <w:rPr>
          <w:rFonts w:hint="eastAsia" w:ascii="Times New Roman" w:hAnsi="Times New Roman" w:eastAsia="方正仿宋_GBK" w:cs="方正仿宋_GBK"/>
          <w:b w:val="0"/>
          <w:bCs/>
          <w:sz w:val="32"/>
          <w:szCs w:val="32"/>
          <w:highlight w:val="none"/>
          <w:lang w:eastAsia="zh-CN"/>
        </w:rPr>
        <w:t>023-76662382</w:t>
      </w: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firstLine="0" w:firstLineChars="0"/>
        <w:jc w:val="both"/>
        <w:textAlignment w:val="auto"/>
        <w:rPr>
          <w:rStyle w:val="11"/>
          <w:rFonts w:ascii="Times New Roman" w:hAnsi="Times New Roman" w:eastAsia="方正仿宋_GBK" w:cs="方正仿宋_GBK"/>
          <w:b w:val="0"/>
          <w:bCs w:val="0"/>
          <w:sz w:val="32"/>
          <w:szCs w:val="32"/>
          <w:shd w:val="clear" w:color="auto" w:fill="FFFF00"/>
        </w:rPr>
      </w:pP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firstLine="0" w:firstLineChars="0"/>
        <w:jc w:val="both"/>
        <w:textAlignment w:val="auto"/>
        <w:rPr>
          <w:rStyle w:val="11"/>
          <w:rFonts w:ascii="Times New Roman" w:hAnsi="Times New Roman" w:eastAsia="方正仿宋_GBK" w:cs="方正仿宋_GBK"/>
          <w:b w:val="0"/>
          <w:bCs w:val="0"/>
          <w:sz w:val="32"/>
          <w:szCs w:val="32"/>
          <w:shd w:val="clear" w:color="auto" w:fill="FFFF00"/>
        </w:rPr>
        <w:sectPr>
          <w:footerReference r:id="rId3" w:type="default"/>
          <w:pgSz w:w="11915" w:h="16840"/>
          <w:pgMar w:top="2098" w:right="1474" w:bottom="1984" w:left="1587" w:header="851" w:footer="992" w:gutter="0"/>
          <w:pgBorders>
            <w:top w:val="none" w:sz="0" w:space="0"/>
            <w:left w:val="none" w:sz="0" w:space="0"/>
            <w:bottom w:val="none" w:sz="0" w:space="0"/>
            <w:right w:val="none" w:sz="0" w:space="0"/>
          </w:pgBorders>
          <w:pgNumType w:fmt="numberInDash"/>
          <w:cols w:space="0" w:num="1"/>
          <w:rtlGutter w:val="0"/>
          <w:docGrid w:type="lines" w:linePitch="327" w:charSpace="0"/>
        </w:sectPr>
      </w:pP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6030"/>
        <w:gridCol w:w="1717"/>
        <w:gridCol w:w="4506"/>
        <w:gridCol w:w="3140"/>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60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1717"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5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14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60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重庆市秀山土家族苗族自治县中和街道社区卫生服务中心</w:t>
            </w:r>
          </w:p>
        </w:tc>
        <w:tc>
          <w:tcPr>
            <w:tcW w:w="1717"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5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14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74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7646"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171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14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1,565.24</w:t>
            </w: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3,047.16</w:t>
            </w: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1717"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28.69</w:t>
            </w: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133.15</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4,439.48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31.19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4,641.10</w:t>
            </w: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4,603.82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14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17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35.05</w:t>
            </w:r>
            <w:r>
              <w:rPr>
                <w:color w:val="000000"/>
                <w:sz w:val="20"/>
                <w:u w:color="auto"/>
              </w:rPr>
              <w:t xml:space="preserve"> </w:t>
            </w:r>
          </w:p>
        </w:tc>
        <w:tc>
          <w:tcPr>
            <w:tcW w:w="45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140"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72.33</w:t>
            </w: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60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1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4,676.15</w:t>
            </w:r>
            <w:r>
              <w:rPr>
                <w:color w:val="000000"/>
                <w:sz w:val="20"/>
                <w:u w:color="auto"/>
              </w:rPr>
              <w:t xml:space="preserve"> </w:t>
            </w:r>
          </w:p>
        </w:tc>
        <w:tc>
          <w:tcPr>
            <w:tcW w:w="4506"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14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4,676.15</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重庆市秀山土家族苗族自治县中和街道社区卫生服务中心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4,641.10</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1,565.24</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3,047.16</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28.69</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20.57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20.57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63.48</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4,476.76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1,400.90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3,047.16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28.69</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3,642.97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567.11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3,047.16</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28.69</w:t>
            </w: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3,576.70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500.85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3,047.16</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28.69</w:t>
            </w: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65.27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65.27</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749.71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749.71</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673.49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673.49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76.22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76.22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25.44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25.44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2142"/>
        <w:gridCol w:w="3988"/>
        <w:gridCol w:w="1539"/>
        <w:gridCol w:w="1539"/>
        <w:gridCol w:w="1539"/>
        <w:gridCol w:w="1523"/>
        <w:gridCol w:w="1523"/>
        <w:gridCol w:w="1585"/>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1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重庆市秀山土家族苗族自治县中和街道社区卫生服务中心 </w:t>
            </w: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1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5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5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5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5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214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98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214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9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214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9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214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9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4,603.82</w:t>
            </w:r>
            <w:r>
              <w:rPr>
                <w:b/>
                <w:color w:val="000000"/>
                <w:sz w:val="20"/>
                <w:u w:color="auto"/>
              </w:rPr>
              <w:t xml:space="preserve"> </w:t>
            </w:r>
          </w:p>
        </w:tc>
        <w:tc>
          <w:tcPr>
            <w:tcW w:w="1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4,477.60</w:t>
            </w:r>
            <w:r>
              <w:rPr>
                <w:b/>
                <w:color w:val="000000"/>
                <w:sz w:val="20"/>
                <w:u w:color="auto"/>
              </w:rPr>
              <w:t xml:space="preserve"> </w:t>
            </w:r>
          </w:p>
        </w:tc>
        <w:tc>
          <w:tcPr>
            <w:tcW w:w="1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126.22</w:t>
            </w:r>
            <w:r>
              <w:rPr>
                <w:b/>
                <w:color w:val="000000"/>
                <w:sz w:val="20"/>
                <w:u w:color="auto"/>
              </w:rPr>
              <w:t xml:space="preserve"> </w:t>
            </w:r>
          </w:p>
        </w:tc>
        <w:tc>
          <w:tcPr>
            <w:tcW w:w="15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133.15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7.73</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41.37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20.57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20.57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63.48</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63.48</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4,439.48</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4,313.26</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126.22</w:t>
            </w:r>
            <w:r>
              <w:rPr>
                <w:b/>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1.65</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1.65</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3,605.69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3,605.69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3,504.37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3,504.37</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100.32</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100.32</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1.00</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749.71</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673.49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76.22</w:t>
            </w:r>
            <w:r>
              <w:rPr>
                <w:b/>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673.49</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673.49</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76.22</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76.22</w:t>
            </w: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25.44</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25.44</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25.44</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25.44</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57.00</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7.00</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50.00</w:t>
            </w:r>
            <w:r>
              <w:rPr>
                <w:b/>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57.00</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7.00</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50.00</w:t>
            </w: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31.19</w:t>
            </w:r>
            <w:r>
              <w:rPr>
                <w:b/>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214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9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31.19</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31.19</w:t>
            </w:r>
            <w:r>
              <w:rPr>
                <w:color w:val="000000"/>
                <w:sz w:val="20"/>
                <w:u w:color="auto"/>
              </w:rPr>
              <w:t xml:space="preserve"> </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4732" w:type="dxa"/>
        <w:tblInd w:w="0" w:type="dxa"/>
        <w:tblLayout w:type="fixed"/>
        <w:tblCellMar>
          <w:top w:w="0" w:type="dxa"/>
          <w:left w:w="0" w:type="dxa"/>
          <w:bottom w:w="0" w:type="dxa"/>
          <w:right w:w="0" w:type="dxa"/>
        </w:tblCellMar>
      </w:tblPr>
      <w:tblGrid>
        <w:gridCol w:w="4053"/>
        <w:gridCol w:w="2077"/>
        <w:gridCol w:w="2866"/>
        <w:gridCol w:w="1375"/>
        <w:gridCol w:w="1375"/>
        <w:gridCol w:w="1375"/>
        <w:gridCol w:w="161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61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286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1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61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1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86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405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207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286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57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40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86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37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37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61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1,565.24</w:t>
            </w: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133.15</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133.15</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1,333.92</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1,333.92</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31.19</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31.19</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1,565.24</w:t>
            </w: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1,498.26</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1,498.26</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66.98</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66.98</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405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20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1,565.24</w:t>
            </w:r>
            <w:r>
              <w:rPr>
                <w:color w:val="000000"/>
                <w:sz w:val="18"/>
                <w:u w:color="auto"/>
              </w:rPr>
              <w:t xml:space="preserve"> </w:t>
            </w:r>
          </w:p>
        </w:tc>
        <w:tc>
          <w:tcPr>
            <w:tcW w:w="286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1,565.24</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1,565.24</w:t>
            </w:r>
            <w:r>
              <w:rPr>
                <w:color w:val="000000"/>
                <w:sz w:val="18"/>
                <w:u w:color="auto"/>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2106"/>
        <w:gridCol w:w="4024"/>
        <w:gridCol w:w="3077"/>
        <w:gridCol w:w="3078"/>
        <w:gridCol w:w="3093"/>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61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307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7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9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61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7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7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9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248"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210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0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07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07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09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210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0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210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0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61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1,498.26</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1,372.04</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126.22</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133.15</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133.15</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133.15</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133.15</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7.73</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7.73</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41.37</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41.37</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20.57</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20.57</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63.48</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63.48</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1,333.92</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1,207.70</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126.22</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1.65</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1.65</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1.65</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1.65</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500.13</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500.13</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433.87</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433.87</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65.27</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65.27</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749.71</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673.49</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76.22</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673.49</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673.49</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76.22</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76.22</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25.44</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25.44</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25.44</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25.44</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57.00</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7.00</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50.00</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57.00</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7.00</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50.00</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31.19</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31.19</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31.19</w:t>
            </w:r>
            <w:r>
              <w:rPr>
                <w:b/>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31.19</w:t>
            </w:r>
            <w:r>
              <w:rPr>
                <w:b/>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21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0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31.19</w:t>
            </w:r>
            <w:r>
              <w:rPr>
                <w:color w:val="000000"/>
                <w:sz w:val="20"/>
                <w:u w:color="auto"/>
              </w:rPr>
              <w:t xml:space="preserve"> </w:t>
            </w:r>
          </w:p>
        </w:tc>
        <w:tc>
          <w:tcPr>
            <w:tcW w:w="3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31.19</w:t>
            </w:r>
            <w:r>
              <w:rPr>
                <w:color w:val="000000"/>
                <w:sz w:val="20"/>
                <w:u w:color="auto"/>
              </w:rPr>
              <w:t xml:space="preserve"> </w:t>
            </w:r>
          </w:p>
        </w:tc>
        <w:tc>
          <w:tcPr>
            <w:tcW w:w="3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1,024.43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275.31</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222.45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0.99</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234.94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0.24</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158.80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261.04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0.26</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41.37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20.57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25.44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31.19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7.63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20.23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72.31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270.39</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63.48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7.73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1,096.73</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275.31</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2300"/>
        <w:gridCol w:w="3830"/>
        <w:gridCol w:w="1509"/>
        <w:gridCol w:w="1509"/>
        <w:gridCol w:w="1509"/>
        <w:gridCol w:w="1509"/>
        <w:gridCol w:w="1574"/>
        <w:gridCol w:w="1638"/>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1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7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1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7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509"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50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459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63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3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50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0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57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23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8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7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23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8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7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3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61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7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w:t>
      </w:r>
      <w:r>
        <w:rPr>
          <w:rFonts w:hint="eastAsia" w:cs="宋体"/>
          <w:sz w:val="20"/>
          <w:szCs w:val="20"/>
          <w:lang w:eastAsia="zh-CN"/>
        </w:rPr>
        <w:t>本单位</w:t>
      </w:r>
      <w:r>
        <w:rPr>
          <w:rFonts w:cs="宋体"/>
          <w:sz w:val="20"/>
          <w:szCs w:val="20"/>
        </w:rPr>
        <w:t>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2335"/>
        <w:gridCol w:w="3795"/>
        <w:gridCol w:w="3038"/>
        <w:gridCol w:w="71"/>
        <w:gridCol w:w="3128"/>
        <w:gridCol w:w="28"/>
        <w:gridCol w:w="2983"/>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61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30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2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98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61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0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27"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98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924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33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79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109"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12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01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3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79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0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3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79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0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3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79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09"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2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1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61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109"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1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01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w:t>
      </w:r>
      <w:r>
        <w:rPr>
          <w:rFonts w:hint="eastAsia" w:cs="宋体"/>
          <w:sz w:val="20"/>
          <w:szCs w:val="20"/>
          <w:lang w:eastAsia="zh-CN"/>
        </w:rPr>
        <w:t>本单位</w:t>
      </w:r>
      <w:r>
        <w:rPr>
          <w:rFonts w:cs="宋体"/>
          <w:sz w:val="20"/>
          <w:szCs w:val="20"/>
        </w:rPr>
        <w:t>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重庆市秀山土家族苗族自治县中和街道社区卫生服务中心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2.65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2.65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2.65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2.65</w:t>
            </w: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20"/>
  <w:drawingGridVerticalSpacing w:val="16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wZjlkMzczZGYyOWNmNjZhN2ZmZTU3NjI5MTY4ZTAifQ=="/>
  </w:docVars>
  <w:rsids>
    <w:rsidRoot w:val="00172A27"/>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E77FA5"/>
    <w:rsid w:val="0A3317EA"/>
    <w:rsid w:val="0A5C4B69"/>
    <w:rsid w:val="0A86124A"/>
    <w:rsid w:val="0AB54CC0"/>
    <w:rsid w:val="0B9335CE"/>
    <w:rsid w:val="0BF2311A"/>
    <w:rsid w:val="0C7927C4"/>
    <w:rsid w:val="0C9B098C"/>
    <w:rsid w:val="0D673E11"/>
    <w:rsid w:val="0DDA54E4"/>
    <w:rsid w:val="0E3A5F83"/>
    <w:rsid w:val="0F836721"/>
    <w:rsid w:val="0FA25D96"/>
    <w:rsid w:val="107B59E5"/>
    <w:rsid w:val="10C67144"/>
    <w:rsid w:val="10EC0126"/>
    <w:rsid w:val="10F70B9A"/>
    <w:rsid w:val="111445C7"/>
    <w:rsid w:val="114278C6"/>
    <w:rsid w:val="1158083A"/>
    <w:rsid w:val="11643A4B"/>
    <w:rsid w:val="11ED0F98"/>
    <w:rsid w:val="11F03528"/>
    <w:rsid w:val="12C921C4"/>
    <w:rsid w:val="134639A2"/>
    <w:rsid w:val="13871C70"/>
    <w:rsid w:val="13A71CB4"/>
    <w:rsid w:val="13AF1D43"/>
    <w:rsid w:val="13CE1647"/>
    <w:rsid w:val="13FD55AB"/>
    <w:rsid w:val="14200702"/>
    <w:rsid w:val="163A6CEE"/>
    <w:rsid w:val="173708E3"/>
    <w:rsid w:val="17627CD1"/>
    <w:rsid w:val="17C374FC"/>
    <w:rsid w:val="182E4AB6"/>
    <w:rsid w:val="189079DC"/>
    <w:rsid w:val="189B0D0B"/>
    <w:rsid w:val="18B43F7C"/>
    <w:rsid w:val="191A50F9"/>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665019"/>
    <w:rsid w:val="1FBB35CD"/>
    <w:rsid w:val="1FCD26AF"/>
    <w:rsid w:val="20642787"/>
    <w:rsid w:val="21444E63"/>
    <w:rsid w:val="21556F04"/>
    <w:rsid w:val="22403BD3"/>
    <w:rsid w:val="24B92327"/>
    <w:rsid w:val="24C14514"/>
    <w:rsid w:val="2533755C"/>
    <w:rsid w:val="25791755"/>
    <w:rsid w:val="26396DF4"/>
    <w:rsid w:val="27060D8E"/>
    <w:rsid w:val="27167136"/>
    <w:rsid w:val="271B442C"/>
    <w:rsid w:val="27762A34"/>
    <w:rsid w:val="27B23302"/>
    <w:rsid w:val="29310A5F"/>
    <w:rsid w:val="29C37A35"/>
    <w:rsid w:val="2A076083"/>
    <w:rsid w:val="2A73162E"/>
    <w:rsid w:val="2B167953"/>
    <w:rsid w:val="2B200583"/>
    <w:rsid w:val="2B8209DE"/>
    <w:rsid w:val="2C636760"/>
    <w:rsid w:val="2C6762A3"/>
    <w:rsid w:val="2CF62DC1"/>
    <w:rsid w:val="2D1C7545"/>
    <w:rsid w:val="2E06398C"/>
    <w:rsid w:val="2E7403AF"/>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5BA312A"/>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CBC1731"/>
    <w:rsid w:val="3D2757A1"/>
    <w:rsid w:val="3D3D4FC4"/>
    <w:rsid w:val="3DDF3AB1"/>
    <w:rsid w:val="3E1D0952"/>
    <w:rsid w:val="3E42660A"/>
    <w:rsid w:val="3E690A35"/>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680D7E"/>
    <w:rsid w:val="439A3EB9"/>
    <w:rsid w:val="43BB152F"/>
    <w:rsid w:val="44C37687"/>
    <w:rsid w:val="44CE3595"/>
    <w:rsid w:val="45CB699A"/>
    <w:rsid w:val="465B470D"/>
    <w:rsid w:val="469D6AD4"/>
    <w:rsid w:val="471E6C84"/>
    <w:rsid w:val="4748792B"/>
    <w:rsid w:val="475D719D"/>
    <w:rsid w:val="47674801"/>
    <w:rsid w:val="480A2FBE"/>
    <w:rsid w:val="48225EF7"/>
    <w:rsid w:val="488F422B"/>
    <w:rsid w:val="48E36915"/>
    <w:rsid w:val="48EB6572"/>
    <w:rsid w:val="495C4A24"/>
    <w:rsid w:val="497135DF"/>
    <w:rsid w:val="4A263DF2"/>
    <w:rsid w:val="4A6F6675"/>
    <w:rsid w:val="4B135857"/>
    <w:rsid w:val="4B7951CB"/>
    <w:rsid w:val="4B7C315C"/>
    <w:rsid w:val="4DAC4ACA"/>
    <w:rsid w:val="4DBE01D2"/>
    <w:rsid w:val="4ED8642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CF1027"/>
    <w:rsid w:val="56530F5D"/>
    <w:rsid w:val="567700D3"/>
    <w:rsid w:val="56FF7E9E"/>
    <w:rsid w:val="578867FC"/>
    <w:rsid w:val="579B0E3A"/>
    <w:rsid w:val="57B34249"/>
    <w:rsid w:val="5842572D"/>
    <w:rsid w:val="59522294"/>
    <w:rsid w:val="5A3B59D6"/>
    <w:rsid w:val="5AD134D8"/>
    <w:rsid w:val="5BE74279"/>
    <w:rsid w:val="5C263CE4"/>
    <w:rsid w:val="5C5D2777"/>
    <w:rsid w:val="5CF66BF3"/>
    <w:rsid w:val="5D290C69"/>
    <w:rsid w:val="5F2D4A41"/>
    <w:rsid w:val="60C74F6C"/>
    <w:rsid w:val="61025A59"/>
    <w:rsid w:val="613D5BBC"/>
    <w:rsid w:val="61536C39"/>
    <w:rsid w:val="61FC4CFC"/>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56154C"/>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1D93035"/>
    <w:rsid w:val="72DB435C"/>
    <w:rsid w:val="72E2613A"/>
    <w:rsid w:val="72F771F4"/>
    <w:rsid w:val="73934AD2"/>
    <w:rsid w:val="745D6363"/>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8491</Words>
  <Characters>10758</Characters>
  <Lines>190</Lines>
  <Paragraphs>53</Paragraphs>
  <TotalTime>0</TotalTime>
  <ScaleCrop>false</ScaleCrop>
  <LinksUpToDate>false</LinksUpToDate>
  <CharactersWithSpaces>11893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2024-09-29T03:29:33Z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1158279F2BEA4E6389D0F3A059D184F4_13</vt:lpwstr>
  </property>
</Properties>
</file>