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line="560" w:lineRule="exact"/>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重庆市秀山土家族苗族自治县爱国卫生运动委员会办公室2023年度决算公开说明</w:t>
      </w:r>
    </w:p>
    <w:p>
      <w:pPr>
        <w:pStyle w:val="8"/>
        <w:keepNext w:val="0"/>
        <w:keepLines w:val="0"/>
        <w:pageBreakBefore w:val="0"/>
        <w:widowControl/>
        <w:kinsoku/>
        <w:wordWrap/>
        <w:overflowPunct/>
        <w:topLinePunct w:val="0"/>
        <w:autoSpaceDE/>
        <w:autoSpaceDN/>
        <w:bidi w:val="0"/>
        <w:adjustRightInd/>
        <w:snapToGrid/>
        <w:spacing w:before="0" w:beforeAutospacing="0" w:line="560" w:lineRule="exact"/>
        <w:jc w:val="center"/>
        <w:textAlignment w:val="auto"/>
        <w:outlineLvl w:val="9"/>
        <w:rPr>
          <w:rFonts w:hint="default" w:ascii="方正小标宋_GBK" w:hAnsi="方正小标宋_GBK" w:eastAsia="方正小标宋_GBK" w:cs="方正小标宋_GBK"/>
          <w:sz w:val="44"/>
          <w:szCs w:val="44"/>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Autospacing="0" w:line="560" w:lineRule="exact"/>
        <w:ind w:firstLine="640" w:firstLineChars="200"/>
        <w:jc w:val="both"/>
        <w:textAlignment w:val="auto"/>
        <w:outlineLvl w:val="9"/>
        <w:rPr>
          <w:rStyle w:val="10"/>
          <w:rFonts w:hint="eastAsia" w:ascii="方正仿宋_GBK" w:hAnsi="方正仿宋_GBK" w:eastAsia="方正仿宋_GBK" w:cs="方正仿宋_GBK"/>
          <w:b w:val="0"/>
          <w:bCs/>
          <w:sz w:val="32"/>
          <w:szCs w:val="32"/>
          <w:shd w:val="clear" w:color="auto" w:fill="FFFFFF"/>
        </w:rPr>
      </w:pPr>
      <w:r>
        <w:rPr>
          <w:rStyle w:val="10"/>
          <w:rFonts w:hint="eastAsia" w:ascii="方正仿宋_GBK" w:hAnsi="方正仿宋_GBK" w:eastAsia="方正仿宋_GBK" w:cs="方正仿宋_GBK"/>
          <w:b w:val="0"/>
          <w:bCs/>
          <w:sz w:val="32"/>
          <w:szCs w:val="32"/>
          <w:shd w:val="clear" w:color="auto" w:fill="FFFFFF"/>
        </w:rPr>
        <w:t>负责贯彻执行国家及市级爱国卫生工作的方针、政策和法规；负责研究制定本县爱国卫生事业的发展规划和目标并组织实施；负责根据《烟草控制框架公约》做好相关工作；牵头开展卫生城镇创建和健康城镇、健康村（社区）、健康机关、健康学校、健康促进医院建设；牵头开展健康教育、健康促进活动；牵头健康中国重庆行动及健康秀山建设；负责城乡病媒生物防制工作</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Autospacing="0" w:line="560" w:lineRule="exact"/>
        <w:ind w:firstLine="640" w:firstLineChars="200"/>
        <w:jc w:val="both"/>
        <w:textAlignment w:val="auto"/>
        <w:outlineLvl w:val="9"/>
        <w:rPr>
          <w:rStyle w:val="10"/>
          <w:rFonts w:hint="default" w:ascii="方正仿宋_GBK" w:hAnsi="方正仿宋_GBK" w:eastAsia="方正仿宋_GBK" w:cs="方正仿宋_GBK"/>
          <w:b w:val="0"/>
          <w:bCs/>
          <w:sz w:val="32"/>
          <w:szCs w:val="32"/>
          <w:shd w:val="clear" w:color="auto" w:fill="FFFFFF"/>
        </w:rPr>
      </w:pPr>
      <w:r>
        <w:rPr>
          <w:rStyle w:val="10"/>
          <w:rFonts w:hint="eastAsia" w:ascii="方正仿宋_GBK" w:hAnsi="方正仿宋_GBK" w:eastAsia="方正仿宋_GBK" w:cs="方正仿宋_GBK"/>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仿宋_GBK" w:hAnsi="方正仿宋_GBK" w:eastAsia="方正仿宋_GBK" w:cs="方正仿宋_GBK"/>
          <w:b w:val="0"/>
          <w:bCs/>
          <w:sz w:val="32"/>
          <w:szCs w:val="32"/>
          <w:shd w:val="clear" w:color="auto" w:fill="FFFFFF"/>
          <w:lang w:eastAsia="zh-CN"/>
        </w:rPr>
      </w:pPr>
      <w:r>
        <w:rPr>
          <w:rStyle w:val="10"/>
          <w:rFonts w:hint="eastAsia" w:ascii="方正仿宋_GBK" w:hAnsi="方正仿宋_GBK" w:eastAsia="方正仿宋_GBK" w:cs="方正仿宋_GBK"/>
          <w:b w:val="0"/>
          <w:bCs/>
          <w:sz w:val="32"/>
          <w:szCs w:val="32"/>
          <w:shd w:val="clear" w:color="auto" w:fill="FFFFFF"/>
          <w:lang w:eastAsia="zh-CN"/>
        </w:rPr>
        <w:t>本单位为秀山土家族苗族自治县卫生健康委员会委属代管单位，是二级预算单位。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二、单位决算情况说明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rPr>
      </w:pPr>
      <w:r>
        <w:rPr>
          <w:rStyle w:val="10"/>
          <w:rFonts w:ascii="Times New Roman" w:hAnsi="Times New Roman" w:eastAsia="方正仿宋_GBK" w:cs="方正仿宋_GBK"/>
          <w:b w:val="0"/>
          <w:bCs/>
          <w:sz w:val="32"/>
          <w:szCs w:val="32"/>
          <w:shd w:val="clear" w:color="auto" w:fill="FFFFFF"/>
        </w:rPr>
        <w:t>1.总体情况。</w:t>
      </w:r>
      <w:r>
        <w:rPr>
          <w:rFonts w:ascii="Times New Roman" w:hAnsi="Times New Roman" w:eastAsia="方正仿宋_GBK" w:cs="方正仿宋_GBK"/>
          <w:b w:val="0"/>
          <w:bCs/>
          <w:sz w:val="32"/>
          <w:szCs w:val="32"/>
          <w:shd w:val="clear" w:color="auto" w:fill="FFFFFF"/>
        </w:rPr>
        <w:t>2023年度收入总计109.84万元，支出总计</w:t>
      </w:r>
      <w:r>
        <w:rPr>
          <w:rFonts w:ascii="Times New Roman" w:hAnsi="Times New Roman" w:eastAsia="方正仿宋_GBK" w:cs="方正仿宋_GBK"/>
          <w:b w:val="0"/>
          <w:bCs/>
          <w:sz w:val="32"/>
          <w:szCs w:val="32"/>
        </w:rPr>
        <w:t>109.84</w:t>
      </w:r>
      <w:r>
        <w:rPr>
          <w:rFonts w:ascii="Times New Roman" w:hAnsi="Times New Roman" w:eastAsia="方正仿宋_GBK" w:cs="方正仿宋_GBK"/>
          <w:b w:val="0"/>
          <w:bCs/>
          <w:sz w:val="32"/>
          <w:szCs w:val="32"/>
          <w:shd w:val="clear" w:color="auto" w:fill="FFFFFF"/>
        </w:rPr>
        <w:t>万元。收支较上年决算数增加109.84万元，增长100.00%，主要原因是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Style w:val="10"/>
          <w:rFonts w:ascii="Times New Roman" w:hAnsi="Times New Roman" w:eastAsia="方正仿宋_GBK" w:cs="方正仿宋_GBK"/>
          <w:b w:val="0"/>
          <w:bCs/>
          <w:sz w:val="32"/>
          <w:szCs w:val="32"/>
          <w:shd w:val="clear" w:color="auto" w:fill="FFFFFF"/>
        </w:rPr>
        <w:t>2.收入情况。</w:t>
      </w:r>
      <w:r>
        <w:rPr>
          <w:rFonts w:ascii="Times New Roman" w:hAnsi="Times New Roman" w:eastAsia="方正仿宋_GBK" w:cs="方正仿宋_GBK"/>
          <w:b w:val="0"/>
          <w:bCs/>
          <w:sz w:val="32"/>
          <w:szCs w:val="32"/>
          <w:shd w:val="clear" w:color="auto" w:fill="FFFFFF"/>
        </w:rPr>
        <w:t>2023年度收入合计109.84万元，较上年决算数增加109.84万元，增长100.00%，主要原因是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其中：财政拨款收入</w:t>
      </w:r>
      <w:r>
        <w:rPr>
          <w:rFonts w:ascii="Times New Roman" w:hAnsi="Times New Roman" w:eastAsia="方正仿宋_GBK" w:cs="方正仿宋_GBK"/>
          <w:b w:val="0"/>
          <w:bCs/>
          <w:sz w:val="32"/>
          <w:szCs w:val="32"/>
        </w:rPr>
        <w:t>109.84</w:t>
      </w:r>
      <w:r>
        <w:rPr>
          <w:rFonts w:ascii="Times New Roman" w:hAnsi="Times New Roman" w:eastAsia="方正仿宋_GBK" w:cs="方正仿宋_GBK"/>
          <w:b w:val="0"/>
          <w:bCs/>
          <w:sz w:val="32"/>
          <w:szCs w:val="32"/>
          <w:shd w:val="clear" w:color="auto" w:fill="FFFFFF"/>
        </w:rPr>
        <w:t>万元，占</w:t>
      </w:r>
      <w:r>
        <w:rPr>
          <w:rFonts w:ascii="Times New Roman" w:hAnsi="Times New Roman" w:eastAsia="方正仿宋_GBK" w:cs="方正仿宋_GBK"/>
          <w:b w:val="0"/>
          <w:bCs/>
          <w:sz w:val="32"/>
          <w:szCs w:val="32"/>
        </w:rPr>
        <w:t>100.00</w:t>
      </w:r>
      <w:r>
        <w:rPr>
          <w:rFonts w:ascii="Times New Roman" w:hAnsi="Times New Roman" w:eastAsia="方正仿宋_GBK" w:cs="方正仿宋_GBK"/>
          <w:b w:val="0"/>
          <w:bCs/>
          <w:sz w:val="32"/>
          <w:szCs w:val="32"/>
          <w:shd w:val="clear" w:color="auto" w:fill="FFFFFF"/>
        </w:rPr>
        <w:t>%；事业收入</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万元，占0.00%；经营收入</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万元，占0.00%；其他收入</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万元，占0.00%。此外，使用非财政拨款结余和专用结余</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万元，年初结转和结余</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Style w:val="10"/>
          <w:rFonts w:ascii="Times New Roman" w:hAnsi="Times New Roman" w:eastAsia="方正仿宋_GBK" w:cs="方正仿宋_GBK"/>
          <w:b w:val="0"/>
          <w:bCs/>
          <w:sz w:val="32"/>
          <w:szCs w:val="32"/>
          <w:shd w:val="clear" w:color="auto" w:fill="FFFFFF"/>
        </w:rPr>
        <w:t>3.支出情况。</w:t>
      </w:r>
      <w:r>
        <w:rPr>
          <w:rFonts w:ascii="Times New Roman" w:hAnsi="Times New Roman" w:eastAsia="方正仿宋_GBK" w:cs="方正仿宋_GBK"/>
          <w:b w:val="0"/>
          <w:bCs/>
          <w:sz w:val="32"/>
          <w:szCs w:val="32"/>
          <w:shd w:val="clear" w:color="auto" w:fill="FFFFFF"/>
        </w:rPr>
        <w:t>2023年度支出合计</w:t>
      </w:r>
      <w:r>
        <w:rPr>
          <w:rFonts w:ascii="Times New Roman" w:hAnsi="Times New Roman" w:eastAsia="方正仿宋_GBK" w:cs="方正仿宋_GBK"/>
          <w:b w:val="0"/>
          <w:bCs/>
          <w:sz w:val="32"/>
          <w:szCs w:val="32"/>
        </w:rPr>
        <w:t>109.84</w:t>
      </w:r>
      <w:r>
        <w:rPr>
          <w:rFonts w:ascii="Times New Roman" w:hAnsi="Times New Roman" w:eastAsia="方正仿宋_GBK" w:cs="方正仿宋_GBK"/>
          <w:b w:val="0"/>
          <w:bCs/>
          <w:sz w:val="32"/>
          <w:szCs w:val="32"/>
          <w:shd w:val="clear" w:color="auto" w:fill="FFFFFF"/>
        </w:rPr>
        <w:t>万元，较上年决算数增加109.84万元，增长100.00%，主要原因是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其中：基本支出</w:t>
      </w:r>
      <w:r>
        <w:rPr>
          <w:rFonts w:ascii="Times New Roman" w:hAnsi="Times New Roman" w:eastAsia="方正仿宋_GBK" w:cs="方正仿宋_GBK"/>
          <w:b w:val="0"/>
          <w:bCs/>
          <w:sz w:val="32"/>
          <w:szCs w:val="32"/>
        </w:rPr>
        <w:t>109.84</w:t>
      </w:r>
      <w:r>
        <w:rPr>
          <w:rFonts w:ascii="Times New Roman" w:hAnsi="Times New Roman" w:eastAsia="方正仿宋_GBK" w:cs="方正仿宋_GBK"/>
          <w:b w:val="0"/>
          <w:bCs/>
          <w:sz w:val="32"/>
          <w:szCs w:val="32"/>
          <w:shd w:val="clear" w:color="auto" w:fill="FFFFFF"/>
        </w:rPr>
        <w:t>万元，占100.00%；项目支出</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万元，占0.00%；经营支出</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万元，占0.00%。此外，结余分配</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rPr>
      </w:pPr>
      <w:r>
        <w:rPr>
          <w:rStyle w:val="10"/>
          <w:rFonts w:ascii="Times New Roman" w:hAnsi="Times New Roman" w:eastAsia="方正仿宋_GBK" w:cs="方正仿宋_GBK"/>
          <w:b w:val="0"/>
          <w:bCs/>
          <w:sz w:val="32"/>
          <w:szCs w:val="32"/>
          <w:shd w:val="clear" w:color="auto" w:fill="FFFFFF"/>
        </w:rPr>
        <w:t>4.结转结余情况。</w:t>
      </w:r>
      <w:r>
        <w:rPr>
          <w:rFonts w:ascii="Times New Roman" w:hAnsi="Times New Roman" w:eastAsia="方正仿宋_GBK" w:cs="方正仿宋_GBK"/>
          <w:b w:val="0"/>
          <w:bCs/>
          <w:sz w:val="32"/>
          <w:szCs w:val="32"/>
          <w:shd w:val="clear" w:color="auto" w:fill="FFFFFF"/>
        </w:rPr>
        <w:t>2023年度年末结转和结余</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万元，较上年决算数无增减，主要原因是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pacing w:line="560" w:lineRule="exact"/>
        <w:ind w:firstLine="643"/>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lang w:eastAsia="zh-CN"/>
        </w:rPr>
      </w:pPr>
      <w:r>
        <w:rPr>
          <w:rFonts w:hint="eastAsia" w:ascii="Times New Roman" w:hAnsi="Times New Roman" w:eastAsia="方正仿宋_GBK" w:cs="方正仿宋_GBK"/>
          <w:b w:val="0"/>
          <w:bCs/>
          <w:sz w:val="32"/>
          <w:szCs w:val="32"/>
          <w:shd w:val="clear" w:color="auto" w:fill="FFFFFF"/>
          <w:lang w:eastAsia="zh-CN"/>
        </w:rPr>
        <w:t>2023年度财政拨款收、支总计109.84万元。与2022年相比，财政拨款收、支总计各增加109.84万元，增长100.00%。主要原因是本单位为新增单位，无上年数据对比。</w:t>
      </w:r>
    </w:p>
    <w:p>
      <w:pPr>
        <w:pStyle w:val="13"/>
        <w:keepNext w:val="0"/>
        <w:keepLines w:val="0"/>
        <w:pageBreakBefore w:val="0"/>
        <w:widowControl/>
        <w:kinsoku/>
        <w:wordWrap/>
        <w:overflowPunct/>
        <w:topLinePunct w:val="0"/>
        <w:autoSpaceDE w:val="0"/>
        <w:autoSpaceDN/>
        <w:bidi w:val="0"/>
        <w:adjustRightInd/>
        <w:spacing w:line="560" w:lineRule="exact"/>
        <w:ind w:firstLine="643"/>
        <w:jc w:val="both"/>
        <w:textAlignment w:val="auto"/>
        <w:rPr>
          <w:rFonts w:ascii="楷体" w:hAnsi="楷体" w:eastAsia="楷体" w:cs="楷体"/>
          <w:b/>
          <w:bCs/>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rPr>
      </w:pPr>
      <w:r>
        <w:rPr>
          <w:rStyle w:val="10"/>
          <w:rFonts w:ascii="Times New Roman" w:hAnsi="Times New Roman" w:eastAsia="方正仿宋_GBK" w:cs="方正仿宋_GBK"/>
          <w:b w:val="0"/>
          <w:bCs/>
          <w:sz w:val="32"/>
          <w:szCs w:val="32"/>
          <w:shd w:val="clear" w:color="auto" w:fill="FFFFFF"/>
        </w:rPr>
        <w:t>1.收入情况。</w:t>
      </w:r>
      <w:r>
        <w:rPr>
          <w:rFonts w:ascii="Times New Roman" w:hAnsi="Times New Roman" w:eastAsia="方正仿宋_GBK" w:cs="方正仿宋_GBK"/>
          <w:b w:val="0"/>
          <w:bCs/>
          <w:sz w:val="32"/>
          <w:szCs w:val="32"/>
          <w:shd w:val="clear" w:color="auto" w:fill="FFFFFF"/>
        </w:rPr>
        <w:t>2023年度一般公共预算财政拨款收入</w:t>
      </w:r>
      <w:r>
        <w:rPr>
          <w:rFonts w:ascii="Times New Roman" w:hAnsi="Times New Roman" w:eastAsia="方正仿宋_GBK" w:cs="方正仿宋_GBK"/>
          <w:b w:val="0"/>
          <w:bCs/>
          <w:sz w:val="32"/>
          <w:szCs w:val="32"/>
        </w:rPr>
        <w:t>109.84</w:t>
      </w:r>
      <w:r>
        <w:rPr>
          <w:rFonts w:ascii="Times New Roman" w:hAnsi="Times New Roman" w:eastAsia="方正仿宋_GBK" w:cs="方正仿宋_GBK"/>
          <w:b w:val="0"/>
          <w:bCs/>
          <w:sz w:val="32"/>
          <w:szCs w:val="32"/>
          <w:shd w:val="clear" w:color="auto" w:fill="FFFFFF"/>
        </w:rPr>
        <w:t>万元，较上年决算数增加109.84万元，增长100.00%。主要原因是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较年初预算数减少34.75万元，下降24.03%。主要原因是</w:t>
      </w:r>
      <w:r>
        <w:rPr>
          <w:rFonts w:hint="eastAsia" w:ascii="Times New Roman" w:hAnsi="Times New Roman" w:eastAsia="方正仿宋_GBK" w:cs="方正仿宋_GBK"/>
          <w:b w:val="0"/>
          <w:bCs/>
          <w:sz w:val="32"/>
          <w:szCs w:val="32"/>
          <w:lang w:eastAsia="zh-CN"/>
        </w:rPr>
        <w:t>本单位支出来源于财政实际拨款。</w:t>
      </w:r>
      <w:r>
        <w:rPr>
          <w:rFonts w:ascii="Times New Roman" w:hAnsi="Times New Roman" w:eastAsia="方正仿宋_GBK" w:cs="方正仿宋_GBK"/>
          <w:b w:val="0"/>
          <w:bCs/>
          <w:sz w:val="32"/>
          <w:szCs w:val="32"/>
          <w:shd w:val="clear" w:color="auto" w:fill="FFFFFF"/>
        </w:rPr>
        <w:t>此外，年初财政拨款结转和结余</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lang w:eastAsia="zh-CN"/>
        </w:rPr>
      </w:pPr>
      <w:r>
        <w:rPr>
          <w:rStyle w:val="10"/>
          <w:rFonts w:ascii="Times New Roman" w:hAnsi="Times New Roman" w:eastAsia="方正仿宋_GBK" w:cs="方正仿宋_GBK"/>
          <w:b w:val="0"/>
          <w:bCs/>
          <w:sz w:val="32"/>
          <w:szCs w:val="32"/>
          <w:shd w:val="clear" w:color="auto" w:fill="FFFFFF"/>
        </w:rPr>
        <w:t>2.支出情况。</w:t>
      </w:r>
      <w:r>
        <w:rPr>
          <w:rFonts w:ascii="Times New Roman" w:hAnsi="Times New Roman" w:eastAsia="方正仿宋_GBK" w:cs="方正仿宋_GBK"/>
          <w:b w:val="0"/>
          <w:bCs/>
          <w:sz w:val="32"/>
          <w:szCs w:val="32"/>
          <w:shd w:val="clear" w:color="auto" w:fill="FFFFFF"/>
        </w:rPr>
        <w:t>2023年度一般公共预算财政拨款支出</w:t>
      </w:r>
      <w:r>
        <w:rPr>
          <w:rFonts w:ascii="Times New Roman" w:hAnsi="Times New Roman" w:eastAsia="方正仿宋_GBK" w:cs="方正仿宋_GBK"/>
          <w:b w:val="0"/>
          <w:bCs/>
          <w:sz w:val="32"/>
          <w:szCs w:val="32"/>
        </w:rPr>
        <w:t>109.84</w:t>
      </w:r>
      <w:r>
        <w:rPr>
          <w:rFonts w:ascii="Times New Roman" w:hAnsi="Times New Roman" w:eastAsia="方正仿宋_GBK" w:cs="方正仿宋_GBK"/>
          <w:b w:val="0"/>
          <w:bCs/>
          <w:sz w:val="32"/>
          <w:szCs w:val="32"/>
          <w:shd w:val="clear" w:color="auto" w:fill="FFFFFF"/>
        </w:rPr>
        <w:t>万元，较上年决算数增加109.84万元，增长100.00%。主要原因是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较年初预算数减少34.75万元，下降24.03%。主要原因是</w:t>
      </w:r>
      <w:r>
        <w:rPr>
          <w:rFonts w:hint="eastAsia" w:ascii="Times New Roman" w:hAnsi="Times New Roman" w:eastAsia="方正仿宋_GBK" w:cs="方正仿宋_GBK"/>
          <w:b w:val="0"/>
          <w:bCs/>
          <w:sz w:val="32"/>
          <w:szCs w:val="32"/>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shd w:val="clear" w:color="auto" w:fill="FFFFFF"/>
          <w:lang w:eastAsia="zh-CN"/>
        </w:rPr>
      </w:pPr>
      <w:r>
        <w:rPr>
          <w:rStyle w:val="10"/>
          <w:rFonts w:ascii="Times New Roman" w:hAnsi="Times New Roman" w:eastAsia="方正仿宋_GBK" w:cs="方正仿宋_GBK"/>
          <w:b w:val="0"/>
          <w:bCs/>
          <w:sz w:val="32"/>
          <w:szCs w:val="32"/>
          <w:shd w:val="clear" w:color="auto" w:fill="FFFFFF"/>
        </w:rPr>
        <w:t>3.结转结余情况。</w:t>
      </w:r>
      <w:r>
        <w:rPr>
          <w:rFonts w:ascii="Times New Roman" w:hAnsi="Times New Roman" w:eastAsia="方正仿宋_GBK" w:cs="方正仿宋_GBK"/>
          <w:b w:val="0"/>
          <w:bCs/>
          <w:sz w:val="32"/>
          <w:szCs w:val="32"/>
          <w:shd w:val="clear" w:color="auto" w:fill="FFFFFF"/>
        </w:rPr>
        <w:t>2023年度年末一般公共预算财政拨款结转和结余</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万元，较上年决算数无增减，主要原因是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Fonts w:ascii="Times New Roman" w:hAnsi="Times New Roman" w:eastAsia="方正仿宋_GBK" w:cs="方正仿宋_GBK"/>
          <w:b w:val="0"/>
          <w:bCs/>
          <w:sz w:val="32"/>
          <w:szCs w:val="32"/>
          <w:shd w:val="clear" w:color="auto" w:fill="FFFFFF"/>
        </w:rPr>
        <w:t>4.比较情况。本单位2023年度一般公共预算财政拨款支出主要用于以下几个方面：</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shd w:val="clear" w:color="auto" w:fill="FFFFFF"/>
          <w:lang w:eastAsia="zh-CN"/>
        </w:rPr>
      </w:pPr>
      <w:r>
        <w:rPr>
          <w:rFonts w:ascii="Times New Roman" w:hAnsi="Times New Roman" w:eastAsia="方正仿宋_GBK" w:cs="方正仿宋_GBK"/>
          <w:b w:val="0"/>
          <w:bCs/>
          <w:sz w:val="32"/>
          <w:szCs w:val="32"/>
          <w:shd w:val="clear" w:color="auto" w:fill="FFFFFF"/>
        </w:rPr>
        <w:t>（</w:t>
      </w:r>
      <w:r>
        <w:rPr>
          <w:rFonts w:hint="eastAsia" w:ascii="Times New Roman" w:hAnsi="Times New Roman" w:eastAsia="方正仿宋_GBK" w:cs="方正仿宋_GBK"/>
          <w:b w:val="0"/>
          <w:bCs/>
          <w:sz w:val="32"/>
          <w:szCs w:val="32"/>
          <w:shd w:val="clear" w:color="auto" w:fill="FFFFFF"/>
          <w:lang w:val="en-US" w:eastAsia="zh-CN"/>
        </w:rPr>
        <w:t>1</w:t>
      </w:r>
      <w:r>
        <w:rPr>
          <w:rFonts w:ascii="Times New Roman" w:hAnsi="Times New Roman" w:eastAsia="方正仿宋_GBK" w:cs="方正仿宋_GBK"/>
          <w:b w:val="0"/>
          <w:bCs/>
          <w:sz w:val="32"/>
          <w:szCs w:val="32"/>
          <w:shd w:val="clear" w:color="auto" w:fill="FFFFFF"/>
        </w:rPr>
        <w:t>）社会保障与就业支出12.55万元，占11.43%，较年初预算数减少7.04万元，下降35.94%，主要原因是</w:t>
      </w:r>
      <w:r>
        <w:rPr>
          <w:rFonts w:hint="eastAsia" w:ascii="Times New Roman" w:hAnsi="Times New Roman" w:eastAsia="方正仿宋_GBK" w:cs="方正仿宋_GBK"/>
          <w:b w:val="0"/>
          <w:bCs/>
          <w:sz w:val="32"/>
          <w:szCs w:val="32"/>
          <w:shd w:val="clear" w:color="auto" w:fill="FFFFFF"/>
          <w:lang w:eastAsia="zh-CN"/>
        </w:rPr>
        <w:t>社保基数每年有调整，本单位支出来源于财政实际拨款。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Fonts w:ascii="Times New Roman" w:hAnsi="Times New Roman" w:eastAsia="方正仿宋_GBK" w:cs="方正仿宋_GBK"/>
          <w:b w:val="0"/>
          <w:bCs/>
          <w:sz w:val="32"/>
          <w:szCs w:val="32"/>
          <w:shd w:val="clear" w:color="auto" w:fill="FFFFFF"/>
        </w:rPr>
        <w:t>（</w:t>
      </w:r>
      <w:r>
        <w:rPr>
          <w:rFonts w:hint="eastAsia" w:ascii="Times New Roman" w:hAnsi="Times New Roman" w:eastAsia="方正仿宋_GBK" w:cs="方正仿宋_GBK"/>
          <w:b w:val="0"/>
          <w:bCs/>
          <w:sz w:val="32"/>
          <w:szCs w:val="32"/>
          <w:shd w:val="clear" w:color="auto" w:fill="FFFFFF"/>
          <w:lang w:val="en-US" w:eastAsia="zh-CN"/>
        </w:rPr>
        <w:t>2</w:t>
      </w:r>
      <w:r>
        <w:rPr>
          <w:rFonts w:ascii="Times New Roman" w:hAnsi="Times New Roman" w:eastAsia="方正仿宋_GBK" w:cs="方正仿宋_GBK"/>
          <w:b w:val="0"/>
          <w:bCs/>
          <w:sz w:val="32"/>
          <w:szCs w:val="32"/>
          <w:shd w:val="clear" w:color="auto" w:fill="FFFFFF"/>
        </w:rPr>
        <w:t>）卫生健康支出87.42万元，占79.59%，较年初预算数减少26.39万元，下降23.19%，主要原因是</w:t>
      </w:r>
      <w:r>
        <w:rPr>
          <w:rFonts w:hint="eastAsia" w:ascii="Times New Roman" w:hAnsi="Times New Roman" w:eastAsia="方正仿宋_GBK" w:cs="方正仿宋_GBK"/>
          <w:b w:val="0"/>
          <w:bCs/>
          <w:sz w:val="32"/>
          <w:szCs w:val="32"/>
          <w:shd w:val="clear" w:color="auto" w:fill="FFFFFF"/>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Fonts w:ascii="Times New Roman" w:hAnsi="Times New Roman" w:eastAsia="方正仿宋_GBK" w:cs="方正仿宋_GBK"/>
          <w:b w:val="0"/>
          <w:bCs/>
          <w:sz w:val="32"/>
          <w:szCs w:val="32"/>
          <w:shd w:val="clear" w:color="auto" w:fill="FFFFFF"/>
        </w:rPr>
        <w:t>（</w:t>
      </w:r>
      <w:r>
        <w:rPr>
          <w:rFonts w:hint="eastAsia" w:ascii="Times New Roman" w:hAnsi="Times New Roman" w:eastAsia="方正仿宋_GBK" w:cs="方正仿宋_GBK"/>
          <w:b w:val="0"/>
          <w:bCs/>
          <w:sz w:val="32"/>
          <w:szCs w:val="32"/>
          <w:shd w:val="clear" w:color="auto" w:fill="FFFFFF"/>
          <w:lang w:val="en-US" w:eastAsia="zh-CN"/>
        </w:rPr>
        <w:t>3</w:t>
      </w:r>
      <w:r>
        <w:rPr>
          <w:rFonts w:ascii="Times New Roman" w:hAnsi="Times New Roman" w:eastAsia="方正仿宋_GBK" w:cs="方正仿宋_GBK"/>
          <w:b w:val="0"/>
          <w:bCs/>
          <w:sz w:val="32"/>
          <w:szCs w:val="32"/>
          <w:shd w:val="clear" w:color="auto" w:fill="FFFFFF"/>
        </w:rPr>
        <w:t>）住房保障支出9.86万元，占8.98%，较年初预算数减少1.33万元，下降11.89%，主要原因是</w:t>
      </w:r>
      <w:r>
        <w:rPr>
          <w:rFonts w:hint="eastAsia" w:ascii="Times New Roman" w:hAnsi="Times New Roman" w:eastAsia="方正仿宋_GBK" w:cs="方正仿宋_GBK"/>
          <w:b w:val="0"/>
          <w:bCs/>
          <w:sz w:val="32"/>
          <w:szCs w:val="32"/>
          <w:shd w:val="clear" w:color="auto" w:fill="FFFFFF"/>
          <w:lang w:eastAsia="zh-CN"/>
        </w:rPr>
        <w:t>本单位支出来源于财政实际拨款。</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Fonts w:ascii="Times New Roman" w:hAnsi="Times New Roman" w:eastAsia="方正仿宋_GBK" w:cs="方正仿宋_GBK"/>
          <w:b w:val="0"/>
          <w:bCs/>
          <w:sz w:val="32"/>
          <w:szCs w:val="32"/>
          <w:shd w:val="clear" w:color="auto" w:fill="FFFFFF"/>
        </w:rPr>
        <w:t>2023年度一般公共财政拨款基本支出109.84万元。其中：人员经费98.92万元，较上年决算数增加98.92万元，增长100.00%，主要原因是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人员经费用途主要包括</w:t>
      </w:r>
      <w:r>
        <w:rPr>
          <w:rFonts w:hint="eastAsia" w:ascii="Times New Roman" w:hAnsi="Times New Roman" w:eastAsia="方正仿宋_GBK" w:cs="方正仿宋_GBK"/>
          <w:b w:val="0"/>
          <w:bCs/>
          <w:sz w:val="32"/>
          <w:szCs w:val="32"/>
          <w:shd w:val="clear" w:color="auto" w:fill="FFFFFF"/>
          <w:lang w:eastAsia="zh-CN"/>
        </w:rPr>
        <w:t>社会保障、基本工资、绩效工资等。</w:t>
      </w:r>
      <w:r>
        <w:rPr>
          <w:rFonts w:ascii="Times New Roman" w:hAnsi="Times New Roman" w:eastAsia="方正仿宋_GBK" w:cs="方正仿宋_GBK"/>
          <w:b w:val="0"/>
          <w:bCs/>
          <w:sz w:val="32"/>
          <w:szCs w:val="32"/>
          <w:shd w:val="clear" w:color="auto" w:fill="FFFFFF"/>
        </w:rPr>
        <w:t>公用经费10.92万元，较上年决算数增加10.92万元，增长100.00%，主要原因是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公用经费用途主要包括</w:t>
      </w:r>
      <w:r>
        <w:rPr>
          <w:rFonts w:hint="eastAsia" w:ascii="Times New Roman" w:hAnsi="Times New Roman" w:eastAsia="方正仿宋_GBK" w:cs="方正仿宋_GBK"/>
          <w:b w:val="0"/>
          <w:bCs/>
          <w:sz w:val="32"/>
          <w:szCs w:val="32"/>
          <w:shd w:val="clear" w:color="auto" w:fill="FFFFFF"/>
          <w:lang w:eastAsia="zh-CN"/>
        </w:rPr>
        <w:t>办公费、水费、电费等。</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ascii="Times New Roman" w:hAnsi="Times New Roman" w:eastAsia="方正仿宋_GBK" w:cs="方正仿宋_GBK"/>
          <w:b w:val="0"/>
          <w:bCs w:val="0"/>
          <w:sz w:val="32"/>
          <w:szCs w:val="32"/>
        </w:rPr>
        <w:t>本单位2023年度无政府性基金预算财政拨款收支。</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ascii="楷体" w:hAnsi="楷体" w:eastAsia="楷体" w:cs="楷体"/>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sz w:val="32"/>
          <w:szCs w:val="32"/>
        </w:rPr>
      </w:pPr>
      <w:r>
        <w:rPr>
          <w:rFonts w:ascii="Times New Roman" w:hAnsi="Times New Roman" w:eastAsia="方正仿宋_GBK" w:cs="方正仿宋_GBK"/>
          <w:b w:val="0"/>
          <w:bCs w:val="0"/>
          <w:sz w:val="32"/>
          <w:szCs w:val="32"/>
        </w:rPr>
        <w:t>本单位2023年度无国有资本经营预算财政拨款支出。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三、“三公”经费情况说明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（一）“三公”经费支出总体情况说明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rPr>
      </w:pPr>
      <w:r>
        <w:rPr>
          <w:rFonts w:ascii="Times New Roman" w:hAnsi="Times New Roman" w:eastAsia="方正仿宋_GBK" w:cs="方正仿宋_GBK"/>
          <w:sz w:val="32"/>
          <w:szCs w:val="32"/>
        </w:rPr>
        <w:t>2023年度“三公”经费支出共计0.15万元，较年初预算数增加0.15万元，增长100.00%，主要原因是</w:t>
      </w:r>
      <w:r>
        <w:rPr>
          <w:rFonts w:hint="eastAsia" w:ascii="Times New Roman" w:hAnsi="Times New Roman" w:eastAsia="方正仿宋_GBK" w:cs="方正仿宋_GBK"/>
          <w:sz w:val="32"/>
          <w:szCs w:val="32"/>
          <w:lang w:eastAsia="zh-CN"/>
        </w:rPr>
        <w:t>本单位支出来源于财政实际拨款。</w:t>
      </w:r>
      <w:r>
        <w:rPr>
          <w:rFonts w:ascii="Times New Roman" w:hAnsi="Times New Roman" w:eastAsia="方正仿宋_GBK" w:cs="方正仿宋_GBK"/>
          <w:sz w:val="32"/>
          <w:szCs w:val="32"/>
        </w:rPr>
        <w:t>较上年支出数增加0.15万元，增长100.00%，主要原因是</w:t>
      </w:r>
      <w:r>
        <w:rPr>
          <w:rFonts w:hint="eastAsia" w:ascii="Times New Roman" w:hAnsi="Times New Roman" w:eastAsia="方正仿宋_GBK" w:cs="方正仿宋_GBK"/>
          <w:sz w:val="32"/>
          <w:szCs w:val="32"/>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（二）“三公”经费分项支出情况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3"/>
        <w:autoSpaceDE w:val="0"/>
        <w:ind w:firstLine="643"/>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Times New Roman" w:hAnsi="Times New Roman" w:eastAsia="方正仿宋_GBK" w:cs="方正仿宋_GBK"/>
          <w:sz w:val="32"/>
          <w:szCs w:val="32"/>
          <w:shd w:val="clear" w:color="auto" w:fill="FFFFFF"/>
        </w:rPr>
        <w:t>2023年度本单位因公出国（境）共计0个团组，0人；公务用车购置0辆，公务车保有量为0辆；国内公务接待0批次0人，其中：国内外事接待0批次，0人；国（境）外公务接待0批次，0人。2023年本单位人均接待费0元，车均购置费0万元，车均维护费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四、其他需要说明的事项</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（一）财政拨款会议费和培训费情况说明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因本单位为委属代管单位，财政未保障本单位会议费和培训费。</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（二）机关运行经费情况说明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FF0000"/>
          <w:sz w:val="32"/>
          <w:szCs w:val="32"/>
        </w:rPr>
      </w:pPr>
      <w:r>
        <w:rPr>
          <w:rFonts w:hint="default" w:ascii="Times New Roman" w:hAnsi="Times New Roman" w:eastAsia="方正仿宋_GBK" w:cs="方正仿宋_GBK"/>
          <w:b w:val="0"/>
          <w:bCs/>
          <w:sz w:val="32"/>
          <w:szCs w:val="32"/>
          <w:shd w:val="clear" w:color="auto" w:fill="FFFFFF"/>
        </w:rPr>
        <w:t>按照部门决算列报口径，我单位不在机关运行经费统计范围之内。</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（三）国有资产占用情况说明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rPr>
      </w:pPr>
      <w:r>
        <w:rPr>
          <w:rFonts w:ascii="Times New Roman" w:hAnsi="Times New Roman" w:eastAsia="方正仿宋_GBK" w:cs="方正仿宋_GBK"/>
          <w:sz w:val="32"/>
          <w:szCs w:val="32"/>
          <w:shd w:val="clear" w:color="auto" w:fill="FFFFFF"/>
        </w:rPr>
        <w:t>截至2023年12月31日，本单位共有车辆0辆，其中，副部（省）级及以上领导用车0辆、主要负责人用车0辆、机要通信用车0辆、应急保障用车0辆、执法执勤用车0辆，特种专业技术用车0辆，离退休干部用车0辆。单价100万元（含）以上专用设备0台（套）。</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3"/>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eastAsia" w:ascii="楷体" w:hAnsi="楷体" w:eastAsia="楷体" w:cs="楷体"/>
          <w:b/>
          <w:bCs/>
          <w:sz w:val="32"/>
          <w:szCs w:val="32"/>
          <w:shd w:val="clear" w:color="auto" w:fill="FFFFFF"/>
        </w:rPr>
      </w:pPr>
      <w:r>
        <w:rPr>
          <w:rFonts w:ascii="Times New Roman" w:hAnsi="Times New Roman" w:eastAsia="方正仿宋_GBK" w:cs="方正仿宋_GBK"/>
          <w:sz w:val="32"/>
          <w:szCs w:val="32"/>
          <w:shd w:val="clear" w:color="auto" w:fill="FFFFFF"/>
        </w:rPr>
        <w:t>2023年度</w:t>
      </w:r>
      <w:r>
        <w:rPr>
          <w:rFonts w:hint="eastAsia" w:ascii="Times New Roman" w:hAnsi="Times New Roman" w:eastAsia="方正仿宋_GBK" w:cs="方正仿宋_GBK"/>
          <w:sz w:val="32"/>
          <w:szCs w:val="32"/>
          <w:shd w:val="clear" w:color="auto" w:fill="FFFFFF"/>
          <w:lang w:eastAsia="zh-CN"/>
        </w:rPr>
        <w:t>本</w:t>
      </w:r>
      <w:r>
        <w:rPr>
          <w:rFonts w:ascii="Times New Roman" w:hAnsi="Times New Roman" w:eastAsia="方正仿宋_GBK" w:cs="方正仿宋_GBK"/>
          <w:sz w:val="32"/>
          <w:szCs w:val="32"/>
          <w:shd w:val="clear" w:color="auto" w:fill="FFFFFF"/>
        </w:rPr>
        <w:t>单位未发生政府采购事项，无相关经费支出。</w:t>
      </w:r>
    </w:p>
    <w:p>
      <w:pPr>
        <w:pStyle w:val="8"/>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（一）单位自评情况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本单位为委属代管单位，无项目预算及支出，未开展绩效自评。</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b w:val="0"/>
          <w:bCs w:val="0"/>
          <w:sz w:val="32"/>
          <w:szCs w:val="32"/>
          <w:shd w:val="clear" w:color="auto" w:fill="FFFFFF"/>
        </w:rPr>
      </w:pPr>
      <w:r>
        <w:rPr>
          <w:rFonts w:hint="eastAsia" w:ascii="方正仿宋_GBK" w:hAnsi="方正仿宋_GBK" w:eastAsia="方正仿宋_GBK" w:cs="方正仿宋_GBK"/>
          <w:b w:val="0"/>
          <w:bCs w:val="0"/>
          <w:sz w:val="32"/>
          <w:szCs w:val="32"/>
          <w:shd w:val="clear" w:color="auto" w:fill="FFFFFF"/>
          <w:lang w:eastAsia="zh-CN"/>
        </w:rPr>
        <w:t>本</w:t>
      </w:r>
      <w:r>
        <w:rPr>
          <w:rFonts w:hint="eastAsia" w:ascii="方正仿宋_GBK" w:hAnsi="方正仿宋_GBK" w:eastAsia="方正仿宋_GBK" w:cs="方正仿宋_GBK"/>
          <w:b w:val="0"/>
          <w:bCs w:val="0"/>
          <w:sz w:val="32"/>
          <w:szCs w:val="32"/>
          <w:shd w:val="clear" w:color="auto" w:fill="FFFFFF"/>
        </w:rPr>
        <w:t>单位</w:t>
      </w:r>
      <w:r>
        <w:rPr>
          <w:rFonts w:hint="eastAsia" w:ascii="方正仿宋_GBK" w:hAnsi="方正仿宋_GBK" w:eastAsia="方正仿宋_GBK" w:cs="方正仿宋_GBK"/>
          <w:b w:val="0"/>
          <w:bCs w:val="0"/>
          <w:sz w:val="32"/>
          <w:szCs w:val="32"/>
          <w:shd w:val="clear" w:color="auto" w:fill="FFFFFF"/>
          <w:lang w:eastAsia="zh-CN"/>
        </w:rPr>
        <w:t>未组织开展绩效评价。</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（三）财政绩效评价情况</w:t>
      </w:r>
    </w:p>
    <w:p>
      <w:pPr>
        <w:pStyle w:val="8"/>
        <w:keepNext w:val="0"/>
        <w:keepLines w:val="0"/>
        <w:pageBreakBefore w:val="0"/>
        <w:widowControl/>
        <w:shd w:val="clear" w:color="auto" w:fill="FFFFFF"/>
        <w:kinsoku/>
        <w:wordWrap/>
        <w:overflowPunct/>
        <w:topLinePunct w:val="0"/>
        <w:autoSpaceDN/>
        <w:bidi w:val="0"/>
        <w:adjustRightInd/>
        <w:snapToGrid/>
        <w:spacing w:beforeAutospacing="0" w:afterAutospacing="0" w:line="560" w:lineRule="exact"/>
        <w:ind w:firstLine="640" w:firstLineChars="200"/>
        <w:jc w:val="both"/>
        <w:textAlignment w:val="auto"/>
        <w:rPr>
          <w:rFonts w:hint="eastAsia" w:ascii="方正仿宋_GBK" w:hAnsi="方正仿宋_GBK" w:eastAsia="方正仿宋_GBK" w:cs="方正仿宋_GBK"/>
          <w:sz w:val="32"/>
          <w:szCs w:val="32"/>
          <w:shd w:val="clear" w:color="auto" w:fill="FFFFFF"/>
          <w:lang w:eastAsia="zh-CN"/>
        </w:rPr>
      </w:pPr>
      <w:r>
        <w:rPr>
          <w:rFonts w:hint="eastAsia" w:ascii="方正仿宋_GBK" w:hAnsi="方正仿宋_GBK" w:eastAsia="方正仿宋_GBK" w:cs="方正仿宋_GBK"/>
          <w:sz w:val="32"/>
          <w:szCs w:val="32"/>
          <w:shd w:val="clear" w:color="auto" w:fill="FFFFFF"/>
          <w:lang w:eastAsia="zh-CN"/>
        </w:rPr>
        <w:t>县</w:t>
      </w:r>
      <w:r>
        <w:rPr>
          <w:rFonts w:hint="eastAsia" w:ascii="方正仿宋_GBK" w:hAnsi="方正仿宋_GBK" w:eastAsia="方正仿宋_GBK" w:cs="方正仿宋_GBK"/>
          <w:sz w:val="32"/>
          <w:szCs w:val="32"/>
          <w:shd w:val="clear" w:color="auto" w:fill="FFFFFF"/>
        </w:rPr>
        <w:t>财政局</w:t>
      </w:r>
      <w:r>
        <w:rPr>
          <w:rFonts w:hint="eastAsia" w:ascii="方正仿宋_GBK" w:hAnsi="方正仿宋_GBK" w:eastAsia="方正仿宋_GBK" w:cs="方正仿宋_GBK"/>
          <w:sz w:val="32"/>
          <w:szCs w:val="32"/>
          <w:shd w:val="clear" w:color="auto" w:fill="FFFFFF"/>
          <w:lang w:eastAsia="zh-CN"/>
        </w:rPr>
        <w:t>未</w:t>
      </w:r>
      <w:r>
        <w:rPr>
          <w:rFonts w:hint="eastAsia" w:ascii="方正仿宋_GBK" w:hAnsi="方正仿宋_GBK" w:eastAsia="方正仿宋_GBK" w:cs="方正仿宋_GBK"/>
          <w:sz w:val="32"/>
          <w:szCs w:val="32"/>
          <w:shd w:val="clear" w:color="auto" w:fill="FFFFFF"/>
        </w:rPr>
        <w:t>委托第三方对</w:t>
      </w:r>
      <w:r>
        <w:rPr>
          <w:rFonts w:hint="eastAsia" w:ascii="方正仿宋_GBK" w:hAnsi="方正仿宋_GBK" w:eastAsia="方正仿宋_GBK" w:cs="方正仿宋_GBK"/>
          <w:sz w:val="32"/>
          <w:szCs w:val="32"/>
          <w:shd w:val="clear" w:color="auto" w:fill="FFFFFF"/>
          <w:lang w:eastAsia="zh-CN"/>
        </w:rPr>
        <w:t>本</w:t>
      </w:r>
      <w:r>
        <w:rPr>
          <w:rFonts w:hint="eastAsia" w:ascii="方正仿宋_GBK" w:hAnsi="方正仿宋_GBK" w:eastAsia="方正仿宋_GBK" w:cs="方正仿宋_GBK"/>
          <w:sz w:val="32"/>
          <w:szCs w:val="32"/>
          <w:shd w:val="clear" w:color="auto" w:fill="FFFFFF"/>
        </w:rPr>
        <w:t>单位</w:t>
      </w:r>
      <w:r>
        <w:rPr>
          <w:rFonts w:hint="eastAsia" w:ascii="方正仿宋_GBK" w:hAnsi="方正仿宋_GBK" w:eastAsia="方正仿宋_GBK" w:cs="方正仿宋_GBK"/>
          <w:sz w:val="32"/>
          <w:szCs w:val="32"/>
          <w:shd w:val="clear" w:color="auto" w:fill="FFFFFF"/>
          <w:lang w:eastAsia="zh-CN"/>
        </w:rPr>
        <w:t>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六、专业名词解释</w:t>
      </w:r>
      <w:bookmarkStart w:id="0" w:name="_GoBack"/>
      <w:bookmarkEnd w:id="0"/>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（二）事业收入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（三）经营收入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（四）其他收入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（五）使用非财政拨款结余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（六）年初结转和结余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（七）结余分配</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（八）年末结转和结余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（九）基本支出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（十）项目支出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（十一）经营支出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（十二）“三公”经费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（十三）机关运行经费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七、决算公开联系方式及信息反馈渠道</w:t>
      </w:r>
    </w:p>
    <w:p>
      <w:pPr>
        <w:pStyle w:val="13"/>
        <w:autoSpaceDE w:val="0"/>
        <w:ind w:firstLine="640" w:firstLineChars="200"/>
        <w:rPr>
          <w:rFonts w:hint="eastAsia"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rPr>
        <w:t>本单位决算公开信息反馈和联系方式：</w:t>
      </w:r>
    </w:p>
    <w:p>
      <w:pPr>
        <w:pStyle w:val="13"/>
        <w:autoSpaceDE w:val="0"/>
        <w:ind w:firstLine="640" w:firstLineChars="200"/>
        <w:rPr>
          <w:rStyle w:val="10"/>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方正仿宋_GBK" w:hAnsi="方正仿宋_GBK" w:eastAsia="方正仿宋_GBK" w:cs="方正仿宋_GBK"/>
          <w:sz w:val="32"/>
          <w:szCs w:val="32"/>
          <w:shd w:val="clear" w:color="auto" w:fill="FFFFFF"/>
          <w:lang w:eastAsia="zh-CN"/>
        </w:rPr>
        <w:t>龚盼</w:t>
      </w:r>
      <w:r>
        <w:rPr>
          <w:rFonts w:hint="eastAsia" w:ascii="Times New Roman" w:hAnsi="Times New Roman" w:eastAsia="方正仿宋_GBK" w:cs="方正仿宋_GBK"/>
          <w:sz w:val="32"/>
          <w:szCs w:val="32"/>
          <w:shd w:val="clear" w:color="auto" w:fill="FFFFFF"/>
          <w:lang w:val="en-US" w:eastAsia="zh-CN"/>
        </w:rPr>
        <w:t xml:space="preserve">  023-76662083</w:t>
      </w:r>
    </w:p>
    <w:p>
      <w:pPr>
        <w:rPr>
          <w:rFonts w:hint="default" w:cs="宋体"/>
          <w:sz w:val="21"/>
          <w:szCs w:val="21"/>
        </w:rPr>
      </w:pPr>
    </w:p>
    <w:tbl>
      <w:tblPr>
        <w:tblStyle w:val="11"/>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公开单位：重庆市秀山土家族苗族自治县爱国卫生运动委员会办公室</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109.84</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12.55</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87.42</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9.86</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109.84</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109.84</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109.84</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109.84</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公开单位：重庆市秀山土家族苗族自治县爱国卫生运动委员会办公室</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109.84</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109.84</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12.55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12.55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12.55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12.55</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6.12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6.12</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6.43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6.43</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87.42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87.42</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81.56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81.56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81.56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81.56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9.86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9.86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9.86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9.86</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9.86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9.86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8"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重庆市秀山土家族苗族自治县爱国卫生运动委员会办公室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8"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109.84</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109.84</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12.55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12.55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12.55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12.55</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6.12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6.12</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6.43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6.43</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87.42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87.42</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81.56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81.56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81.56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81.56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5.86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5.86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9.86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9.86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9.86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9.86</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9.86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9.86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1"/>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50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重庆市秀山土家族苗族自治县爱国卫生运动委员会办公室</w:t>
            </w: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50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109.84</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12.55</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12.55</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87.42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87.42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9.86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9.86</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109.84</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109.84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109.84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109.84</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109.84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109.84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重庆市秀山土家族苗族自治县爱国卫生运动委员会办公室</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109.84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109.84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12.55</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12.55</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12.55</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12.55</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6.12</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6.12</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6.43</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6.43</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87.42</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87.42</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81.56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81.56</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81.56</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81.56</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5.86</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5.86</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5.86</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9.86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9.86</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9.86</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9.86</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9.86</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9.86</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1"/>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重庆市秀山土家族苗族自治县爱国卫生运动委员会办公室</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98.92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10.92</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26.31</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4.33</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7.55</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34.93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6.12</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0.60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6.43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2.39</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5.86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1.12</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0.18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0.11</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9.86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1.68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0.15</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0.90</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1.32</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98.92</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10.92</w:t>
            </w: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重庆市秀山土家族苗族自治县爱国卫生运动委员会办公室</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重庆市秀山土家族苗族自治县爱国卫生运动委员会办公室</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r>
        <w:rPr>
          <w:rFonts w:hint="default" w:cs="宋体"/>
          <w:sz w:val="21"/>
          <w:szCs w:val="21"/>
        </w:rPr>
        <w:br w:type="page"/>
      </w:r>
    </w:p>
    <w:tbl>
      <w:tblPr>
        <w:tblStyle w:val="11"/>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重庆市秀山土家族苗族自治县爱国卫生运动委员会办公室</w:t>
            </w:r>
          </w:p>
        </w:tc>
        <w:tc>
          <w:tcPr>
            <w:tcW w:w="216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6"/>
                <w:szCs w:val="16"/>
              </w:rPr>
            </w:pPr>
            <w:r>
              <w:rPr>
                <w:rFonts w:cs="宋体"/>
                <w:b/>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0.15</w:t>
            </w: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0.15</w:t>
            </w: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0.15</w:t>
            </w:r>
            <w:r>
              <w:rPr>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0.15</w:t>
            </w: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0.15</w:t>
            </w: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1</w:t>
            </w: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rFonts w:cs="宋体"/>
                <w:color w:val="000000"/>
                <w:sz w:val="16"/>
                <w:szCs w:val="16"/>
              </w:rPr>
              <w:t>16</w:t>
            </w: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6"/>
                <w:szCs w:val="16"/>
              </w:rPr>
            </w:pPr>
            <w:r>
              <w:rPr>
                <w:rFonts w:cs="宋体"/>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cs="宋体"/>
                <w:color w:val="000000"/>
                <w:sz w:val="16"/>
                <w:szCs w:val="16"/>
              </w:rPr>
            </w:pPr>
            <w:r>
              <w:rPr>
                <w:rFonts w:cs="宋体"/>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cs="宋体"/>
                <w:color w:val="000000"/>
                <w:sz w:val="16"/>
                <w:szCs w:val="16"/>
              </w:rPr>
            </w:pPr>
            <w:r>
              <w:rPr>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cs="宋体"/>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cs="宋体"/>
                <w:color w:val="000000"/>
                <w:sz w:val="16"/>
                <w:szCs w:val="16"/>
              </w:rPr>
            </w:pPr>
          </w:p>
        </w:tc>
      </w:tr>
    </w:tbl>
    <w:p>
      <w:pPr>
        <w:rPr>
          <w:rFonts w:hint="default"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32 -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32 -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1D3BB7"/>
    <w:rsid w:val="002B254B"/>
    <w:rsid w:val="00550ABE"/>
    <w:rsid w:val="00770383"/>
    <w:rsid w:val="007819D4"/>
    <w:rsid w:val="007B419D"/>
    <w:rsid w:val="007B7C4B"/>
    <w:rsid w:val="007D3D39"/>
    <w:rsid w:val="00994AF7"/>
    <w:rsid w:val="009B67B8"/>
    <w:rsid w:val="009D2B67"/>
    <w:rsid w:val="00B03CCD"/>
    <w:rsid w:val="00C10E9E"/>
    <w:rsid w:val="00C20C3E"/>
    <w:rsid w:val="00F73F90"/>
    <w:rsid w:val="01474EBF"/>
    <w:rsid w:val="01F3521E"/>
    <w:rsid w:val="03B87EA0"/>
    <w:rsid w:val="03E3214F"/>
    <w:rsid w:val="044C50BA"/>
    <w:rsid w:val="04AA2D7E"/>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F2311A"/>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2370A0"/>
    <w:rsid w:val="12C921C4"/>
    <w:rsid w:val="13871C70"/>
    <w:rsid w:val="13A71CB4"/>
    <w:rsid w:val="13AF1D43"/>
    <w:rsid w:val="13CE1647"/>
    <w:rsid w:val="13FD55AB"/>
    <w:rsid w:val="14200702"/>
    <w:rsid w:val="163A6CEE"/>
    <w:rsid w:val="173708E3"/>
    <w:rsid w:val="17C374FC"/>
    <w:rsid w:val="182E4AB6"/>
    <w:rsid w:val="189079DC"/>
    <w:rsid w:val="189B0D0B"/>
    <w:rsid w:val="18B43F7C"/>
    <w:rsid w:val="194A1770"/>
    <w:rsid w:val="19B906A4"/>
    <w:rsid w:val="1B40729A"/>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C636760"/>
    <w:rsid w:val="2C6762A3"/>
    <w:rsid w:val="2FCA4B37"/>
    <w:rsid w:val="2FE029D7"/>
    <w:rsid w:val="2FF06E00"/>
    <w:rsid w:val="30586FEC"/>
    <w:rsid w:val="30695A07"/>
    <w:rsid w:val="315F0B22"/>
    <w:rsid w:val="31D84415"/>
    <w:rsid w:val="32285F6F"/>
    <w:rsid w:val="32770556"/>
    <w:rsid w:val="329C0913"/>
    <w:rsid w:val="32AA0460"/>
    <w:rsid w:val="3337290D"/>
    <w:rsid w:val="33555400"/>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19333F"/>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C37687"/>
    <w:rsid w:val="45CB699A"/>
    <w:rsid w:val="465B470D"/>
    <w:rsid w:val="469D6AD4"/>
    <w:rsid w:val="471E6C84"/>
    <w:rsid w:val="4748792B"/>
    <w:rsid w:val="475D719D"/>
    <w:rsid w:val="47674801"/>
    <w:rsid w:val="48225EF7"/>
    <w:rsid w:val="488F422B"/>
    <w:rsid w:val="48E36915"/>
    <w:rsid w:val="48EB6572"/>
    <w:rsid w:val="495C4A24"/>
    <w:rsid w:val="497135DF"/>
    <w:rsid w:val="4A0E074C"/>
    <w:rsid w:val="4A263DF2"/>
    <w:rsid w:val="4A6F6675"/>
    <w:rsid w:val="4B135857"/>
    <w:rsid w:val="4B7951CB"/>
    <w:rsid w:val="4B7C315C"/>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5E17C68"/>
    <w:rsid w:val="56530F5D"/>
    <w:rsid w:val="567700D3"/>
    <w:rsid w:val="56FF7E9E"/>
    <w:rsid w:val="572F0116"/>
    <w:rsid w:val="578867FC"/>
    <w:rsid w:val="582A0722"/>
    <w:rsid w:val="5842572D"/>
    <w:rsid w:val="5A3B59D6"/>
    <w:rsid w:val="5AD134D8"/>
    <w:rsid w:val="5C263CE4"/>
    <w:rsid w:val="5C5D2777"/>
    <w:rsid w:val="5CF66BF3"/>
    <w:rsid w:val="5D290C69"/>
    <w:rsid w:val="5F2D4A41"/>
    <w:rsid w:val="60C74F6C"/>
    <w:rsid w:val="61025A59"/>
    <w:rsid w:val="613D5BBC"/>
    <w:rsid w:val="61536C39"/>
    <w:rsid w:val="62944DD7"/>
    <w:rsid w:val="6319381F"/>
    <w:rsid w:val="63C25DC5"/>
    <w:rsid w:val="63C62057"/>
    <w:rsid w:val="64571EF5"/>
    <w:rsid w:val="64FB113D"/>
    <w:rsid w:val="656152C6"/>
    <w:rsid w:val="6587477F"/>
    <w:rsid w:val="658C3A08"/>
    <w:rsid w:val="65A04EC3"/>
    <w:rsid w:val="65C031CA"/>
    <w:rsid w:val="65CE6852"/>
    <w:rsid w:val="66267C04"/>
    <w:rsid w:val="663F505A"/>
    <w:rsid w:val="66EE5541"/>
    <w:rsid w:val="67924660"/>
    <w:rsid w:val="68407834"/>
    <w:rsid w:val="6883293E"/>
    <w:rsid w:val="688412AD"/>
    <w:rsid w:val="68EB1B71"/>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934AD2"/>
    <w:rsid w:val="750837F0"/>
    <w:rsid w:val="754758CF"/>
    <w:rsid w:val="764F62AB"/>
    <w:rsid w:val="765C45EC"/>
    <w:rsid w:val="768A7619"/>
    <w:rsid w:val="772E1EBA"/>
    <w:rsid w:val="776C3694"/>
    <w:rsid w:val="781926BC"/>
    <w:rsid w:val="796D60A4"/>
    <w:rsid w:val="79A031D5"/>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4004</Words>
  <Characters>22826</Characters>
  <Lines>190</Lines>
  <Paragraphs>53</Paragraphs>
  <TotalTime>0</TotalTime>
  <ScaleCrop>false</ScaleCrop>
  <LinksUpToDate>false</LinksUpToDate>
  <CharactersWithSpaces>26777</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2024-09-23T04:05:44Z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