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sz w:val="44"/>
          <w:szCs w:val="44"/>
          <w:shd w:val="clear" w:color="auto" w:fill="FFFF00"/>
        </w:rPr>
      </w:pPr>
      <w:r>
        <w:rPr>
          <w:rFonts w:ascii="方正小标宋_GBK" w:hAnsi="方正小标宋_GBK" w:eastAsia="方正小标宋_GBK" w:cs="方正小标宋_GBK"/>
          <w:sz w:val="44"/>
          <w:szCs w:val="44"/>
        </w:rPr>
        <w:t>重庆市秀山土家族苗族自治县清溪场街道社区卫</w:t>
      </w:r>
      <w:r>
        <w:rPr>
          <w:rFonts w:hint="default" w:ascii="Times New Roman" w:hAnsi="Times New Roman" w:eastAsia="方正小标宋_GBK" w:cs="Times New Roman"/>
          <w:sz w:val="44"/>
          <w:szCs w:val="44"/>
        </w:rPr>
        <w:t>生服务中心</w:t>
      </w:r>
      <w:r>
        <w:rPr>
          <w:rFonts w:hint="default" w:ascii="Times New Roman" w:hAnsi="Times New Roman" w:eastAsia="方正小标宋_GBK" w:cs="Times New Roman"/>
          <w:sz w:val="44"/>
          <w:szCs w:val="44"/>
          <w:shd w:val="clear" w:color="auto" w:fill="FFFFFF"/>
        </w:rPr>
        <w:t>2023年度决算公开说明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0" w:firstLineChars="0"/>
        <w:textAlignment w:val="auto"/>
        <w:rPr>
          <w:rStyle w:val="12"/>
          <w:rFonts w:hint="default" w:ascii="Times New Roman" w:hAnsi="Times New Roman" w:eastAsia="方正仿宋_GBK" w:cs="Times New Roman"/>
          <w:b w:val="0"/>
          <w:bCs/>
          <w:sz w:val="32"/>
          <w:szCs w:val="32"/>
          <w:shd w:val="clear" w:color="auto" w:fill="FFFFFF"/>
        </w:rPr>
      </w:pP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sz w:val="32"/>
          <w:szCs w:val="32"/>
        </w:rPr>
      </w:pPr>
      <w:r>
        <w:rPr>
          <w:rStyle w:val="12"/>
          <w:rFonts w:hint="eastAsia" w:ascii="方正黑体_GBK" w:hAnsi="方正黑体_GBK" w:eastAsia="方正黑体_GBK" w:cs="方正黑体_GBK"/>
          <w:b w:val="0"/>
          <w:bCs/>
          <w:sz w:val="32"/>
          <w:szCs w:val="32"/>
          <w:shd w:val="clear" w:color="auto" w:fill="FFFFFF"/>
        </w:rPr>
        <w:t>一、单位基本情况</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2"/>
          <w:rFonts w:hint="eastAsia" w:ascii="方正楷体_GBK" w:hAnsi="方正楷体_GBK" w:eastAsia="方正楷体_GBK" w:cs="方正楷体_GBK"/>
          <w:b w:val="0"/>
          <w:bCs/>
          <w:sz w:val="32"/>
          <w:szCs w:val="32"/>
          <w:shd w:val="clear" w:color="auto" w:fill="FFFFFF"/>
        </w:rPr>
        <w:t>（一）职能职责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w:t>
      </w:r>
      <w:r>
        <w:rPr>
          <w:rFonts w:hint="default" w:ascii="Times New Roman" w:hAnsi="Times New Roman" w:eastAsia="方正仿宋_GBK" w:cs="Times New Roman"/>
          <w:i w:val="0"/>
          <w:caps w:val="0"/>
          <w:color w:val="333333"/>
          <w:spacing w:val="0"/>
          <w:sz w:val="32"/>
          <w:szCs w:val="32"/>
          <w:shd w:val="clear" w:fill="FFFFFF"/>
          <w:lang w:eastAsia="zh-CN"/>
        </w:rPr>
        <w:t>社区卫生服务中心</w:t>
      </w:r>
      <w:r>
        <w:rPr>
          <w:rFonts w:hint="default" w:ascii="Times New Roman" w:hAnsi="Times New Roman" w:eastAsia="方正仿宋_GBK" w:cs="Times New Roman"/>
          <w:i w:val="0"/>
          <w:caps w:val="0"/>
          <w:color w:val="333333"/>
          <w:spacing w:val="0"/>
          <w:sz w:val="32"/>
          <w:szCs w:val="32"/>
          <w:shd w:val="clear" w:fill="FFFFFF"/>
        </w:rPr>
        <w:t>，应当履行以下公共卫生职责：</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1.根据国家和本市规定收集、报送辖区内卫生健康信息，建立和管理居民健康档案，提出改进辖区公共卫生状况的建议；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2.开展健康教育，普及健康知识；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3.协助开展传染病以及地方病、寄生虫病的预防控制， 配合开展爱国卫生工作；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4.做好高危人群、重点慢性病患者的筛查和病例管理；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5.提供心理健康指导服务，实施精神病社区管理；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6.为妇女、儿童、老年人、残疾人等重点人群提供保健和康复服务；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7.提供计划生育技术服务，协助处置辖区内突发公共卫生事件等；</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i w:val="0"/>
          <w:caps w:val="0"/>
          <w:color w:val="333333"/>
          <w:spacing w:val="0"/>
          <w:sz w:val="32"/>
          <w:szCs w:val="32"/>
          <w:lang w:val="en-US" w:eastAsia="zh-CN"/>
        </w:rPr>
      </w:pPr>
      <w:r>
        <w:rPr>
          <w:rFonts w:hint="default" w:ascii="Times New Roman" w:hAnsi="Times New Roman" w:eastAsia="方正仿宋_GBK" w:cs="Times New Roman"/>
          <w:i w:val="0"/>
          <w:caps w:val="0"/>
          <w:color w:val="333333"/>
          <w:spacing w:val="0"/>
          <w:sz w:val="32"/>
          <w:szCs w:val="32"/>
          <w:shd w:val="clear" w:fill="FFFFFF"/>
        </w:rPr>
        <w:t>8.按要求提供其他公共卫生</w:t>
      </w:r>
      <w:r>
        <w:rPr>
          <w:rFonts w:hint="default" w:ascii="Times New Roman" w:hAnsi="Times New Roman" w:eastAsia="方正仿宋_GBK" w:cs="Times New Roman"/>
          <w:i w:val="0"/>
          <w:caps w:val="0"/>
          <w:color w:val="333333"/>
          <w:spacing w:val="0"/>
          <w:sz w:val="32"/>
          <w:szCs w:val="32"/>
          <w:highlight w:val="none"/>
          <w:shd w:val="clear" w:fill="FFFFFF"/>
        </w:rPr>
        <w:t>服务</w:t>
      </w:r>
      <w:r>
        <w:rPr>
          <w:rFonts w:hint="eastAsia" w:ascii="Times New Roman" w:hAnsi="Times New Roman" w:eastAsia="方正仿宋_GBK" w:cs="Times New Roman"/>
          <w:i w:val="0"/>
          <w:caps w:val="0"/>
          <w:color w:val="333333"/>
          <w:spacing w:val="0"/>
          <w:sz w:val="32"/>
          <w:szCs w:val="32"/>
          <w:highlight w:val="none"/>
          <w:shd w:val="clear" w:fill="FFFFFF"/>
          <w:lang w:eastAsia="zh-CN"/>
        </w:rPr>
        <w:t>。</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default" w:ascii="方正楷体_GBK" w:hAnsi="方正楷体_GBK" w:eastAsia="方正楷体_GBK" w:cs="方正楷体_GBK"/>
          <w:b w:val="0"/>
          <w:bCs/>
          <w:sz w:val="32"/>
          <w:szCs w:val="32"/>
          <w:shd w:val="clear" w:color="auto" w:fill="FFFFFF"/>
        </w:rPr>
      </w:pPr>
      <w:r>
        <w:rPr>
          <w:rStyle w:val="12"/>
          <w:rFonts w:hint="default" w:ascii="方正楷体_GBK" w:hAnsi="方正楷体_GBK" w:eastAsia="方正楷体_GBK" w:cs="方正楷体_GBK"/>
          <w:b w:val="0"/>
          <w:bCs/>
          <w:sz w:val="32"/>
          <w:szCs w:val="32"/>
          <w:shd w:val="clear" w:color="auto" w:fill="FFFFFF"/>
        </w:rPr>
        <w:t>（二）机构设置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shd w:val="clear" w:fill="FFFFFF"/>
        </w:rPr>
      </w:pPr>
      <w:r>
        <w:rPr>
          <w:rFonts w:hint="default" w:ascii="Times New Roman" w:hAnsi="Times New Roman" w:eastAsia="方正仿宋_GBK" w:cs="Times New Roman"/>
          <w:i w:val="0"/>
          <w:caps w:val="0"/>
          <w:color w:val="333333"/>
          <w:spacing w:val="0"/>
          <w:sz w:val="32"/>
          <w:szCs w:val="32"/>
          <w:shd w:val="clear" w:fill="FFFFFF"/>
        </w:rPr>
        <w:t>本单位为秀山县卫生健康委员会二级预算单位，无下级预算单位。</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i w:val="0"/>
          <w:caps w:val="0"/>
          <w:color w:val="333333"/>
          <w:spacing w:val="0"/>
          <w:sz w:val="32"/>
          <w:szCs w:val="32"/>
        </w:rPr>
      </w:pPr>
      <w:r>
        <w:rPr>
          <w:rFonts w:hint="default" w:ascii="Times New Roman" w:hAnsi="Times New Roman" w:eastAsia="方正仿宋_GBK" w:cs="Times New Roman"/>
          <w:i w:val="0"/>
          <w:caps w:val="0"/>
          <w:color w:val="333333"/>
          <w:spacing w:val="0"/>
          <w:sz w:val="32"/>
          <w:szCs w:val="32"/>
          <w:shd w:val="clear" w:fill="FFFFFF"/>
        </w:rPr>
        <w:t>本单位下设审计科、党政办、总务科、人事科、行政办、信息科、应急办、工会、创建办、医务科、财务科、护理部、药械科、全科门诊、医学检验科、西药房、中药房、医学影像科、收费室、急诊科、发热门诊、肠道门诊、预防接种门诊、计划生育服务指导、公共卫生服务中心、外科、内儿科、妇产科、手术室、麻醉科、中医馆、牙科、供应消毒室。</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二、单位决算情况说明</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shd w:val="clear" w:color="auto" w:fill="FFFFFF"/>
          <w:lang w:eastAsia="zh-CN"/>
        </w:rPr>
      </w:pPr>
      <w:r>
        <w:rPr>
          <w:rStyle w:val="12"/>
          <w:rFonts w:hint="default" w:ascii="Times New Roman" w:hAnsi="Times New Roman" w:eastAsia="方正仿宋_GBK" w:cs="Times New Roman"/>
          <w:b w:val="0"/>
          <w:bCs/>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2023年度收入总计3895.32万元，支出总计</w:t>
      </w:r>
      <w:r>
        <w:rPr>
          <w:rFonts w:hint="default" w:ascii="Times New Roman" w:hAnsi="Times New Roman" w:eastAsia="方正仿宋_GBK" w:cs="Times New Roman"/>
          <w:sz w:val="32"/>
          <w:szCs w:val="32"/>
        </w:rPr>
        <w:t>3895.32</w:t>
      </w:r>
      <w:r>
        <w:rPr>
          <w:rFonts w:hint="default" w:ascii="Times New Roman" w:hAnsi="Times New Roman" w:eastAsia="方正仿宋_GBK" w:cs="Times New Roman"/>
          <w:sz w:val="32"/>
          <w:szCs w:val="32"/>
          <w:shd w:val="clear" w:color="auto" w:fill="FFFFFF"/>
        </w:rPr>
        <w:t>万元。收支较上年决算数增加25.09万元，增长0.65%，主要原因是</w:t>
      </w:r>
      <w:r>
        <w:rPr>
          <w:rFonts w:hint="eastAsia" w:ascii="Times New Roman" w:hAnsi="Times New Roman" w:eastAsia="方正仿宋_GBK" w:cs="Times New Roman"/>
          <w:sz w:val="32"/>
          <w:szCs w:val="32"/>
          <w:shd w:val="clear" w:color="auto" w:fill="FFFFFF"/>
          <w:lang w:eastAsia="zh-CN"/>
        </w:rPr>
        <w:t>本年度减少</w:t>
      </w:r>
      <w:r>
        <w:rPr>
          <w:rFonts w:hint="eastAsia" w:ascii="Times New Roman" w:hAnsi="Times New Roman" w:eastAsia="方正仿宋_GBK" w:cs="Times New Roman"/>
          <w:sz w:val="32"/>
          <w:szCs w:val="32"/>
          <w:shd w:val="clear" w:color="auto" w:fill="FFFFFF"/>
          <w:lang w:val="en-US" w:eastAsia="zh-CN"/>
        </w:rPr>
        <w:t>7名在职人员、清算2022年度超高绩效财政收入增加78.04万元、增加财政项目拨款55.32万元、</w:t>
      </w:r>
      <w:r>
        <w:rPr>
          <w:rFonts w:hint="default" w:ascii="Times New Roman" w:hAnsi="Times New Roman" w:eastAsia="方正仿宋_GBK" w:cs="Times New Roman"/>
          <w:sz w:val="32"/>
          <w:szCs w:val="32"/>
          <w:shd w:val="clear" w:color="auto" w:fill="FFFFFF"/>
          <w:lang w:eastAsia="zh-CN"/>
        </w:rPr>
        <w:t>在职人员的社保公积金</w:t>
      </w:r>
      <w:r>
        <w:rPr>
          <w:rFonts w:hint="eastAsia" w:ascii="Times New Roman" w:hAnsi="Times New Roman" w:eastAsia="方正仿宋_GBK" w:cs="Times New Roman"/>
          <w:sz w:val="32"/>
          <w:szCs w:val="32"/>
          <w:shd w:val="clear" w:color="auto" w:fill="FFFFFF"/>
          <w:lang w:eastAsia="zh-CN"/>
        </w:rPr>
        <w:t>缴费</w:t>
      </w:r>
      <w:r>
        <w:rPr>
          <w:rFonts w:hint="default" w:ascii="Times New Roman" w:hAnsi="Times New Roman" w:eastAsia="方正仿宋_GBK" w:cs="Times New Roman"/>
          <w:sz w:val="32"/>
          <w:szCs w:val="32"/>
          <w:shd w:val="clear" w:color="auto" w:fill="FFFFFF"/>
          <w:lang w:eastAsia="zh-CN"/>
        </w:rPr>
        <w:t>基数调增及每年薪级的增加</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eastAsia="zh-CN"/>
        </w:rPr>
        <w:t>以上原因影响了</w:t>
      </w:r>
      <w:r>
        <w:rPr>
          <w:rFonts w:hint="default" w:ascii="Times New Roman" w:hAnsi="Times New Roman" w:eastAsia="方正仿宋_GBK" w:cs="Times New Roman"/>
          <w:sz w:val="32"/>
          <w:szCs w:val="32"/>
          <w:shd w:val="clear" w:color="auto" w:fill="FFFFFF"/>
        </w:rPr>
        <w:t>收支较上年决算数增加25.09万元</w:t>
      </w:r>
      <w:r>
        <w:rPr>
          <w:rFonts w:hint="eastAsia" w:ascii="Times New Roman" w:hAnsi="Times New Roman" w:eastAsia="方正仿宋_GBK" w:cs="Times New Roman"/>
          <w:sz w:val="32"/>
          <w:szCs w:val="32"/>
          <w:shd w:val="clear" w:color="auto" w:fill="FFFFFF"/>
          <w:lang w:eastAsia="zh-CN"/>
        </w:rPr>
        <w:t>。</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2023年度收入合计3808.68万元，较上年决算数减少61.55万元，下降1.59%，主要原因是</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2022年预拨基本公卫款时多拨了约40万，导致2023年基本公卫款少了40万影响了收入减少</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w:t>
      </w:r>
      <w:r>
        <w:rPr>
          <w:rFonts w:hint="eastAsia" w:ascii="Times New Roman" w:hAnsi="Times New Roman" w:eastAsia="方正仿宋_GBK" w:cs="Times New Roman"/>
          <w:sz w:val="32"/>
          <w:szCs w:val="32"/>
          <w:shd w:val="clear" w:color="auto" w:fill="FFFFFF"/>
          <w:lang w:eastAsia="zh-CN"/>
        </w:rPr>
        <w:t>本年度减少</w:t>
      </w:r>
      <w:r>
        <w:rPr>
          <w:rFonts w:hint="eastAsia" w:ascii="Times New Roman" w:hAnsi="Times New Roman" w:eastAsia="方正仿宋_GBK" w:cs="Times New Roman"/>
          <w:sz w:val="32"/>
          <w:szCs w:val="32"/>
          <w:shd w:val="clear" w:color="auto" w:fill="FFFFFF"/>
          <w:lang w:val="en-US" w:eastAsia="zh-CN"/>
        </w:rPr>
        <w:t>7名在职人员导致财政拨款减少</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1590.78</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41.77</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2217.04</w:t>
      </w:r>
      <w:r>
        <w:rPr>
          <w:rFonts w:hint="default" w:ascii="Times New Roman" w:hAnsi="Times New Roman" w:eastAsia="方正仿宋_GBK" w:cs="Times New Roman"/>
          <w:sz w:val="32"/>
          <w:szCs w:val="32"/>
          <w:shd w:val="clear" w:color="auto" w:fill="FFFFFF"/>
        </w:rPr>
        <w:t>万元，占58.21%；经营收入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0.86</w:t>
      </w:r>
      <w:r>
        <w:rPr>
          <w:rFonts w:hint="default" w:ascii="Times New Roman" w:hAnsi="Times New Roman" w:eastAsia="方正仿宋_GBK" w:cs="Times New Roman"/>
          <w:sz w:val="32"/>
          <w:szCs w:val="32"/>
          <w:shd w:val="clear" w:color="auto" w:fill="FFFFFF"/>
        </w:rPr>
        <w:t>万元，占0.02%。此外，使用非财政拨款结余和专用结余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86.63</w:t>
      </w:r>
      <w:r>
        <w:rPr>
          <w:rFonts w:hint="default" w:ascii="Times New Roman" w:hAnsi="Times New Roman" w:eastAsia="方正仿宋_GBK" w:cs="Times New Roman"/>
          <w:sz w:val="32"/>
          <w:szCs w:val="32"/>
          <w:shd w:val="clear" w:color="auto" w:fill="FFFFFF"/>
        </w:rPr>
        <w:t>万元。</w:t>
      </w:r>
    </w:p>
    <w:p>
      <w:pPr>
        <w:pStyle w:val="10"/>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3807.11</w:t>
      </w:r>
      <w:r>
        <w:rPr>
          <w:rFonts w:hint="default" w:ascii="Times New Roman" w:hAnsi="Times New Roman" w:eastAsia="方正仿宋_GBK" w:cs="Times New Roman"/>
          <w:sz w:val="32"/>
          <w:szCs w:val="32"/>
          <w:shd w:val="clear" w:color="auto" w:fill="FFFFFF"/>
        </w:rPr>
        <w:t>万元，较上年决算数增加23.51万元，增长0.62%，主要原因是</w:t>
      </w:r>
      <w:r>
        <w:rPr>
          <w:rFonts w:hint="default" w:ascii="Times New Roman" w:hAnsi="Times New Roman" w:eastAsia="方正仿宋_GBK" w:cs="Times New Roman"/>
          <w:sz w:val="32"/>
          <w:szCs w:val="32"/>
          <w:shd w:val="clear" w:color="auto" w:fill="FFFFFF"/>
          <w:lang w:eastAsia="zh-CN"/>
        </w:rPr>
        <w:t>在职人员的社保基数和公积金基数调增及每年薪级的增加</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3631.09</w:t>
      </w:r>
      <w:r>
        <w:rPr>
          <w:rFonts w:hint="default" w:ascii="Times New Roman" w:hAnsi="Times New Roman" w:eastAsia="方正仿宋_GBK" w:cs="Times New Roman"/>
          <w:sz w:val="32"/>
          <w:szCs w:val="32"/>
          <w:shd w:val="clear" w:color="auto" w:fill="FFFFFF"/>
        </w:rPr>
        <w:t>万元，占95.38%；项目支出</w:t>
      </w:r>
      <w:r>
        <w:rPr>
          <w:rFonts w:hint="default" w:ascii="Times New Roman" w:hAnsi="Times New Roman" w:eastAsia="方正仿宋_GBK" w:cs="Times New Roman"/>
          <w:sz w:val="32"/>
          <w:szCs w:val="32"/>
        </w:rPr>
        <w:t>176.02</w:t>
      </w:r>
      <w:r>
        <w:rPr>
          <w:rFonts w:hint="default" w:ascii="Times New Roman" w:hAnsi="Times New Roman" w:eastAsia="方正仿宋_GBK" w:cs="Times New Roman"/>
          <w:sz w:val="32"/>
          <w:szCs w:val="32"/>
          <w:shd w:val="clear" w:color="auto" w:fill="FFFFFF"/>
        </w:rPr>
        <w:t>万元，占4.62%；经营支出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Style w:val="12"/>
          <w:rFonts w:hint="default" w:ascii="Times New Roman" w:hAnsi="Times New Roman" w:eastAsia="方正仿宋_GBK" w:cs="Times New Roman"/>
          <w:b w:val="0"/>
          <w:bCs/>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88.20</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highlight w:val="none"/>
          <w:shd w:val="clear" w:color="auto" w:fill="FFFFFF"/>
        </w:rPr>
        <w:t>较上年决算数增加1.57万元，增长1.81%，主</w:t>
      </w:r>
      <w:r>
        <w:rPr>
          <w:rFonts w:hint="default" w:ascii="Times New Roman" w:hAnsi="Times New Roman" w:eastAsia="方正仿宋_GBK" w:cs="Times New Roman"/>
          <w:color w:val="000000" w:themeColor="text1"/>
          <w:sz w:val="32"/>
          <w:szCs w:val="32"/>
          <w:highlight w:val="none"/>
          <w:shd w:val="clear" w:color="auto" w:fill="FFFFFF"/>
          <w14:textFill>
            <w14:solidFill>
              <w14:schemeClr w14:val="tx1"/>
            </w14:solidFill>
          </w14:textFill>
        </w:rPr>
        <w:t>要原</w:t>
      </w:r>
      <w:r>
        <w:rPr>
          <w:rFonts w:hint="default" w:ascii="Times New Roman" w:hAnsi="Times New Roman" w:eastAsia="方正仿宋_GBK" w:cs="Times New Roman"/>
          <w:sz w:val="32"/>
          <w:szCs w:val="32"/>
          <w:highlight w:val="none"/>
          <w:shd w:val="clear" w:color="auto" w:fill="FFFFFF"/>
        </w:rPr>
        <w:t>因是</w:t>
      </w:r>
      <w:r>
        <w:rPr>
          <w:rFonts w:hint="default" w:ascii="Times New Roman" w:hAnsi="Times New Roman" w:eastAsia="方正仿宋_GBK" w:cs="Times New Roman"/>
          <w:color w:val="000000" w:themeColor="text1"/>
          <w:sz w:val="32"/>
          <w:szCs w:val="32"/>
          <w:highlight w:val="none"/>
          <w:shd w:val="clear" w:color="auto" w:fill="FFFFFF"/>
          <w:lang w:val="en-US" w:eastAsia="zh-CN"/>
          <w14:textFill>
            <w14:solidFill>
              <w14:schemeClr w14:val="tx1"/>
            </w14:solidFill>
          </w14:textFill>
        </w:rPr>
        <w:t>2022年绩效清算财拨款在2023年年底到账，未及时支付导致结余增加。</w:t>
      </w:r>
      <w:r>
        <w:rPr>
          <w:rFonts w:hint="eastAsia" w:ascii="Times New Roman" w:hAnsi="Times New Roman" w:eastAsia="方正仿宋_GBK" w:cs="Times New Roman"/>
          <w:color w:val="000000" w:themeColor="text1"/>
          <w:sz w:val="32"/>
          <w:szCs w:val="32"/>
          <w:highlight w:val="none"/>
          <w:shd w:val="clear" w:color="auto" w:fill="FFFFFF"/>
          <w:lang w:val="en-US" w:eastAsia="zh-CN"/>
          <w14:textFill>
            <w14:solidFill>
              <w14:schemeClr w14:val="tx1"/>
            </w14:solidFill>
          </w14:textFill>
        </w:rPr>
        <w:t>本年度事业收入增加相应的支出增加影响结余减少，以上原因导致本年度的结余较上年度增加1.57万元。</w:t>
      </w:r>
    </w:p>
    <w:p>
      <w:pPr>
        <w:pStyle w:val="15"/>
        <w:keepNext w:val="0"/>
        <w:keepLines w:val="0"/>
        <w:pageBreakBefore w:val="0"/>
        <w:widowControl/>
        <w:kinsoku/>
        <w:wordWrap/>
        <w:overflowPunct/>
        <w:topLinePunct w:val="0"/>
        <w:autoSpaceDE w:val="0"/>
        <w:autoSpaceDN/>
        <w:bidi w:val="0"/>
        <w:adjustRightInd/>
        <w:snapToGrid/>
        <w:spacing w:before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2023年度财政拨款收、支总计1590.78万元。与2022年相比，财政拨款收、支总计各增加93.26万元，增长6.23%。主要原因是</w:t>
      </w:r>
      <w:r>
        <w:rPr>
          <w:rFonts w:hint="eastAsia" w:ascii="Times New Roman" w:hAnsi="Times New Roman" w:eastAsia="方正仿宋_GBK" w:cs="Times New Roman"/>
          <w:sz w:val="32"/>
          <w:szCs w:val="32"/>
          <w:shd w:val="clear" w:color="auto" w:fill="FFFFFF"/>
          <w:lang w:val="en-US" w:eastAsia="zh-CN"/>
        </w:rPr>
        <w:t>清算2022年度超高绩效财政收入增加78.04万元、增加财政项目拨款55.32万元、</w:t>
      </w:r>
      <w:r>
        <w:rPr>
          <w:rFonts w:hint="default" w:ascii="Times New Roman" w:hAnsi="Times New Roman" w:eastAsia="方正仿宋_GBK" w:cs="Times New Roman"/>
          <w:sz w:val="32"/>
          <w:szCs w:val="32"/>
          <w:shd w:val="clear" w:color="auto" w:fill="FFFFFF"/>
          <w:lang w:eastAsia="zh-CN"/>
        </w:rPr>
        <w:t>在职人员的社保基数和公积金基数调增及每年薪级的增加及人员岗位的变化</w:t>
      </w:r>
      <w:r>
        <w:rPr>
          <w:rFonts w:hint="eastAsia" w:ascii="Times New Roman" w:hAnsi="Times New Roman" w:eastAsia="方正仿宋_GBK" w:cs="Times New Roman"/>
          <w:sz w:val="32"/>
          <w:szCs w:val="32"/>
          <w:shd w:val="clear" w:color="auto" w:fill="FFFFFF"/>
          <w:lang w:eastAsia="zh-CN"/>
        </w:rPr>
        <w:t>、本年度减少</w:t>
      </w:r>
      <w:r>
        <w:rPr>
          <w:rFonts w:hint="eastAsia" w:ascii="Times New Roman" w:hAnsi="Times New Roman" w:eastAsia="方正仿宋_GBK" w:cs="Times New Roman"/>
          <w:sz w:val="32"/>
          <w:szCs w:val="32"/>
          <w:shd w:val="clear" w:color="auto" w:fill="FFFFFF"/>
          <w:lang w:val="en-US" w:eastAsia="zh-CN"/>
        </w:rPr>
        <w:t>7名在职人员等原因</w:t>
      </w:r>
      <w:r>
        <w:rPr>
          <w:rFonts w:hint="default" w:ascii="Times New Roman" w:hAnsi="Times New Roman" w:eastAsia="方正仿宋_GBK" w:cs="Times New Roman"/>
          <w:sz w:val="32"/>
          <w:szCs w:val="32"/>
          <w:shd w:val="clear" w:color="auto" w:fill="FFFFFF"/>
          <w:lang w:eastAsia="zh-CN"/>
        </w:rPr>
        <w:t>导致</w:t>
      </w:r>
      <w:r>
        <w:rPr>
          <w:rFonts w:hint="eastAsia" w:ascii="Times New Roman" w:hAnsi="Times New Roman" w:eastAsia="方正仿宋_GBK" w:cs="Times New Roman"/>
          <w:sz w:val="32"/>
          <w:szCs w:val="32"/>
          <w:shd w:val="clear" w:color="auto" w:fill="FFFFFF"/>
          <w:lang w:eastAsia="zh-CN"/>
        </w:rPr>
        <w:t>本年度</w:t>
      </w:r>
      <w:r>
        <w:rPr>
          <w:rFonts w:hint="default" w:ascii="Times New Roman" w:hAnsi="Times New Roman" w:eastAsia="方正仿宋_GBK" w:cs="Times New Roman"/>
          <w:sz w:val="32"/>
          <w:szCs w:val="32"/>
          <w:shd w:val="clear" w:color="auto" w:fill="FFFFFF"/>
          <w:lang w:eastAsia="zh-CN"/>
        </w:rPr>
        <w:t>财政拨款收支</w:t>
      </w:r>
      <w:r>
        <w:rPr>
          <w:rFonts w:hint="eastAsia" w:ascii="Times New Roman" w:hAnsi="Times New Roman" w:eastAsia="方正仿宋_GBK" w:cs="Times New Roman"/>
          <w:sz w:val="32"/>
          <w:szCs w:val="32"/>
          <w:shd w:val="clear" w:color="auto" w:fill="FFFFFF"/>
          <w:lang w:eastAsia="zh-CN"/>
        </w:rPr>
        <w:t>较上年度</w:t>
      </w:r>
      <w:r>
        <w:rPr>
          <w:rFonts w:hint="default" w:ascii="Times New Roman" w:hAnsi="Times New Roman" w:eastAsia="方正仿宋_GBK" w:cs="Times New Roman"/>
          <w:sz w:val="32"/>
          <w:szCs w:val="32"/>
          <w:shd w:val="clear" w:color="auto" w:fill="FFFFFF"/>
          <w:lang w:eastAsia="zh-CN"/>
        </w:rPr>
        <w:t>增加</w:t>
      </w:r>
      <w:r>
        <w:rPr>
          <w:rFonts w:hint="eastAsia" w:ascii="Times New Roman" w:hAnsi="Times New Roman" w:eastAsia="方正仿宋_GBK" w:cs="Times New Roman"/>
          <w:sz w:val="32"/>
          <w:szCs w:val="32"/>
          <w:shd w:val="clear" w:color="auto" w:fill="FFFFFF"/>
          <w:lang w:eastAsia="zh-CN"/>
        </w:rPr>
        <w:t>了</w:t>
      </w:r>
      <w:r>
        <w:rPr>
          <w:rFonts w:hint="eastAsia" w:ascii="Times New Roman" w:hAnsi="Times New Roman" w:eastAsia="方正仿宋_GBK" w:cs="Times New Roman"/>
          <w:sz w:val="32"/>
          <w:szCs w:val="32"/>
          <w:shd w:val="clear" w:color="auto" w:fill="FFFFFF"/>
          <w:lang w:val="en-US" w:eastAsia="zh-CN"/>
        </w:rPr>
        <w:t>93.26万元</w:t>
      </w:r>
      <w:r>
        <w:rPr>
          <w:rFonts w:hint="default" w:ascii="Times New Roman" w:hAnsi="Times New Roman" w:eastAsia="方正仿宋_GBK" w:cs="Times New Roman"/>
          <w:sz w:val="32"/>
          <w:szCs w:val="32"/>
          <w:shd w:val="clear" w:color="auto" w:fill="FFFFFF"/>
          <w:lang w:eastAsia="zh-CN"/>
        </w:rPr>
        <w:t>。</w:t>
      </w:r>
    </w:p>
    <w:p>
      <w:pPr>
        <w:pStyle w:val="15"/>
        <w:keepNext w:val="0"/>
        <w:keepLines w:val="0"/>
        <w:pageBreakBefore w:val="0"/>
        <w:widowControl/>
        <w:kinsoku/>
        <w:wordWrap/>
        <w:overflowPunct/>
        <w:topLinePunct w:val="0"/>
        <w:autoSpaceDE w:val="0"/>
        <w:autoSpaceDN/>
        <w:bidi w:val="0"/>
        <w:adjustRightInd/>
        <w:snapToGrid/>
        <w:spacing w:before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1590.78</w:t>
      </w:r>
      <w:r>
        <w:rPr>
          <w:rFonts w:hint="default" w:ascii="Times New Roman" w:hAnsi="Times New Roman" w:eastAsia="方正仿宋_GBK" w:cs="Times New Roman"/>
          <w:sz w:val="32"/>
          <w:szCs w:val="32"/>
          <w:shd w:val="clear" w:color="auto" w:fill="FFFFFF"/>
        </w:rPr>
        <w:t>万元，较上年决算数增加93.26万元，增长6.23%。主要原因是</w:t>
      </w:r>
      <w:r>
        <w:rPr>
          <w:rFonts w:hint="eastAsia" w:ascii="Times New Roman" w:hAnsi="Times New Roman" w:eastAsia="方正仿宋_GBK" w:cs="Times New Roman"/>
          <w:sz w:val="32"/>
          <w:szCs w:val="32"/>
          <w:shd w:val="clear" w:color="auto" w:fill="FFFFFF"/>
          <w:lang w:val="en-US" w:eastAsia="zh-CN"/>
        </w:rPr>
        <w:t>清算2022年度超高绩效财政收入增加78.04万元、增加财政项目拨款55.32万元、</w:t>
      </w:r>
      <w:r>
        <w:rPr>
          <w:rFonts w:hint="default" w:ascii="Times New Roman" w:hAnsi="Times New Roman" w:eastAsia="方正仿宋_GBK" w:cs="Times New Roman"/>
          <w:sz w:val="32"/>
          <w:szCs w:val="32"/>
          <w:shd w:val="clear" w:color="auto" w:fill="FFFFFF"/>
          <w:lang w:eastAsia="zh-CN"/>
        </w:rPr>
        <w:t>在职人员的社保基数和公积金基数调增及每年薪级的增加及人员岗位的变化</w:t>
      </w:r>
      <w:r>
        <w:rPr>
          <w:rFonts w:hint="eastAsia" w:ascii="Times New Roman" w:hAnsi="Times New Roman" w:eastAsia="方正仿宋_GBK" w:cs="Times New Roman"/>
          <w:sz w:val="32"/>
          <w:szCs w:val="32"/>
          <w:shd w:val="clear" w:color="auto" w:fill="FFFFFF"/>
          <w:lang w:eastAsia="zh-CN"/>
        </w:rPr>
        <w:t>、本年度减少</w:t>
      </w:r>
      <w:r>
        <w:rPr>
          <w:rFonts w:hint="eastAsia" w:ascii="Times New Roman" w:hAnsi="Times New Roman" w:eastAsia="方正仿宋_GBK" w:cs="Times New Roman"/>
          <w:sz w:val="32"/>
          <w:szCs w:val="32"/>
          <w:shd w:val="clear" w:color="auto" w:fill="FFFFFF"/>
          <w:lang w:val="en-US" w:eastAsia="zh-CN"/>
        </w:rPr>
        <w:t>7名在职人员等原因</w:t>
      </w:r>
      <w:r>
        <w:rPr>
          <w:rFonts w:hint="default" w:ascii="Times New Roman" w:hAnsi="Times New Roman" w:eastAsia="方正仿宋_GBK" w:cs="Times New Roman"/>
          <w:sz w:val="32"/>
          <w:szCs w:val="32"/>
          <w:shd w:val="clear" w:color="auto" w:fill="FFFFFF"/>
          <w:lang w:eastAsia="zh-CN"/>
        </w:rPr>
        <w:t>导致</w:t>
      </w:r>
      <w:r>
        <w:rPr>
          <w:rFonts w:hint="eastAsia" w:ascii="Times New Roman" w:hAnsi="Times New Roman" w:eastAsia="方正仿宋_GBK" w:cs="Times New Roman"/>
          <w:sz w:val="32"/>
          <w:szCs w:val="32"/>
          <w:shd w:val="clear" w:color="auto" w:fill="FFFFFF"/>
          <w:lang w:eastAsia="zh-CN"/>
        </w:rPr>
        <w:t>本年度</w:t>
      </w:r>
      <w:r>
        <w:rPr>
          <w:rFonts w:hint="default" w:ascii="Times New Roman" w:hAnsi="Times New Roman" w:eastAsia="方正仿宋_GBK" w:cs="Times New Roman"/>
          <w:sz w:val="32"/>
          <w:szCs w:val="32"/>
          <w:shd w:val="clear" w:color="auto" w:fill="FFFFFF"/>
          <w:lang w:eastAsia="zh-CN"/>
        </w:rPr>
        <w:t>财政拨款收支</w:t>
      </w:r>
      <w:r>
        <w:rPr>
          <w:rFonts w:hint="eastAsia" w:ascii="Times New Roman" w:hAnsi="Times New Roman" w:eastAsia="方正仿宋_GBK" w:cs="Times New Roman"/>
          <w:sz w:val="32"/>
          <w:szCs w:val="32"/>
          <w:shd w:val="clear" w:color="auto" w:fill="FFFFFF"/>
          <w:lang w:eastAsia="zh-CN"/>
        </w:rPr>
        <w:t>较上年度</w:t>
      </w:r>
      <w:r>
        <w:rPr>
          <w:rFonts w:hint="default" w:ascii="Times New Roman" w:hAnsi="Times New Roman" w:eastAsia="方正仿宋_GBK" w:cs="Times New Roman"/>
          <w:sz w:val="32"/>
          <w:szCs w:val="32"/>
          <w:shd w:val="clear" w:color="auto" w:fill="FFFFFF"/>
          <w:lang w:eastAsia="zh-CN"/>
        </w:rPr>
        <w:t>增加</w:t>
      </w:r>
      <w:r>
        <w:rPr>
          <w:rFonts w:hint="eastAsia" w:ascii="Times New Roman" w:hAnsi="Times New Roman" w:eastAsia="方正仿宋_GBK" w:cs="Times New Roman"/>
          <w:sz w:val="32"/>
          <w:szCs w:val="32"/>
          <w:shd w:val="clear" w:color="auto" w:fill="FFFFFF"/>
          <w:lang w:eastAsia="zh-CN"/>
        </w:rPr>
        <w:t>了</w:t>
      </w:r>
      <w:r>
        <w:rPr>
          <w:rFonts w:hint="eastAsia" w:ascii="Times New Roman" w:hAnsi="Times New Roman" w:eastAsia="方正仿宋_GBK" w:cs="Times New Roman"/>
          <w:sz w:val="32"/>
          <w:szCs w:val="32"/>
          <w:shd w:val="clear" w:color="auto" w:fill="FFFFFF"/>
          <w:lang w:val="en-US" w:eastAsia="zh-CN"/>
        </w:rPr>
        <w:t>93.26万元</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较年初预算数增加602.53万元，增长60.97%。主要</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原因</w:t>
      </w:r>
      <w:r>
        <w:rPr>
          <w:rFonts w:hint="default" w:ascii="Times New Roman" w:hAnsi="Times New Roman" w:eastAsia="方正仿宋_GBK" w:cs="Times New Roman"/>
          <w:sz w:val="32"/>
          <w:szCs w:val="32"/>
          <w:shd w:val="clear" w:color="auto" w:fill="FFFFFF"/>
        </w:rPr>
        <w:t>是</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年初预算数未预算基本公卫拨款收入及在职人员基本工资未及时更新导致人员经费和人员配套资金与实际拨款有差异</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1512.74</w:t>
      </w:r>
      <w:r>
        <w:rPr>
          <w:rFonts w:hint="default" w:ascii="Times New Roman" w:hAnsi="Times New Roman" w:eastAsia="方正仿宋_GBK" w:cs="Times New Roman"/>
          <w:sz w:val="32"/>
          <w:szCs w:val="32"/>
          <w:shd w:val="clear" w:color="auto" w:fill="FFFFFF"/>
        </w:rPr>
        <w:t>万元，较上年决算数增加15.22万元，增长1.02%。主要原因是</w:t>
      </w:r>
      <w:r>
        <w:rPr>
          <w:rFonts w:hint="default" w:ascii="Times New Roman" w:hAnsi="Times New Roman" w:eastAsia="方正仿宋_GBK" w:cs="Times New Roman"/>
          <w:sz w:val="32"/>
          <w:szCs w:val="32"/>
          <w:shd w:val="clear" w:color="auto" w:fill="FFFFFF"/>
          <w:lang w:eastAsia="zh-CN"/>
        </w:rPr>
        <w:t>在职人员的社保基数和公积金基数调增及每年薪级的增加。</w:t>
      </w:r>
      <w:r>
        <w:rPr>
          <w:rFonts w:hint="default" w:ascii="Times New Roman" w:hAnsi="Times New Roman" w:eastAsia="方正仿宋_GBK" w:cs="Times New Roman"/>
          <w:sz w:val="32"/>
          <w:szCs w:val="32"/>
          <w:shd w:val="clear" w:color="auto" w:fill="FFFFFF"/>
        </w:rPr>
        <w:t>较年初预算数增加524.49万元，增长53.07%。主要原因是</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年初预算数未预算基本公卫支出</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default" w:ascii="Times New Roman" w:hAnsi="Times New Roman" w:eastAsia="方正仿宋_GBK" w:cs="Times New Roman"/>
          <w:b w:val="0"/>
          <w:bCs/>
          <w:sz w:val="32"/>
          <w:szCs w:val="32"/>
          <w:shd w:val="clear" w:color="auto" w:fill="FFFFFF"/>
        </w:rPr>
        <w:t>3.结转结余情况</w:t>
      </w:r>
      <w:r>
        <w:rPr>
          <w:rStyle w:val="12"/>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78.04</w:t>
      </w:r>
      <w:r>
        <w:rPr>
          <w:rFonts w:hint="default" w:ascii="Times New Roman" w:hAnsi="Times New Roman" w:eastAsia="方正仿宋_GBK" w:cs="Times New Roman"/>
          <w:sz w:val="32"/>
          <w:szCs w:val="32"/>
          <w:shd w:val="clear" w:color="auto" w:fill="FFFFFF"/>
        </w:rPr>
        <w:t>万元，较上年决算数增加78.04万元，增长100.00%，主要原因是</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2022年绩效清算财拨款在2023年年底到账，未及时支付导致结余增加。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highlight w:val="cyan"/>
          <w:shd w:val="clear" w:color="auto" w:fill="FFFFFF"/>
        </w:rPr>
      </w:pPr>
      <w:r>
        <w:rPr>
          <w:rStyle w:val="12"/>
          <w:rFonts w:hint="default" w:ascii="Times New Roman" w:hAnsi="Times New Roman" w:eastAsia="方正仿宋_GBK" w:cs="Times New Roman"/>
          <w:b w:val="0"/>
          <w:bCs/>
          <w:sz w:val="32"/>
          <w:szCs w:val="32"/>
          <w:shd w:val="clear" w:color="auto" w:fill="FFFFFF"/>
        </w:rPr>
        <w:t xml:space="preserve"> 4.比较情况。</w:t>
      </w:r>
      <w:r>
        <w:rPr>
          <w:rFonts w:hint="default" w:ascii="Times New Roman" w:hAnsi="Times New Roman" w:eastAsia="方正仿宋_GBK" w:cs="Times New Roman"/>
          <w:sz w:val="32"/>
          <w:szCs w:val="32"/>
          <w:shd w:val="clear" w:color="auto" w:fill="FFFFFF"/>
        </w:rPr>
        <w:t>本单位2023年度一般公共预算财政拨款支出主要用于以下几个方面：</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142.24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9.40</w:t>
      </w:r>
      <w:r>
        <w:rPr>
          <w:rFonts w:hint="default" w:ascii="Times New Roman" w:hAnsi="Times New Roman" w:eastAsia="方正仿宋_GBK" w:cs="Times New Roman"/>
          <w:sz w:val="32"/>
          <w:szCs w:val="32"/>
          <w:shd w:val="clear" w:color="auto" w:fill="FFFFFF"/>
        </w:rPr>
        <w:t>%，较年初预算数减少40.56万元，下降22.19%，主要原因是</w:t>
      </w:r>
      <w:r>
        <w:rPr>
          <w:rFonts w:hint="default" w:ascii="Times New Roman" w:hAnsi="Times New Roman" w:eastAsia="方正仿宋_GBK" w:cs="Times New Roman"/>
          <w:sz w:val="32"/>
          <w:szCs w:val="32"/>
          <w:shd w:val="clear" w:color="auto" w:fill="FFFFFF"/>
          <w:lang w:eastAsia="zh-CN"/>
        </w:rPr>
        <w:t>年初预算时与实际缴费的基数不一致，年初预算把超额绩效核算在缴费的基数里面，而实际缴费基数不含超额绩效部分。</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1326.34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87.68</w:t>
      </w:r>
      <w:r>
        <w:rPr>
          <w:rFonts w:hint="default" w:ascii="Times New Roman" w:hAnsi="Times New Roman" w:eastAsia="方正仿宋_GBK" w:cs="Times New Roman"/>
          <w:sz w:val="32"/>
          <w:szCs w:val="32"/>
          <w:shd w:val="clear" w:color="auto" w:fill="FFFFFF"/>
        </w:rPr>
        <w:t>%，较年初预算数增加595.17万元，增长81.40%，主要原因是</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事业收入增加，导致相应的成本支出增加和在编人员的薪级调整及岗位变动导致基本工资的支出增加等。</w:t>
      </w:r>
    </w:p>
    <w:p>
      <w:pPr>
        <w:keepNext w:val="0"/>
        <w:keepLines w:val="0"/>
        <w:pageBreakBefore w:val="0"/>
        <w:widowControl/>
        <w:kinsoku/>
        <w:wordWrap/>
        <w:overflowPunct/>
        <w:topLinePunct w:val="0"/>
        <w:autoSpaceDE/>
        <w:autoSpaceDN/>
        <w:bidi w:val="0"/>
        <w:adjustRightInd/>
        <w:spacing w:before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住房保障支出44.17</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2.92</w:t>
      </w:r>
      <w:r>
        <w:rPr>
          <w:rFonts w:hint="default" w:ascii="Times New Roman" w:hAnsi="Times New Roman" w:eastAsia="方正仿宋_GBK" w:cs="Times New Roman"/>
          <w:sz w:val="32"/>
          <w:szCs w:val="32"/>
          <w:shd w:val="clear" w:color="auto" w:fill="FFFFFF"/>
        </w:rPr>
        <w:t>%，较年初预算数减少30.11万元，下降40.54%，主要原因是</w:t>
      </w:r>
      <w:r>
        <w:rPr>
          <w:rFonts w:hint="default" w:ascii="Times New Roman" w:hAnsi="Times New Roman" w:eastAsia="方正仿宋_GBK" w:cs="Times New Roman"/>
          <w:sz w:val="32"/>
          <w:szCs w:val="32"/>
          <w:shd w:val="clear" w:color="auto" w:fill="FFFFFF"/>
          <w:lang w:eastAsia="zh-CN"/>
        </w:rPr>
        <w:t>年初预算时与实际缴费的基数不一致，年初预算把超额绩效核算在缴费的基数里面，而实际缴费基数不含超额绩效部分。</w:t>
      </w:r>
    </w:p>
    <w:p>
      <w:pPr>
        <w:pStyle w:val="15"/>
        <w:keepNext w:val="0"/>
        <w:keepLines w:val="0"/>
        <w:pageBreakBefore w:val="0"/>
        <w:widowControl/>
        <w:kinsoku/>
        <w:wordWrap/>
        <w:overflowPunct/>
        <w:topLinePunct w:val="0"/>
        <w:autoSpaceDE w:val="0"/>
        <w:autoSpaceDN/>
        <w:bidi w:val="0"/>
        <w:adjustRightInd/>
        <w:snapToGrid/>
        <w:spacing w:before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1336.72</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1336.72</w:t>
      </w:r>
      <w:r>
        <w:rPr>
          <w:rFonts w:hint="default" w:ascii="Times New Roman" w:hAnsi="Times New Roman" w:eastAsia="方正仿宋_GBK" w:cs="Times New Roman"/>
          <w:sz w:val="32"/>
          <w:szCs w:val="32"/>
          <w:shd w:val="clear" w:color="auto" w:fill="FFFFFF"/>
        </w:rPr>
        <w:t>万元，较上年决算数增加82.25万元，增长6.56%，主要原因是</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在编人员的薪级调整及岗位变动导致基本工资的支出增加和社保、公积金缴费基数的调增导致缴费增加。</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eastAsia="zh-CN"/>
        </w:rPr>
        <w:t>人员的基本工资、绩效工资和社保、公积金的缴纳等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万元，较上年决算数减少193.05万元，下降100.00%，主要原因是</w:t>
      </w:r>
      <w:r>
        <w:rPr>
          <w:rFonts w:hint="default" w:ascii="Times New Roman" w:hAnsi="Times New Roman" w:eastAsia="方正仿宋_GBK" w:cs="Times New Roman"/>
          <w:sz w:val="32"/>
          <w:szCs w:val="32"/>
          <w:shd w:val="clear" w:color="auto" w:fill="FFFFFF"/>
          <w:lang w:eastAsia="zh-CN"/>
        </w:rPr>
        <w:t>上年度有财政拨款项目支出，本年度未有财政拨款项目支出，导致公用经费为</w:t>
      </w:r>
      <w:r>
        <w:rPr>
          <w:rFonts w:hint="default" w:ascii="Times New Roman" w:hAnsi="Times New Roman" w:eastAsia="方正仿宋_GBK" w:cs="Times New Roman"/>
          <w:sz w:val="32"/>
          <w:szCs w:val="32"/>
          <w:shd w:val="clear" w:color="auto" w:fill="FFFFFF"/>
          <w:lang w:val="en-US" w:eastAsia="zh-CN"/>
        </w:rPr>
        <w:t>0元</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eastAsia="zh-CN"/>
        </w:rPr>
        <w:t>设备的采购等。</w:t>
      </w:r>
    </w:p>
    <w:p>
      <w:pPr>
        <w:pStyle w:val="15"/>
        <w:keepNext w:val="0"/>
        <w:keepLines w:val="0"/>
        <w:pageBreakBefore w:val="0"/>
        <w:widowControl/>
        <w:kinsoku/>
        <w:wordWrap/>
        <w:overflowPunct/>
        <w:topLinePunct w:val="0"/>
        <w:autoSpaceDE w:val="0"/>
        <w:autoSpaceDN/>
        <w:bidi w:val="0"/>
        <w:adjustRightInd/>
        <w:spacing w:before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eastAsia="zh-CN"/>
        </w:rPr>
        <w:t>本单位2023年度无政府性基金预算财政拨款收支。</w:t>
      </w:r>
    </w:p>
    <w:p>
      <w:pPr>
        <w:pStyle w:val="15"/>
        <w:keepNext w:val="0"/>
        <w:keepLines w:val="0"/>
        <w:pageBreakBefore w:val="0"/>
        <w:widowControl/>
        <w:kinsoku/>
        <w:wordWrap/>
        <w:overflowPunct/>
        <w:topLinePunct w:val="0"/>
        <w:autoSpaceDE w:val="0"/>
        <w:autoSpaceDN/>
        <w:bidi w:val="0"/>
        <w:adjustRightInd/>
        <w:spacing w:before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eastAsia="zh-CN"/>
        </w:rPr>
        <w:t>本单位2023年度无国有资本经营预算财政拨款支出。</w:t>
      </w:r>
    </w:p>
    <w:p>
      <w:pPr>
        <w:pStyle w:val="10"/>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三、“三公”经费情况说明</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楷体" w:cs="Times New Roman"/>
          <w:b/>
          <w:bCs/>
          <w:sz w:val="32"/>
          <w:szCs w:val="32"/>
          <w:shd w:val="clear" w:color="auto" w:fill="FFFFFF"/>
        </w:rPr>
      </w:pPr>
      <w:r>
        <w:rPr>
          <w:rStyle w:val="12"/>
          <w:rFonts w:hint="default" w:ascii="Times New Roman" w:hAnsi="Times New Roman" w:eastAsia="方正楷体_GBK" w:cs="Times New Roman"/>
          <w:b w:val="0"/>
          <w:bCs/>
          <w:sz w:val="32"/>
          <w:szCs w:val="32"/>
          <w:shd w:val="clear" w:color="auto" w:fill="FFFFFF"/>
          <w:lang w:val="en-US" w:eastAsia="zh-CN" w:bidi="ar-SA"/>
        </w:rPr>
        <w:t>（一）“三公”经费支出总体情况说明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属于差额拨款单位，财政未保障</w:t>
      </w: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“三公”经费。</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rPr>
          <w:rStyle w:val="12"/>
          <w:rFonts w:hint="default" w:ascii="Times New Roman" w:hAnsi="Times New Roman" w:eastAsia="方正楷体_GBK" w:cs="Times New Roman"/>
          <w:b w:val="0"/>
          <w:bCs/>
          <w:sz w:val="32"/>
          <w:szCs w:val="32"/>
          <w:shd w:val="clear" w:color="auto" w:fill="FFFFFF"/>
          <w:lang w:val="en-US" w:eastAsia="zh-CN" w:bidi="ar-SA"/>
        </w:rPr>
      </w:pPr>
      <w:r>
        <w:rPr>
          <w:rStyle w:val="12"/>
          <w:rFonts w:hint="default" w:ascii="Times New Roman" w:hAnsi="Times New Roman" w:eastAsia="方正楷体_GBK" w:cs="Times New Roman"/>
          <w:b w:val="0"/>
          <w:bCs/>
          <w:sz w:val="32"/>
          <w:szCs w:val="32"/>
          <w:shd w:val="clear" w:color="auto" w:fill="FFFFFF"/>
          <w:lang w:val="en-US" w:eastAsia="zh-CN" w:bidi="ar-SA"/>
        </w:rPr>
        <w:t>（二）“三公”经费分项支出情况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5"/>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r>
        <w:rPr>
          <w:rFonts w:hint="default" w:ascii="Times New Roman" w:hAnsi="Times New Roman" w:eastAsia="方正仿宋_GBK" w:cs="Times New Roman"/>
          <w:sz w:val="32"/>
          <w:szCs w:val="32"/>
          <w:shd w:val="clear" w:color="auto" w:fill="FFFFFF"/>
        </w:rPr>
        <w:t> </w:t>
      </w:r>
    </w:p>
    <w:p>
      <w:pPr>
        <w:pStyle w:val="15"/>
        <w:keepNext w:val="0"/>
        <w:keepLines w:val="0"/>
        <w:pageBreakBefore w:val="0"/>
        <w:widowControl/>
        <w:kinsoku/>
        <w:wordWrap/>
        <w:overflowPunct/>
        <w:topLinePunct w:val="0"/>
        <w:autoSpaceDE w:val="0"/>
        <w:autoSpaceDN/>
        <w:bidi w:val="0"/>
        <w:adjustRightInd/>
        <w:snapToGrid/>
        <w:spacing w:beforeAutospacing="0" w:afterAutospacing="0" w:line="560" w:lineRule="exact"/>
        <w:textAlignment w:val="auto"/>
        <w:outlineLvl w:val="9"/>
        <w:rPr>
          <w:rStyle w:val="12"/>
          <w:rFonts w:hint="default" w:ascii="Times New Roman" w:hAnsi="Times New Roman" w:eastAsia="方正楷体_GBK" w:cs="Times New Roman"/>
          <w:b w:val="0"/>
          <w:bCs/>
          <w:sz w:val="32"/>
          <w:szCs w:val="32"/>
          <w:shd w:val="clear" w:color="auto" w:fill="FFFFFF"/>
          <w:lang w:val="en-US" w:eastAsia="zh-CN" w:bidi="ar-SA"/>
        </w:rPr>
      </w:pPr>
      <w:r>
        <w:rPr>
          <w:rStyle w:val="12"/>
          <w:rFonts w:hint="default" w:ascii="Times New Roman" w:hAnsi="Times New Roman" w:eastAsia="方正楷体_GBK" w:cs="Times New Roman"/>
          <w:b w:val="0"/>
          <w:bCs/>
          <w:sz w:val="32"/>
          <w:szCs w:val="32"/>
          <w:shd w:val="clear" w:color="auto" w:fill="FFFFFF"/>
          <w:lang w:val="en-US" w:eastAsia="zh-CN" w:bidi="ar-SA"/>
        </w:rPr>
        <w:t>（三）“三公”经费实物量情况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2023年度本单位因公出国（境）共计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人。2023年本单位人均接待费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w:t>
      </w:r>
    </w:p>
    <w:p>
      <w:pPr>
        <w:pStyle w:val="10"/>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其他需要说明的事项</w:t>
      </w:r>
    </w:p>
    <w:p>
      <w:pPr>
        <w:pStyle w:val="10"/>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w:t>
      </w:r>
      <w:r>
        <w:rPr>
          <w:rFonts w:hint="default" w:ascii="Times New Roman" w:hAnsi="Times New Roman" w:eastAsia="方正仿宋_GBK" w:cs="Times New Roman"/>
          <w:sz w:val="32"/>
          <w:szCs w:val="32"/>
          <w:highlight w:val="none"/>
          <w:shd w:val="clear" w:color="auto" w:fill="FFFFFF"/>
        </w:rPr>
        <w:t>本年度会议费支出</w:t>
      </w:r>
      <w:r>
        <w:rPr>
          <w:rFonts w:hint="default" w:ascii="Times New Roman" w:hAnsi="Times New Roman" w:eastAsia="方正仿宋_GBK" w:cs="Times New Roman"/>
          <w:sz w:val="32"/>
          <w:szCs w:val="32"/>
          <w:highlight w:val="none"/>
        </w:rPr>
        <w:t>0.00</w:t>
      </w:r>
      <w:r>
        <w:rPr>
          <w:rFonts w:hint="default" w:ascii="Times New Roman" w:hAnsi="Times New Roman" w:eastAsia="方正仿宋_GBK" w:cs="Times New Roman"/>
          <w:sz w:val="32"/>
          <w:szCs w:val="32"/>
          <w:highlight w:val="none"/>
          <w:shd w:val="clear" w:color="auto" w:fill="FFFFFF"/>
        </w:rPr>
        <w:t>万元，较上年决算数无增减，主要原因是</w:t>
      </w:r>
      <w:r>
        <w:rPr>
          <w:rFonts w:hint="eastAsia" w:ascii="Times New Roman" w:hAnsi="Times New Roman" w:eastAsia="方正仿宋_GBK" w:cs="Times New Roman"/>
          <w:sz w:val="32"/>
          <w:szCs w:val="32"/>
          <w:highlight w:val="none"/>
          <w:shd w:val="clear" w:color="auto" w:fill="FFFFFF"/>
          <w:lang w:eastAsia="zh-CN"/>
        </w:rPr>
        <w:t>本单位</w:t>
      </w:r>
      <w:r>
        <w:rPr>
          <w:rFonts w:hint="default" w:ascii="Times New Roman" w:hAnsi="Times New Roman" w:eastAsia="方正仿宋_GBK" w:cs="Times New Roman"/>
          <w:sz w:val="32"/>
          <w:szCs w:val="32"/>
          <w:highlight w:val="none"/>
          <w:shd w:val="clear" w:color="auto" w:fill="FFFFFF"/>
          <w:lang w:eastAsia="zh-CN"/>
        </w:rPr>
        <w:t>属于财政差额拨款单位，财政未保障</w:t>
      </w:r>
      <w:r>
        <w:rPr>
          <w:rFonts w:hint="eastAsia" w:ascii="Times New Roman" w:hAnsi="Times New Roman" w:eastAsia="方正仿宋_GBK" w:cs="Times New Roman"/>
          <w:sz w:val="32"/>
          <w:szCs w:val="32"/>
          <w:highlight w:val="none"/>
          <w:shd w:val="clear" w:color="auto" w:fill="FFFFFF"/>
          <w:lang w:eastAsia="zh-CN"/>
        </w:rPr>
        <w:t>本单位</w:t>
      </w:r>
      <w:r>
        <w:rPr>
          <w:rFonts w:hint="default" w:ascii="Times New Roman" w:hAnsi="Times New Roman" w:eastAsia="方正仿宋_GBK" w:cs="Times New Roman"/>
          <w:sz w:val="32"/>
          <w:szCs w:val="32"/>
          <w:highlight w:val="none"/>
          <w:shd w:val="clear" w:color="auto" w:fill="FFFFFF"/>
          <w:lang w:eastAsia="zh-CN"/>
        </w:rPr>
        <w:t>会议费和培训费</w:t>
      </w:r>
      <w:r>
        <w:rPr>
          <w:rFonts w:hint="default" w:ascii="Times New Roman" w:hAnsi="Times New Roman" w:eastAsia="方正仿宋_GBK" w:cs="Times New Roman"/>
          <w:sz w:val="32"/>
          <w:szCs w:val="32"/>
          <w:highlight w:val="none"/>
          <w:shd w:val="clear" w:color="auto" w:fill="FFFFFF"/>
        </w:rPr>
        <w:t>。本年度培训费支出</w:t>
      </w:r>
      <w:r>
        <w:rPr>
          <w:rFonts w:hint="default" w:ascii="Times New Roman" w:hAnsi="Times New Roman" w:eastAsia="方正仿宋_GBK" w:cs="Times New Roman"/>
          <w:sz w:val="32"/>
          <w:szCs w:val="32"/>
          <w:highlight w:val="none"/>
        </w:rPr>
        <w:t>0.00</w:t>
      </w:r>
      <w:r>
        <w:rPr>
          <w:rFonts w:hint="default" w:ascii="Times New Roman" w:hAnsi="Times New Roman" w:eastAsia="方正仿宋_GBK" w:cs="Times New Roman"/>
          <w:sz w:val="32"/>
          <w:szCs w:val="32"/>
          <w:highlight w:val="none"/>
          <w:shd w:val="clear" w:color="auto" w:fill="FFFFFF"/>
        </w:rPr>
        <w:t>万元，较上年决算数减少4.53万元，下降100.00%，主要原因是</w:t>
      </w:r>
      <w:r>
        <w:rPr>
          <w:rFonts w:hint="eastAsia" w:ascii="Times New Roman" w:hAnsi="Times New Roman" w:eastAsia="方正仿宋_GBK" w:cs="Times New Roman"/>
          <w:sz w:val="32"/>
          <w:szCs w:val="32"/>
          <w:highlight w:val="none"/>
          <w:shd w:val="clear" w:color="auto" w:fill="FFFFFF"/>
          <w:lang w:eastAsia="zh-CN"/>
        </w:rPr>
        <w:t>本单位</w:t>
      </w:r>
      <w:r>
        <w:rPr>
          <w:rFonts w:hint="default" w:ascii="Times New Roman" w:hAnsi="Times New Roman" w:eastAsia="方正仿宋_GBK" w:cs="Times New Roman"/>
          <w:sz w:val="32"/>
          <w:szCs w:val="32"/>
          <w:highlight w:val="none"/>
          <w:shd w:val="clear" w:color="auto" w:fill="FFFFFF"/>
          <w:lang w:eastAsia="zh-CN"/>
        </w:rPr>
        <w:t>属于财政差额拨款单位，财政未保障</w:t>
      </w:r>
      <w:r>
        <w:rPr>
          <w:rFonts w:hint="eastAsia" w:ascii="Times New Roman" w:hAnsi="Times New Roman" w:eastAsia="方正仿宋_GBK" w:cs="Times New Roman"/>
          <w:sz w:val="32"/>
          <w:szCs w:val="32"/>
          <w:highlight w:val="none"/>
          <w:shd w:val="clear" w:color="auto" w:fill="FFFFFF"/>
          <w:lang w:eastAsia="zh-CN"/>
        </w:rPr>
        <w:t>本单位</w:t>
      </w:r>
      <w:r>
        <w:rPr>
          <w:rFonts w:hint="default" w:ascii="Times New Roman" w:hAnsi="Times New Roman" w:eastAsia="方正仿宋_GBK" w:cs="Times New Roman"/>
          <w:sz w:val="32"/>
          <w:szCs w:val="32"/>
          <w:highlight w:val="none"/>
          <w:shd w:val="clear" w:color="auto" w:fill="FFFFFF"/>
          <w:lang w:eastAsia="zh-CN"/>
        </w:rPr>
        <w:t>会议</w:t>
      </w:r>
      <w:r>
        <w:rPr>
          <w:rFonts w:hint="default" w:ascii="Times New Roman" w:hAnsi="Times New Roman" w:eastAsia="方正仿宋_GBK" w:cs="Times New Roman"/>
          <w:sz w:val="32"/>
          <w:szCs w:val="32"/>
          <w:shd w:val="clear" w:color="auto" w:fill="FFFFFF"/>
          <w:lang w:eastAsia="zh-CN"/>
        </w:rPr>
        <w:t>费和培训费，本年度实际未产生培训费。</w:t>
      </w:r>
    </w:p>
    <w:p>
      <w:pPr>
        <w:pStyle w:val="15"/>
        <w:keepNext w:val="0"/>
        <w:keepLines w:val="0"/>
        <w:pageBreakBefore w:val="0"/>
        <w:widowControl/>
        <w:kinsoku/>
        <w:wordWrap/>
        <w:overflowPunct/>
        <w:topLinePunct w:val="0"/>
        <w:autoSpaceDE w:val="0"/>
        <w:autoSpaceDN/>
        <w:bidi w:val="0"/>
        <w:adjustRightInd/>
        <w:spacing w:before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10"/>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5"/>
        <w:keepNext w:val="0"/>
        <w:keepLines w:val="0"/>
        <w:pageBreakBefore w:val="0"/>
        <w:widowControl/>
        <w:kinsoku/>
        <w:wordWrap/>
        <w:overflowPunct/>
        <w:topLinePunct w:val="0"/>
        <w:autoSpaceDE w:val="0"/>
        <w:autoSpaceDN/>
        <w:bidi w:val="0"/>
        <w:adjustRightInd/>
        <w:spacing w:before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截至2023年12月31日，本单位共有车辆</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p>
    <w:p>
      <w:pPr>
        <w:pStyle w:val="15"/>
        <w:keepNext w:val="0"/>
        <w:keepLines w:val="0"/>
        <w:pageBreakBefore w:val="0"/>
        <w:widowControl/>
        <w:numPr>
          <w:ilvl w:val="0"/>
          <w:numId w:val="3"/>
        </w:numPr>
        <w:kinsoku/>
        <w:wordWrap/>
        <w:overflowPunct/>
        <w:topLinePunct w:val="0"/>
        <w:autoSpaceDE w:val="0"/>
        <w:autoSpaceDN/>
        <w:bidi w:val="0"/>
        <w:adjustRightInd/>
        <w:spacing w:before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政府采购支出情况说明</w:t>
      </w:r>
    </w:p>
    <w:p>
      <w:pPr>
        <w:pStyle w:val="15"/>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 xml:space="preserve"> 2023年度本单位政府采购支出总额</w:t>
      </w:r>
      <w:r>
        <w:rPr>
          <w:rFonts w:hint="default" w:ascii="Times New Roman" w:hAnsi="Times New Roman" w:eastAsia="方正仿宋_GBK" w:cs="Times New Roman"/>
          <w:sz w:val="32"/>
          <w:szCs w:val="32"/>
        </w:rPr>
        <w:t>419.31</w:t>
      </w:r>
      <w:r>
        <w:rPr>
          <w:rFonts w:hint="default" w:ascii="Times New Roman" w:hAnsi="Times New Roman" w:eastAsia="方正仿宋_GBK" w:cs="Times New Roman"/>
          <w:sz w:val="32"/>
          <w:szCs w:val="32"/>
          <w:shd w:val="clear" w:color="auto" w:fill="FFFFFF"/>
        </w:rPr>
        <w:t>万元，其中：政府采购货物支出</w:t>
      </w:r>
      <w:r>
        <w:rPr>
          <w:rFonts w:hint="default" w:ascii="Times New Roman" w:hAnsi="Times New Roman" w:eastAsia="方正仿宋_GBK" w:cs="Times New Roman"/>
          <w:sz w:val="32"/>
          <w:szCs w:val="32"/>
        </w:rPr>
        <w:t>419.31</w:t>
      </w:r>
      <w:r>
        <w:rPr>
          <w:rFonts w:hint="default" w:ascii="Times New Roman" w:hAnsi="Times New Roman" w:eastAsia="方正仿宋_GBK" w:cs="Times New Roman"/>
          <w:sz w:val="32"/>
          <w:szCs w:val="32"/>
          <w:shd w:val="clear" w:color="auto" w:fill="FFFFFF"/>
        </w:rPr>
        <w:t>万元、政府采购工程支出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万元、政府采购服务支出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万元。授予中小企业合同金额</w:t>
      </w:r>
      <w:r>
        <w:rPr>
          <w:rFonts w:hint="default" w:ascii="Times New Roman" w:hAnsi="Times New Roman" w:eastAsia="方正仿宋_GBK" w:cs="Times New Roman"/>
          <w:sz w:val="32"/>
          <w:szCs w:val="32"/>
        </w:rPr>
        <w:t>419.31万</w:t>
      </w:r>
      <w:r>
        <w:rPr>
          <w:rFonts w:hint="default" w:ascii="Times New Roman" w:hAnsi="Times New Roman" w:eastAsia="方正仿宋_GBK" w:cs="Times New Roman"/>
          <w:sz w:val="32"/>
          <w:szCs w:val="32"/>
          <w:shd w:val="clear" w:color="auto" w:fill="FFFFFF"/>
        </w:rPr>
        <w:t>元，占政府采购支出总额的</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%，其中：授予小微企业合同金额</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万元，占政府采购支出总额的</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 xml:space="preserve"> %。主要用于采购</w:t>
      </w:r>
      <w:r>
        <w:rPr>
          <w:rFonts w:hint="default" w:ascii="Times New Roman" w:hAnsi="Times New Roman" w:eastAsia="方正仿宋_GBK" w:cs="Times New Roman"/>
          <w:sz w:val="32"/>
          <w:szCs w:val="32"/>
          <w:lang w:eastAsia="zh-CN"/>
        </w:rPr>
        <w:t>医疗设备彩超一台及新院的中央空调组</w:t>
      </w:r>
      <w:r>
        <w:rPr>
          <w:rFonts w:hint="default" w:ascii="Times New Roman" w:hAnsi="Times New Roman" w:eastAsia="方正仿宋_GBK" w:cs="Times New Roman"/>
          <w:sz w:val="32"/>
          <w:szCs w:val="32"/>
        </w:rPr>
        <w:t>。</w:t>
      </w:r>
    </w:p>
    <w:p>
      <w:pPr>
        <w:pStyle w:val="10"/>
        <w:keepNext w:val="0"/>
        <w:keepLines w:val="0"/>
        <w:pageBreakBefore w:val="0"/>
        <w:widowControl/>
        <w:numPr>
          <w:ilvl w:val="0"/>
          <w:numId w:val="0"/>
        </w:numPr>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lang w:val="en-US" w:eastAsia="zh-CN"/>
        </w:rPr>
        <w:t>五、</w:t>
      </w:r>
      <w:r>
        <w:rPr>
          <w:rStyle w:val="12"/>
          <w:rFonts w:hint="eastAsia" w:ascii="方正黑体_GBK" w:hAnsi="方正黑体_GBK" w:eastAsia="方正黑体_GBK" w:cs="方正黑体_GBK"/>
          <w:b w:val="0"/>
          <w:bCs/>
          <w:sz w:val="32"/>
          <w:szCs w:val="32"/>
          <w:shd w:val="clear" w:color="auto" w:fill="FFFFFF"/>
        </w:rPr>
        <w:t>预算绩效管理情况说明</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3"/>
        <w:tblpPr w:leftFromText="180" w:rightFromText="180" w:vertAnchor="text" w:horzAnchor="page" w:tblpX="1810" w:tblpY="53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0" w:firstLineChars="0"/>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5"/>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5"/>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15"/>
        <w:keepNext w:val="0"/>
        <w:keepLines w:val="0"/>
        <w:pageBreakBefore w:val="0"/>
        <w:widowControl/>
        <w:kinsoku/>
        <w:wordWrap/>
        <w:overflowPunct/>
        <w:topLinePunct w:val="0"/>
        <w:autoSpaceDE w:val="0"/>
        <w:autoSpaceDN/>
        <w:bidi w:val="0"/>
        <w:adjustRightInd/>
        <w:snapToGrid/>
        <w:spacing w:beforeAutospacing="0" w:line="560" w:lineRule="exact"/>
        <w:ind w:firstLine="640" w:firstLineChars="200"/>
        <w:jc w:val="both"/>
        <w:textAlignment w:val="auto"/>
        <w:outlineLvl w:val="9"/>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六、专业名词解释</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（二）事业收入</w:t>
      </w:r>
      <w:r>
        <w:rPr>
          <w:rFonts w:hint="eastAsia" w:ascii="方正楷体_GBK" w:hAnsi="方正楷体_GBK" w:eastAsia="方正楷体_GBK" w:cs="方正楷体_GBK"/>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（三）经营收入</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（四）其他收入</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（五）使用非财政拨款结余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（六）年初结转和结余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（七）结余分配</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2"/>
          <w:rFonts w:hint="default" w:ascii="Times New Roman" w:hAnsi="Times New Roman" w:eastAsia="方正仿宋_GBK" w:cs="Times New Roman"/>
          <w:sz w:val="32"/>
          <w:szCs w:val="32"/>
          <w:shd w:val="clear" w:color="auto" w:fill="FFFFFF"/>
        </w:rPr>
        <w:t> </w:t>
      </w:r>
      <w:r>
        <w:rPr>
          <w:rStyle w:val="12"/>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（九）基本支出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（十）项目支出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（十一）经营支出</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2"/>
          <w:rFonts w:hint="eastAsia" w:ascii="方正楷体_GBK" w:hAnsi="方正楷体_GBK" w:eastAsia="方正楷体_GBK" w:cs="方正楷体_GBK"/>
          <w:b w:val="0"/>
          <w:bCs/>
          <w:sz w:val="32"/>
          <w:szCs w:val="32"/>
          <w:shd w:val="clear" w:color="auto" w:fill="FFFFFF"/>
        </w:rPr>
        <w:t> （十二）“三公”经费</w:t>
      </w:r>
      <w:r>
        <w:rPr>
          <w:rFonts w:hint="eastAsia" w:ascii="方正楷体_GBK" w:hAnsi="方正楷体_GBK" w:eastAsia="方正楷体_GBK" w:cs="方正楷体_GBK"/>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2"/>
          <w:rFonts w:hint="eastAsia" w:ascii="方正楷体_GBK" w:hAnsi="方正楷体_GBK" w:eastAsia="方正楷体_GBK" w:cs="方正楷体_GBK"/>
          <w:b w:val="0"/>
          <w:bCs/>
          <w:sz w:val="32"/>
          <w:szCs w:val="32"/>
          <w:shd w:val="clear" w:color="auto" w:fill="FFFFFF"/>
        </w:rPr>
        <w:t> （十三）机关运行经费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2"/>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2"/>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2"/>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sz w:val="32"/>
          <w:szCs w:val="32"/>
        </w:rPr>
      </w:pPr>
      <w:r>
        <w:rPr>
          <w:rStyle w:val="12"/>
          <w:rFonts w:ascii="方正仿宋_GBK" w:hAnsi="方正仿宋_GBK" w:eastAsia="方正仿宋_GBK" w:cs="方正仿宋_GBK"/>
          <w:sz w:val="32"/>
          <w:szCs w:val="32"/>
          <w:shd w:val="clear" w:color="auto" w:fill="FFFFFF"/>
        </w:rPr>
        <w:t> </w:t>
      </w:r>
      <w:r>
        <w:rPr>
          <w:rStyle w:val="12"/>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0"/>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atLeast"/>
        <w:ind w:firstLine="640" w:firstLineChars="200"/>
        <w:jc w:val="both"/>
        <w:textAlignment w:val="auto"/>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七、决算公开联系方式及信息反馈渠道</w:t>
      </w:r>
    </w:p>
    <w:p>
      <w:pPr>
        <w:pStyle w:val="10"/>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highlight w:val="none"/>
          <w:shd w:val="clear" w:color="auto" w:fill="FFFFFF"/>
          <w:lang w:val="en-US" w:eastAsia="zh-CN"/>
        </w:rPr>
      </w:pPr>
      <w:r>
        <w:rPr>
          <w:rFonts w:hint="eastAsia" w:ascii="Times New Roman" w:hAnsi="Times New Roman" w:eastAsia="方正仿宋_GBK" w:cs="Times New Roman"/>
          <w:sz w:val="32"/>
          <w:szCs w:val="32"/>
          <w:highlight w:val="none"/>
          <w:shd w:val="clear" w:color="auto" w:fill="FFFFFF"/>
          <w:lang w:eastAsia="zh-CN"/>
        </w:rPr>
        <w:t>白江</w:t>
      </w:r>
      <w:r>
        <w:rPr>
          <w:rFonts w:hint="eastAsia" w:ascii="Times New Roman" w:hAnsi="Times New Roman" w:eastAsia="方正仿宋_GBK" w:cs="Times New Roman"/>
          <w:sz w:val="32"/>
          <w:szCs w:val="32"/>
          <w:highlight w:val="none"/>
          <w:shd w:val="clear" w:color="auto" w:fill="FFFFFF"/>
          <w:lang w:val="en-US" w:eastAsia="zh-CN"/>
        </w:rPr>
        <w:t xml:space="preserve"> </w:t>
      </w:r>
      <w:r>
        <w:rPr>
          <w:rFonts w:hint="default" w:ascii="Times New Roman" w:hAnsi="Times New Roman" w:eastAsia="方正仿宋_GBK" w:cs="Times New Roman"/>
          <w:sz w:val="32"/>
          <w:szCs w:val="32"/>
          <w:highlight w:val="none"/>
          <w:shd w:val="clear" w:color="auto" w:fill="FFFFFF"/>
          <w:lang w:val="en-US" w:eastAsia="zh-CN"/>
        </w:rPr>
        <w:t>023-76612118</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atLeas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sz w:val="21"/>
          <w:szCs w:val="21"/>
        </w:rPr>
      </w:pPr>
    </w:p>
    <w:tbl>
      <w:tblPr>
        <w:tblStyle w:val="13"/>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重庆市秀山土家族苗族自治县清溪场街道社区卫生服务中心</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1,590.78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2,217.04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0.86</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142.24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3,620.70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44.17</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3,808.68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3,807.11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86.63</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88.20</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3,895.32</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3,895.32</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3"/>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重庆市秀山土家族苗族自治县清溪场街道社区卫生服务中心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3,808.68</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1,590.78</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2,217.04</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29.16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29.16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3,622.27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1,404.37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2,217.04</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3,032.95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815.05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2,217.04</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0.86</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2,924.13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706.23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2,217.04</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0.86</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550.41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550.41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479.23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479.23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71.18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71.18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36.52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36.52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44.17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44.17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3"/>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重庆市秀山土家族苗族自治县清溪场街道社区卫生服务中心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3,807.11</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3,631.09</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176.02</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142.24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29.16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29.16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48.30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3,620.70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3,444.68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176.02</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3,031.38</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2,926.54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104.84</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2,835.93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2,835.93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162.45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90.61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71.84</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33.00</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550.41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479.23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71.18</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479.23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479.23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71.18</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71.18</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36.52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36.52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44.17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44.17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44.17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3"/>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1,590.78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142.24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142.24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1,326.34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1,326.34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44.17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44.17</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1,590.78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1,512.74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1,512.74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78.04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78.04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1,590.78</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1,590.78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1,590.78</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1,512.74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1,336.72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176.02</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142.24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142.24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142.24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142.24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58.44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58.44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29.16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29.16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48.30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48.30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1,326.34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1,150.31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176.02</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737.01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632.17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104.84</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628.19</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628.19</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75.82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3.98</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71.84</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33.00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33.00</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550.41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479.23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71.18</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479.23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479.23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71.18</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71.18</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36.52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36.52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36.52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36.52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44.17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44.17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44.17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44.17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44.17</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44.17</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3"/>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1,264.00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334.92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133.08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615.04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58.44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29.16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36.52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44.17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72.73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57.14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6.34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1,336.72</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3"/>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重庆市秀山土家族苗族自治县清溪场街道社区卫生服务中心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419.31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419.31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419.31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52E679C-6266-4D15-BFEA-23603EA41AF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6205BE70-225D-402C-BA22-3A8AAF0506CD}"/>
  </w:font>
  <w:font w:name="方正仿宋_GBK">
    <w:panose1 w:val="03000509000000000000"/>
    <w:charset w:val="86"/>
    <w:family w:val="auto"/>
    <w:pitch w:val="default"/>
    <w:sig w:usb0="00000001" w:usb1="080E0000" w:usb2="00000000" w:usb3="00000000" w:csb0="00040000" w:csb1="00000000"/>
    <w:embedRegular r:id="rId3" w:fontKey="{2E7966E8-EF45-4115-B879-94DAE6291279}"/>
  </w:font>
  <w:font w:name="方正黑体_GBK">
    <w:panose1 w:val="03000509000000000000"/>
    <w:charset w:val="86"/>
    <w:family w:val="auto"/>
    <w:pitch w:val="default"/>
    <w:sig w:usb0="00000001" w:usb1="080E0000" w:usb2="00000000" w:usb3="00000000" w:csb0="00040000" w:csb1="00000000"/>
    <w:embedRegular r:id="rId4" w:fontKey="{630CAC11-F279-40EF-A1F9-E75A73C28257}"/>
  </w:font>
  <w:font w:name="方正楷体_GBK">
    <w:panose1 w:val="03000509000000000000"/>
    <w:charset w:val="86"/>
    <w:family w:val="auto"/>
    <w:pitch w:val="default"/>
    <w:sig w:usb0="00000001" w:usb1="080E0000" w:usb2="00000000" w:usb3="00000000" w:csb0="00040000" w:csb1="00000000"/>
    <w:embedRegular r:id="rId5" w:fontKey="{12615E38-376E-4DEA-B91F-6058E1B7E3DC}"/>
  </w:font>
  <w:font w:name="楷体">
    <w:panose1 w:val="02010609060101010101"/>
    <w:charset w:val="86"/>
    <w:family w:val="modern"/>
    <w:pitch w:val="default"/>
    <w:sig w:usb0="800002BF" w:usb1="38CF7CFA" w:usb2="00000016" w:usb3="00000000" w:csb0="00040001" w:csb1="00000000"/>
    <w:embedRegular r:id="rId6" w:fontKey="{7643DF46-1A3D-4063-90E9-D0544CD7D81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FCE0D"/>
    <w:multiLevelType w:val="multilevel"/>
    <w:tmpl w:val="C3AFCE0D"/>
    <w:lvl w:ilvl="0" w:tentative="0">
      <w:start w:val="1"/>
      <w:numFmt w:val="none"/>
      <w:pStyle w:val="4"/>
      <w:suff w:val="space"/>
      <w:lvlText w:val=""/>
      <w:lvlJc w:val="left"/>
      <w:pPr>
        <w:ind w:left="0" w:firstLine="0"/>
      </w:pPr>
      <w:rPr>
        <w:rFonts w:hint="eastAsia"/>
      </w:rPr>
    </w:lvl>
    <w:lvl w:ilvl="1" w:tentative="0">
      <w:start w:val="1"/>
      <w:numFmt w:val="koreanDigital2"/>
      <w:suff w:val="space"/>
      <w:lvlText w:val="第%2节"/>
      <w:lvlJc w:val="left"/>
      <w:pPr>
        <w:ind w:left="0" w:firstLine="0"/>
      </w:pPr>
      <w:rPr>
        <w:rFonts w:hint="eastAsia"/>
      </w:rPr>
    </w:lvl>
    <w:lvl w:ilvl="2" w:tentative="0">
      <w:start w:val="1"/>
      <w:numFmt w:val="chineseCountingThousand"/>
      <w:suff w:val="space"/>
      <w:lvlText w:val="%3、"/>
      <w:lvlJc w:val="left"/>
      <w:pPr>
        <w:ind w:left="0" w:firstLine="0"/>
      </w:pPr>
      <w:rPr>
        <w:rFonts w:hint="eastAsia"/>
      </w:rPr>
    </w:lvl>
    <w:lvl w:ilvl="3" w:tentative="0">
      <w:start w:val="1"/>
      <w:numFmt w:val="chineseCountingThousand"/>
      <w:suff w:val="space"/>
      <w:lvlText w:val="%1%4、"/>
      <w:lvlJc w:val="left"/>
      <w:pPr>
        <w:ind w:left="0" w:firstLine="0"/>
      </w:pPr>
      <w:rPr>
        <w:rFonts w:hint="eastAsia"/>
      </w:rPr>
    </w:lvl>
    <w:lvl w:ilvl="4" w:tentative="0">
      <w:start w:val="1"/>
      <w:numFmt w:val="chineseCountingThousand"/>
      <w:suff w:val="space"/>
      <w:lvlText w:val="%1（%5）"/>
      <w:lvlJc w:val="left"/>
      <w:pPr>
        <w:ind w:left="0" w:firstLine="0"/>
      </w:pPr>
      <w:rPr>
        <w:rFonts w:hint="eastAsia"/>
      </w:rPr>
    </w:lvl>
    <w:lvl w:ilvl="5" w:tentative="0">
      <w:start w:val="1"/>
      <w:numFmt w:val="none"/>
      <w:suff w:val="space"/>
      <w:lvlText w:val=""/>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EDAF2ADB"/>
    <w:multiLevelType w:val="singleLevel"/>
    <w:tmpl w:val="EDAF2ADB"/>
    <w:lvl w:ilvl="0" w:tentative="0">
      <w:start w:val="4"/>
      <w:numFmt w:val="chineseCounting"/>
      <w:suff w:val="nothing"/>
      <w:lvlText w:val="%1、"/>
      <w:lvlJc w:val="left"/>
      <w:rPr>
        <w:rFonts w:hint="eastAsia"/>
      </w:rPr>
    </w:lvl>
  </w:abstractNum>
  <w:abstractNum w:abstractNumId="2">
    <w:nsid w:val="05499DC2"/>
    <w:multiLevelType w:val="singleLevel"/>
    <w:tmpl w:val="05499DC2"/>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44666f2d-885a-45bb-9f42-41458ebaa3a5"/>
  </w:docVars>
  <w:rsids>
    <w:rsidRoot w:val="00B03CCD"/>
    <w:rsid w:val="002B254B"/>
    <w:rsid w:val="00550ABE"/>
    <w:rsid w:val="00770383"/>
    <w:rsid w:val="007819D4"/>
    <w:rsid w:val="007B419D"/>
    <w:rsid w:val="009B67B8"/>
    <w:rsid w:val="009D2B67"/>
    <w:rsid w:val="00B03CCD"/>
    <w:rsid w:val="00C20C3E"/>
    <w:rsid w:val="00F73F90"/>
    <w:rsid w:val="01474EBF"/>
    <w:rsid w:val="01F3521E"/>
    <w:rsid w:val="020525A4"/>
    <w:rsid w:val="03B87EA0"/>
    <w:rsid w:val="03E3214F"/>
    <w:rsid w:val="044C50BA"/>
    <w:rsid w:val="05BC6D49"/>
    <w:rsid w:val="06194FF1"/>
    <w:rsid w:val="06A2550B"/>
    <w:rsid w:val="06F80EE2"/>
    <w:rsid w:val="07001CCA"/>
    <w:rsid w:val="075678DB"/>
    <w:rsid w:val="079D7CC7"/>
    <w:rsid w:val="07FD04BA"/>
    <w:rsid w:val="08051BCA"/>
    <w:rsid w:val="086C12F4"/>
    <w:rsid w:val="08705944"/>
    <w:rsid w:val="08BA052C"/>
    <w:rsid w:val="08DB07BA"/>
    <w:rsid w:val="094D28EF"/>
    <w:rsid w:val="0969353F"/>
    <w:rsid w:val="098305D0"/>
    <w:rsid w:val="09E51014"/>
    <w:rsid w:val="0A3317EA"/>
    <w:rsid w:val="0A5C4B69"/>
    <w:rsid w:val="0A86124A"/>
    <w:rsid w:val="0AB54CC0"/>
    <w:rsid w:val="0B9335CE"/>
    <w:rsid w:val="0BDE2139"/>
    <w:rsid w:val="0BF2311A"/>
    <w:rsid w:val="0C7927C4"/>
    <w:rsid w:val="0C9B098C"/>
    <w:rsid w:val="0D673E11"/>
    <w:rsid w:val="0DDA54E4"/>
    <w:rsid w:val="0E3A5F83"/>
    <w:rsid w:val="0F836721"/>
    <w:rsid w:val="0FA25D96"/>
    <w:rsid w:val="0FE34B24"/>
    <w:rsid w:val="107B59E5"/>
    <w:rsid w:val="10EC0126"/>
    <w:rsid w:val="10F70B9A"/>
    <w:rsid w:val="111445C7"/>
    <w:rsid w:val="114278C6"/>
    <w:rsid w:val="1158083A"/>
    <w:rsid w:val="11643A4B"/>
    <w:rsid w:val="11ED0F98"/>
    <w:rsid w:val="11F03528"/>
    <w:rsid w:val="12781EDB"/>
    <w:rsid w:val="12C921C4"/>
    <w:rsid w:val="13871C70"/>
    <w:rsid w:val="13A71CB4"/>
    <w:rsid w:val="13AF1D43"/>
    <w:rsid w:val="13CE1647"/>
    <w:rsid w:val="13FD55AB"/>
    <w:rsid w:val="14200702"/>
    <w:rsid w:val="15F1378B"/>
    <w:rsid w:val="163A6CEE"/>
    <w:rsid w:val="16794D59"/>
    <w:rsid w:val="16F9185D"/>
    <w:rsid w:val="173708E3"/>
    <w:rsid w:val="173A795B"/>
    <w:rsid w:val="17C374FC"/>
    <w:rsid w:val="182E4AB6"/>
    <w:rsid w:val="189079DC"/>
    <w:rsid w:val="18926314"/>
    <w:rsid w:val="189B0D0B"/>
    <w:rsid w:val="18B43F7C"/>
    <w:rsid w:val="194A1770"/>
    <w:rsid w:val="19B906A4"/>
    <w:rsid w:val="19DC4392"/>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1464A9"/>
    <w:rsid w:val="22403BD3"/>
    <w:rsid w:val="24AF2DCF"/>
    <w:rsid w:val="24B92327"/>
    <w:rsid w:val="24C14514"/>
    <w:rsid w:val="2533755C"/>
    <w:rsid w:val="25791755"/>
    <w:rsid w:val="26396DF4"/>
    <w:rsid w:val="264278D8"/>
    <w:rsid w:val="26825CE2"/>
    <w:rsid w:val="26D9369A"/>
    <w:rsid w:val="27167136"/>
    <w:rsid w:val="271B442C"/>
    <w:rsid w:val="27B23302"/>
    <w:rsid w:val="2827173C"/>
    <w:rsid w:val="29310A5F"/>
    <w:rsid w:val="29C37A35"/>
    <w:rsid w:val="2A076083"/>
    <w:rsid w:val="2A73162E"/>
    <w:rsid w:val="2B167953"/>
    <w:rsid w:val="2B200583"/>
    <w:rsid w:val="2B8209DE"/>
    <w:rsid w:val="2BF56751"/>
    <w:rsid w:val="2C636760"/>
    <w:rsid w:val="2C6762A3"/>
    <w:rsid w:val="2D341BEB"/>
    <w:rsid w:val="2DBE7403"/>
    <w:rsid w:val="2FCA4B37"/>
    <w:rsid w:val="2FE029D7"/>
    <w:rsid w:val="2FF06E00"/>
    <w:rsid w:val="30586FEC"/>
    <w:rsid w:val="315F0B22"/>
    <w:rsid w:val="31D84415"/>
    <w:rsid w:val="32285F6F"/>
    <w:rsid w:val="32770556"/>
    <w:rsid w:val="329C0913"/>
    <w:rsid w:val="32AA0460"/>
    <w:rsid w:val="3337290D"/>
    <w:rsid w:val="33E31118"/>
    <w:rsid w:val="33EF7674"/>
    <w:rsid w:val="3420782F"/>
    <w:rsid w:val="342D7BC6"/>
    <w:rsid w:val="352930DB"/>
    <w:rsid w:val="35573069"/>
    <w:rsid w:val="355F6038"/>
    <w:rsid w:val="358C217E"/>
    <w:rsid w:val="35DB1E6A"/>
    <w:rsid w:val="36C9128A"/>
    <w:rsid w:val="36CB5F28"/>
    <w:rsid w:val="37841E99"/>
    <w:rsid w:val="37BF1123"/>
    <w:rsid w:val="383C3F15"/>
    <w:rsid w:val="38BE4696"/>
    <w:rsid w:val="3939115E"/>
    <w:rsid w:val="395B207A"/>
    <w:rsid w:val="39B82A39"/>
    <w:rsid w:val="39C42CA8"/>
    <w:rsid w:val="39DC4FD6"/>
    <w:rsid w:val="39F03D7A"/>
    <w:rsid w:val="39F33306"/>
    <w:rsid w:val="3A2C1C67"/>
    <w:rsid w:val="3ADD7F09"/>
    <w:rsid w:val="3B163750"/>
    <w:rsid w:val="3B1705E5"/>
    <w:rsid w:val="3B18334B"/>
    <w:rsid w:val="3B36794F"/>
    <w:rsid w:val="3B6F6EE0"/>
    <w:rsid w:val="3BB02D6A"/>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1F120F"/>
    <w:rsid w:val="43307B09"/>
    <w:rsid w:val="434F5A51"/>
    <w:rsid w:val="439A3EB9"/>
    <w:rsid w:val="43BB152F"/>
    <w:rsid w:val="44C37687"/>
    <w:rsid w:val="455235D7"/>
    <w:rsid w:val="45AC4912"/>
    <w:rsid w:val="45CB699A"/>
    <w:rsid w:val="464253F9"/>
    <w:rsid w:val="465B470D"/>
    <w:rsid w:val="469D6AD4"/>
    <w:rsid w:val="46F938C0"/>
    <w:rsid w:val="47091E89"/>
    <w:rsid w:val="470B7304"/>
    <w:rsid w:val="471E6C84"/>
    <w:rsid w:val="4748792B"/>
    <w:rsid w:val="475D719D"/>
    <w:rsid w:val="47674801"/>
    <w:rsid w:val="48225EF7"/>
    <w:rsid w:val="488F422B"/>
    <w:rsid w:val="48E36915"/>
    <w:rsid w:val="48EB6572"/>
    <w:rsid w:val="495C4A24"/>
    <w:rsid w:val="497135DF"/>
    <w:rsid w:val="4A263DF2"/>
    <w:rsid w:val="4A370A43"/>
    <w:rsid w:val="4A6F6675"/>
    <w:rsid w:val="4B135857"/>
    <w:rsid w:val="4B7951CB"/>
    <w:rsid w:val="4B7C315C"/>
    <w:rsid w:val="4C7D5B8C"/>
    <w:rsid w:val="4DAC4ACA"/>
    <w:rsid w:val="4DBE01D2"/>
    <w:rsid w:val="4DC26766"/>
    <w:rsid w:val="4F0C6BA3"/>
    <w:rsid w:val="4F186D58"/>
    <w:rsid w:val="4F53456E"/>
    <w:rsid w:val="50F06B6E"/>
    <w:rsid w:val="51A056CA"/>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9675E39"/>
    <w:rsid w:val="597A3106"/>
    <w:rsid w:val="5A3B59D6"/>
    <w:rsid w:val="5AD134D8"/>
    <w:rsid w:val="5B3B6DE4"/>
    <w:rsid w:val="5C263CE4"/>
    <w:rsid w:val="5C5D2777"/>
    <w:rsid w:val="5CF66BF3"/>
    <w:rsid w:val="5D290C69"/>
    <w:rsid w:val="5DB704EC"/>
    <w:rsid w:val="5F2D4A41"/>
    <w:rsid w:val="60C74F6C"/>
    <w:rsid w:val="61025A59"/>
    <w:rsid w:val="613D5BBC"/>
    <w:rsid w:val="61536C39"/>
    <w:rsid w:val="61A50CBA"/>
    <w:rsid w:val="61DA1252"/>
    <w:rsid w:val="62944DD7"/>
    <w:rsid w:val="6319381F"/>
    <w:rsid w:val="63C25DC5"/>
    <w:rsid w:val="63C62057"/>
    <w:rsid w:val="644B7EC7"/>
    <w:rsid w:val="64571EF5"/>
    <w:rsid w:val="64D12312"/>
    <w:rsid w:val="64FB113D"/>
    <w:rsid w:val="656152C6"/>
    <w:rsid w:val="6587477F"/>
    <w:rsid w:val="658C3A08"/>
    <w:rsid w:val="65C031CA"/>
    <w:rsid w:val="65CE6852"/>
    <w:rsid w:val="66267C04"/>
    <w:rsid w:val="663D6294"/>
    <w:rsid w:val="663F505A"/>
    <w:rsid w:val="66DE124D"/>
    <w:rsid w:val="66EE5541"/>
    <w:rsid w:val="67924660"/>
    <w:rsid w:val="68407834"/>
    <w:rsid w:val="6883293E"/>
    <w:rsid w:val="688412AD"/>
    <w:rsid w:val="68EB1B71"/>
    <w:rsid w:val="6A6C7940"/>
    <w:rsid w:val="6AAD2300"/>
    <w:rsid w:val="6AFC02AC"/>
    <w:rsid w:val="6B474EF5"/>
    <w:rsid w:val="6C0A5AC5"/>
    <w:rsid w:val="6C560CAE"/>
    <w:rsid w:val="6C576495"/>
    <w:rsid w:val="6D903FF5"/>
    <w:rsid w:val="6DA955B8"/>
    <w:rsid w:val="6DE346AB"/>
    <w:rsid w:val="6DE5391A"/>
    <w:rsid w:val="6E5222CC"/>
    <w:rsid w:val="6EFD1324"/>
    <w:rsid w:val="6F5A53AC"/>
    <w:rsid w:val="6FAC003D"/>
    <w:rsid w:val="6FE55E12"/>
    <w:rsid w:val="6FFB2E76"/>
    <w:rsid w:val="708F6F7F"/>
    <w:rsid w:val="70D94BD3"/>
    <w:rsid w:val="71C34D91"/>
    <w:rsid w:val="72DB435C"/>
    <w:rsid w:val="72E2613A"/>
    <w:rsid w:val="72F771F4"/>
    <w:rsid w:val="73934AD2"/>
    <w:rsid w:val="73CD6E2C"/>
    <w:rsid w:val="73E55FDC"/>
    <w:rsid w:val="750837F0"/>
    <w:rsid w:val="754758CF"/>
    <w:rsid w:val="76166167"/>
    <w:rsid w:val="763267CE"/>
    <w:rsid w:val="764F62AB"/>
    <w:rsid w:val="765C45EC"/>
    <w:rsid w:val="768A7619"/>
    <w:rsid w:val="772E1EBA"/>
    <w:rsid w:val="77682D5B"/>
    <w:rsid w:val="781926BC"/>
    <w:rsid w:val="796D60A4"/>
    <w:rsid w:val="79A031D5"/>
    <w:rsid w:val="7A1525F7"/>
    <w:rsid w:val="7B420052"/>
    <w:rsid w:val="7BD06A28"/>
    <w:rsid w:val="7C3A7C0B"/>
    <w:rsid w:val="7C5248E4"/>
    <w:rsid w:val="7C566698"/>
    <w:rsid w:val="7C5866A3"/>
    <w:rsid w:val="7CF3724C"/>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1"/>
    <w:basedOn w:val="1"/>
    <w:next w:val="1"/>
    <w:qFormat/>
    <w:uiPriority w:val="0"/>
    <w:pPr>
      <w:numPr>
        <w:ilvl w:val="0"/>
        <w:numId w:val="1"/>
      </w:numPr>
      <w:spacing w:line="540" w:lineRule="exact"/>
      <w:jc w:val="center"/>
      <w:outlineLvl w:val="0"/>
    </w:pPr>
    <w:rPr>
      <w:rFonts w:ascii="Times New Roman" w:hAnsi="Times New Roman" w:eastAsia="方正小标宋_GBK" w:cs="Times New Roman"/>
      <w:b/>
      <w:bCs/>
      <w:kern w:val="44"/>
      <w:sz w:val="44"/>
      <w:szCs w:val="44"/>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5">
    <w:name w:val="Body Text First Indent"/>
    <w:basedOn w:val="2"/>
    <w:qFormat/>
    <w:uiPriority w:val="0"/>
    <w:pPr>
      <w:ind w:firstLine="420" w:firstLineChars="1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0">
    <w:name w:val="Normal (Web)"/>
    <w:basedOn w:val="1"/>
    <w:unhideWhenUsed/>
    <w:qFormat/>
    <w:uiPriority w:val="0"/>
    <w:pPr>
      <w:spacing w:before="100" w:beforeAutospacing="1" w:after="100" w:afterAutospacing="1"/>
    </w:pPr>
  </w:style>
  <w:style w:type="character" w:styleId="12">
    <w:name w:val="Strong"/>
    <w:qFormat/>
    <w:uiPriority w:val="0"/>
    <w:rPr>
      <w:b/>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1"/>
    <w:link w:val="6"/>
    <w:qFormat/>
    <w:uiPriority w:val="0"/>
    <w:rPr>
      <w:rFonts w:ascii="宋体" w:hAnsi="宋体"/>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8992</Words>
  <Characters>11145</Characters>
  <Lines>190</Lines>
  <Paragraphs>53</Paragraphs>
  <TotalTime>2</TotalTime>
  <ScaleCrop>false</ScaleCrop>
  <LinksUpToDate>false</LinksUpToDate>
  <CharactersWithSpaces>12268</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2024-09-30T02:31:26Z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F62FE85C578C409BB5BB77D878621B11</vt:lpwstr>
  </property>
</Properties>
</file>