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rPr>
          <w:rFonts w:hint="eastAsia" w:ascii="Times New Roman" w:hAnsi="Times New Roman" w:eastAsia="方正小标宋_GBK" w:cs="Times New Roman"/>
          <w:sz w:val="44"/>
          <w:szCs w:val="44"/>
          <w:shd w:val="clear" w:color="auto" w:fill="FFFFFF"/>
          <w:lang w:eastAsia="zh-CN"/>
        </w:rPr>
      </w:pPr>
      <w:r>
        <w:rPr>
          <w:rFonts w:hint="eastAsia" w:ascii="Times New Roman" w:hAnsi="Times New Roman" w:eastAsia="方正小标宋_GBK" w:cs="Times New Roman"/>
          <w:sz w:val="44"/>
          <w:szCs w:val="44"/>
          <w:lang w:eastAsia="zh-CN"/>
        </w:rPr>
        <w:t>重庆市</w:t>
      </w:r>
      <w:bookmarkStart w:id="0" w:name="_GoBack"/>
      <w:bookmarkEnd w:id="0"/>
      <w:r>
        <w:rPr>
          <w:rFonts w:hint="default" w:ascii="Times New Roman" w:hAnsi="Times New Roman" w:eastAsia="方正小标宋_GBK" w:cs="Times New Roman"/>
          <w:sz w:val="44"/>
          <w:szCs w:val="44"/>
        </w:rPr>
        <w:t>秀山土家族苗族自治县溶溪镇中心卫生院</w:t>
      </w:r>
      <w:r>
        <w:rPr>
          <w:rFonts w:hint="default" w:ascii="Times New Roman" w:hAnsi="Times New Roman" w:eastAsia="方正小标宋_GBK" w:cs="Times New Roman"/>
          <w:sz w:val="44"/>
          <w:szCs w:val="44"/>
          <w:shd w:val="clear" w:color="auto" w:fill="FFFFFF"/>
        </w:rPr>
        <w:t>2023年度决算公开说明</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outlineLvl w:val="9"/>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一、</w:t>
      </w:r>
      <w:r>
        <w:rPr>
          <w:rFonts w:hint="default" w:ascii="Times New Roman" w:hAnsi="Times New Roman" w:eastAsia="方正黑体_GBK" w:cs="Times New Roman"/>
          <w:kern w:val="2"/>
          <w:sz w:val="32"/>
          <w:szCs w:val="32"/>
          <w:lang w:eastAsia="zh-CN"/>
        </w:rPr>
        <w:t>单位</w:t>
      </w:r>
      <w:r>
        <w:rPr>
          <w:rFonts w:hint="default" w:ascii="Times New Roman" w:hAnsi="Times New Roman" w:eastAsia="方正黑体_GBK" w:cs="Times New Roman"/>
          <w:kern w:val="2"/>
          <w:sz w:val="32"/>
          <w:szCs w:val="32"/>
        </w:rPr>
        <w:t>基本情况</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（一）职能职责</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我单位属基层医疗卫生机构，为非营利性医疗机构，应当以居民健康为中心，提供预防保健、大体医疗、健康教育、康复等综合性服务；承担辖区内公共卫生治理；负责对村级卫生机构技术指导和对乡村医生培训。基层医疗卫生机构应当使用与其能力相适应的技术、设备和药物，按照规范诊疗程序开展常见病、多发病的诊疗和部分疾病的康复、护理，提供中医药诊疗、双向转诊、现场急诊急救等医疗服务。我单位为乡镇卫生院，应当履行以下公共卫生职责：</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1.根据国家和本市规定收集、报送辖区内卫生健康信息，建立和管理居民健康档案，提出改进辖区公共卫生状况的建议；</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2.普及卫生保健常识，实施重点人群及重点场所健康教育，帮助居民形成有利于保护和增进健康的行为方式；</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3.协助开展传染病以及地方病、寄生虫病的预防控制，配合开展爱国卫生工作；</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4.规范预防接种服务，执行国家免疫计划；</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5.做好高危人群、重点慢性病患者的筛查和病例管理；</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6.提供心理健康指导服务，实施精神病社区管理；</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7.为妇女、儿童、老年人、残疾人等重点人群提供保健和康复服务，开展健康指导；</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8.提供计划生育技术服务，协助处置辖区内突发公共卫生事件等；</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9.按要求提供其他公共卫生服务。</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（二）机构设置</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下设办公室、财务科、人事科、医务科、院感科、质控办、创建办、</w:t>
      </w:r>
      <w:r>
        <w:rPr>
          <w:rFonts w:hint="default" w:ascii="Times New Roman" w:hAnsi="Times New Roman" w:eastAsia="方正仿宋_GBK" w:cs="Times New Roman"/>
          <w:sz w:val="32"/>
          <w:szCs w:val="32"/>
          <w:lang w:eastAsia="zh-CN"/>
        </w:rPr>
        <w:t>信息科、档案管理科、党办、</w:t>
      </w:r>
      <w:r>
        <w:rPr>
          <w:rFonts w:hint="default" w:ascii="Times New Roman" w:hAnsi="Times New Roman" w:eastAsia="方正仿宋_GBK" w:cs="Times New Roman"/>
          <w:sz w:val="32"/>
          <w:szCs w:val="32"/>
        </w:rPr>
        <w:t>护理部、药剂科、总务科、后勤装备科、内儿科、外科、妇产科、中医理疗科、门急诊部、医技科、公卫科、库房、药房、收费室。</w:t>
      </w:r>
    </w:p>
    <w:p>
      <w:pPr>
        <w:keepNext w:val="0"/>
        <w:keepLines w:val="0"/>
        <w:pageBreakBefore w:val="0"/>
        <w:widowControl w:val="0"/>
        <w:numPr>
          <w:ilvl w:val="0"/>
          <w:numId w:val="2"/>
        </w:numPr>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lang w:eastAsia="zh-CN"/>
        </w:rPr>
        <w:t>单位</w:t>
      </w:r>
      <w:r>
        <w:rPr>
          <w:rFonts w:hint="default" w:ascii="Times New Roman" w:hAnsi="Times New Roman" w:eastAsia="方正黑体_GBK" w:cs="Times New Roman"/>
          <w:kern w:val="2"/>
          <w:sz w:val="32"/>
          <w:szCs w:val="32"/>
        </w:rPr>
        <w:t>决算情况说明</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（一）收入支出决算总体情况说明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rPr>
        <w:t>1.总体情况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年度收入总计</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916</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70</w:t>
      </w:r>
      <w:r>
        <w:rPr>
          <w:rFonts w:hint="default" w:ascii="Times New Roman" w:hAnsi="Times New Roman" w:eastAsia="方正仿宋_GBK" w:cs="Times New Roman"/>
          <w:sz w:val="32"/>
          <w:szCs w:val="32"/>
        </w:rPr>
        <w:t>万元，支出总计</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916</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70</w:t>
      </w:r>
      <w:r>
        <w:rPr>
          <w:rFonts w:hint="default" w:ascii="Times New Roman" w:hAnsi="Times New Roman" w:eastAsia="方正仿宋_GBK" w:cs="Times New Roman"/>
          <w:sz w:val="32"/>
          <w:szCs w:val="32"/>
        </w:rPr>
        <w:t>万元。收支较上年决算数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451.16</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30.78</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我单位因甲级乡镇卫生院创建在上级主管部门与县财政的协调下调剂</w:t>
      </w:r>
      <w:r>
        <w:rPr>
          <w:rFonts w:hint="default" w:ascii="Times New Roman" w:hAnsi="Times New Roman" w:eastAsia="方正仿宋_GBK" w:cs="Times New Roman"/>
          <w:sz w:val="32"/>
          <w:szCs w:val="32"/>
        </w:rPr>
        <w:t>年初财政拨款结转和结余</w:t>
      </w:r>
      <w:r>
        <w:rPr>
          <w:rFonts w:hint="default" w:ascii="Times New Roman" w:hAnsi="Times New Roman" w:eastAsia="方正仿宋_GBK" w:cs="Times New Roman"/>
          <w:sz w:val="32"/>
          <w:szCs w:val="32"/>
          <w:lang w:eastAsia="zh-CN"/>
        </w:rPr>
        <w:t>项目资金</w:t>
      </w:r>
      <w:r>
        <w:rPr>
          <w:rFonts w:hint="default" w:ascii="Times New Roman" w:hAnsi="Times New Roman" w:eastAsia="方正仿宋_GBK" w:cs="Times New Roman"/>
          <w:sz w:val="32"/>
          <w:szCs w:val="32"/>
          <w:lang w:val="en-US" w:eastAsia="zh-CN"/>
        </w:rPr>
        <w:t>355.80万元（项目名称：溶溪镇中心卫生院甲级创建资金），财政拨入医务人员临时性工作补助15.15万元；事业收入较上年增加50余万元及财政人员经费增加所致</w:t>
      </w:r>
      <w:r>
        <w:rPr>
          <w:rFonts w:hint="default" w:ascii="Times New Roman" w:hAnsi="Times New Roman" w:eastAsia="方正仿宋_GBK" w:cs="Times New Roman"/>
          <w:sz w:val="32"/>
          <w:szCs w:val="32"/>
        </w:rPr>
        <w:t>，同时院内人员支出、医疗支出、项目建设支出等相应</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color w:val="FF0000"/>
          <w:sz w:val="32"/>
          <w:szCs w:val="32"/>
          <w:shd w:val="clear" w:color="auto" w:fill="FFFF00"/>
          <w:lang w:val="en-US" w:eastAsia="zh-CN"/>
        </w:rPr>
      </w:pPr>
      <w:r>
        <w:rPr>
          <w:rStyle w:val="11"/>
          <w:rFonts w:hint="default" w:ascii="Times New Roman" w:hAnsi="Times New Roman" w:eastAsia="方正仿宋_GBK" w:cs="Times New Roman"/>
          <w:sz w:val="32"/>
          <w:szCs w:val="32"/>
        </w:rPr>
        <w:t>2.收入情况。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年度收入合计</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550.70</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85.16</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5.81</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事业收入较上年增加50余万元及财政人员经费增加所致</w:t>
      </w:r>
      <w:r>
        <w:rPr>
          <w:rFonts w:hint="default" w:ascii="Times New Roman" w:hAnsi="Times New Roman" w:eastAsia="方正仿宋_GBK" w:cs="Times New Roman"/>
          <w:sz w:val="32"/>
          <w:szCs w:val="32"/>
        </w:rPr>
        <w:t>。其中：财政拨款收入</w:t>
      </w:r>
      <w:r>
        <w:rPr>
          <w:rFonts w:hint="default" w:ascii="Times New Roman" w:hAnsi="Times New Roman" w:eastAsia="方正仿宋_GBK" w:cs="Times New Roman"/>
          <w:sz w:val="32"/>
          <w:szCs w:val="32"/>
          <w:lang w:val="en-US" w:eastAsia="zh-CN"/>
        </w:rPr>
        <w:t>565.66</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36.48</w:t>
      </w:r>
      <w:r>
        <w:rPr>
          <w:rFonts w:hint="default" w:ascii="Times New Roman" w:hAnsi="Times New Roman" w:eastAsia="方正仿宋_GBK" w:cs="Times New Roman"/>
          <w:sz w:val="32"/>
          <w:szCs w:val="32"/>
        </w:rPr>
        <w:t>%；事业收入</w:t>
      </w:r>
      <w:r>
        <w:rPr>
          <w:rFonts w:hint="default" w:ascii="Times New Roman" w:hAnsi="Times New Roman" w:eastAsia="方正仿宋_GBK" w:cs="Times New Roman"/>
          <w:sz w:val="32"/>
          <w:szCs w:val="32"/>
          <w:lang w:val="en-US" w:eastAsia="zh-CN"/>
        </w:rPr>
        <w:t>962.68</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62.08</w:t>
      </w:r>
      <w:r>
        <w:rPr>
          <w:rFonts w:hint="default" w:ascii="Times New Roman" w:hAnsi="Times New Roman" w:eastAsia="方正仿宋_GBK" w:cs="Times New Roman"/>
          <w:sz w:val="32"/>
          <w:szCs w:val="32"/>
        </w:rPr>
        <w:t>%；其他收入</w:t>
      </w:r>
      <w:r>
        <w:rPr>
          <w:rFonts w:hint="default" w:ascii="Times New Roman" w:hAnsi="Times New Roman" w:eastAsia="方正仿宋_GBK" w:cs="Times New Roman"/>
          <w:sz w:val="32"/>
          <w:szCs w:val="32"/>
          <w:lang w:val="en-US" w:eastAsia="zh-CN"/>
        </w:rPr>
        <w:t>22.36</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1.44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此外，使用非财政拨款结余和专用结余</w:t>
      </w:r>
      <w:r>
        <w:rPr>
          <w:rFonts w:hint="default" w:ascii="Times New Roman" w:hAnsi="Times New Roman" w:eastAsia="方正仿宋_GBK" w:cs="Times New Roman"/>
          <w:sz w:val="32"/>
          <w:szCs w:val="32"/>
          <w:lang w:val="en-US" w:eastAsia="zh-CN"/>
        </w:rPr>
        <w:t>0.00万元，年初结转和结余366.00万元。</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rPr>
        <w:t>3.支出情况。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年度支出合计</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884.74</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429.40</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29.51</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因甲级乡镇卫生院创建我单位采购大型医疗设备、新建精品中医馆建设项目工程、新建基础配套改造项目共计投入专项资金</w:t>
      </w:r>
      <w:r>
        <w:rPr>
          <w:rFonts w:hint="default" w:ascii="Times New Roman" w:hAnsi="Times New Roman" w:eastAsia="方正仿宋_GBK" w:cs="Times New Roman"/>
          <w:sz w:val="32"/>
          <w:szCs w:val="32"/>
          <w:lang w:val="en-US" w:eastAsia="zh-CN"/>
        </w:rPr>
        <w:t>355.80万元，</w:t>
      </w:r>
      <w:r>
        <w:rPr>
          <w:rFonts w:hint="default" w:ascii="Times New Roman" w:hAnsi="Times New Roman" w:eastAsia="方正仿宋_GBK" w:cs="Times New Roman"/>
          <w:sz w:val="32"/>
          <w:szCs w:val="32"/>
          <w:lang w:eastAsia="zh-CN"/>
        </w:rPr>
        <w:t>同时创建期间我单位自筹部分资金进行了院容院貌的改善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事业收入的增加使得药品耗材、人员工资等支出均有所增加</w:t>
      </w:r>
      <w:r>
        <w:rPr>
          <w:rFonts w:hint="default" w:ascii="Times New Roman" w:hAnsi="Times New Roman" w:eastAsia="方正仿宋_GBK" w:cs="Times New Roman"/>
          <w:sz w:val="32"/>
          <w:szCs w:val="32"/>
        </w:rPr>
        <w:t>。其中：基本支出1,</w:t>
      </w:r>
      <w:r>
        <w:rPr>
          <w:rFonts w:hint="default" w:ascii="Times New Roman" w:hAnsi="Times New Roman" w:eastAsia="方正仿宋_GBK" w:cs="Times New Roman"/>
          <w:sz w:val="32"/>
          <w:szCs w:val="32"/>
          <w:lang w:val="en-US" w:eastAsia="zh-CN"/>
        </w:rPr>
        <w:t>513.79</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80.32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；项目支出</w:t>
      </w:r>
      <w:r>
        <w:rPr>
          <w:rFonts w:hint="default" w:ascii="Times New Roman" w:hAnsi="Times New Roman" w:eastAsia="方正仿宋_GBK" w:cs="Times New Roman"/>
          <w:sz w:val="32"/>
          <w:szCs w:val="32"/>
          <w:lang w:val="en-US" w:eastAsia="zh-CN"/>
        </w:rPr>
        <w:t>370.95万元，占19.68%</w:t>
      </w:r>
      <w:r>
        <w:rPr>
          <w:rFonts w:hint="default" w:ascii="Times New Roman" w:hAnsi="Times New Roman" w:eastAsia="方正仿宋_GBK" w:cs="Times New Roman"/>
          <w:sz w:val="32"/>
          <w:szCs w:val="32"/>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lang w:val="en-US" w:eastAsia="zh-CN"/>
        </w:rPr>
      </w:pPr>
      <w:r>
        <w:rPr>
          <w:rStyle w:val="11"/>
          <w:rFonts w:hint="default" w:ascii="Times New Roman" w:hAnsi="Times New Roman" w:eastAsia="方正仿宋_GBK" w:cs="Times New Roman"/>
          <w:sz w:val="32"/>
          <w:szCs w:val="32"/>
        </w:rPr>
        <w:t>4.结转结余情况。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年末我单位</w:t>
      </w:r>
      <w:r>
        <w:rPr>
          <w:rFonts w:hint="default" w:ascii="Times New Roman" w:hAnsi="Times New Roman" w:eastAsia="方正仿宋_GBK" w:cs="Times New Roman"/>
          <w:sz w:val="32"/>
          <w:szCs w:val="32"/>
        </w:rPr>
        <w:t>结转</w:t>
      </w:r>
      <w:r>
        <w:rPr>
          <w:rFonts w:hint="default" w:ascii="Times New Roman" w:hAnsi="Times New Roman" w:eastAsia="方正仿宋_GBK" w:cs="Times New Roman"/>
          <w:sz w:val="32"/>
          <w:szCs w:val="32"/>
          <w:lang w:eastAsia="zh-CN"/>
        </w:rPr>
        <w:t>和</w:t>
      </w:r>
      <w:r>
        <w:rPr>
          <w:rFonts w:hint="default" w:ascii="Times New Roman" w:hAnsi="Times New Roman" w:eastAsia="方正仿宋_GBK" w:cs="Times New Roman"/>
          <w:sz w:val="32"/>
          <w:szCs w:val="32"/>
        </w:rPr>
        <w:t>结余</w:t>
      </w:r>
      <w:r>
        <w:rPr>
          <w:rFonts w:hint="default" w:ascii="Times New Roman" w:hAnsi="Times New Roman" w:eastAsia="方正仿宋_GBK" w:cs="Times New Roman"/>
          <w:sz w:val="32"/>
          <w:szCs w:val="32"/>
          <w:lang w:val="en-US" w:eastAsia="zh-CN"/>
        </w:rPr>
        <w:t>31.96万元，较上年度决算数增加21.76万元，增长213.33%</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default" w:ascii="Times New Roman" w:hAnsi="Times New Roman" w:eastAsia="方正仿宋_GBK" w:cs="Times New Roman"/>
          <w:sz w:val="32"/>
          <w:szCs w:val="32"/>
          <w:lang w:val="en-US" w:eastAsia="zh-CN"/>
        </w:rPr>
        <w:t>2022年超额绩效清算拨款资金尚未支付</w:t>
      </w:r>
      <w:r>
        <w:rPr>
          <w:rFonts w:hint="default" w:ascii="Times New Roman" w:hAnsi="Times New Roman" w:eastAsia="方正仿宋_GBK" w:cs="Times New Roman"/>
          <w:sz w:val="32"/>
          <w:szCs w:val="32"/>
          <w:lang w:eastAsia="zh-CN"/>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（二）财政拨款收入支出决算总体情况说明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年度财政拨款收、支总计</w:t>
      </w:r>
      <w:r>
        <w:rPr>
          <w:rFonts w:hint="default" w:ascii="Times New Roman" w:hAnsi="Times New Roman" w:eastAsia="方正仿宋_GBK" w:cs="Times New Roman"/>
          <w:sz w:val="32"/>
          <w:szCs w:val="32"/>
          <w:lang w:val="en-US" w:eastAsia="zh-CN"/>
        </w:rPr>
        <w:t>921.46</w:t>
      </w:r>
      <w:r>
        <w:rPr>
          <w:rFonts w:hint="default" w:ascii="Times New Roman" w:hAnsi="Times New Roman" w:eastAsia="方正仿宋_GBK" w:cs="Times New Roman"/>
          <w:sz w:val="32"/>
          <w:szCs w:val="32"/>
        </w:rPr>
        <w:t>万元。与202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年相比，财政拨款收、支总计各</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392.38</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74.16</w:t>
      </w:r>
      <w:r>
        <w:rPr>
          <w:rFonts w:hint="default" w:ascii="Times New Roman" w:hAnsi="Times New Roman" w:eastAsia="方正仿宋_GBK" w:cs="Times New Roman"/>
          <w:sz w:val="32"/>
          <w:szCs w:val="32"/>
        </w:rPr>
        <w:t>%。主要原因</w:t>
      </w:r>
      <w:r>
        <w:rPr>
          <w:rFonts w:hint="default" w:ascii="Times New Roman" w:hAnsi="Times New Roman" w:eastAsia="方正仿宋_GBK" w:cs="Times New Roman"/>
          <w:sz w:val="32"/>
          <w:szCs w:val="32"/>
          <w:lang w:eastAsia="zh-CN"/>
        </w:rPr>
        <w:t>是我单位因甲级乡镇卫生院创建在上级主管部门与县财政的协调下拨入</w:t>
      </w:r>
      <w:r>
        <w:rPr>
          <w:rFonts w:hint="default" w:ascii="Times New Roman" w:hAnsi="Times New Roman" w:eastAsia="方正仿宋_GBK" w:cs="Times New Roman"/>
          <w:sz w:val="32"/>
          <w:szCs w:val="32"/>
          <w:lang w:val="en-US" w:eastAsia="zh-CN"/>
        </w:rPr>
        <w:t>355.80万元专项资金（项目名称：溶溪镇中心卫生院甲级创建资金），财政拨入医务人员临时性工作补助15.15万元</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人员</w:t>
      </w:r>
      <w:r>
        <w:rPr>
          <w:rFonts w:hint="default" w:ascii="Times New Roman" w:hAnsi="Times New Roman" w:eastAsia="方正仿宋_GBK" w:cs="Times New Roman"/>
          <w:sz w:val="32"/>
          <w:szCs w:val="32"/>
          <w:lang w:eastAsia="zh-CN"/>
        </w:rPr>
        <w:t>财政拨款</w:t>
      </w:r>
      <w:r>
        <w:rPr>
          <w:rFonts w:hint="default" w:ascii="Times New Roman" w:hAnsi="Times New Roman" w:eastAsia="方正仿宋_GBK" w:cs="Times New Roman"/>
          <w:sz w:val="32"/>
          <w:szCs w:val="32"/>
        </w:rPr>
        <w:t>经费</w:t>
      </w:r>
      <w:r>
        <w:rPr>
          <w:rFonts w:hint="default" w:ascii="Times New Roman" w:hAnsi="Times New Roman" w:eastAsia="方正仿宋_GBK" w:cs="Times New Roman"/>
          <w:sz w:val="32"/>
          <w:szCs w:val="32"/>
          <w:lang w:eastAsia="zh-CN"/>
        </w:rPr>
        <w:t>增加所导致</w:t>
      </w:r>
      <w:r>
        <w:rPr>
          <w:rFonts w:hint="default" w:ascii="Times New Roman" w:hAnsi="Times New Roman" w:eastAsia="方正仿宋_GBK" w:cs="Times New Roman"/>
          <w:sz w:val="32"/>
          <w:szCs w:val="32"/>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（三）一般公共预算财政拨款支出决算情况说明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rPr>
        <w:t>1.收入情况。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年度一般公共预算财政拨款收入</w:t>
      </w:r>
      <w:r>
        <w:rPr>
          <w:rFonts w:hint="default" w:ascii="Times New Roman" w:hAnsi="Times New Roman" w:eastAsia="方正仿宋_GBK" w:cs="Times New Roman"/>
          <w:sz w:val="32"/>
          <w:szCs w:val="32"/>
          <w:lang w:val="en-US" w:eastAsia="zh-CN"/>
        </w:rPr>
        <w:t>565.66</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36.58</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6.91</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2023年度拨入了2022年部分人员经费</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。年初预算主要是根据单位情况预估核算，实际财政拨款收入由财政根据资金分配情况统一安排拨款。此外，年初财政拨款结转和结余</w:t>
      </w:r>
      <w:r>
        <w:rPr>
          <w:rFonts w:hint="default" w:ascii="Times New Roman" w:hAnsi="Times New Roman" w:eastAsia="方正仿宋_GBK" w:cs="Times New Roman"/>
          <w:sz w:val="32"/>
          <w:szCs w:val="32"/>
          <w:lang w:val="en-US" w:eastAsia="zh-CN"/>
        </w:rPr>
        <w:t>355.80</w:t>
      </w:r>
      <w:r>
        <w:rPr>
          <w:rFonts w:hint="default" w:ascii="Times New Roman" w:hAnsi="Times New Roman" w:eastAsia="方正仿宋_GBK" w:cs="Times New Roman"/>
          <w:sz w:val="32"/>
          <w:szCs w:val="32"/>
        </w:rPr>
        <w:t>万元。</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rPr>
        <w:t>2.支出情况。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年度一般公共预算财政拨款支出</w:t>
      </w:r>
      <w:r>
        <w:rPr>
          <w:rFonts w:hint="default" w:ascii="Times New Roman" w:hAnsi="Times New Roman" w:eastAsia="方正仿宋_GBK" w:cs="Times New Roman"/>
          <w:sz w:val="32"/>
          <w:szCs w:val="32"/>
          <w:lang w:val="en-US" w:eastAsia="zh-CN"/>
        </w:rPr>
        <w:t>889.50</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360.42</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68.12</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本年度因甲级乡镇卫生院创建我单位采购大型医疗设备、新建精品中医馆建设项目工程、新建基础配套改造项目共计投入专项资金</w:t>
      </w:r>
      <w:r>
        <w:rPr>
          <w:rFonts w:hint="default" w:ascii="Times New Roman" w:hAnsi="Times New Roman" w:eastAsia="方正仿宋_GBK" w:cs="Times New Roman"/>
          <w:sz w:val="32"/>
          <w:szCs w:val="32"/>
          <w:lang w:val="en-US" w:eastAsia="zh-CN"/>
        </w:rPr>
        <w:t>355.80万元</w:t>
      </w:r>
      <w:r>
        <w:rPr>
          <w:rFonts w:hint="default" w:ascii="Times New Roman" w:hAnsi="Times New Roman" w:eastAsia="方正仿宋_GBK" w:cs="Times New Roman"/>
          <w:sz w:val="32"/>
          <w:szCs w:val="32"/>
          <w:lang w:eastAsia="zh-CN"/>
        </w:rPr>
        <w:t>所导致</w:t>
      </w:r>
      <w:r>
        <w:rPr>
          <w:rFonts w:hint="default" w:ascii="Times New Roman" w:hAnsi="Times New Roman" w:eastAsia="方正仿宋_GBK" w:cs="Times New Roman"/>
          <w:sz w:val="32"/>
          <w:szCs w:val="32"/>
        </w:rPr>
        <w:t>。较年初预算数增加</w:t>
      </w:r>
      <w:r>
        <w:rPr>
          <w:rFonts w:hint="default" w:ascii="Times New Roman" w:hAnsi="Times New Roman" w:eastAsia="方正仿宋_GBK" w:cs="Times New Roman"/>
          <w:sz w:val="32"/>
          <w:szCs w:val="32"/>
          <w:lang w:val="en-US" w:eastAsia="zh-CN"/>
        </w:rPr>
        <w:t>436.02</w:t>
      </w:r>
      <w:r>
        <w:rPr>
          <w:rFonts w:hint="default" w:ascii="Times New Roman" w:hAnsi="Times New Roman" w:eastAsia="方正仿宋_GBK" w:cs="Times New Roman"/>
          <w:sz w:val="32"/>
          <w:szCs w:val="32"/>
        </w:rPr>
        <w:t>万元，增长</w:t>
      </w:r>
      <w:r>
        <w:rPr>
          <w:rFonts w:hint="default" w:ascii="Times New Roman" w:hAnsi="Times New Roman" w:eastAsia="方正仿宋_GBK" w:cs="Times New Roman"/>
          <w:sz w:val="32"/>
          <w:szCs w:val="32"/>
          <w:lang w:val="en-US" w:eastAsia="zh-CN"/>
        </w:rPr>
        <w:t>96.15</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%。年初预算主要是根据单位情况预估核算，实际财政拨款收入由财政根据资金分配情况统一安排拨款，因此财政拨款支出与年初预算有相应差异。</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rPr>
        <w:t>3.结转结余情况。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年度年末一般公共预算财政拨款结转</w:t>
      </w:r>
      <w:r>
        <w:rPr>
          <w:rFonts w:hint="default" w:ascii="Times New Roman" w:hAnsi="Times New Roman" w:eastAsia="方正仿宋_GBK" w:cs="Times New Roman"/>
          <w:sz w:val="32"/>
          <w:szCs w:val="32"/>
          <w:lang w:eastAsia="zh-CN"/>
        </w:rPr>
        <w:t>和</w:t>
      </w:r>
      <w:r>
        <w:rPr>
          <w:rFonts w:hint="default" w:ascii="Times New Roman" w:hAnsi="Times New Roman" w:eastAsia="方正仿宋_GBK" w:cs="Times New Roman"/>
          <w:sz w:val="32"/>
          <w:szCs w:val="32"/>
        </w:rPr>
        <w:t>结余</w:t>
      </w:r>
      <w:r>
        <w:rPr>
          <w:rFonts w:hint="default" w:ascii="Times New Roman" w:hAnsi="Times New Roman" w:eastAsia="方正仿宋_GBK" w:cs="Times New Roman"/>
          <w:sz w:val="32"/>
          <w:szCs w:val="32"/>
          <w:lang w:val="en-US" w:eastAsia="zh-CN"/>
        </w:rPr>
        <w:t>31.96万元。较上年决算数增加31.96万元，增长100%</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default" w:ascii="Times New Roman" w:hAnsi="Times New Roman" w:eastAsia="方正仿宋_GBK" w:cs="Times New Roman"/>
          <w:sz w:val="32"/>
          <w:szCs w:val="32"/>
          <w:lang w:val="en-US" w:eastAsia="zh-CN"/>
        </w:rPr>
        <w:t>2022年超额绩效清算拨款资金尚未支付</w:t>
      </w:r>
      <w:r>
        <w:rPr>
          <w:rFonts w:hint="default" w:ascii="Times New Roman" w:hAnsi="Times New Roman" w:eastAsia="方正仿宋_GBK" w:cs="Times New Roman"/>
          <w:sz w:val="32"/>
          <w:szCs w:val="32"/>
          <w:lang w:eastAsia="zh-CN"/>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3" w:firstLineChars="200"/>
        <w:jc w:val="both"/>
        <w:textAlignment w:val="auto"/>
        <w:rPr>
          <w:rFonts w:hint="default" w:ascii="Times New Roman" w:hAnsi="Times New Roman" w:eastAsia="方正仿宋_GBK" w:cs="Times New Roman"/>
          <w:color w:val="FF0000"/>
          <w:sz w:val="32"/>
          <w:szCs w:val="32"/>
          <w:shd w:val="clear" w:color="auto" w:fill="FFFF00"/>
        </w:rPr>
      </w:pPr>
      <w:r>
        <w:rPr>
          <w:rStyle w:val="11"/>
          <w:rFonts w:hint="default" w:ascii="Times New Roman" w:hAnsi="Times New Roman" w:eastAsia="方正仿宋_GBK" w:cs="Times New Roman"/>
          <w:sz w:val="32"/>
          <w:szCs w:val="32"/>
        </w:rPr>
        <w:t>4.比较情况</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年度一般公共预算财政拨款支出主要用于以下几个方面：</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）社会保障与就业支出</w:t>
      </w:r>
      <w:r>
        <w:rPr>
          <w:rFonts w:hint="default" w:ascii="Times New Roman" w:hAnsi="Times New Roman" w:eastAsia="方正仿宋_GBK" w:cs="Times New Roman"/>
          <w:sz w:val="32"/>
          <w:szCs w:val="32"/>
          <w:lang w:val="en-US" w:eastAsia="zh-CN"/>
        </w:rPr>
        <w:t>58.23</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6.55</w:t>
      </w:r>
      <w:r>
        <w:rPr>
          <w:rFonts w:hint="default" w:ascii="Times New Roman" w:hAnsi="Times New Roman" w:eastAsia="方正仿宋_GBK" w:cs="Times New Roman"/>
          <w:sz w:val="32"/>
          <w:szCs w:val="32"/>
        </w:rPr>
        <w:t>%，较年初预算数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15.89</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21.44</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年初预算核算公式偏大造成了预算数偏高</w:t>
      </w:r>
      <w:r>
        <w:rPr>
          <w:rFonts w:hint="default" w:ascii="Times New Roman" w:hAnsi="Times New Roman" w:eastAsia="方正仿宋_GBK" w:cs="Times New Roman"/>
          <w:sz w:val="32"/>
          <w:szCs w:val="32"/>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）卫生健康支出</w:t>
      </w:r>
      <w:r>
        <w:rPr>
          <w:rFonts w:hint="default" w:ascii="Times New Roman" w:hAnsi="Times New Roman" w:eastAsia="方正仿宋_GBK" w:cs="Times New Roman"/>
          <w:sz w:val="32"/>
          <w:szCs w:val="32"/>
          <w:lang w:val="en-US" w:eastAsia="zh-CN"/>
        </w:rPr>
        <w:t>811.48</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91.23</w:t>
      </w:r>
      <w:r>
        <w:rPr>
          <w:rFonts w:hint="default" w:ascii="Times New Roman" w:hAnsi="Times New Roman" w:eastAsia="方正仿宋_GBK" w:cs="Times New Roman"/>
          <w:sz w:val="32"/>
          <w:szCs w:val="32"/>
        </w:rPr>
        <w:t>%，较年初预算数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15.89</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21.44</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sz w:val="32"/>
          <w:szCs w:val="32"/>
          <w:lang w:eastAsia="zh-CN"/>
        </w:rPr>
        <w:t>故</w:t>
      </w:r>
      <w:r>
        <w:rPr>
          <w:rFonts w:hint="default" w:ascii="Times New Roman" w:hAnsi="Times New Roman" w:eastAsia="方正仿宋_GBK" w:cs="Times New Roman"/>
          <w:sz w:val="32"/>
          <w:szCs w:val="32"/>
        </w:rPr>
        <w:t>财政拨款支出与年初预算有相应差异。</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lang w:val="en-US" w:eastAsia="zh-CN"/>
        </w:rPr>
        <w:t>19.80</w:t>
      </w:r>
      <w:r>
        <w:rPr>
          <w:rFonts w:hint="default" w:ascii="Times New Roman" w:hAnsi="Times New Roman" w:eastAsia="方正仿宋_GBK" w:cs="Times New Roman"/>
          <w:sz w:val="32"/>
          <w:szCs w:val="32"/>
        </w:rPr>
        <w:t>万元，占</w:t>
      </w:r>
      <w:r>
        <w:rPr>
          <w:rFonts w:hint="default" w:ascii="Times New Roman" w:hAnsi="Times New Roman" w:eastAsia="方正仿宋_GBK" w:cs="Times New Roman"/>
          <w:sz w:val="32"/>
          <w:szCs w:val="32"/>
          <w:lang w:val="en-US" w:eastAsia="zh-CN"/>
        </w:rPr>
        <w:t>2.23</w:t>
      </w:r>
      <w:r>
        <w:rPr>
          <w:rFonts w:hint="default" w:ascii="Times New Roman" w:hAnsi="Times New Roman" w:eastAsia="方正仿宋_GBK" w:cs="Times New Roman"/>
          <w:sz w:val="32"/>
          <w:szCs w:val="32"/>
        </w:rPr>
        <w:t>%，较年初预算数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12.54万元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38.78%，</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年初预算核算公式偏大造成了预算数偏高</w:t>
      </w:r>
      <w:r>
        <w:rPr>
          <w:rFonts w:hint="default" w:ascii="Times New Roman" w:hAnsi="Times New Roman" w:eastAsia="方正仿宋_GBK" w:cs="Times New Roman"/>
          <w:sz w:val="32"/>
          <w:szCs w:val="32"/>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（四）一般公共预算财政拨款基本支出决算情况说明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年度一般公共财政拨款基本支出5</w:t>
      </w:r>
      <w:r>
        <w:rPr>
          <w:rFonts w:hint="default" w:ascii="Times New Roman" w:hAnsi="Times New Roman" w:eastAsia="方正仿宋_GBK" w:cs="Times New Roman"/>
          <w:sz w:val="32"/>
          <w:szCs w:val="32"/>
          <w:lang w:val="en-US" w:eastAsia="zh-CN"/>
        </w:rPr>
        <w:t>18.55</w:t>
      </w:r>
      <w:r>
        <w:rPr>
          <w:rFonts w:hint="default" w:ascii="Times New Roman" w:hAnsi="Times New Roman" w:eastAsia="方正仿宋_GBK" w:cs="Times New Roman"/>
          <w:sz w:val="32"/>
          <w:szCs w:val="32"/>
        </w:rPr>
        <w:t>万元。其中：人员经费</w:t>
      </w:r>
      <w:r>
        <w:rPr>
          <w:rFonts w:hint="default" w:ascii="Times New Roman" w:hAnsi="Times New Roman" w:eastAsia="方正仿宋_GBK" w:cs="Times New Roman"/>
          <w:sz w:val="32"/>
          <w:szCs w:val="32"/>
          <w:lang w:val="en-US" w:eastAsia="zh-CN"/>
        </w:rPr>
        <w:t>461.28</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7.93</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1.69</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eastAsia="zh-CN"/>
        </w:rPr>
        <w:t>本年度人员结构变化导致</w:t>
      </w:r>
      <w:r>
        <w:rPr>
          <w:rFonts w:hint="default" w:ascii="Times New Roman" w:hAnsi="Times New Roman" w:eastAsia="方正仿宋_GBK" w:cs="Times New Roman"/>
          <w:sz w:val="32"/>
          <w:szCs w:val="32"/>
        </w:rPr>
        <w:t>经费</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rPr>
        <w:t>。人员经费用途主要包括人员社会保障、工资、绩效、津补贴支出等。公用经费</w:t>
      </w:r>
      <w:r>
        <w:rPr>
          <w:rFonts w:hint="default" w:ascii="Times New Roman" w:hAnsi="Times New Roman" w:eastAsia="方正仿宋_GBK" w:cs="Times New Roman"/>
          <w:sz w:val="32"/>
          <w:szCs w:val="32"/>
          <w:lang w:val="en-US" w:eastAsia="zh-CN"/>
        </w:rPr>
        <w:t>57.27</w:t>
      </w:r>
      <w:r>
        <w:rPr>
          <w:rFonts w:hint="default" w:ascii="Times New Roman" w:hAnsi="Times New Roman" w:eastAsia="方正仿宋_GBK" w:cs="Times New Roman"/>
          <w:sz w:val="32"/>
          <w:szCs w:val="32"/>
        </w:rPr>
        <w:t>万元，较上年决算数</w:t>
      </w:r>
      <w:r>
        <w:rPr>
          <w:rFonts w:hint="default" w:ascii="Times New Roman" w:hAnsi="Times New Roman" w:eastAsia="方正仿宋_GBK" w:cs="Times New Roman"/>
          <w:sz w:val="32"/>
          <w:szCs w:val="32"/>
          <w:lang w:eastAsia="zh-CN"/>
        </w:rPr>
        <w:t>减少</w:t>
      </w:r>
      <w:r>
        <w:rPr>
          <w:rFonts w:hint="default" w:ascii="Times New Roman" w:hAnsi="Times New Roman" w:eastAsia="方正仿宋_GBK" w:cs="Times New Roman"/>
          <w:sz w:val="32"/>
          <w:szCs w:val="32"/>
          <w:lang w:val="en-US" w:eastAsia="zh-CN"/>
        </w:rPr>
        <w:t>2.60</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下降</w:t>
      </w:r>
      <w:r>
        <w:rPr>
          <w:rFonts w:hint="default" w:ascii="Times New Roman" w:hAnsi="Times New Roman" w:eastAsia="方正仿宋_GBK" w:cs="Times New Roman"/>
          <w:sz w:val="32"/>
          <w:szCs w:val="32"/>
          <w:lang w:val="en-US" w:eastAsia="zh-CN"/>
        </w:rPr>
        <w:t>4.34</w:t>
      </w:r>
      <w:r>
        <w:rPr>
          <w:rFonts w:hint="default" w:ascii="Times New Roman" w:hAnsi="Times New Roman" w:eastAsia="方正仿宋_GBK" w:cs="Times New Roman"/>
          <w:sz w:val="32"/>
          <w:szCs w:val="32"/>
        </w:rPr>
        <w:t>%，主要原因是</w:t>
      </w:r>
      <w:r>
        <w:rPr>
          <w:rFonts w:hint="default" w:ascii="Times New Roman" w:hAnsi="Times New Roman" w:eastAsia="方正仿宋_GBK" w:cs="Times New Roman"/>
          <w:sz w:val="32"/>
          <w:szCs w:val="32"/>
          <w:lang w:val="en-US" w:eastAsia="zh-CN"/>
        </w:rPr>
        <w:t>上年度</w:t>
      </w:r>
      <w:r>
        <w:rPr>
          <w:rFonts w:hint="default" w:ascii="Times New Roman" w:hAnsi="Times New Roman" w:eastAsia="方正仿宋_GBK" w:cs="Times New Roman"/>
          <w:sz w:val="32"/>
          <w:szCs w:val="32"/>
          <w:lang w:eastAsia="zh-CN"/>
        </w:rPr>
        <w:t>已添</w:t>
      </w:r>
      <w:r>
        <w:rPr>
          <w:rFonts w:hint="default" w:ascii="Times New Roman" w:hAnsi="Times New Roman" w:eastAsia="方正仿宋_GBK" w:cs="Times New Roman"/>
          <w:sz w:val="32"/>
          <w:szCs w:val="32"/>
        </w:rPr>
        <w:t>置</w:t>
      </w:r>
      <w:r>
        <w:rPr>
          <w:rFonts w:hint="default" w:ascii="Times New Roman" w:hAnsi="Times New Roman" w:eastAsia="方正仿宋_GBK" w:cs="Times New Roman"/>
          <w:sz w:val="32"/>
          <w:szCs w:val="32"/>
          <w:lang w:eastAsia="zh-CN"/>
        </w:rPr>
        <w:t>部分</w:t>
      </w:r>
      <w:r>
        <w:rPr>
          <w:rFonts w:hint="default" w:ascii="Times New Roman" w:hAnsi="Times New Roman" w:eastAsia="方正仿宋_GBK" w:cs="Times New Roman"/>
          <w:sz w:val="32"/>
          <w:szCs w:val="32"/>
        </w:rPr>
        <w:t>医疗设备、办公设备支出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本</w:t>
      </w:r>
      <w:r>
        <w:rPr>
          <w:rFonts w:hint="default" w:ascii="Times New Roman" w:hAnsi="Times New Roman" w:eastAsia="方正仿宋_GBK" w:cs="Times New Roman"/>
          <w:sz w:val="32"/>
          <w:szCs w:val="32"/>
          <w:lang w:eastAsia="zh-CN"/>
        </w:rPr>
        <w:t>年度节约了部分支出经费</w:t>
      </w:r>
      <w:r>
        <w:rPr>
          <w:rFonts w:hint="default" w:ascii="Times New Roman" w:hAnsi="Times New Roman" w:eastAsia="方正仿宋_GBK" w:cs="Times New Roman"/>
          <w:sz w:val="32"/>
          <w:szCs w:val="32"/>
        </w:rPr>
        <w:t>。公用经费用途主要包括办公支出、培训支出、差旅支出、水电支出等。</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（五）政府性基金预算收支决算情况说明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年度无</w:t>
      </w:r>
      <w:r>
        <w:rPr>
          <w:rFonts w:hint="default" w:ascii="Times New Roman" w:hAnsi="Times New Roman" w:eastAsia="方正仿宋_GBK" w:cs="Times New Roman"/>
          <w:sz w:val="32"/>
          <w:szCs w:val="32"/>
          <w:lang w:eastAsia="zh-CN"/>
        </w:rPr>
        <w:t>政府性基金预算财政拨款收支。</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（六）国有资本经营预算财政拨款支出决算情况说明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年度无国有资本经营预算财政拨款支出。</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三、“三公”经费情况说明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（一）“三公”经费支出总体情况说明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为差额拨款事业单位，财政未保障</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“三公”经费。</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无因公出国（境）费</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无公务车购置费</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无公务车运行维护费</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无公务接待费</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（三）“三公”经费实物量情况</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因公出国（境）共计0个团组，0人；公务用车购置0辆，公务车保有量为0辆；国内公务接待0批次0人，其中：国内外事接待0批次，0人；国（境）外公务接待0批次，0人。202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人均接待费0元，车均购置费0万元，车均维护费0万元。</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lang w:eastAsia="zh-CN"/>
        </w:rPr>
        <w:t>四、</w:t>
      </w:r>
      <w:r>
        <w:rPr>
          <w:rFonts w:hint="default" w:ascii="Times New Roman" w:hAnsi="Times New Roman" w:eastAsia="方正黑体_GBK" w:cs="Times New Roman"/>
          <w:kern w:val="2"/>
          <w:sz w:val="32"/>
          <w:szCs w:val="32"/>
        </w:rPr>
        <w:t>其他需要说明的事项</w:t>
      </w:r>
    </w:p>
    <w:p>
      <w:pPr>
        <w:pStyle w:val="9"/>
        <w:keepNext w:val="0"/>
        <w:keepLines w:val="0"/>
        <w:pageBreakBefore w:val="0"/>
        <w:numPr>
          <w:ilvl w:val="0"/>
          <w:numId w:val="3"/>
        </w:numPr>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lang w:eastAsia="zh-CN"/>
        </w:rPr>
      </w:pPr>
      <w:r>
        <w:rPr>
          <w:rFonts w:hint="default" w:ascii="Times New Roman" w:hAnsi="Times New Roman" w:eastAsia="方正楷体_GBK" w:cs="Times New Roman"/>
          <w:kern w:val="2"/>
          <w:sz w:val="32"/>
          <w:szCs w:val="32"/>
          <w:lang w:eastAsia="zh-CN"/>
        </w:rPr>
        <w:t>财政拨款会议和培训费用情况说明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因我单位为差额拨款事业单位，财政未保障我单位会议费和培训费。</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w:t>
      </w:r>
      <w:r>
        <w:rPr>
          <w:rFonts w:hint="default" w:ascii="Times New Roman" w:hAnsi="Times New Roman" w:eastAsia="方正楷体_GBK" w:cs="Times New Roman"/>
          <w:kern w:val="2"/>
          <w:sz w:val="32"/>
          <w:szCs w:val="32"/>
          <w:lang w:eastAsia="zh-CN"/>
        </w:rPr>
        <w:t>二</w:t>
      </w:r>
      <w:r>
        <w:rPr>
          <w:rFonts w:hint="default" w:ascii="Times New Roman" w:hAnsi="Times New Roman" w:eastAsia="方正楷体_GBK" w:cs="Times New Roman"/>
          <w:kern w:val="2"/>
          <w:sz w:val="32"/>
          <w:szCs w:val="32"/>
        </w:rPr>
        <w:t>）机关运行经费情况说明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为差额拨款事业单位不在机关运行经费统计范围之内。</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w:t>
      </w:r>
      <w:r>
        <w:rPr>
          <w:rFonts w:hint="default" w:ascii="Times New Roman" w:hAnsi="Times New Roman" w:eastAsia="方正楷体_GBK" w:cs="Times New Roman"/>
          <w:kern w:val="2"/>
          <w:sz w:val="32"/>
          <w:szCs w:val="32"/>
          <w:lang w:eastAsia="zh-CN"/>
        </w:rPr>
        <w:t>三</w:t>
      </w:r>
      <w:r>
        <w:rPr>
          <w:rFonts w:hint="default" w:ascii="Times New Roman" w:hAnsi="Times New Roman" w:eastAsia="方正楷体_GBK" w:cs="Times New Roman"/>
          <w:kern w:val="2"/>
          <w:sz w:val="32"/>
          <w:szCs w:val="32"/>
        </w:rPr>
        <w:t>）国有资产占用情况说明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w:t>
      </w:r>
      <w:r>
        <w:rPr>
          <w:rFonts w:hint="default" w:ascii="Times New Roman" w:hAnsi="Times New Roman" w:eastAsia="方正仿宋_GBK" w:cs="Times New Roman"/>
          <w:sz w:val="32"/>
          <w:szCs w:val="32"/>
          <w:lang w:val="en-US" w:eastAsia="zh-CN"/>
        </w:rPr>
        <w:t>23</w:t>
      </w:r>
      <w:r>
        <w:rPr>
          <w:rFonts w:hint="default" w:ascii="Times New Roman" w:hAnsi="Times New Roman" w:eastAsia="方正仿宋_GBK" w:cs="Times New Roman"/>
          <w:sz w:val="32"/>
          <w:szCs w:val="32"/>
        </w:rPr>
        <w:t>年12月31日，</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共用车辆</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辆。其中，副部（省）级以上领导用车0辆、主要</w:t>
      </w:r>
      <w:r>
        <w:rPr>
          <w:rFonts w:hint="default" w:ascii="Times New Roman" w:hAnsi="Times New Roman" w:eastAsia="方正仿宋_GBK" w:cs="Times New Roman"/>
          <w:sz w:val="32"/>
          <w:szCs w:val="32"/>
          <w:lang w:eastAsia="zh-CN"/>
        </w:rPr>
        <w:t>负责人</w:t>
      </w:r>
      <w:r>
        <w:rPr>
          <w:rFonts w:hint="default" w:ascii="Times New Roman" w:hAnsi="Times New Roman" w:eastAsia="方正仿宋_GBK" w:cs="Times New Roman"/>
          <w:sz w:val="32"/>
          <w:szCs w:val="32"/>
        </w:rPr>
        <w:t>用车0辆、机要通信用车0辆、应急保障用车0辆、执法执勤用车0辆，特种专业技术用车</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辆，离退休干部用车0辆。单价100万元（含）以上专用设备0台（套）。</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楷体_GBK" w:cs="Times New Roman"/>
          <w:kern w:val="2"/>
          <w:sz w:val="32"/>
          <w:szCs w:val="32"/>
        </w:rPr>
      </w:pPr>
      <w:r>
        <w:rPr>
          <w:rFonts w:hint="default" w:ascii="Times New Roman" w:hAnsi="Times New Roman" w:eastAsia="方正楷体_GBK" w:cs="Times New Roman"/>
          <w:kern w:val="2"/>
          <w:sz w:val="32"/>
          <w:szCs w:val="32"/>
        </w:rPr>
        <w:t>（</w:t>
      </w:r>
      <w:r>
        <w:rPr>
          <w:rFonts w:hint="default" w:ascii="Times New Roman" w:hAnsi="Times New Roman" w:eastAsia="方正楷体_GBK" w:cs="Times New Roman"/>
          <w:kern w:val="2"/>
          <w:sz w:val="32"/>
          <w:szCs w:val="32"/>
          <w:lang w:eastAsia="zh-CN"/>
        </w:rPr>
        <w:t>四</w:t>
      </w:r>
      <w:r>
        <w:rPr>
          <w:rFonts w:hint="default" w:ascii="Times New Roman" w:hAnsi="Times New Roman" w:eastAsia="方正楷体_GBK" w:cs="Times New Roman"/>
          <w:kern w:val="2"/>
          <w:sz w:val="32"/>
          <w:szCs w:val="32"/>
        </w:rPr>
        <w:t>）政府采购支出情况说明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我单位</w:t>
      </w:r>
      <w:r>
        <w:rPr>
          <w:rFonts w:hint="default" w:ascii="Times New Roman" w:hAnsi="Times New Roman" w:eastAsia="方正仿宋_GBK" w:cs="Times New Roman"/>
          <w:sz w:val="32"/>
          <w:szCs w:val="32"/>
        </w:rPr>
        <w:t>政府采购支出总额</w:t>
      </w:r>
      <w:r>
        <w:rPr>
          <w:rFonts w:hint="default" w:ascii="Times New Roman" w:hAnsi="Times New Roman" w:eastAsia="方正仿宋_GBK" w:cs="Times New Roman"/>
          <w:sz w:val="32"/>
          <w:szCs w:val="32"/>
          <w:lang w:val="en-US" w:eastAsia="zh-CN"/>
        </w:rPr>
        <w:t>163.15</w:t>
      </w:r>
      <w:r>
        <w:rPr>
          <w:rFonts w:hint="default" w:ascii="Times New Roman" w:hAnsi="Times New Roman" w:eastAsia="方正仿宋_GBK" w:cs="Times New Roman"/>
          <w:sz w:val="32"/>
          <w:szCs w:val="32"/>
        </w:rPr>
        <w:t>万元，其中：政府采购货物支出</w:t>
      </w:r>
      <w:r>
        <w:rPr>
          <w:rFonts w:hint="default" w:ascii="Times New Roman" w:hAnsi="Times New Roman" w:eastAsia="方正仿宋_GBK" w:cs="Times New Roman"/>
          <w:sz w:val="32"/>
          <w:szCs w:val="32"/>
          <w:lang w:val="en-US" w:eastAsia="zh-CN"/>
        </w:rPr>
        <w:t>163.15</w:t>
      </w:r>
      <w:r>
        <w:rPr>
          <w:rFonts w:hint="default" w:ascii="Times New Roman" w:hAnsi="Times New Roman" w:eastAsia="方正仿宋_GBK" w:cs="Times New Roman"/>
          <w:sz w:val="32"/>
          <w:szCs w:val="32"/>
        </w:rPr>
        <w:t>万元、政府采购工程支出0</w:t>
      </w:r>
      <w:r>
        <w:rPr>
          <w:rFonts w:hint="default"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rPr>
        <w:t>万元、政府采购服务支出</w:t>
      </w:r>
      <w:r>
        <w:rPr>
          <w:rFonts w:hint="default"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rPr>
        <w:t>0万元。</w:t>
      </w:r>
      <w:r>
        <w:rPr>
          <w:rFonts w:hint="default" w:ascii="Times New Roman" w:hAnsi="Times New Roman" w:eastAsia="方正仿宋_GBK" w:cs="Times New Roman"/>
          <w:sz w:val="32"/>
          <w:szCs w:val="32"/>
          <w:lang w:eastAsia="zh-CN"/>
        </w:rPr>
        <w:t>授予中小企业合同金额</w:t>
      </w:r>
      <w:r>
        <w:rPr>
          <w:rFonts w:hint="default" w:ascii="Times New Roman" w:hAnsi="Times New Roman" w:eastAsia="方正仿宋_GBK" w:cs="Times New Roman"/>
          <w:sz w:val="32"/>
          <w:szCs w:val="32"/>
          <w:lang w:val="en-US" w:eastAsia="zh-CN"/>
        </w:rPr>
        <w:t>163.15万元，占政府采购支出总额的100.00%，其中：授予小微企业合同金额163.15万元，占政府采购支出总额的100%。主要用于采购电脑0.35万元及甲级创建医疗设备采购162.80万元（包含排队叫号系统、成人心理测验系统、麻醉机、全数字彩色多普勒超声诊断系统、视力筛查仪等11样设备）。</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firstLine="640" w:firstLineChars="200"/>
        <w:jc w:val="both"/>
        <w:textAlignment w:val="auto"/>
        <w:rPr>
          <w:rFonts w:hint="default" w:ascii="Times New Roman" w:hAnsi="Times New Roman" w:eastAsia="方正黑体_GBK" w:cs="Times New Roman"/>
          <w:kern w:val="2"/>
          <w:sz w:val="32"/>
          <w:szCs w:val="32"/>
        </w:rPr>
      </w:pPr>
      <w:r>
        <w:rPr>
          <w:rFonts w:hint="default" w:ascii="Times New Roman" w:hAnsi="Times New Roman" w:eastAsia="方正黑体_GBK" w:cs="Times New Roman"/>
          <w:kern w:val="2"/>
          <w:sz w:val="32"/>
          <w:szCs w:val="32"/>
        </w:rPr>
        <w:t>五、预算绩效管理情况说明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我单位为秀山土家族苗族自治县卫生健康委员会二级预算单位，由主管部门统一开展项目支出绩效自评。</w:t>
      </w:r>
    </w:p>
    <w:tbl>
      <w:tblPr>
        <w:tblStyle w:val="12"/>
        <w:tblpPr w:leftFromText="180" w:rightFromText="180" w:vertAnchor="text" w:horzAnchor="page" w:tblpX="1754" w:tblpY="181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我单位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keepNext w:val="0"/>
        <w:keepLines w:val="0"/>
        <w:pageBreakBefore w:val="0"/>
        <w:widowControl w:val="0"/>
        <w:kinsoku/>
        <w:wordWrap/>
        <w:overflowPunct/>
        <w:topLinePunct w:val="0"/>
        <w:autoSpaceDN/>
        <w:bidi w:val="0"/>
        <w:adjustRightInd/>
        <w:snapToGrid w:val="0"/>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我单位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val="0"/>
        <w:kinsoku/>
        <w:wordWrap/>
        <w:overflowPunct/>
        <w:topLinePunct w:val="0"/>
        <w:autoSpaceDN/>
        <w:bidi w:val="0"/>
        <w:adjustRightInd/>
        <w:snapToGrid w:val="0"/>
        <w:spacing w:beforeAutospacing="0" w:afterAutospacing="0" w:line="560" w:lineRule="exact"/>
        <w:ind w:firstLine="640" w:firstLineChars="200"/>
        <w:jc w:val="both"/>
        <w:textAlignment w:val="auto"/>
        <w:rPr>
          <w:rFonts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六、专业名词解释</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（一）财政拨款收入：</w:t>
      </w:r>
      <w:r>
        <w:rPr>
          <w:rFonts w:ascii="Times New Roman" w:hAnsi="Times New Roman" w:eastAsia="方正仿宋_GBK" w:cs="Times New Roman"/>
          <w:sz w:val="32"/>
          <w:szCs w:val="32"/>
        </w:rPr>
        <w:t>指本年度从本级财政部门取得的财政拨款，包括一般公共预算财政拨款和政府性基金预算财政拨款。</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（二）事业收入：</w:t>
      </w:r>
      <w:r>
        <w:rPr>
          <w:rFonts w:ascii="Times New Roman" w:hAnsi="Times New Roman" w:eastAsia="方正仿宋_GBK" w:cs="Times New Roman"/>
          <w:sz w:val="32"/>
          <w:szCs w:val="32"/>
        </w:rPr>
        <w:t>指事业单位开展专业业务活动及其辅助活动取得的现金流入；事业单位收到的财政专户实际核拨的教育收费等资金在此反映。</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（三）经营收入：</w:t>
      </w:r>
      <w:r>
        <w:rPr>
          <w:rFonts w:ascii="Times New Roman" w:hAnsi="Times New Roman" w:eastAsia="方正仿宋_GBK" w:cs="Times New Roman"/>
          <w:sz w:val="32"/>
          <w:szCs w:val="32"/>
        </w:rPr>
        <w:t>指事业单位在专业业务活动及其辅助活动之外开展非独立核算经营活动取得的现金流入。</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（四）其他收入：</w:t>
      </w:r>
      <w:r>
        <w:rPr>
          <w:rFonts w:ascii="Times New Roman" w:hAnsi="Times New Roman" w:eastAsia="方正仿宋_GBK" w:cs="Times New Roman"/>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（五）使用非财政拨款结余：</w:t>
      </w:r>
      <w:r>
        <w:rPr>
          <w:rFonts w:ascii="Times New Roman" w:hAnsi="Times New Roman" w:eastAsia="方正仿宋_GBK" w:cs="Times New Roman"/>
          <w:sz w:val="32"/>
          <w:szCs w:val="32"/>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（六）年初结转和结余：</w:t>
      </w:r>
      <w:r>
        <w:rPr>
          <w:rFonts w:ascii="Times New Roman" w:hAnsi="Times New Roman" w:eastAsia="方正仿宋_GBK" w:cs="Times New Roman"/>
          <w:sz w:val="32"/>
          <w:szCs w:val="32"/>
        </w:rPr>
        <w:t>指单位上年结转本年使用的基本支出结转、项目支出结转和结余、经营结余。</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（七）结余分配：</w:t>
      </w:r>
      <w:r>
        <w:rPr>
          <w:rFonts w:ascii="Times New Roman" w:hAnsi="Times New Roman" w:eastAsia="方正仿宋_GBK" w:cs="Times New Roman"/>
          <w:sz w:val="32"/>
          <w:szCs w:val="32"/>
        </w:rPr>
        <w:t>指单位按照国家有关规定，缴纳所得税、提取专用基金、转入非财政拨款结余等当年结余的分配情况。</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（八）年末结转和结余：</w:t>
      </w:r>
      <w:r>
        <w:rPr>
          <w:rFonts w:ascii="Times New Roman" w:hAnsi="Times New Roman" w:eastAsia="方正仿宋_GBK" w:cs="Times New Roman"/>
          <w:sz w:val="32"/>
          <w:szCs w:val="32"/>
        </w:rPr>
        <w:t>指单位结转下年的基本支出结转、项目支出结转和结余、经营结余。</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（九）基本支出：</w:t>
      </w:r>
      <w:r>
        <w:rPr>
          <w:rFonts w:ascii="Times New Roman" w:hAnsi="Times New Roman" w:eastAsia="方正仿宋_GBK" w:cs="Times New Roman"/>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（十）项目支出：</w:t>
      </w:r>
      <w:r>
        <w:rPr>
          <w:rFonts w:ascii="Times New Roman" w:hAnsi="Times New Roman" w:eastAsia="方正仿宋_GBK" w:cs="Times New Roman"/>
          <w:sz w:val="32"/>
          <w:szCs w:val="32"/>
        </w:rPr>
        <w:t>指在基本支出之外为完成特定行政任务和事业发展目标所发生的支出。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（十一）经营支出：</w:t>
      </w:r>
      <w:r>
        <w:rPr>
          <w:rFonts w:ascii="Times New Roman" w:hAnsi="Times New Roman" w:eastAsia="方正仿宋_GBK" w:cs="Times New Roman"/>
          <w:sz w:val="32"/>
          <w:szCs w:val="32"/>
        </w:rPr>
        <w:t>指事业单位在专业业务活动及其辅助活动之外开展非独立核算经营活动发生的支出。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（十二）“三公”经费：</w:t>
      </w:r>
      <w:r>
        <w:rPr>
          <w:rFonts w:ascii="Times New Roman" w:hAnsi="Times New Roman" w:eastAsia="方正仿宋_GBK" w:cs="Times New Roman"/>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（十三）机关运行经费：</w:t>
      </w:r>
      <w:r>
        <w:rPr>
          <w:rFonts w:ascii="Times New Roman" w:hAnsi="Times New Roman" w:eastAsia="方正仿宋_GBK" w:cs="Times New Roman"/>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（十四）工资福利支出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反映单位开支的在职职工和编制外长期聘用人员的各类劳动报酬，以及为上述人员缴纳的各项社会保险费等。</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（十五）商品和服务支出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反映单位购买商品和服务的支出（不包括用于购置固定资产的支出、战略性和应急储备支出）。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（十六）对个人和家庭的补助</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反映用于对个人和家庭的补助支出。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（十七）其他资本性支出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N/>
        <w:bidi w:val="0"/>
        <w:adjustRightInd/>
        <w:snapToGrid w:val="0"/>
        <w:spacing w:beforeAutospacing="0" w:afterAutospacing="0" w:line="560" w:lineRule="exact"/>
        <w:ind w:firstLine="640" w:firstLineChars="200"/>
        <w:jc w:val="both"/>
        <w:textAlignment w:val="auto"/>
        <w:rPr>
          <w:rFonts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七、决算公开联系方式及信息反馈渠道</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我单位</w:t>
      </w:r>
      <w:r>
        <w:rPr>
          <w:rFonts w:ascii="Times New Roman" w:hAnsi="Times New Roman" w:eastAsia="方正仿宋_GBK" w:cs="Times New Roman"/>
          <w:sz w:val="32"/>
          <w:szCs w:val="32"/>
        </w:rPr>
        <w:t>决算公开信息反馈和联系方式</w:t>
      </w:r>
      <w:r>
        <w:rPr>
          <w:rFonts w:hint="eastAsia" w:ascii="Times New Roman" w:hAnsi="Times New Roman" w:eastAsia="方正仿宋_GBK" w:cs="Times New Roman"/>
          <w:sz w:val="32"/>
          <w:szCs w:val="32"/>
          <w:lang w:eastAsia="zh-CN"/>
        </w:rPr>
        <w:t>：（黄慧娴</w:t>
      </w:r>
      <w:r>
        <w:rPr>
          <w:rFonts w:ascii="Times New Roman" w:hAnsi="Times New Roman" w:eastAsia="方正仿宋_GBK" w:cs="Times New Roman"/>
          <w:sz w:val="32"/>
          <w:szCs w:val="32"/>
        </w:rPr>
        <w:t>023-76617611</w:t>
      </w:r>
      <w:r>
        <w:rPr>
          <w:rFonts w:hint="eastAsia" w:ascii="Times New Roman" w:hAnsi="Times New Roman" w:eastAsia="方正仿宋_GBK" w:cs="Times New Roman"/>
          <w:sz w:val="32"/>
          <w:szCs w:val="32"/>
          <w:lang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230"/>
        <w:gridCol w:w="1984"/>
        <w:gridCol w:w="4773"/>
        <w:gridCol w:w="3406"/>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重庆市秀山土家族苗族自治县溶溪镇中心卫生院</w:t>
            </w: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21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179"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198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565.66</w:t>
            </w: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962.68</w:t>
            </w: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1984"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22.36</w:t>
            </w: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58.23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1,806.72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19.80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1,550.70</w:t>
            </w: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1,884.74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366.00</w:t>
            </w:r>
            <w:r>
              <w:rPr>
                <w:color w:val="000000"/>
                <w:sz w:val="20"/>
                <w:u w:color="auto"/>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06"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31.96</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1,916.70</w:t>
            </w:r>
            <w:r>
              <w:rPr>
                <w:color w:val="000000"/>
                <w:sz w:val="20"/>
                <w:u w:color="auto"/>
              </w:rPr>
              <w:t xml:space="preserve"> </w:t>
            </w:r>
          </w:p>
        </w:tc>
        <w:tc>
          <w:tcPr>
            <w:tcW w:w="4773"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1,916.70</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重庆市秀山土家族苗族自治县溶溪镇中心卫生院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1,550.70</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565.66</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962.68</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22.36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26.81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26.81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1,472.68</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487.64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962.68</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22.36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1,357.04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372.00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962.68</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22.36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1,356.04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371.00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962.68</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22.36</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97.83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97.83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82.68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82.68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16.76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16.76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16.76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16.76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19.80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19.80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862"/>
        <w:gridCol w:w="3468"/>
        <w:gridCol w:w="1672"/>
        <w:gridCol w:w="1672"/>
        <w:gridCol w:w="1672"/>
        <w:gridCol w:w="1656"/>
        <w:gridCol w:w="1657"/>
        <w:gridCol w:w="1719"/>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重庆市秀山土家族苗族自治县溶溪镇中心卫生院 </w:t>
            </w: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5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46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1,884.74</w:t>
            </w:r>
            <w:r>
              <w:rPr>
                <w:b/>
                <w:color w:val="000000"/>
                <w:sz w:val="20"/>
                <w:u w:color="auto"/>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1,513.79</w:t>
            </w:r>
            <w:r>
              <w:rPr>
                <w:b/>
                <w:color w:val="000000"/>
                <w:sz w:val="20"/>
                <w:u w:color="auto"/>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370.95</w:t>
            </w:r>
            <w:r>
              <w:rPr>
                <w:b/>
                <w:color w:val="000000"/>
                <w:sz w:val="20"/>
                <w:u w:color="auto"/>
              </w:rPr>
              <w:t xml:space="preserve"> </w:t>
            </w:r>
          </w:p>
        </w:tc>
        <w:tc>
          <w:tcPr>
            <w:tcW w:w="16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58.23</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2.02</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2.02</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26.81</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26.81</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12.84</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12.84</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16.56</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16.56</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1,806.72</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1,435.77</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370.95</w:t>
            </w:r>
            <w:r>
              <w:rPr>
                <w:b/>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356.85</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1.05</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355.80</w:t>
            </w:r>
            <w:r>
              <w:rPr>
                <w:b/>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356.85</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355.80</w:t>
            </w: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1,335.28</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1,335.28</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1,334.28</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1,334.28</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97.83</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82.68</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15.15</w:t>
            </w:r>
            <w:r>
              <w:rPr>
                <w:b/>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82.68</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82.68</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15.15</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15.15</w:t>
            </w: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16.76</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16.76</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16.76</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16.76</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19.80</w:t>
            </w:r>
            <w:r>
              <w:rPr>
                <w:b/>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4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19.80</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19.80</w:t>
            </w:r>
            <w:r>
              <w:rPr>
                <w:color w:val="000000"/>
                <w:sz w:val="20"/>
                <w:u w:color="auto"/>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3524"/>
        <w:gridCol w:w="1806"/>
        <w:gridCol w:w="3026"/>
        <w:gridCol w:w="1535"/>
        <w:gridCol w:w="1535"/>
        <w:gridCol w:w="1535"/>
        <w:gridCol w:w="177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94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52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80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0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637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52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0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7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565.66</w:t>
            </w: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58.23</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58.23</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811.48</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811.48</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19.80</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19.80</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565.66</w:t>
            </w: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889.50</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889.50</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355.80</w:t>
            </w: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31.96</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31.96</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355.80</w:t>
            </w: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921.46</w:t>
            </w:r>
            <w:r>
              <w:rPr>
                <w:color w:val="000000"/>
                <w:sz w:val="18"/>
                <w:u w:color="auto"/>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921.46</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921.46</w:t>
            </w:r>
            <w:r>
              <w:rPr>
                <w:color w:val="000000"/>
                <w:sz w:val="18"/>
                <w:u w:color="auto"/>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889.50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518.55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370.95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58.23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58.23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58.23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58.23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26.81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26.81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12.84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12.84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16.56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16.56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811.48</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440.53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370.95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356.85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355.80</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356.85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355.80</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340.04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340.04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339.04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339.04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97.83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82.68</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15.15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82.68</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82.68</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15.15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15.15</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16.76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16.76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16.76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16.76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19.80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19.80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19.80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19.80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19.80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19.80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441.60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57.27</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97.61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47.46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188.68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0.65</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26.81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12.84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19.80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5.47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23.17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19.67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38.77</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17.66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11.44</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461.28</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57.27</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2000"/>
        <w:gridCol w:w="3330"/>
        <w:gridCol w:w="1642"/>
        <w:gridCol w:w="1642"/>
        <w:gridCol w:w="1642"/>
        <w:gridCol w:w="1642"/>
        <w:gridCol w:w="1708"/>
        <w:gridCol w:w="1772"/>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64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64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499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7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53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w:t>
      </w:r>
      <w:r>
        <w:rPr>
          <w:rFonts w:hint="eastAsia" w:cs="宋体"/>
          <w:sz w:val="20"/>
          <w:szCs w:val="20"/>
          <w:lang w:eastAsia="zh-CN"/>
        </w:rPr>
        <w:t>我单位</w:t>
      </w:r>
      <w:r>
        <w:rPr>
          <w:rFonts w:cs="宋体"/>
          <w:sz w:val="20"/>
          <w:szCs w:val="20"/>
        </w:rPr>
        <w:t>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2030"/>
        <w:gridCol w:w="3300"/>
        <w:gridCol w:w="3198"/>
        <w:gridCol w:w="122"/>
        <w:gridCol w:w="3397"/>
        <w:gridCol w:w="28"/>
        <w:gridCol w:w="3303"/>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54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54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04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320"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9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2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3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33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w:t>
      </w:r>
      <w:r>
        <w:rPr>
          <w:rFonts w:hint="eastAsia" w:cs="宋体"/>
          <w:sz w:val="20"/>
          <w:szCs w:val="20"/>
          <w:lang w:eastAsia="zh-CN"/>
        </w:rPr>
        <w:t>我单位</w:t>
      </w:r>
      <w:r>
        <w:rPr>
          <w:rFonts w:cs="宋体"/>
          <w:sz w:val="20"/>
          <w:szCs w:val="20"/>
        </w:rPr>
        <w:t>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重庆市秀山土家族苗族自治县溶溪镇中心卫生院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163.15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163.15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163.15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163.15</w:t>
            </w: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FCE0D"/>
    <w:multiLevelType w:val="multilevel"/>
    <w:tmpl w:val="C3AFCE0D"/>
    <w:lvl w:ilvl="0" w:tentative="0">
      <w:start w:val="1"/>
      <w:numFmt w:val="none"/>
      <w:pStyle w:val="4"/>
      <w:suff w:val="space"/>
      <w:lvlText w:val=""/>
      <w:lvlJc w:val="left"/>
      <w:pPr>
        <w:ind w:left="0" w:firstLine="0"/>
      </w:pPr>
      <w:rPr>
        <w:rFonts w:hint="eastAsia"/>
      </w:rPr>
    </w:lvl>
    <w:lvl w:ilvl="1" w:tentative="0">
      <w:start w:val="1"/>
      <w:numFmt w:val="koreanDigital2"/>
      <w:suff w:val="space"/>
      <w:lvlText w:val="第%2节"/>
      <w:lvlJc w:val="left"/>
      <w:pPr>
        <w:ind w:left="0" w:firstLine="0"/>
      </w:pPr>
      <w:rPr>
        <w:rFonts w:hint="eastAsia"/>
      </w:rPr>
    </w:lvl>
    <w:lvl w:ilvl="2" w:tentative="0">
      <w:start w:val="1"/>
      <w:numFmt w:val="chineseCountingThousand"/>
      <w:suff w:val="space"/>
      <w:lvlText w:val="%3、"/>
      <w:lvlJc w:val="left"/>
      <w:pPr>
        <w:ind w:left="0" w:firstLine="0"/>
      </w:pPr>
      <w:rPr>
        <w:rFonts w:hint="eastAsia"/>
      </w:rPr>
    </w:lvl>
    <w:lvl w:ilvl="3" w:tentative="0">
      <w:start w:val="1"/>
      <w:numFmt w:val="chineseCountingThousand"/>
      <w:suff w:val="space"/>
      <w:lvlText w:val="%1%4、"/>
      <w:lvlJc w:val="left"/>
      <w:pPr>
        <w:ind w:left="0" w:firstLine="0"/>
      </w:pPr>
      <w:rPr>
        <w:rFonts w:hint="eastAsia"/>
      </w:rPr>
    </w:lvl>
    <w:lvl w:ilvl="4" w:tentative="0">
      <w:start w:val="1"/>
      <w:numFmt w:val="chineseCountingThousand"/>
      <w:suff w:val="space"/>
      <w:lvlText w:val="%1（%5）"/>
      <w:lvlJc w:val="left"/>
      <w:pPr>
        <w:ind w:left="0" w:firstLine="0"/>
      </w:pPr>
      <w:rPr>
        <w:rFonts w:hint="eastAsia"/>
      </w:rPr>
    </w:lvl>
    <w:lvl w:ilvl="5" w:tentative="0">
      <w:start w:val="1"/>
      <w:numFmt w:val="none"/>
      <w:suff w:val="space"/>
      <w:lvlText w:val=""/>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D2224481"/>
    <w:multiLevelType w:val="singleLevel"/>
    <w:tmpl w:val="D2224481"/>
    <w:lvl w:ilvl="0" w:tentative="0">
      <w:start w:val="1"/>
      <w:numFmt w:val="chineseCounting"/>
      <w:suff w:val="nothing"/>
      <w:lvlText w:val="（%1）"/>
      <w:lvlJc w:val="left"/>
      <w:rPr>
        <w:rFonts w:hint="eastAsia"/>
      </w:rPr>
    </w:lvl>
  </w:abstractNum>
  <w:abstractNum w:abstractNumId="2">
    <w:nsid w:val="12864EB8"/>
    <w:multiLevelType w:val="singleLevel"/>
    <w:tmpl w:val="12864EB8"/>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5b17bf79-0c2f-47b4-9062-a4b23964101d"/>
  </w:docVars>
  <w:rsids>
    <w:rsidRoot w:val="00B03CCD"/>
    <w:rsid w:val="002B254B"/>
    <w:rsid w:val="00550ABE"/>
    <w:rsid w:val="00770383"/>
    <w:rsid w:val="007819D4"/>
    <w:rsid w:val="007B419D"/>
    <w:rsid w:val="009B67B8"/>
    <w:rsid w:val="009D2B67"/>
    <w:rsid w:val="00B03CCD"/>
    <w:rsid w:val="00C20C3E"/>
    <w:rsid w:val="00F73F90"/>
    <w:rsid w:val="01474EBF"/>
    <w:rsid w:val="014F5783"/>
    <w:rsid w:val="01F3521E"/>
    <w:rsid w:val="024202A6"/>
    <w:rsid w:val="03B87EA0"/>
    <w:rsid w:val="03E3214F"/>
    <w:rsid w:val="044C50BA"/>
    <w:rsid w:val="054866BB"/>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CB78F2"/>
    <w:rsid w:val="0BF2311A"/>
    <w:rsid w:val="0C596D0E"/>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4F25F7"/>
    <w:rsid w:val="12C921C4"/>
    <w:rsid w:val="13871C70"/>
    <w:rsid w:val="13A71CB4"/>
    <w:rsid w:val="13AF1D43"/>
    <w:rsid w:val="13CE1647"/>
    <w:rsid w:val="13FD55AB"/>
    <w:rsid w:val="14200702"/>
    <w:rsid w:val="163A6CEE"/>
    <w:rsid w:val="173708E3"/>
    <w:rsid w:val="17C374FC"/>
    <w:rsid w:val="17D2030B"/>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1FE0445E"/>
    <w:rsid w:val="20642787"/>
    <w:rsid w:val="21556F04"/>
    <w:rsid w:val="22403BD3"/>
    <w:rsid w:val="24B92327"/>
    <w:rsid w:val="24C14514"/>
    <w:rsid w:val="24CA4338"/>
    <w:rsid w:val="2533755C"/>
    <w:rsid w:val="25791755"/>
    <w:rsid w:val="26396DF4"/>
    <w:rsid w:val="27167136"/>
    <w:rsid w:val="271B442C"/>
    <w:rsid w:val="278111D9"/>
    <w:rsid w:val="27B23302"/>
    <w:rsid w:val="2894275B"/>
    <w:rsid w:val="28BE1CB2"/>
    <w:rsid w:val="29310A5F"/>
    <w:rsid w:val="29C37A35"/>
    <w:rsid w:val="2A076083"/>
    <w:rsid w:val="2A73162E"/>
    <w:rsid w:val="2B167953"/>
    <w:rsid w:val="2B200583"/>
    <w:rsid w:val="2B8209DE"/>
    <w:rsid w:val="2C636760"/>
    <w:rsid w:val="2C6762A3"/>
    <w:rsid w:val="2E942F88"/>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647620"/>
    <w:rsid w:val="37841E99"/>
    <w:rsid w:val="37BF1123"/>
    <w:rsid w:val="383C3F15"/>
    <w:rsid w:val="388614C8"/>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0F8709C"/>
    <w:rsid w:val="411B6CE5"/>
    <w:rsid w:val="412070D7"/>
    <w:rsid w:val="41286B34"/>
    <w:rsid w:val="41314E40"/>
    <w:rsid w:val="41E0734B"/>
    <w:rsid w:val="4224492E"/>
    <w:rsid w:val="426C1EA8"/>
    <w:rsid w:val="42736402"/>
    <w:rsid w:val="42CE1D2E"/>
    <w:rsid w:val="42E86A87"/>
    <w:rsid w:val="43307B09"/>
    <w:rsid w:val="43840A1F"/>
    <w:rsid w:val="439A3EB9"/>
    <w:rsid w:val="43AC15BA"/>
    <w:rsid w:val="43BB152F"/>
    <w:rsid w:val="443B1424"/>
    <w:rsid w:val="44C37687"/>
    <w:rsid w:val="45CB699A"/>
    <w:rsid w:val="465B470D"/>
    <w:rsid w:val="469D6AD4"/>
    <w:rsid w:val="471E6C84"/>
    <w:rsid w:val="4748792B"/>
    <w:rsid w:val="475D719D"/>
    <w:rsid w:val="47674801"/>
    <w:rsid w:val="48225EF7"/>
    <w:rsid w:val="487C167F"/>
    <w:rsid w:val="488F422B"/>
    <w:rsid w:val="48CE1E02"/>
    <w:rsid w:val="48E36915"/>
    <w:rsid w:val="48EB6572"/>
    <w:rsid w:val="495C4A24"/>
    <w:rsid w:val="497135DF"/>
    <w:rsid w:val="4A263DF2"/>
    <w:rsid w:val="4A6F6675"/>
    <w:rsid w:val="4B0F5B16"/>
    <w:rsid w:val="4B135857"/>
    <w:rsid w:val="4B7951CB"/>
    <w:rsid w:val="4B7C315C"/>
    <w:rsid w:val="4C787DC7"/>
    <w:rsid w:val="4DAC4ACA"/>
    <w:rsid w:val="4DBE01D2"/>
    <w:rsid w:val="4F0C6BA3"/>
    <w:rsid w:val="4F186D58"/>
    <w:rsid w:val="50F06B6E"/>
    <w:rsid w:val="51D21804"/>
    <w:rsid w:val="52234D33"/>
    <w:rsid w:val="522F6E0C"/>
    <w:rsid w:val="52463BA1"/>
    <w:rsid w:val="52524C16"/>
    <w:rsid w:val="52F163D4"/>
    <w:rsid w:val="531A2DB4"/>
    <w:rsid w:val="53C0244D"/>
    <w:rsid w:val="53DD4D4E"/>
    <w:rsid w:val="53E578CE"/>
    <w:rsid w:val="541330F0"/>
    <w:rsid w:val="54272666"/>
    <w:rsid w:val="54357537"/>
    <w:rsid w:val="543B029D"/>
    <w:rsid w:val="54861779"/>
    <w:rsid w:val="552256E1"/>
    <w:rsid w:val="554E5773"/>
    <w:rsid w:val="555A3CBC"/>
    <w:rsid w:val="5582012B"/>
    <w:rsid w:val="558E4E05"/>
    <w:rsid w:val="55B4158E"/>
    <w:rsid w:val="55BE2E85"/>
    <w:rsid w:val="56530F5D"/>
    <w:rsid w:val="567700D3"/>
    <w:rsid w:val="56FF7E9E"/>
    <w:rsid w:val="578867FC"/>
    <w:rsid w:val="57AE7FCD"/>
    <w:rsid w:val="5842572D"/>
    <w:rsid w:val="596D3C2D"/>
    <w:rsid w:val="5A105AE3"/>
    <w:rsid w:val="5A3B59D6"/>
    <w:rsid w:val="5AD134D8"/>
    <w:rsid w:val="5C263CE4"/>
    <w:rsid w:val="5C5D2777"/>
    <w:rsid w:val="5CF66BF3"/>
    <w:rsid w:val="5D290C69"/>
    <w:rsid w:val="5DE132F2"/>
    <w:rsid w:val="5F2D4A41"/>
    <w:rsid w:val="60836F8F"/>
    <w:rsid w:val="60C74F6C"/>
    <w:rsid w:val="61025A59"/>
    <w:rsid w:val="613D5BBC"/>
    <w:rsid w:val="61536C39"/>
    <w:rsid w:val="62007857"/>
    <w:rsid w:val="62944DD7"/>
    <w:rsid w:val="6319381F"/>
    <w:rsid w:val="6351195D"/>
    <w:rsid w:val="63C25DC5"/>
    <w:rsid w:val="63C62057"/>
    <w:rsid w:val="64341C13"/>
    <w:rsid w:val="64571EF5"/>
    <w:rsid w:val="64FB113D"/>
    <w:rsid w:val="656152C6"/>
    <w:rsid w:val="6587477F"/>
    <w:rsid w:val="658C3A08"/>
    <w:rsid w:val="65C031CA"/>
    <w:rsid w:val="65CE6852"/>
    <w:rsid w:val="65D64CB9"/>
    <w:rsid w:val="66267C04"/>
    <w:rsid w:val="663F505A"/>
    <w:rsid w:val="66EE5541"/>
    <w:rsid w:val="67924660"/>
    <w:rsid w:val="679B2486"/>
    <w:rsid w:val="68407834"/>
    <w:rsid w:val="6883293E"/>
    <w:rsid w:val="688412AD"/>
    <w:rsid w:val="68EB1B71"/>
    <w:rsid w:val="698E5D07"/>
    <w:rsid w:val="6A4B384A"/>
    <w:rsid w:val="6A6C7940"/>
    <w:rsid w:val="6AAD2300"/>
    <w:rsid w:val="6B474EF5"/>
    <w:rsid w:val="6C0A5AC5"/>
    <w:rsid w:val="6C560CAE"/>
    <w:rsid w:val="6C576495"/>
    <w:rsid w:val="6D3E0032"/>
    <w:rsid w:val="6D8B5A9D"/>
    <w:rsid w:val="6D903FF5"/>
    <w:rsid w:val="6DA955B8"/>
    <w:rsid w:val="6DD74216"/>
    <w:rsid w:val="6DE346AB"/>
    <w:rsid w:val="6DE5391A"/>
    <w:rsid w:val="6EFD1324"/>
    <w:rsid w:val="6F501DD3"/>
    <w:rsid w:val="6F5A53AC"/>
    <w:rsid w:val="6FAC003D"/>
    <w:rsid w:val="6FE55E12"/>
    <w:rsid w:val="6FFB2E76"/>
    <w:rsid w:val="708F6F7F"/>
    <w:rsid w:val="70D94BD3"/>
    <w:rsid w:val="71C34D91"/>
    <w:rsid w:val="72DB435C"/>
    <w:rsid w:val="72E2613A"/>
    <w:rsid w:val="72F771F4"/>
    <w:rsid w:val="73934AD2"/>
    <w:rsid w:val="750837F0"/>
    <w:rsid w:val="754758CF"/>
    <w:rsid w:val="75FB5B7E"/>
    <w:rsid w:val="763A788C"/>
    <w:rsid w:val="764F62AB"/>
    <w:rsid w:val="765C45EC"/>
    <w:rsid w:val="768A7619"/>
    <w:rsid w:val="772E1EBA"/>
    <w:rsid w:val="781926BC"/>
    <w:rsid w:val="796D60A4"/>
    <w:rsid w:val="79A031D5"/>
    <w:rsid w:val="79B75ABA"/>
    <w:rsid w:val="7A1525F7"/>
    <w:rsid w:val="7B420052"/>
    <w:rsid w:val="7BD06A28"/>
    <w:rsid w:val="7C3A7C0B"/>
    <w:rsid w:val="7C5248E4"/>
    <w:rsid w:val="7C566698"/>
    <w:rsid w:val="7C5866A3"/>
    <w:rsid w:val="7D7406BB"/>
    <w:rsid w:val="7DE94331"/>
    <w:rsid w:val="7EA55CBC"/>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1"/>
    <w:basedOn w:val="1"/>
    <w:next w:val="1"/>
    <w:qFormat/>
    <w:uiPriority w:val="0"/>
    <w:pPr>
      <w:numPr>
        <w:ilvl w:val="0"/>
        <w:numId w:val="1"/>
      </w:numPr>
      <w:spacing w:line="540" w:lineRule="exact"/>
      <w:jc w:val="center"/>
      <w:outlineLvl w:val="0"/>
    </w:pPr>
    <w:rPr>
      <w:rFonts w:ascii="Times New Roman" w:hAnsi="Times New Roman" w:eastAsia="方正小标宋_GBK" w:cs="Times New Roman"/>
      <w:b/>
      <w:bCs/>
      <w:kern w:val="44"/>
      <w:sz w:val="44"/>
      <w:szCs w:val="44"/>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1"/>
    <w:pPr>
      <w:widowControl w:val="0"/>
      <w:ind w:left="101" w:firstLine="679"/>
    </w:pPr>
    <w:rPr>
      <w:rFonts w:ascii="Arial" w:hAnsi="Arial" w:cstheme="minorBidi"/>
      <w:sz w:val="34"/>
      <w:szCs w:val="34"/>
      <w:lang w:eastAsia="en-US"/>
    </w:rPr>
  </w:style>
  <w:style w:type="paragraph" w:styleId="3">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basedOn w:val="10"/>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8822</Words>
  <Characters>10852</Characters>
  <Lines>190</Lines>
  <Paragraphs>53</Paragraphs>
  <TotalTime>1</TotalTime>
  <ScaleCrop>false</ScaleCrop>
  <LinksUpToDate>false</LinksUpToDate>
  <CharactersWithSpaces>11936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2175518F071C40699EAD7497528F83F8</vt:lpwstr>
  </property>
</Properties>
</file>