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9"/>
        <w:keepNext w:val="0"/>
        <w:keepLines w:val="0"/>
        <w:pageBreakBefore w:val="0"/>
        <w:widowControl/>
        <w:kinsoku/>
        <w:wordWrap/>
        <w:overflowPunct/>
        <w:topLinePunct w:val="0"/>
        <w:autoSpaceDE/>
        <w:autoSpaceDN/>
        <w:bidi w:val="0"/>
        <w:adjustRightInd/>
        <w:snapToGrid w:val="0"/>
        <w:spacing w:beforeAutospacing="0" w:afterAutospacing="0" w:line="600" w:lineRule="exact"/>
        <w:ind w:firstLine="440" w:firstLineChars="100"/>
        <w:jc w:val="center"/>
        <w:textAlignment w:val="auto"/>
        <w:outlineLvl w:val="9"/>
        <w:rPr>
          <w:rFonts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shd w:val="clear" w:color="auto" w:fill="FFFFFF"/>
          <w:lang w:eastAsia="zh-CN"/>
        </w:rPr>
        <w:t>重庆市</w:t>
      </w:r>
      <w:r>
        <w:rPr>
          <w:rFonts w:hint="eastAsia" w:ascii="方正小标宋_GBK" w:hAnsi="方正小标宋_GBK" w:eastAsia="方正小标宋_GBK" w:cs="方正小标宋_GBK"/>
          <w:sz w:val="44"/>
          <w:szCs w:val="44"/>
          <w:shd w:val="clear" w:color="auto" w:fill="FFFFFF"/>
        </w:rPr>
        <w:t>秀山土家族苗族自治县妙泉镇卫生院</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600" w:lineRule="exact"/>
        <w:ind w:firstLine="440" w:firstLineChars="100"/>
        <w:jc w:val="center"/>
        <w:textAlignment w:val="auto"/>
        <w:outlineLvl w:val="9"/>
        <w:rPr>
          <w:rFonts w:hint="eastAsia" w:ascii="方正小标宋_GBK" w:hAnsi="方正小标宋_GBK" w:eastAsia="方正小标宋_GBK" w:cs="方正小标宋_GBK"/>
          <w:kern w:val="0"/>
          <w:sz w:val="44"/>
          <w:szCs w:val="44"/>
          <w:shd w:val="clear" w:color="auto" w:fill="FFFFFF"/>
        </w:rPr>
      </w:pPr>
      <w:r>
        <w:rPr>
          <w:rFonts w:hint="eastAsia" w:ascii="方正小标宋_GBK" w:hAnsi="方正小标宋_GBK" w:eastAsia="方正小标宋_GBK" w:cs="方正小标宋_GBK"/>
          <w:kern w:val="0"/>
          <w:sz w:val="44"/>
          <w:szCs w:val="44"/>
          <w:shd w:val="clear" w:color="auto" w:fill="FFFFFF"/>
        </w:rPr>
        <w:t>2023年度决算公开说明</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jc w:val="both"/>
        <w:textAlignment w:val="auto"/>
        <w:outlineLvl w:val="9"/>
        <w:rPr>
          <w:rFonts w:hint="eastAsia" w:ascii="方正黑体_GBK" w:hAnsi="方正黑体_GBK" w:eastAsia="方正黑体_GBK" w:cs="方正黑体_GBK"/>
          <w:bCs/>
          <w:sz w:val="32"/>
          <w:szCs w:val="32"/>
          <w:shd w:val="clear" w:color="auto" w:fill="FFFFFF"/>
        </w:rPr>
      </w:pP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ascii="方正黑体_GBK" w:hAnsi="方正黑体_GBK" w:eastAsia="方正黑体_GBK" w:cs="方正黑体_GBK"/>
          <w:bCs/>
          <w:sz w:val="32"/>
          <w:szCs w:val="32"/>
          <w:shd w:val="clear" w:color="auto" w:fill="FFFFFF"/>
        </w:rPr>
      </w:pPr>
      <w:r>
        <w:rPr>
          <w:rFonts w:hint="eastAsia" w:ascii="方正黑体_GBK" w:hAnsi="方正黑体_GBK" w:eastAsia="方正黑体_GBK" w:cs="方正黑体_GBK"/>
          <w:bCs/>
          <w:sz w:val="32"/>
          <w:szCs w:val="32"/>
          <w:shd w:val="clear" w:color="auto" w:fill="FFFFFF"/>
        </w:rPr>
        <w:t>一、</w:t>
      </w:r>
      <w:r>
        <w:rPr>
          <w:rFonts w:hint="eastAsia" w:ascii="方正黑体_GBK" w:hAnsi="方正黑体_GBK" w:eastAsia="方正黑体_GBK" w:cs="方正黑体_GBK"/>
          <w:bCs/>
          <w:sz w:val="32"/>
          <w:szCs w:val="32"/>
          <w:shd w:val="clear" w:color="auto" w:fill="FFFFFF"/>
          <w:lang w:eastAsia="zh-CN"/>
        </w:rPr>
        <w:t>单位</w:t>
      </w:r>
      <w:r>
        <w:rPr>
          <w:rFonts w:hint="eastAsia" w:ascii="方正黑体_GBK" w:hAnsi="方正黑体_GBK" w:eastAsia="方正黑体_GBK" w:cs="方正黑体_GBK"/>
          <w:bCs/>
          <w:sz w:val="32"/>
          <w:szCs w:val="32"/>
          <w:shd w:val="clear" w:color="auto" w:fill="FFFFFF"/>
        </w:rPr>
        <w:t>基本情况</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ascii="方正楷体_GBK" w:hAnsi="方正楷体_GBK" w:eastAsia="方正楷体_GBK" w:cs="方正楷体_GBK"/>
          <w:sz w:val="32"/>
          <w:szCs w:val="32"/>
        </w:rPr>
      </w:pPr>
      <w:r>
        <w:rPr>
          <w:rFonts w:hint="eastAsia" w:ascii="方正楷体_GBK" w:hAnsi="方正楷体_GBK" w:eastAsia="方正楷体_GBK" w:cs="方正楷体_GBK"/>
          <w:sz w:val="32"/>
          <w:szCs w:val="32"/>
          <w:shd w:val="clear" w:color="auto" w:fill="FFFFFF"/>
        </w:rPr>
        <w:t>（一）职能职责</w:t>
      </w:r>
    </w:p>
    <w:p>
      <w:pPr>
        <w:pStyle w:val="2"/>
        <w:keepNext w:val="0"/>
        <w:keepLines w:val="0"/>
        <w:pageBreakBefore w:val="0"/>
        <w:widowControl/>
        <w:kinsoku/>
        <w:wordWrap/>
        <w:overflowPunct/>
        <w:topLinePunct w:val="0"/>
        <w:autoSpaceDE/>
        <w:autoSpaceDN/>
        <w:bidi w:val="0"/>
        <w:adjustRightInd/>
        <w:snapToGrid w:val="0"/>
        <w:spacing w:line="560" w:lineRule="exact"/>
        <w:ind w:left="0" w:firstLine="640" w:firstLineChars="200"/>
        <w:jc w:val="both"/>
        <w:textAlignment w:val="auto"/>
        <w:outlineLvl w:val="9"/>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eastAsia="zh-CN"/>
        </w:rPr>
        <w:t>本</w:t>
      </w:r>
      <w:r>
        <w:rPr>
          <w:rFonts w:hint="default" w:ascii="Times New Roman" w:hAnsi="Times New Roman" w:eastAsia="方正仿宋_GBK" w:cs="Times New Roman"/>
          <w:sz w:val="32"/>
          <w:szCs w:val="32"/>
        </w:rPr>
        <w:t>单位属基层医疗卫生机构，为非盈利性医疗机构，应当为居民提供基本医疗和基本公共卫生服务。基层医疗卫生机构应当使用与其能力相适应的技术、设备和药物，按照规范诊疗程序开展常见病、多发病的诊疗和部分疾病的康复、护理，提供中医药诊疗、双向转诊、现场急诊急救等医疗服务。本单位为乡镇卫生院，应当履行以下公共卫生职责：</w:t>
      </w:r>
    </w:p>
    <w:p>
      <w:pPr>
        <w:pStyle w:val="2"/>
        <w:keepNext w:val="0"/>
        <w:keepLines w:val="0"/>
        <w:pageBreakBefore w:val="0"/>
        <w:widowControl/>
        <w:kinsoku/>
        <w:wordWrap/>
        <w:overflowPunct/>
        <w:topLinePunct w:val="0"/>
        <w:autoSpaceDE/>
        <w:autoSpaceDN/>
        <w:bidi w:val="0"/>
        <w:adjustRightInd/>
        <w:snapToGrid w:val="0"/>
        <w:spacing w:line="560" w:lineRule="exact"/>
        <w:ind w:firstLine="640" w:firstLineChars="200"/>
        <w:jc w:val="both"/>
        <w:textAlignment w:val="auto"/>
        <w:outlineLvl w:val="9"/>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1.根据国家和本市规定收集、报送辖区内卫生健康信息，建立和管理居民健康档案，提出改进辖区公共卫生状况的建议；</w:t>
      </w:r>
    </w:p>
    <w:p>
      <w:pPr>
        <w:pStyle w:val="2"/>
        <w:keepNext w:val="0"/>
        <w:keepLines w:val="0"/>
        <w:pageBreakBefore w:val="0"/>
        <w:widowControl/>
        <w:kinsoku/>
        <w:wordWrap/>
        <w:overflowPunct/>
        <w:topLinePunct w:val="0"/>
        <w:autoSpaceDE/>
        <w:autoSpaceDN/>
        <w:bidi w:val="0"/>
        <w:adjustRightInd/>
        <w:snapToGrid w:val="0"/>
        <w:spacing w:line="560" w:lineRule="exact"/>
        <w:ind w:firstLine="640" w:firstLineChars="200"/>
        <w:jc w:val="both"/>
        <w:textAlignment w:val="auto"/>
        <w:outlineLvl w:val="9"/>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2.开展健康教育，普及健康知识；</w:t>
      </w:r>
    </w:p>
    <w:p>
      <w:pPr>
        <w:pStyle w:val="2"/>
        <w:keepNext w:val="0"/>
        <w:keepLines w:val="0"/>
        <w:pageBreakBefore w:val="0"/>
        <w:widowControl/>
        <w:kinsoku/>
        <w:wordWrap/>
        <w:overflowPunct/>
        <w:topLinePunct w:val="0"/>
        <w:autoSpaceDE/>
        <w:autoSpaceDN/>
        <w:bidi w:val="0"/>
        <w:adjustRightInd/>
        <w:snapToGrid w:val="0"/>
        <w:spacing w:line="560" w:lineRule="exact"/>
        <w:ind w:firstLine="640" w:firstLineChars="200"/>
        <w:jc w:val="both"/>
        <w:textAlignment w:val="auto"/>
        <w:outlineLvl w:val="9"/>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3.协助开展传染病以及地方病、寄生虫病的预防控制，配合开展爱国卫生工作；</w:t>
      </w:r>
    </w:p>
    <w:p>
      <w:pPr>
        <w:pStyle w:val="2"/>
        <w:keepNext w:val="0"/>
        <w:keepLines w:val="0"/>
        <w:pageBreakBefore w:val="0"/>
        <w:widowControl/>
        <w:kinsoku/>
        <w:wordWrap/>
        <w:overflowPunct/>
        <w:topLinePunct w:val="0"/>
        <w:autoSpaceDE/>
        <w:autoSpaceDN/>
        <w:bidi w:val="0"/>
        <w:adjustRightInd/>
        <w:snapToGrid w:val="0"/>
        <w:spacing w:line="560" w:lineRule="exact"/>
        <w:ind w:firstLine="640" w:firstLineChars="200"/>
        <w:jc w:val="both"/>
        <w:textAlignment w:val="auto"/>
        <w:outlineLvl w:val="9"/>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4.做好高危人群、重点慢性病患者的筛查和病例管理；</w:t>
      </w:r>
    </w:p>
    <w:p>
      <w:pPr>
        <w:pStyle w:val="2"/>
        <w:keepNext w:val="0"/>
        <w:keepLines w:val="0"/>
        <w:pageBreakBefore w:val="0"/>
        <w:widowControl/>
        <w:kinsoku/>
        <w:wordWrap/>
        <w:overflowPunct/>
        <w:topLinePunct w:val="0"/>
        <w:autoSpaceDE/>
        <w:autoSpaceDN/>
        <w:bidi w:val="0"/>
        <w:adjustRightInd/>
        <w:snapToGrid w:val="0"/>
        <w:spacing w:line="560" w:lineRule="exact"/>
        <w:ind w:firstLine="640" w:firstLineChars="200"/>
        <w:jc w:val="both"/>
        <w:textAlignment w:val="auto"/>
        <w:outlineLvl w:val="9"/>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5.提供心理健康指导服务，实施精神病社区管理；</w:t>
      </w:r>
    </w:p>
    <w:p>
      <w:pPr>
        <w:pStyle w:val="2"/>
        <w:keepNext w:val="0"/>
        <w:keepLines w:val="0"/>
        <w:pageBreakBefore w:val="0"/>
        <w:widowControl/>
        <w:kinsoku/>
        <w:wordWrap/>
        <w:overflowPunct/>
        <w:topLinePunct w:val="0"/>
        <w:autoSpaceDE/>
        <w:autoSpaceDN/>
        <w:bidi w:val="0"/>
        <w:adjustRightInd/>
        <w:snapToGrid w:val="0"/>
        <w:spacing w:line="560" w:lineRule="exact"/>
        <w:ind w:firstLine="640" w:firstLineChars="200"/>
        <w:jc w:val="both"/>
        <w:textAlignment w:val="auto"/>
        <w:outlineLvl w:val="9"/>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6.为妇女、儿童、老年人、残疾人等重点人群提供保健和康复服务；</w:t>
      </w:r>
    </w:p>
    <w:p>
      <w:pPr>
        <w:pStyle w:val="9"/>
        <w:keepNext w:val="0"/>
        <w:keepLines w:val="0"/>
        <w:pageBreakBefore w:val="0"/>
        <w:widowControl/>
        <w:shd w:val="clear" w:color="auto" w:fill="FFFFFF"/>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方正仿宋_GBK" w:hAnsi="方正仿宋_GBK" w:eastAsia="方正仿宋_GBK" w:cs="方正仿宋_GBK"/>
          <w:sz w:val="32"/>
          <w:szCs w:val="32"/>
          <w:shd w:val="clear" w:color="auto" w:fill="FFFFFF"/>
          <w:lang w:val="en-US" w:eastAsia="zh-CN"/>
        </w:rPr>
      </w:pPr>
      <w:r>
        <w:rPr>
          <w:rFonts w:hint="default" w:ascii="Times New Roman" w:hAnsi="Times New Roman" w:eastAsia="方正仿宋_GBK" w:cs="Times New Roman"/>
          <w:kern w:val="0"/>
          <w:sz w:val="32"/>
          <w:szCs w:val="32"/>
          <w:lang w:val="en-US" w:eastAsia="zh-CN" w:bidi="ar-SA"/>
        </w:rPr>
        <w:t>7.提</w:t>
      </w:r>
      <w:r>
        <w:rPr>
          <w:rFonts w:hint="default" w:ascii="方正仿宋_GBK" w:hAnsi="方正仿宋_GBK" w:eastAsia="方正仿宋_GBK" w:cs="方正仿宋_GBK"/>
          <w:sz w:val="32"/>
          <w:szCs w:val="32"/>
          <w:shd w:val="clear" w:color="auto" w:fill="FFFFFF"/>
          <w:lang w:val="en-US" w:eastAsia="zh-CN"/>
        </w:rPr>
        <w:t>供计划生育技术服务，协助处置辖区内突发公共卫生事</w:t>
      </w:r>
      <w:r>
        <w:rPr>
          <w:rFonts w:hint="eastAsia" w:ascii="方正仿宋_GBK" w:hAnsi="方正仿宋_GBK" w:eastAsia="方正仿宋_GBK" w:cs="方正仿宋_GBK"/>
          <w:sz w:val="32"/>
          <w:szCs w:val="32"/>
          <w:shd w:val="clear" w:color="auto" w:fill="FFFFFF"/>
          <w:lang w:val="en-US" w:eastAsia="zh-CN"/>
        </w:rPr>
        <w:t>件等；</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kern w:val="0"/>
          <w:sz w:val="32"/>
          <w:szCs w:val="32"/>
          <w:lang w:val="en-US" w:eastAsia="zh-CN" w:bidi="ar-SA"/>
        </w:rPr>
      </w:pPr>
      <w:r>
        <w:rPr>
          <w:rFonts w:hint="default" w:ascii="Times New Roman" w:hAnsi="Times New Roman" w:eastAsia="方正仿宋_GBK" w:cs="Times New Roman"/>
          <w:kern w:val="0"/>
          <w:sz w:val="32"/>
          <w:szCs w:val="32"/>
          <w:lang w:val="en-US" w:eastAsia="zh-CN" w:bidi="ar-SA"/>
        </w:rPr>
        <w:t>8.按要求提供其他公共卫生服务。</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ascii="方正楷体_GBK" w:hAnsi="方正楷体_GBK" w:eastAsia="方正楷体_GBK" w:cs="方正楷体_GBK"/>
          <w:sz w:val="32"/>
          <w:szCs w:val="32"/>
          <w:shd w:val="clear" w:color="auto" w:fill="FFFFFF"/>
        </w:rPr>
      </w:pPr>
      <w:r>
        <w:rPr>
          <w:rFonts w:hint="eastAsia" w:ascii="方正楷体_GBK" w:hAnsi="方正楷体_GBK" w:eastAsia="方正楷体_GBK" w:cs="方正楷体_GBK"/>
          <w:sz w:val="32"/>
          <w:szCs w:val="32"/>
          <w:shd w:val="clear" w:color="auto" w:fill="FFFFFF"/>
        </w:rPr>
        <w:t>（二）机构设置</w:t>
      </w:r>
    </w:p>
    <w:p>
      <w:pPr>
        <w:pStyle w:val="9"/>
        <w:keepNext w:val="0"/>
        <w:keepLines w:val="0"/>
        <w:pageBreakBefore w:val="0"/>
        <w:widowControl/>
        <w:shd w:val="clear" w:color="auto" w:fill="FFFFFF"/>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cs="宋体"/>
          <w:sz w:val="32"/>
          <w:szCs w:val="32"/>
        </w:rPr>
      </w:pPr>
      <w:r>
        <w:rPr>
          <w:rFonts w:hint="eastAsia" w:ascii="方正仿宋_GBK" w:hAnsi="方正仿宋_GBK" w:eastAsia="方正仿宋_GBK" w:cs="方正仿宋_GBK"/>
          <w:sz w:val="32"/>
          <w:szCs w:val="32"/>
          <w:shd w:val="clear" w:color="auto" w:fill="FFFFFF"/>
          <w:lang w:eastAsia="zh-CN"/>
        </w:rPr>
        <w:t>本</w:t>
      </w:r>
      <w:r>
        <w:rPr>
          <w:rFonts w:hint="eastAsia" w:ascii="方正仿宋_GBK" w:hAnsi="方正仿宋_GBK" w:eastAsia="方正仿宋_GBK" w:cs="方正仿宋_GBK"/>
          <w:sz w:val="32"/>
          <w:szCs w:val="32"/>
          <w:shd w:val="clear" w:color="auto" w:fill="FFFFFF"/>
        </w:rPr>
        <w:t>单位</w:t>
      </w:r>
      <w:r>
        <w:rPr>
          <w:rFonts w:hint="eastAsia" w:ascii="方正仿宋_GBK" w:hAnsi="方正仿宋_GBK" w:eastAsia="方正仿宋_GBK" w:cs="方正仿宋_GBK"/>
          <w:sz w:val="32"/>
          <w:szCs w:val="32"/>
          <w:shd w:val="clear" w:color="auto" w:fill="FFFFFF"/>
          <w:lang w:eastAsia="zh-CN"/>
        </w:rPr>
        <w:t>为秀山自治县卫生健康委员会二级预算单位，无下级预算单位，单位内设</w:t>
      </w:r>
      <w:r>
        <w:rPr>
          <w:rFonts w:hint="eastAsia" w:ascii="方正仿宋_GBK" w:hAnsi="方正仿宋_GBK" w:eastAsia="方正仿宋_GBK" w:cs="方正仿宋_GBK"/>
          <w:sz w:val="32"/>
          <w:szCs w:val="32"/>
          <w:shd w:val="clear" w:color="auto" w:fill="FFFFFF"/>
        </w:rPr>
        <w:t>办公室、门诊部、中医科、库房、药房、收费室、</w:t>
      </w:r>
      <w:r>
        <w:rPr>
          <w:rFonts w:hint="eastAsia" w:ascii="方正仿宋_GBK" w:hAnsi="方正仿宋_GBK" w:eastAsia="方正仿宋_GBK" w:cs="方正仿宋_GBK"/>
          <w:sz w:val="32"/>
          <w:szCs w:val="32"/>
          <w:shd w:val="clear" w:color="auto" w:fill="FFFFFF"/>
          <w:lang w:eastAsia="zh-CN"/>
        </w:rPr>
        <w:t>检验科、医务科、</w:t>
      </w:r>
      <w:r>
        <w:rPr>
          <w:rFonts w:hint="eastAsia" w:ascii="方正仿宋_GBK" w:hAnsi="方正仿宋_GBK" w:eastAsia="方正仿宋_GBK" w:cs="方正仿宋_GBK"/>
          <w:sz w:val="32"/>
          <w:szCs w:val="32"/>
          <w:shd w:val="clear" w:color="auto" w:fill="FFFFFF"/>
        </w:rPr>
        <w:t>综合住院部。</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rPr>
          <w:rFonts w:ascii="方正黑体_GBK" w:hAnsi="方正黑体_GBK" w:eastAsia="方正黑体_GBK" w:cs="方正黑体_GBK"/>
          <w:sz w:val="32"/>
          <w:szCs w:val="32"/>
          <w:shd w:val="clear" w:color="auto" w:fill="FFFFFF"/>
        </w:rPr>
      </w:pPr>
      <w:r>
        <w:rPr>
          <w:rFonts w:hint="eastAsia" w:ascii="方正黑体_GBK" w:hAnsi="方正黑体_GBK" w:eastAsia="方正黑体_GBK" w:cs="方正黑体_GBK"/>
          <w:sz w:val="32"/>
          <w:szCs w:val="32"/>
          <w:shd w:val="clear" w:color="auto" w:fill="FFFFFF"/>
        </w:rPr>
        <w:t>二、</w:t>
      </w:r>
      <w:r>
        <w:rPr>
          <w:rFonts w:hint="eastAsia" w:ascii="方正黑体_GBK" w:hAnsi="方正黑体_GBK" w:eastAsia="方正黑体_GBK" w:cs="方正黑体_GBK"/>
          <w:sz w:val="32"/>
          <w:szCs w:val="32"/>
          <w:shd w:val="clear" w:color="auto" w:fill="FFFFFF"/>
          <w:lang w:eastAsia="zh-CN"/>
        </w:rPr>
        <w:t>单位</w:t>
      </w:r>
      <w:r>
        <w:rPr>
          <w:rFonts w:hint="eastAsia" w:ascii="方正黑体_GBK" w:hAnsi="方正黑体_GBK" w:eastAsia="方正黑体_GBK" w:cs="方正黑体_GBK"/>
          <w:sz w:val="32"/>
          <w:szCs w:val="32"/>
          <w:shd w:val="clear" w:color="auto" w:fill="FFFFFF"/>
        </w:rPr>
        <w:t>决算情况说明</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eastAsia" w:ascii="方正楷体_GBK" w:hAnsi="方正楷体_GBK" w:eastAsia="方正楷体_GBK" w:cs="方正楷体_GBK"/>
          <w:bCs/>
          <w:sz w:val="32"/>
          <w:szCs w:val="32"/>
          <w:lang w:eastAsia="zh-CN"/>
        </w:rPr>
      </w:pPr>
      <w:r>
        <w:rPr>
          <w:rFonts w:hint="eastAsia" w:ascii="方正楷体_GBK" w:hAnsi="方正楷体_GBK" w:eastAsia="方正楷体_GBK" w:cs="方正楷体_GBK"/>
          <w:bCs/>
          <w:sz w:val="32"/>
          <w:szCs w:val="32"/>
          <w:shd w:val="clear" w:color="auto" w:fill="FFFFFF"/>
        </w:rPr>
        <w:t>（一）收入支出决算总体情况说明</w:t>
      </w:r>
    </w:p>
    <w:p>
      <w:pPr>
        <w:pStyle w:val="9"/>
        <w:keepNext w:val="0"/>
        <w:keepLines w:val="0"/>
        <w:pageBreakBefore w:val="0"/>
        <w:widowControl/>
        <w:shd w:val="clear" w:color="auto" w:fill="FFFFFF"/>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sz w:val="32"/>
          <w:szCs w:val="32"/>
          <w:shd w:val="clear" w:color="auto" w:fill="FFFFFF"/>
        </w:rPr>
      </w:pPr>
      <w:r>
        <w:rPr>
          <w:rFonts w:hint="default" w:ascii="Times New Roman" w:hAnsi="Times New Roman" w:eastAsia="方正仿宋_GBK" w:cs="Times New Roman"/>
          <w:bCs/>
          <w:sz w:val="32"/>
          <w:szCs w:val="32"/>
          <w:shd w:val="clear" w:color="auto" w:fill="FFFFFF"/>
        </w:rPr>
        <w:t>1.总体情况。</w:t>
      </w:r>
      <w:r>
        <w:rPr>
          <w:rFonts w:hint="default" w:ascii="Times New Roman" w:hAnsi="Times New Roman" w:eastAsia="方正仿宋_GBK" w:cs="Times New Roman"/>
          <w:sz w:val="32"/>
          <w:szCs w:val="32"/>
          <w:shd w:val="clear" w:color="auto" w:fill="FFFFFF"/>
        </w:rPr>
        <w:t>2023年度收入总计332.47万元，支出总计332.47万元。收支较上年决算数增加0.65万元，增长0.20%，主主要原因是</w:t>
      </w:r>
      <w:r>
        <w:rPr>
          <w:rFonts w:hint="default" w:ascii="Times New Roman" w:hAnsi="Times New Roman" w:eastAsia="方正仿宋_GBK" w:cs="Times New Roman"/>
          <w:sz w:val="32"/>
          <w:szCs w:val="32"/>
          <w:shd w:val="clear" w:color="auto" w:fill="FFFFFF"/>
          <w:lang w:eastAsia="zh-CN"/>
        </w:rPr>
        <w:t>本</w:t>
      </w:r>
      <w:r>
        <w:rPr>
          <w:rFonts w:hint="default" w:ascii="Times New Roman" w:hAnsi="Times New Roman" w:eastAsia="方正仿宋_GBK" w:cs="Times New Roman"/>
          <w:sz w:val="32"/>
          <w:szCs w:val="32"/>
          <w:shd w:val="clear" w:color="auto" w:fill="FFFFFF"/>
        </w:rPr>
        <w:t>单位202</w:t>
      </w:r>
      <w:r>
        <w:rPr>
          <w:rFonts w:hint="default" w:ascii="Times New Roman" w:hAnsi="Times New Roman" w:eastAsia="方正仿宋_GBK" w:cs="Times New Roman"/>
          <w:sz w:val="32"/>
          <w:szCs w:val="32"/>
          <w:shd w:val="clear" w:color="auto" w:fill="FFFFFF"/>
          <w:lang w:val="en-US" w:eastAsia="zh-CN"/>
        </w:rPr>
        <w:t>3</w:t>
      </w:r>
      <w:r>
        <w:rPr>
          <w:rFonts w:hint="default" w:ascii="Times New Roman" w:hAnsi="Times New Roman" w:eastAsia="方正仿宋_GBK" w:cs="Times New Roman"/>
          <w:sz w:val="32"/>
          <w:szCs w:val="32"/>
          <w:shd w:val="clear" w:color="auto" w:fill="FFFFFF"/>
        </w:rPr>
        <w:t>年度</w:t>
      </w:r>
      <w:r>
        <w:rPr>
          <w:rFonts w:hint="default" w:ascii="Times New Roman" w:hAnsi="Times New Roman" w:eastAsia="方正仿宋_GBK" w:cs="Times New Roman"/>
          <w:sz w:val="32"/>
          <w:szCs w:val="32"/>
        </w:rPr>
        <w:t>事业收入</w:t>
      </w:r>
      <w:r>
        <w:rPr>
          <w:rFonts w:hint="default" w:ascii="Times New Roman" w:hAnsi="Times New Roman" w:eastAsia="方正仿宋_GBK" w:cs="Times New Roman"/>
          <w:sz w:val="32"/>
          <w:szCs w:val="32"/>
          <w:lang w:eastAsia="zh-CN"/>
        </w:rPr>
        <w:t>增加</w:t>
      </w:r>
      <w:r>
        <w:rPr>
          <w:rFonts w:hint="default" w:ascii="Times New Roman" w:hAnsi="Times New Roman" w:eastAsia="方正仿宋_GBK" w:cs="Times New Roman"/>
          <w:sz w:val="32"/>
          <w:szCs w:val="32"/>
          <w:shd w:val="clear" w:color="auto" w:fill="FFFFFF"/>
        </w:rPr>
        <w:t>，同时院内人员支出、医疗支出等相应</w:t>
      </w:r>
      <w:r>
        <w:rPr>
          <w:rFonts w:hint="default" w:ascii="Times New Roman" w:hAnsi="Times New Roman" w:eastAsia="方正仿宋_GBK" w:cs="Times New Roman"/>
          <w:sz w:val="32"/>
          <w:szCs w:val="32"/>
          <w:shd w:val="clear" w:color="auto" w:fill="FFFFFF"/>
          <w:lang w:eastAsia="zh-CN"/>
        </w:rPr>
        <w:t>增加</w:t>
      </w:r>
      <w:r>
        <w:rPr>
          <w:rFonts w:hint="default" w:ascii="Times New Roman" w:hAnsi="Times New Roman" w:eastAsia="方正仿宋_GBK" w:cs="Times New Roman"/>
          <w:sz w:val="32"/>
          <w:szCs w:val="32"/>
          <w:shd w:val="clear" w:color="auto" w:fill="FFFFFF"/>
        </w:rPr>
        <w:t>。</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sz w:val="32"/>
          <w:szCs w:val="32"/>
          <w:shd w:val="clear" w:color="auto" w:fill="FFFFFF"/>
        </w:rPr>
      </w:pPr>
      <w:r>
        <w:rPr>
          <w:rFonts w:hint="default" w:ascii="Times New Roman" w:hAnsi="Times New Roman" w:eastAsia="方正仿宋_GBK" w:cs="Times New Roman"/>
          <w:bCs/>
          <w:sz w:val="32"/>
          <w:szCs w:val="32"/>
          <w:shd w:val="clear" w:color="auto" w:fill="FFFFFF"/>
        </w:rPr>
        <w:t>2.收入情况。</w:t>
      </w:r>
      <w:r>
        <w:rPr>
          <w:rFonts w:hint="default" w:ascii="Times New Roman" w:hAnsi="Times New Roman" w:eastAsia="方正仿宋_GBK" w:cs="Times New Roman"/>
          <w:sz w:val="32"/>
          <w:szCs w:val="32"/>
          <w:shd w:val="clear" w:color="auto" w:fill="FFFFFF"/>
        </w:rPr>
        <w:t>2023年度收入合计332.47万元，较上年决算数增加11.40万元，增长3.55%</w:t>
      </w:r>
      <w:r>
        <w:rPr>
          <w:rFonts w:hint="default" w:ascii="Times New Roman" w:hAnsi="Times New Roman" w:eastAsia="方正仿宋_GBK" w:cs="Times New Roman"/>
          <w:sz w:val="32"/>
          <w:szCs w:val="32"/>
        </w:rPr>
        <w:t>，</w:t>
      </w:r>
      <w:r>
        <w:rPr>
          <w:rFonts w:hint="default" w:ascii="Times New Roman" w:hAnsi="Times New Roman" w:eastAsia="方正仿宋_GBK" w:cs="Times New Roman"/>
          <w:sz w:val="32"/>
          <w:szCs w:val="32"/>
          <w:shd w:val="clear" w:color="auto" w:fill="FFFFFF"/>
        </w:rPr>
        <w:t>主要原因是</w:t>
      </w:r>
      <w:r>
        <w:rPr>
          <w:rFonts w:hint="eastAsia" w:ascii="Times New Roman" w:hAnsi="Times New Roman" w:eastAsia="方正仿宋_GBK" w:cs="Times New Roman"/>
          <w:sz w:val="32"/>
          <w:szCs w:val="32"/>
          <w:shd w:val="clear" w:color="auto" w:fill="FFFFFF"/>
          <w:lang w:eastAsia="zh-CN"/>
        </w:rPr>
        <w:t>本单位</w:t>
      </w:r>
      <w:r>
        <w:rPr>
          <w:rFonts w:hint="eastAsia" w:ascii="Times New Roman" w:hAnsi="Times New Roman" w:eastAsia="方正仿宋_GBK" w:cs="Times New Roman"/>
          <w:sz w:val="32"/>
          <w:szCs w:val="32"/>
          <w:shd w:val="clear" w:color="auto" w:fill="FFFFFF"/>
          <w:lang w:val="en-US" w:eastAsia="zh-CN"/>
        </w:rPr>
        <w:t>2023年度</w:t>
      </w:r>
      <w:r>
        <w:rPr>
          <w:rFonts w:hint="default" w:ascii="Times New Roman" w:hAnsi="Times New Roman" w:eastAsia="方正仿宋_GBK" w:cs="Times New Roman"/>
          <w:sz w:val="32"/>
          <w:szCs w:val="32"/>
        </w:rPr>
        <w:t>事业收入</w:t>
      </w:r>
      <w:r>
        <w:rPr>
          <w:rFonts w:hint="default" w:ascii="Times New Roman" w:hAnsi="Times New Roman" w:eastAsia="方正仿宋_GBK" w:cs="Times New Roman"/>
          <w:sz w:val="32"/>
          <w:szCs w:val="32"/>
          <w:lang w:eastAsia="zh-CN"/>
        </w:rPr>
        <w:t>增加</w:t>
      </w:r>
      <w:r>
        <w:rPr>
          <w:rFonts w:hint="default" w:ascii="Times New Roman" w:hAnsi="Times New Roman" w:eastAsia="方正仿宋_GBK" w:cs="Times New Roman"/>
          <w:sz w:val="32"/>
          <w:szCs w:val="32"/>
          <w:shd w:val="clear" w:color="auto" w:fill="FFFFFF"/>
        </w:rPr>
        <w:t>。其中：财政拨款收入193.73万元，占58.27%；事业收入126.20万元，占37.96%；经营收入0.00万元，占0.00%；其他收入12.54万元，占3.77%。此外，使用非财政拨款结余和专用结余0.00万元，年初结转和结余0.00万元。</w:t>
      </w:r>
    </w:p>
    <w:p>
      <w:pPr>
        <w:pStyle w:val="9"/>
        <w:keepNext w:val="0"/>
        <w:keepLines w:val="0"/>
        <w:pageBreakBefore w:val="0"/>
        <w:widowControl/>
        <w:kinsoku/>
        <w:wordWrap/>
        <w:overflowPunct/>
        <w:topLinePunct w:val="0"/>
        <w:autoSpaceDE/>
        <w:autoSpaceDN/>
        <w:bidi w:val="0"/>
        <w:adjustRightInd/>
        <w:snapToGrid w:val="0"/>
        <w:spacing w:beforeAutospacing="0" w:afterAutospacing="0" w:line="560" w:lineRule="exact"/>
        <w:ind w:firstLine="640" w:firstLineChars="200"/>
        <w:jc w:val="both"/>
        <w:textAlignment w:val="auto"/>
        <w:outlineLvl w:val="9"/>
        <w:rPr>
          <w:rFonts w:hint="default" w:ascii="Times New Roman" w:hAnsi="Times New Roman" w:eastAsia="方正仿宋_GBK" w:cs="Times New Roman"/>
          <w:sz w:val="32"/>
          <w:szCs w:val="32"/>
          <w:shd w:val="clear" w:color="auto" w:fill="FFFFFF"/>
        </w:rPr>
      </w:pPr>
      <w:r>
        <w:rPr>
          <w:rFonts w:hint="default" w:ascii="Times New Roman" w:hAnsi="Times New Roman" w:eastAsia="方正仿宋_GBK" w:cs="Times New Roman"/>
          <w:bCs/>
          <w:sz w:val="32"/>
          <w:szCs w:val="32"/>
          <w:shd w:val="clear" w:color="auto" w:fill="FFFFFF"/>
        </w:rPr>
        <w:t>3.支出情况。</w:t>
      </w:r>
      <w:r>
        <w:rPr>
          <w:rFonts w:hint="default" w:ascii="Times New Roman" w:hAnsi="Times New Roman" w:eastAsia="方正仿宋_GBK" w:cs="Times New Roman"/>
          <w:sz w:val="32"/>
          <w:szCs w:val="32"/>
          <w:shd w:val="clear" w:color="auto" w:fill="FFFFFF"/>
        </w:rPr>
        <w:t>2023年度支出合计325.59万元，较上年决算数减少6.23万元，下降1.88%，</w:t>
      </w:r>
      <w:r>
        <w:rPr>
          <w:rFonts w:hint="default" w:ascii="Times New Roman" w:hAnsi="Times New Roman" w:eastAsia="方正仿宋_GBK" w:cs="Times New Roman"/>
          <w:bCs/>
          <w:sz w:val="32"/>
          <w:szCs w:val="32"/>
          <w:shd w:val="clear" w:color="auto" w:fill="FFFFFF"/>
        </w:rPr>
        <w:t>主要原因是</w:t>
      </w:r>
      <w:r>
        <w:rPr>
          <w:rFonts w:hint="eastAsia" w:ascii="Times New Roman" w:hAnsi="Times New Roman" w:eastAsia="方正仿宋_GBK" w:cs="Times New Roman"/>
          <w:bCs/>
          <w:sz w:val="32"/>
          <w:szCs w:val="32"/>
          <w:shd w:val="clear" w:color="auto" w:fill="FFFFFF"/>
          <w:lang w:eastAsia="zh-CN"/>
        </w:rPr>
        <w:t>本单位</w:t>
      </w:r>
      <w:r>
        <w:rPr>
          <w:rFonts w:hint="eastAsia" w:ascii="Times New Roman" w:hAnsi="Times New Roman" w:eastAsia="方正仿宋_GBK" w:cs="Times New Roman"/>
          <w:bCs/>
          <w:sz w:val="32"/>
          <w:szCs w:val="32"/>
          <w:shd w:val="clear" w:color="auto" w:fill="FFFFFF"/>
          <w:lang w:val="en-US" w:eastAsia="zh-CN"/>
        </w:rPr>
        <w:t>2023年度本单位在编职工调出2人</w:t>
      </w:r>
      <w:r>
        <w:rPr>
          <w:rFonts w:hint="default" w:ascii="Times New Roman" w:hAnsi="Times New Roman" w:eastAsia="方正仿宋_GBK" w:cs="Times New Roman"/>
          <w:bCs/>
          <w:sz w:val="32"/>
          <w:szCs w:val="32"/>
          <w:shd w:val="clear" w:color="auto" w:fill="FFFFFF"/>
        </w:rPr>
        <w:t>，同时人员工资支出、办公等支出等相应</w:t>
      </w:r>
      <w:r>
        <w:rPr>
          <w:rFonts w:hint="default" w:ascii="Times New Roman" w:hAnsi="Times New Roman" w:eastAsia="方正仿宋_GBK" w:cs="Times New Roman"/>
          <w:bCs/>
          <w:sz w:val="32"/>
          <w:szCs w:val="32"/>
          <w:shd w:val="clear" w:color="auto" w:fill="FFFFFF"/>
          <w:lang w:eastAsia="zh-CN"/>
        </w:rPr>
        <w:t>减少</w:t>
      </w:r>
      <w:r>
        <w:rPr>
          <w:rFonts w:hint="default" w:ascii="Times New Roman" w:hAnsi="Times New Roman" w:eastAsia="方正仿宋_GBK" w:cs="Times New Roman"/>
          <w:bCs/>
          <w:sz w:val="32"/>
          <w:szCs w:val="32"/>
          <w:shd w:val="clear" w:color="auto" w:fill="FFFFFF"/>
        </w:rPr>
        <w:t>。</w:t>
      </w:r>
      <w:r>
        <w:rPr>
          <w:rFonts w:hint="default" w:ascii="Times New Roman" w:hAnsi="Times New Roman" w:eastAsia="方正仿宋_GBK" w:cs="Times New Roman"/>
          <w:sz w:val="32"/>
          <w:szCs w:val="32"/>
          <w:shd w:val="clear" w:color="auto" w:fill="FFFFFF"/>
        </w:rPr>
        <w:t>其中：基本支出304.12万元，占93.41%；项目支出21.47万元，占6.59%；经营支出0.00万元，占0.00%。此外，结余分配0.00万元。</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ascii="Times New Roman" w:hAnsi="Times New Roman" w:eastAsia="方正仿宋_GBK"/>
          <w:sz w:val="32"/>
          <w:szCs w:val="32"/>
          <w:shd w:val="clear" w:color="auto" w:fill="FFFFFF"/>
        </w:rPr>
      </w:pPr>
      <w:r>
        <w:rPr>
          <w:rFonts w:ascii="Times New Roman" w:hAnsi="Times New Roman" w:eastAsia="方正仿宋_GBK"/>
          <w:sz w:val="32"/>
          <w:szCs w:val="32"/>
          <w:shd w:val="clear" w:color="auto" w:fill="FFFFFF"/>
        </w:rPr>
        <w:t>4.结转结余情况。2023年度年末结转和结余6.88万元，较上年决算数增加6.88万元，增长100.00%，主要原因是2022年超额绩效清算结余和2023年度</w:t>
      </w:r>
      <w:r>
        <w:rPr>
          <w:rFonts w:hint="eastAsia" w:ascii="Times New Roman" w:hAnsi="Times New Roman" w:eastAsia="方正仿宋_GBK"/>
          <w:sz w:val="32"/>
          <w:szCs w:val="32"/>
          <w:shd w:val="clear" w:color="auto" w:fill="FFFFFF"/>
          <w:lang w:eastAsia="zh-CN"/>
        </w:rPr>
        <w:t>医疗收支</w:t>
      </w:r>
      <w:r>
        <w:rPr>
          <w:rFonts w:ascii="Times New Roman" w:hAnsi="Times New Roman" w:eastAsia="方正仿宋_GBK"/>
          <w:sz w:val="32"/>
          <w:szCs w:val="32"/>
          <w:shd w:val="clear" w:color="auto" w:fill="FFFFFF"/>
        </w:rPr>
        <w:t>结余。</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ascii="方正楷体_GBK" w:hAnsi="方正楷体_GBK" w:eastAsia="方正楷体_GBK" w:cs="方正楷体_GBK"/>
          <w:bCs/>
          <w:sz w:val="32"/>
          <w:szCs w:val="32"/>
          <w:shd w:val="clear" w:color="auto" w:fill="FFFFFF"/>
        </w:rPr>
      </w:pPr>
      <w:r>
        <w:rPr>
          <w:rFonts w:hint="eastAsia" w:ascii="方正楷体_GBK" w:hAnsi="方正楷体_GBK" w:eastAsia="方正楷体_GBK" w:cs="方正楷体_GBK"/>
          <w:bCs/>
          <w:sz w:val="32"/>
          <w:szCs w:val="32"/>
          <w:shd w:val="clear" w:color="auto" w:fill="FFFFFF"/>
        </w:rPr>
        <w:t>（二）财政拨款收入支出决算总体情况说明</w:t>
      </w:r>
    </w:p>
    <w:p>
      <w:pPr>
        <w:pStyle w:val="2"/>
        <w:keepNext w:val="0"/>
        <w:keepLines w:val="0"/>
        <w:pageBreakBefore w:val="0"/>
        <w:widowControl/>
        <w:kinsoku/>
        <w:wordWrap/>
        <w:overflowPunct/>
        <w:topLinePunct w:val="0"/>
        <w:autoSpaceDE/>
        <w:autoSpaceDN/>
        <w:bidi w:val="0"/>
        <w:adjustRightInd/>
        <w:snapToGrid w:val="0"/>
        <w:spacing w:line="560" w:lineRule="exact"/>
        <w:ind w:left="0" w:firstLine="640" w:firstLineChars="200"/>
        <w:jc w:val="both"/>
        <w:textAlignment w:val="auto"/>
        <w:outlineLvl w:val="9"/>
        <w:rPr>
          <w:rFonts w:ascii="Times New Roman" w:hAnsi="Times New Roman" w:eastAsia="方正仿宋_GBK"/>
          <w:sz w:val="32"/>
          <w:szCs w:val="32"/>
          <w:shd w:val="clear" w:color="auto" w:fill="FFFFFF"/>
        </w:rPr>
      </w:pPr>
      <w:r>
        <w:rPr>
          <w:rFonts w:ascii="Times New Roman" w:hAnsi="Times New Roman" w:eastAsia="方正仿宋_GBK" w:cs="Times New Roman"/>
          <w:kern w:val="0"/>
          <w:sz w:val="32"/>
          <w:szCs w:val="32"/>
          <w:shd w:val="clear" w:color="auto" w:fill="FFFFFF"/>
          <w:lang w:val="en-US" w:eastAsia="zh-CN" w:bidi="ar-SA"/>
        </w:rPr>
        <w:t>2023年度财政拨款收、支总计193.73万元。与2022年相比，财政拨款收、支总计各增加0.44万元，增长0.23%。</w:t>
      </w:r>
      <w:r>
        <w:rPr>
          <w:rFonts w:ascii="Times New Roman" w:hAnsi="Times New Roman" w:eastAsia="方正仿宋_GBK"/>
          <w:sz w:val="32"/>
          <w:szCs w:val="32"/>
          <w:shd w:val="clear" w:color="auto" w:fill="FFFFFF"/>
        </w:rPr>
        <w:t>主要原因</w:t>
      </w:r>
      <w:r>
        <w:rPr>
          <w:rFonts w:hint="eastAsia" w:ascii="Times New Roman" w:hAnsi="Times New Roman" w:eastAsia="方正仿宋_GBK"/>
          <w:sz w:val="32"/>
          <w:szCs w:val="32"/>
          <w:shd w:val="clear" w:color="auto" w:fill="FFFFFF"/>
          <w:lang w:eastAsia="zh-CN"/>
        </w:rPr>
        <w:t>是本单位</w:t>
      </w:r>
      <w:r>
        <w:rPr>
          <w:rFonts w:hint="eastAsia" w:ascii="Times New Roman" w:hAnsi="Times New Roman" w:eastAsia="方正仿宋_GBK"/>
          <w:sz w:val="32"/>
          <w:szCs w:val="32"/>
          <w:shd w:val="clear" w:color="auto" w:fill="FFFFFF"/>
          <w:lang w:val="en-US" w:eastAsia="zh-CN"/>
        </w:rPr>
        <w:t>2023年度公卫经费拨款、项目收入增加，相应支出也增加</w:t>
      </w:r>
      <w:r>
        <w:rPr>
          <w:rFonts w:ascii="Times New Roman" w:hAnsi="Times New Roman" w:eastAsia="方正仿宋_GBK"/>
          <w:sz w:val="32"/>
          <w:szCs w:val="32"/>
          <w:shd w:val="clear" w:color="auto" w:fill="FFFFFF"/>
        </w:rPr>
        <w:t>。</w:t>
      </w:r>
    </w:p>
    <w:p>
      <w:pPr>
        <w:pStyle w:val="14"/>
        <w:keepNext w:val="0"/>
        <w:keepLines w:val="0"/>
        <w:pageBreakBefore w:val="0"/>
        <w:widowControl/>
        <w:kinsoku/>
        <w:wordWrap/>
        <w:overflowPunct/>
        <w:topLinePunct w:val="0"/>
        <w:autoSpaceDE w:val="0"/>
        <w:autoSpaceDN/>
        <w:bidi w:val="0"/>
        <w:adjustRightInd/>
        <w:spacing w:line="560" w:lineRule="exact"/>
        <w:ind w:firstLine="640" w:firstLineChars="200"/>
        <w:jc w:val="both"/>
        <w:textAlignment w:val="auto"/>
        <w:rPr>
          <w:rFonts w:hint="eastAsia" w:ascii="方正楷体_GBK" w:hAnsi="方正楷体_GBK" w:eastAsia="方正楷体_GBK" w:cs="方正楷体_GBK"/>
          <w:bCs/>
          <w:kern w:val="0"/>
          <w:sz w:val="32"/>
          <w:szCs w:val="32"/>
          <w:shd w:val="clear" w:color="auto" w:fill="FFFFFF"/>
          <w:lang w:val="en-US" w:eastAsia="zh-CN" w:bidi="ar-SA"/>
        </w:rPr>
      </w:pPr>
      <w:r>
        <w:rPr>
          <w:rFonts w:ascii="Times New Roman" w:hAnsi="Times New Roman" w:eastAsia="方正楷体_GBK"/>
          <w:sz w:val="32"/>
          <w:szCs w:val="32"/>
          <w:shd w:val="clear" w:color="auto" w:fill="FFFFFF"/>
        </w:rPr>
        <w:t>（三）</w:t>
      </w:r>
      <w:r>
        <w:rPr>
          <w:rFonts w:hint="eastAsia" w:ascii="方正楷体_GBK" w:hAnsi="方正楷体_GBK" w:eastAsia="方正楷体_GBK" w:cs="方正楷体_GBK"/>
          <w:bCs/>
          <w:kern w:val="0"/>
          <w:sz w:val="32"/>
          <w:szCs w:val="32"/>
          <w:shd w:val="clear" w:color="auto" w:fill="FFFFFF"/>
          <w:lang w:val="en-US" w:eastAsia="zh-CN" w:bidi="ar-SA"/>
        </w:rPr>
        <w:t>一般公共预算财政拨款收入支出决算情况说明</w:t>
      </w:r>
    </w:p>
    <w:p>
      <w:pPr>
        <w:pStyle w:val="9"/>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0" w:firstLineChars="200"/>
        <w:jc w:val="both"/>
        <w:textAlignment w:val="auto"/>
        <w:rPr>
          <w:rFonts w:ascii="Times New Roman" w:hAnsi="Times New Roman" w:eastAsia="方正仿宋_GBK" w:cs="Times New Roman"/>
          <w:kern w:val="0"/>
          <w:sz w:val="32"/>
          <w:szCs w:val="32"/>
          <w:shd w:val="clear" w:color="auto" w:fill="FFFFFF"/>
          <w:lang w:val="en-US" w:eastAsia="zh-CN" w:bidi="ar-SA"/>
        </w:rPr>
      </w:pPr>
      <w:r>
        <w:rPr>
          <w:rFonts w:ascii="Times New Roman" w:hAnsi="Times New Roman" w:eastAsia="方正仿宋_GBK"/>
          <w:bCs/>
          <w:sz w:val="32"/>
          <w:szCs w:val="32"/>
          <w:shd w:val="clear" w:color="auto" w:fill="FFFFFF"/>
        </w:rPr>
        <w:t>1.收入情</w:t>
      </w:r>
      <w:r>
        <w:rPr>
          <w:rFonts w:ascii="Times New Roman" w:hAnsi="Times New Roman" w:eastAsia="方正仿宋_GBK"/>
          <w:sz w:val="32"/>
          <w:szCs w:val="32"/>
          <w:shd w:val="clear" w:color="auto" w:fill="FFFFFF"/>
        </w:rPr>
        <w:t>况。</w:t>
      </w:r>
      <w:r>
        <w:rPr>
          <w:rFonts w:ascii="Times New Roman" w:hAnsi="Times New Roman" w:eastAsia="方正仿宋_GBK" w:cs="Times New Roman"/>
          <w:kern w:val="0"/>
          <w:sz w:val="32"/>
          <w:szCs w:val="32"/>
          <w:shd w:val="clear" w:color="auto" w:fill="FFFFFF"/>
          <w:lang w:val="en-US" w:eastAsia="zh-CN" w:bidi="ar-SA"/>
        </w:rPr>
        <w:t>2023年度一般公共预算财政拨款收入193.73万元，较上年决算数增加0.44万元，增长0.23%。</w:t>
      </w:r>
      <w:r>
        <w:rPr>
          <w:rFonts w:ascii="Times New Roman" w:hAnsi="Times New Roman" w:eastAsia="方正仿宋_GBK"/>
          <w:sz w:val="32"/>
          <w:szCs w:val="32"/>
          <w:shd w:val="clear" w:color="auto" w:fill="FFFFFF"/>
        </w:rPr>
        <w:t>主要原因</w:t>
      </w:r>
      <w:r>
        <w:rPr>
          <w:rFonts w:hint="eastAsia" w:ascii="Times New Roman" w:hAnsi="Times New Roman" w:eastAsia="方正仿宋_GBK"/>
          <w:sz w:val="32"/>
          <w:szCs w:val="32"/>
          <w:shd w:val="clear" w:color="auto" w:fill="FFFFFF"/>
          <w:lang w:eastAsia="zh-CN"/>
        </w:rPr>
        <w:t>是本单位</w:t>
      </w:r>
      <w:r>
        <w:rPr>
          <w:rFonts w:hint="eastAsia" w:ascii="Times New Roman" w:hAnsi="Times New Roman" w:eastAsia="方正仿宋_GBK"/>
          <w:sz w:val="32"/>
          <w:szCs w:val="32"/>
          <w:shd w:val="clear" w:color="auto" w:fill="FFFFFF"/>
          <w:lang w:val="en-US" w:eastAsia="zh-CN"/>
        </w:rPr>
        <w:t>2023年度公卫经费拨款、项目收入增加，相应支出也增加</w:t>
      </w:r>
      <w:r>
        <w:rPr>
          <w:rFonts w:ascii="Times New Roman" w:hAnsi="Times New Roman" w:eastAsia="方正仿宋_GBK"/>
          <w:sz w:val="32"/>
          <w:szCs w:val="32"/>
          <w:shd w:val="clear" w:color="auto" w:fill="FFFFFF"/>
        </w:rPr>
        <w:t>。</w:t>
      </w:r>
      <w:r>
        <w:rPr>
          <w:rFonts w:ascii="Times New Roman" w:hAnsi="Times New Roman" w:eastAsia="方正仿宋_GBK" w:cs="Times New Roman"/>
          <w:kern w:val="0"/>
          <w:sz w:val="32"/>
          <w:szCs w:val="32"/>
          <w:shd w:val="clear" w:color="auto" w:fill="FFFFFF"/>
          <w:lang w:val="en-US" w:eastAsia="zh-CN" w:bidi="ar-SA"/>
        </w:rPr>
        <w:t>较年初预算数增加77.30万元，增长66.39%。</w:t>
      </w:r>
      <w:r>
        <w:rPr>
          <w:rFonts w:ascii="Times New Roman" w:hAnsi="Times New Roman" w:eastAsia="方正仿宋_GBK"/>
          <w:sz w:val="32"/>
          <w:szCs w:val="32"/>
          <w:shd w:val="clear" w:color="auto" w:fill="FFFFFF"/>
        </w:rPr>
        <w:t>主要原因是年初预算主要是根据单位情况预估核算，实际财政拨款收入由财政根据资金分配情况统一安排拨款，因此财政拨款支出与年初预算有相应差异。</w:t>
      </w:r>
      <w:r>
        <w:rPr>
          <w:rFonts w:ascii="方正仿宋_GBK" w:hAnsi="方正仿宋_GBK" w:eastAsia="方正仿宋_GBK" w:cs="方正仿宋_GBK"/>
          <w:sz w:val="32"/>
          <w:szCs w:val="32"/>
          <w:shd w:val="clear" w:color="auto" w:fill="FFFFFF"/>
        </w:rPr>
        <w:t>此</w:t>
      </w:r>
      <w:r>
        <w:rPr>
          <w:rFonts w:ascii="Times New Roman" w:hAnsi="Times New Roman" w:eastAsia="方正仿宋_GBK" w:cs="Times New Roman"/>
          <w:kern w:val="0"/>
          <w:sz w:val="32"/>
          <w:szCs w:val="32"/>
          <w:shd w:val="clear" w:color="auto" w:fill="FFFFFF"/>
          <w:lang w:val="en-US" w:eastAsia="zh-CN" w:bidi="ar-SA"/>
        </w:rPr>
        <w:t>外，年初财政拨款结转和结余0.00万元。</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ascii="Times New Roman" w:hAnsi="Times New Roman" w:eastAsia="方正仿宋_GBK"/>
          <w:sz w:val="32"/>
          <w:szCs w:val="32"/>
          <w:shd w:val="clear" w:color="auto" w:fill="FFFFFF"/>
        </w:rPr>
      </w:pPr>
      <w:r>
        <w:rPr>
          <w:rFonts w:ascii="Times New Roman" w:hAnsi="Times New Roman" w:eastAsia="方正仿宋_GBK"/>
          <w:sz w:val="32"/>
          <w:szCs w:val="32"/>
          <w:shd w:val="clear" w:color="auto" w:fill="FFFFFF"/>
        </w:rPr>
        <w:t>2.支出情况。</w:t>
      </w:r>
      <w:r>
        <w:rPr>
          <w:rFonts w:ascii="Times New Roman" w:hAnsi="Times New Roman" w:eastAsia="方正仿宋_GBK" w:cs="Times New Roman"/>
          <w:kern w:val="0"/>
          <w:sz w:val="32"/>
          <w:szCs w:val="32"/>
          <w:shd w:val="clear" w:color="auto" w:fill="FFFFFF"/>
          <w:lang w:val="en-US" w:eastAsia="zh-CN" w:bidi="ar-SA"/>
        </w:rPr>
        <w:t>2023年度一般公共预算财政拨款支出189.03万元，较上年决算数减少4.26万元，下降2.20%。主要原因是2022年超额绩效清算</w:t>
      </w:r>
      <w:r>
        <w:rPr>
          <w:rFonts w:hint="eastAsia" w:ascii="Times New Roman" w:hAnsi="Times New Roman" w:eastAsia="方正仿宋_GBK" w:cs="Times New Roman"/>
          <w:kern w:val="0"/>
          <w:sz w:val="32"/>
          <w:szCs w:val="32"/>
          <w:shd w:val="clear" w:color="auto" w:fill="FFFFFF"/>
          <w:lang w:val="en-US" w:eastAsia="zh-CN" w:bidi="ar-SA"/>
        </w:rPr>
        <w:t>在本年度未发放</w:t>
      </w:r>
      <w:r>
        <w:rPr>
          <w:rFonts w:ascii="Times New Roman" w:hAnsi="Times New Roman" w:eastAsia="方正仿宋_GBK" w:cs="Times New Roman"/>
          <w:kern w:val="0"/>
          <w:sz w:val="32"/>
          <w:szCs w:val="32"/>
          <w:shd w:val="clear" w:color="auto" w:fill="FFFFFF"/>
          <w:lang w:val="en-US" w:eastAsia="zh-CN" w:bidi="ar-SA"/>
        </w:rPr>
        <w:t>。较年初预算数增加72.60万元，增长62.36%。主要原因是年初预算主要是根据单位情况预</w:t>
      </w:r>
      <w:r>
        <w:rPr>
          <w:rFonts w:ascii="Times New Roman" w:hAnsi="Times New Roman" w:eastAsia="方正仿宋_GBK"/>
          <w:sz w:val="32"/>
          <w:szCs w:val="32"/>
          <w:shd w:val="clear" w:color="auto" w:fill="FFFFFF"/>
        </w:rPr>
        <w:t>估核算，实际财政拨款收入由财政根据资金分配情况统一安排拨款，因此财政拨款支出与年初预算有相应差异。</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sz w:val="32"/>
          <w:szCs w:val="32"/>
          <w:shd w:val="clear" w:color="auto" w:fill="FFFFFF"/>
          <w:lang w:val="en-US" w:eastAsia="zh-CN"/>
        </w:rPr>
      </w:pPr>
      <w:r>
        <w:rPr>
          <w:rFonts w:hint="eastAsia" w:ascii="Times New Roman" w:hAnsi="Times New Roman" w:eastAsia="方正仿宋_GBK"/>
          <w:sz w:val="32"/>
          <w:szCs w:val="32"/>
          <w:shd w:val="clear" w:color="auto" w:fill="FFFFFF"/>
          <w:lang w:val="en-US" w:eastAsia="zh-CN"/>
        </w:rPr>
        <w:t>3.结转结余情况。2023年度末一般公共预算财政拨款结转和结余4.70万元，较上年决算数增加4.70万元，增长100.00%，主要原因是2022年超额绩效清算结余。</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ascii="Times New Roman" w:hAnsi="Times New Roman" w:eastAsia="方正仿宋_GBK"/>
          <w:sz w:val="32"/>
          <w:szCs w:val="32"/>
          <w:shd w:val="clear" w:color="auto" w:fill="FFFFFF"/>
        </w:rPr>
      </w:pPr>
      <w:r>
        <w:rPr>
          <w:rFonts w:ascii="Times New Roman" w:hAnsi="Times New Roman" w:eastAsia="方正仿宋_GBK"/>
          <w:sz w:val="32"/>
          <w:szCs w:val="32"/>
          <w:shd w:val="clear" w:color="auto" w:fill="FFFFFF"/>
        </w:rPr>
        <w:t>4.比较情况。</w:t>
      </w:r>
      <w:r>
        <w:rPr>
          <w:rFonts w:hint="eastAsia" w:ascii="Times New Roman" w:hAnsi="Times New Roman" w:eastAsia="方正仿宋_GBK"/>
          <w:sz w:val="32"/>
          <w:szCs w:val="32"/>
          <w:shd w:val="clear" w:color="auto" w:fill="FFFFFF"/>
          <w:lang w:eastAsia="zh-CN"/>
        </w:rPr>
        <w:t>本</w:t>
      </w:r>
      <w:r>
        <w:rPr>
          <w:rFonts w:ascii="Times New Roman" w:hAnsi="Times New Roman" w:eastAsia="方正仿宋_GBK"/>
          <w:sz w:val="32"/>
          <w:szCs w:val="32"/>
          <w:shd w:val="clear" w:color="auto" w:fill="FFFFFF"/>
        </w:rPr>
        <w:t>单位2023年度一般公共预算财政拨款支出主要用于以下几个方面：</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ascii="Times New Roman" w:hAnsi="Times New Roman" w:eastAsia="方正仿宋_GBK"/>
          <w:sz w:val="32"/>
          <w:szCs w:val="32"/>
          <w:shd w:val="clear" w:color="auto" w:fill="FFFFFF"/>
        </w:rPr>
      </w:pPr>
      <w:r>
        <w:rPr>
          <w:rFonts w:ascii="Times New Roman" w:hAnsi="Times New Roman" w:eastAsia="方正仿宋_GBK"/>
          <w:sz w:val="32"/>
          <w:szCs w:val="32"/>
          <w:shd w:val="clear" w:color="auto" w:fill="FFFFFF"/>
        </w:rPr>
        <w:t>（1）</w:t>
      </w:r>
      <w:r>
        <w:rPr>
          <w:rFonts w:ascii="方正仿宋_GBK" w:hAnsi="方正仿宋_GBK" w:eastAsia="方正仿宋_GBK" w:cs="方正仿宋_GBK"/>
          <w:sz w:val="32"/>
          <w:szCs w:val="32"/>
          <w:shd w:val="clear" w:color="auto" w:fill="FFFFFF"/>
        </w:rPr>
        <w:t>社</w:t>
      </w:r>
      <w:r>
        <w:rPr>
          <w:rFonts w:ascii="Times New Roman" w:hAnsi="Times New Roman" w:eastAsia="方正仿宋_GBK"/>
          <w:sz w:val="32"/>
          <w:szCs w:val="32"/>
          <w:shd w:val="clear" w:color="auto" w:fill="FFFFFF"/>
        </w:rPr>
        <w:t>会保障与就业支出11.55万元，占6.11%，较年初预算数减少7.90万元，下降40.62%，主要原因是</w:t>
      </w:r>
      <w:r>
        <w:rPr>
          <w:rFonts w:hint="eastAsia" w:ascii="Times New Roman" w:hAnsi="Times New Roman" w:eastAsia="方正仿宋_GBK"/>
          <w:sz w:val="32"/>
          <w:szCs w:val="32"/>
          <w:shd w:val="clear" w:color="auto" w:fill="FFFFFF"/>
          <w:lang w:eastAsia="zh-CN"/>
        </w:rPr>
        <w:t>本单位</w:t>
      </w:r>
      <w:r>
        <w:rPr>
          <w:rFonts w:hint="eastAsia" w:ascii="Times New Roman" w:hAnsi="Times New Roman" w:eastAsia="方正仿宋_GBK"/>
          <w:sz w:val="32"/>
          <w:szCs w:val="32"/>
          <w:shd w:val="clear" w:color="auto" w:fill="FFFFFF"/>
          <w:lang w:val="en-US" w:eastAsia="zh-CN"/>
        </w:rPr>
        <w:t>2023年在编职工调出2人</w:t>
      </w:r>
      <w:r>
        <w:rPr>
          <w:rFonts w:ascii="Times New Roman" w:hAnsi="Times New Roman" w:eastAsia="方正仿宋_GBK"/>
          <w:sz w:val="32"/>
          <w:szCs w:val="32"/>
          <w:shd w:val="clear" w:color="auto" w:fill="FFFFFF"/>
        </w:rPr>
        <w:t>，支出相应</w:t>
      </w:r>
      <w:r>
        <w:rPr>
          <w:rFonts w:hint="eastAsia" w:ascii="Times New Roman" w:hAnsi="Times New Roman" w:eastAsia="方正仿宋_GBK"/>
          <w:sz w:val="32"/>
          <w:szCs w:val="32"/>
          <w:shd w:val="clear" w:color="auto" w:fill="FFFFFF"/>
          <w:lang w:eastAsia="zh-CN"/>
        </w:rPr>
        <w:t>减少</w:t>
      </w:r>
      <w:r>
        <w:rPr>
          <w:rFonts w:ascii="Times New Roman" w:hAnsi="Times New Roman" w:eastAsia="方正仿宋_GBK"/>
          <w:sz w:val="32"/>
          <w:szCs w:val="32"/>
          <w:shd w:val="clear" w:color="auto" w:fill="FFFFFF"/>
        </w:rPr>
        <w:t>。</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ascii="Times New Roman" w:hAnsi="Times New Roman" w:eastAsia="方正仿宋_GBK"/>
          <w:sz w:val="32"/>
          <w:szCs w:val="32"/>
          <w:shd w:val="clear" w:color="auto" w:fill="FFFFFF"/>
        </w:rPr>
      </w:pPr>
      <w:r>
        <w:rPr>
          <w:rFonts w:ascii="Times New Roman" w:hAnsi="Times New Roman" w:eastAsia="方正仿宋_GBK"/>
          <w:sz w:val="32"/>
          <w:szCs w:val="32"/>
          <w:shd w:val="clear" w:color="auto" w:fill="FFFFFF"/>
        </w:rPr>
        <w:t>（2）</w:t>
      </w:r>
      <w:r>
        <w:rPr>
          <w:rFonts w:ascii="方正仿宋_GBK" w:hAnsi="方正仿宋_GBK" w:eastAsia="方正仿宋_GBK" w:cs="方正仿宋_GBK"/>
          <w:sz w:val="32"/>
          <w:szCs w:val="32"/>
          <w:shd w:val="clear" w:color="auto" w:fill="FFFFFF"/>
        </w:rPr>
        <w:t>卫</w:t>
      </w:r>
      <w:r>
        <w:rPr>
          <w:rFonts w:ascii="Times New Roman" w:hAnsi="Times New Roman" w:eastAsia="方正仿宋_GBK"/>
          <w:sz w:val="32"/>
          <w:szCs w:val="32"/>
          <w:shd w:val="clear" w:color="auto" w:fill="FFFFFF"/>
        </w:rPr>
        <w:t>生健康支出173.22万元，占91.63%，较年初预算数增加83.95万元，增长94.04%</w:t>
      </w:r>
      <w:r>
        <w:rPr>
          <w:rFonts w:ascii="方正仿宋_GBK" w:hAnsi="方正仿宋_GBK" w:eastAsia="方正仿宋_GBK" w:cs="方正仿宋_GBK"/>
          <w:sz w:val="32"/>
          <w:szCs w:val="32"/>
          <w:shd w:val="clear" w:color="auto" w:fill="FFFFFF"/>
        </w:rPr>
        <w:t>，</w:t>
      </w:r>
      <w:r>
        <w:rPr>
          <w:rFonts w:ascii="Times New Roman" w:hAnsi="Times New Roman" w:eastAsia="方正仿宋_GBK"/>
          <w:sz w:val="32"/>
          <w:szCs w:val="32"/>
          <w:shd w:val="clear" w:color="auto" w:fill="FFFFFF"/>
        </w:rPr>
        <w:t>主要原因是年初预算主要是根据单位情况预估核算，实际财政拨款收入由财政根据资金分配情况统一安排拨款，因此财政拨款支出与年初预算有相应差异。</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ascii="Times New Roman" w:hAnsi="Times New Roman" w:eastAsia="方正仿宋_GBK"/>
          <w:sz w:val="32"/>
          <w:szCs w:val="32"/>
          <w:shd w:val="clear" w:color="auto" w:fill="FFFFFF"/>
        </w:rPr>
      </w:pPr>
      <w:r>
        <w:rPr>
          <w:rFonts w:ascii="Times New Roman" w:hAnsi="Times New Roman" w:eastAsia="方正仿宋_GBK"/>
          <w:sz w:val="32"/>
          <w:szCs w:val="32"/>
          <w:shd w:val="clear" w:color="auto" w:fill="FFFFFF"/>
        </w:rPr>
        <w:t>（3）住房保障支出4.26万元，占2.26%，较年初预算数减少3.45万元，下降44.75%</w:t>
      </w:r>
      <w:r>
        <w:rPr>
          <w:rFonts w:ascii="方正仿宋_GBK" w:hAnsi="方正仿宋_GBK" w:eastAsia="方正仿宋_GBK" w:cs="方正仿宋_GBK"/>
          <w:sz w:val="32"/>
          <w:szCs w:val="32"/>
          <w:shd w:val="clear" w:color="auto" w:fill="FFFFFF"/>
        </w:rPr>
        <w:t>，</w:t>
      </w:r>
      <w:r>
        <w:rPr>
          <w:rFonts w:ascii="Times New Roman" w:hAnsi="Times New Roman" w:eastAsia="方正仿宋_GBK"/>
          <w:sz w:val="32"/>
          <w:szCs w:val="32"/>
          <w:shd w:val="clear" w:color="auto" w:fill="FFFFFF"/>
        </w:rPr>
        <w:t>主要原因是</w:t>
      </w:r>
      <w:r>
        <w:rPr>
          <w:rFonts w:hint="eastAsia" w:ascii="Times New Roman" w:hAnsi="Times New Roman" w:eastAsia="方正仿宋_GBK"/>
          <w:sz w:val="32"/>
          <w:szCs w:val="32"/>
          <w:shd w:val="clear" w:color="auto" w:fill="FFFFFF"/>
          <w:lang w:eastAsia="zh-CN"/>
        </w:rPr>
        <w:t>本单位</w:t>
      </w:r>
      <w:r>
        <w:rPr>
          <w:rFonts w:hint="eastAsia" w:ascii="Times New Roman" w:hAnsi="Times New Roman" w:eastAsia="方正仿宋_GBK"/>
          <w:sz w:val="32"/>
          <w:szCs w:val="32"/>
          <w:shd w:val="clear" w:color="auto" w:fill="FFFFFF"/>
          <w:lang w:val="en-US" w:eastAsia="zh-CN"/>
        </w:rPr>
        <w:t>2023年在编职工调出2人</w:t>
      </w:r>
      <w:r>
        <w:rPr>
          <w:rFonts w:ascii="Times New Roman" w:hAnsi="Times New Roman" w:eastAsia="方正仿宋_GBK"/>
          <w:sz w:val="32"/>
          <w:szCs w:val="32"/>
          <w:shd w:val="clear" w:color="auto" w:fill="FFFFFF"/>
        </w:rPr>
        <w:t>，支出相应</w:t>
      </w:r>
      <w:r>
        <w:rPr>
          <w:rFonts w:hint="eastAsia" w:ascii="Times New Roman" w:hAnsi="Times New Roman" w:eastAsia="方正仿宋_GBK"/>
          <w:sz w:val="32"/>
          <w:szCs w:val="32"/>
          <w:shd w:val="clear" w:color="auto" w:fill="FFFFFF"/>
          <w:lang w:eastAsia="zh-CN"/>
        </w:rPr>
        <w:t>减少</w:t>
      </w:r>
      <w:r>
        <w:rPr>
          <w:rFonts w:ascii="Times New Roman" w:hAnsi="Times New Roman" w:eastAsia="方正仿宋_GBK"/>
          <w:sz w:val="32"/>
          <w:szCs w:val="32"/>
          <w:shd w:val="clear" w:color="auto" w:fill="FFFFFF"/>
        </w:rPr>
        <w:t>。</w:t>
      </w:r>
    </w:p>
    <w:p>
      <w:pPr>
        <w:pStyle w:val="14"/>
        <w:keepNext w:val="0"/>
        <w:keepLines w:val="0"/>
        <w:pageBreakBefore w:val="0"/>
        <w:widowControl/>
        <w:kinsoku/>
        <w:wordWrap/>
        <w:overflowPunct/>
        <w:topLinePunct w:val="0"/>
        <w:autoSpaceDE w:val="0"/>
        <w:autoSpaceDN/>
        <w:bidi w:val="0"/>
        <w:adjustRightInd/>
        <w:spacing w:line="560" w:lineRule="exact"/>
        <w:ind w:firstLine="640" w:firstLineChars="200"/>
        <w:jc w:val="both"/>
        <w:textAlignment w:val="auto"/>
        <w:rPr>
          <w:rFonts w:hint="eastAsia" w:ascii="方正楷体_GBK" w:hAnsi="方正楷体_GBK" w:eastAsia="方正楷体_GBK" w:cs="方正楷体_GBK"/>
          <w:b w:val="0"/>
          <w:bCs w:val="0"/>
          <w:sz w:val="32"/>
          <w:szCs w:val="32"/>
          <w:shd w:val="clear" w:color="auto" w:fill="FFFFFF"/>
        </w:rPr>
      </w:pPr>
      <w:r>
        <w:rPr>
          <w:rFonts w:ascii="方正楷体_GBK" w:hAnsi="方正楷体_GBK" w:eastAsia="方正楷体_GBK" w:cs="方正楷体_GBK"/>
          <w:bCs/>
          <w:sz w:val="32"/>
          <w:szCs w:val="32"/>
          <w:shd w:val="clear" w:color="auto" w:fill="FFFFFF"/>
        </w:rPr>
        <w:t>（四）</w:t>
      </w:r>
      <w:r>
        <w:rPr>
          <w:rFonts w:hint="eastAsia" w:ascii="方正楷体_GBK" w:hAnsi="方正楷体_GBK" w:eastAsia="方正楷体_GBK" w:cs="方正楷体_GBK"/>
          <w:b w:val="0"/>
          <w:bCs w:val="0"/>
          <w:sz w:val="32"/>
          <w:szCs w:val="32"/>
          <w:shd w:val="clear" w:color="auto" w:fill="FFFFFF"/>
        </w:rPr>
        <w:t>一般公共预算财政拨款基本支出决算情况说明</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eastAsia" w:ascii="Times New Roman" w:hAnsi="Times New Roman" w:eastAsia="方正仿宋_GBK"/>
          <w:sz w:val="32"/>
          <w:szCs w:val="32"/>
          <w:shd w:val="clear" w:color="auto" w:fill="FFFFFF"/>
          <w:lang w:eastAsia="zh-CN"/>
        </w:rPr>
      </w:pPr>
      <w:r>
        <w:rPr>
          <w:rFonts w:ascii="Times New Roman" w:hAnsi="Times New Roman" w:eastAsia="方正仿宋_GBK"/>
          <w:sz w:val="32"/>
          <w:szCs w:val="32"/>
          <w:shd w:val="clear" w:color="auto" w:fill="FFFFFF"/>
        </w:rPr>
        <w:t>2023年度一般公共财政拨款基本支出167.56万元。其中：人员</w:t>
      </w:r>
      <w:r>
        <w:rPr>
          <w:rFonts w:ascii="Times New Roman" w:hAnsi="Times New Roman" w:eastAsia="方正仿宋_GBK"/>
          <w:spacing w:val="6"/>
          <w:sz w:val="32"/>
          <w:szCs w:val="32"/>
          <w:shd w:val="clear" w:color="auto" w:fill="FFFFFF"/>
        </w:rPr>
        <w:t>经费167.56万元，较上年决算数减少25.73万元，下降</w:t>
      </w:r>
      <w:r>
        <w:rPr>
          <w:rFonts w:ascii="Times New Roman" w:hAnsi="Times New Roman" w:eastAsia="方正仿宋_GBK"/>
          <w:sz w:val="32"/>
          <w:szCs w:val="32"/>
          <w:shd w:val="clear" w:color="auto" w:fill="FFFFFF"/>
        </w:rPr>
        <w:t>13.31%，主要原因是</w:t>
      </w:r>
      <w:r>
        <w:rPr>
          <w:rFonts w:hint="eastAsia" w:ascii="Times New Roman" w:hAnsi="Times New Roman" w:eastAsia="方正仿宋_GBK"/>
          <w:sz w:val="32"/>
          <w:szCs w:val="32"/>
          <w:shd w:val="clear" w:color="auto" w:fill="FFFFFF"/>
          <w:lang w:eastAsia="zh-CN"/>
        </w:rPr>
        <w:t>本单位</w:t>
      </w:r>
      <w:r>
        <w:rPr>
          <w:rFonts w:hint="eastAsia" w:ascii="Times New Roman" w:hAnsi="Times New Roman" w:eastAsia="方正仿宋_GBK"/>
          <w:sz w:val="32"/>
          <w:szCs w:val="32"/>
          <w:shd w:val="clear" w:color="auto" w:fill="FFFFFF"/>
          <w:lang w:val="en-US" w:eastAsia="zh-CN"/>
        </w:rPr>
        <w:t>2023年在编职工调出2人</w:t>
      </w:r>
      <w:r>
        <w:rPr>
          <w:rFonts w:hint="eastAsia" w:ascii="Times New Roman" w:hAnsi="Times New Roman" w:eastAsia="方正仿宋_GBK"/>
          <w:sz w:val="32"/>
          <w:szCs w:val="32"/>
          <w:shd w:val="clear" w:color="auto" w:fill="FFFFFF"/>
          <w:lang w:eastAsia="zh-CN"/>
        </w:rPr>
        <w:t>，</w:t>
      </w:r>
      <w:r>
        <w:rPr>
          <w:rFonts w:ascii="Times New Roman" w:hAnsi="Times New Roman" w:eastAsia="方正仿宋_GBK"/>
          <w:sz w:val="32"/>
          <w:szCs w:val="32"/>
          <w:shd w:val="clear" w:color="auto" w:fill="FFFFFF"/>
        </w:rPr>
        <w:t>支出相应</w:t>
      </w:r>
      <w:r>
        <w:rPr>
          <w:rFonts w:hint="eastAsia" w:ascii="Times New Roman" w:hAnsi="Times New Roman" w:eastAsia="方正仿宋_GBK"/>
          <w:sz w:val="32"/>
          <w:szCs w:val="32"/>
          <w:shd w:val="clear" w:color="auto" w:fill="FFFFFF"/>
          <w:lang w:eastAsia="zh-CN"/>
        </w:rPr>
        <w:t>减少</w:t>
      </w:r>
      <w:r>
        <w:rPr>
          <w:rFonts w:ascii="Times New Roman" w:hAnsi="Times New Roman" w:eastAsia="方正仿宋_GBK"/>
          <w:sz w:val="32"/>
          <w:szCs w:val="32"/>
          <w:shd w:val="clear" w:color="auto" w:fill="FFFFFF"/>
        </w:rPr>
        <w:t>。人员经费用途主要包括人员社会保障、工资、绩效、津补贴支出等。公用经费0.00万元，较上年决算数无增减，主要原因是</w:t>
      </w:r>
      <w:r>
        <w:rPr>
          <w:rFonts w:hint="eastAsia" w:ascii="Times New Roman" w:hAnsi="Times New Roman" w:eastAsia="方正仿宋_GBK"/>
          <w:sz w:val="32"/>
          <w:szCs w:val="32"/>
          <w:shd w:val="clear" w:color="auto" w:fill="FFFFFF"/>
          <w:lang w:eastAsia="zh-CN"/>
        </w:rPr>
        <w:t>本单位为差额拨款单位，</w:t>
      </w:r>
      <w:r>
        <w:rPr>
          <w:rFonts w:hint="eastAsia" w:ascii="Times New Roman" w:hAnsi="Times New Roman" w:eastAsia="方正仿宋_GBK"/>
          <w:sz w:val="32"/>
          <w:szCs w:val="32"/>
          <w:shd w:val="clear" w:color="auto" w:fill="FFFFFF"/>
        </w:rPr>
        <w:t>公用经费</w:t>
      </w:r>
      <w:r>
        <w:rPr>
          <w:rFonts w:hint="eastAsia" w:ascii="Times New Roman" w:hAnsi="Times New Roman" w:eastAsia="方正仿宋_GBK"/>
          <w:sz w:val="32"/>
          <w:szCs w:val="32"/>
          <w:shd w:val="clear" w:color="auto" w:fill="FFFFFF"/>
          <w:lang w:eastAsia="zh-CN"/>
        </w:rPr>
        <w:t>支出由单位自筹。</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ascii="方正楷体_GBK" w:hAnsi="方正楷体_GBK" w:eastAsia="方正楷体_GBK" w:cs="方正楷体_GBK"/>
          <w:bCs/>
          <w:sz w:val="32"/>
          <w:szCs w:val="32"/>
          <w:shd w:val="clear" w:color="auto" w:fill="FFFFFF"/>
        </w:rPr>
      </w:pPr>
      <w:r>
        <w:rPr>
          <w:rFonts w:ascii="方正楷体_GBK" w:hAnsi="方正楷体_GBK" w:eastAsia="方正楷体_GBK" w:cs="方正楷体_GBK"/>
          <w:bCs/>
          <w:sz w:val="32"/>
          <w:szCs w:val="32"/>
          <w:shd w:val="clear" w:color="auto" w:fill="FFFFFF"/>
        </w:rPr>
        <w:t>（五）政府性基金预算收支决算情况说明</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ascii="Times New Roman" w:hAnsi="Times New Roman"/>
        </w:rPr>
      </w:pPr>
      <w:r>
        <w:rPr>
          <w:rFonts w:hint="eastAsia" w:ascii="Times New Roman" w:hAnsi="Times New Roman" w:eastAsia="方正仿宋_GBK"/>
          <w:sz w:val="32"/>
          <w:szCs w:val="32"/>
          <w:shd w:val="clear" w:color="auto" w:fill="FFFFFF"/>
          <w:lang w:eastAsia="zh-CN"/>
        </w:rPr>
        <w:t>本单位</w:t>
      </w:r>
      <w:r>
        <w:rPr>
          <w:rFonts w:ascii="Times New Roman" w:hAnsi="Times New Roman" w:eastAsia="方正仿宋_GBK"/>
          <w:sz w:val="32"/>
          <w:szCs w:val="32"/>
          <w:shd w:val="clear" w:color="auto" w:fill="FFFFFF"/>
        </w:rPr>
        <w:t>202</w:t>
      </w:r>
      <w:r>
        <w:rPr>
          <w:rFonts w:hint="eastAsia" w:ascii="Times New Roman" w:hAnsi="Times New Roman" w:eastAsia="方正仿宋_GBK"/>
          <w:sz w:val="32"/>
          <w:szCs w:val="32"/>
          <w:shd w:val="clear" w:color="auto" w:fill="FFFFFF"/>
          <w:lang w:val="en-US" w:eastAsia="zh-CN"/>
        </w:rPr>
        <w:t>3</w:t>
      </w:r>
      <w:r>
        <w:rPr>
          <w:rFonts w:ascii="Times New Roman" w:hAnsi="Times New Roman" w:eastAsia="方正仿宋_GBK"/>
          <w:sz w:val="32"/>
          <w:szCs w:val="32"/>
          <w:shd w:val="clear" w:color="auto" w:fill="FFFFFF"/>
        </w:rPr>
        <w:t>年度</w:t>
      </w:r>
      <w:r>
        <w:rPr>
          <w:rFonts w:hint="eastAsia" w:ascii="Times New Roman" w:hAnsi="Times New Roman" w:eastAsia="方正仿宋_GBK"/>
          <w:sz w:val="32"/>
          <w:szCs w:val="32"/>
          <w:shd w:val="clear" w:color="auto" w:fill="FFFFFF"/>
          <w:lang w:val="en-US" w:eastAsia="zh-CN"/>
        </w:rPr>
        <w:t>无政府性基金预算财政拨款收支。</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ascii="方正楷体_GBK" w:hAnsi="方正楷体_GBK" w:eastAsia="方正楷体_GBK" w:cs="方正楷体_GBK"/>
          <w:bCs/>
          <w:sz w:val="32"/>
          <w:szCs w:val="32"/>
          <w:shd w:val="clear" w:color="auto" w:fill="FFFFFF"/>
        </w:rPr>
      </w:pPr>
      <w:r>
        <w:rPr>
          <w:rFonts w:ascii="方正楷体_GBK" w:hAnsi="方正楷体_GBK" w:eastAsia="方正楷体_GBK" w:cs="方正楷体_GBK"/>
          <w:bCs/>
          <w:sz w:val="32"/>
          <w:szCs w:val="32"/>
          <w:shd w:val="clear" w:color="auto" w:fill="FFFFFF"/>
        </w:rPr>
        <w:t>（六）国有资本经营预算财政拨款支出决算情况说明</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ascii="Times New Roman" w:hAnsi="Times New Roman" w:eastAsia="方正仿宋_GBK"/>
          <w:sz w:val="32"/>
          <w:szCs w:val="32"/>
          <w:shd w:val="clear" w:color="auto" w:fill="FFFFFF"/>
        </w:rPr>
      </w:pPr>
      <w:r>
        <w:rPr>
          <w:rFonts w:hint="eastAsia" w:ascii="Times New Roman" w:hAnsi="Times New Roman" w:eastAsia="方正仿宋_GBK"/>
          <w:sz w:val="32"/>
          <w:szCs w:val="32"/>
          <w:shd w:val="clear" w:color="auto" w:fill="FFFFFF"/>
          <w:lang w:eastAsia="zh-CN"/>
        </w:rPr>
        <w:t>本单位</w:t>
      </w:r>
      <w:r>
        <w:rPr>
          <w:rFonts w:ascii="Times New Roman" w:hAnsi="Times New Roman" w:eastAsia="方正仿宋_GBK"/>
          <w:sz w:val="32"/>
          <w:szCs w:val="32"/>
          <w:shd w:val="clear" w:color="auto" w:fill="FFFFFF"/>
        </w:rPr>
        <w:t>202</w:t>
      </w:r>
      <w:r>
        <w:rPr>
          <w:rFonts w:hint="eastAsia" w:ascii="Times New Roman" w:hAnsi="Times New Roman" w:eastAsia="方正仿宋_GBK"/>
          <w:sz w:val="32"/>
          <w:szCs w:val="32"/>
          <w:shd w:val="clear" w:color="auto" w:fill="FFFFFF"/>
          <w:lang w:val="en-US" w:eastAsia="zh-CN"/>
        </w:rPr>
        <w:t>3</w:t>
      </w:r>
      <w:r>
        <w:rPr>
          <w:rFonts w:ascii="Times New Roman" w:hAnsi="Times New Roman" w:eastAsia="方正仿宋_GBK"/>
          <w:sz w:val="32"/>
          <w:szCs w:val="32"/>
          <w:shd w:val="clear" w:color="auto" w:fill="FFFFFF"/>
        </w:rPr>
        <w:t>年度无国有资本经营预算财政拨款支出。</w:t>
      </w:r>
    </w:p>
    <w:p>
      <w:pPr>
        <w:pStyle w:val="9"/>
        <w:keepNext w:val="0"/>
        <w:keepLines w:val="0"/>
        <w:pageBreakBefore w:val="0"/>
        <w:widowControl/>
        <w:numPr>
          <w:ilvl w:val="0"/>
          <w:numId w:val="0"/>
        </w:numPr>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ascii="Times New Roman" w:hAnsi="Times New Roman" w:eastAsia="方正黑体_GBK"/>
          <w:bCs/>
          <w:sz w:val="32"/>
          <w:szCs w:val="32"/>
          <w:shd w:val="clear" w:color="auto" w:fill="FFFFFF"/>
        </w:rPr>
      </w:pPr>
      <w:r>
        <w:rPr>
          <w:rFonts w:hint="eastAsia" w:ascii="Times New Roman" w:hAnsi="Times New Roman" w:eastAsia="方正黑体_GBK"/>
          <w:bCs/>
          <w:sz w:val="32"/>
          <w:szCs w:val="32"/>
          <w:shd w:val="clear" w:color="auto" w:fill="FFFFFF"/>
          <w:lang w:eastAsia="zh-CN"/>
        </w:rPr>
        <w:t>三、</w:t>
      </w:r>
      <w:r>
        <w:rPr>
          <w:rFonts w:ascii="Times New Roman" w:hAnsi="Times New Roman" w:eastAsia="方正黑体_GBK"/>
          <w:bCs/>
          <w:sz w:val="32"/>
          <w:szCs w:val="32"/>
          <w:shd w:val="clear" w:color="auto" w:fill="FFFFFF"/>
        </w:rPr>
        <w:t>“三公”经费情况说明</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ascii="方正楷体_GBK" w:hAnsi="方正楷体_GBK" w:eastAsia="方正楷体_GBK" w:cs="方正楷体_GBK"/>
          <w:bCs/>
          <w:sz w:val="32"/>
          <w:szCs w:val="32"/>
        </w:rPr>
      </w:pPr>
      <w:r>
        <w:rPr>
          <w:rFonts w:hint="eastAsia" w:ascii="方正楷体_GBK" w:hAnsi="方正楷体_GBK" w:eastAsia="方正楷体_GBK" w:cs="方正楷体_GBK"/>
          <w:bCs/>
          <w:sz w:val="32"/>
          <w:szCs w:val="32"/>
          <w:shd w:val="clear" w:color="auto" w:fill="FFFFFF"/>
        </w:rPr>
        <w:t>（一）“三公”经费支出总体情况说明</w:t>
      </w:r>
    </w:p>
    <w:p>
      <w:pPr>
        <w:keepNext w:val="0"/>
        <w:keepLines w:val="0"/>
        <w:pageBreakBefore w:val="0"/>
        <w:widowControl/>
        <w:kinsoku/>
        <w:wordWrap/>
        <w:overflowPunct/>
        <w:topLinePunct w:val="0"/>
        <w:autoSpaceDE/>
        <w:autoSpaceDN/>
        <w:bidi w:val="0"/>
        <w:adjustRightInd/>
        <w:snapToGrid w:val="0"/>
        <w:spacing w:line="560" w:lineRule="exact"/>
        <w:ind w:firstLine="640" w:firstLineChars="200"/>
        <w:jc w:val="both"/>
        <w:textAlignment w:val="auto"/>
        <w:outlineLvl w:val="9"/>
        <w:rPr>
          <w:rFonts w:ascii="Times New Roman" w:hAnsi="Times New Roman" w:eastAsia="方正仿宋_GBK" w:cs="Times New Roman"/>
          <w:kern w:val="0"/>
          <w:sz w:val="32"/>
          <w:szCs w:val="32"/>
          <w:shd w:val="clear" w:color="auto" w:fill="FFFFFF"/>
        </w:rPr>
      </w:pPr>
      <w:r>
        <w:rPr>
          <w:rFonts w:hint="eastAsia" w:ascii="Times New Roman" w:hAnsi="Times New Roman" w:eastAsia="方正仿宋_GBK" w:cs="Times New Roman"/>
          <w:kern w:val="0"/>
          <w:sz w:val="32"/>
          <w:szCs w:val="32"/>
          <w:shd w:val="clear" w:color="auto" w:fill="FFFFFF"/>
          <w:lang w:eastAsia="zh-CN"/>
        </w:rPr>
        <w:t>本</w:t>
      </w:r>
      <w:r>
        <w:rPr>
          <w:rFonts w:ascii="Times New Roman" w:hAnsi="Times New Roman" w:eastAsia="方正仿宋_GBK" w:cs="Times New Roman"/>
          <w:kern w:val="0"/>
          <w:sz w:val="32"/>
          <w:szCs w:val="32"/>
          <w:shd w:val="clear" w:color="auto" w:fill="FFFFFF"/>
        </w:rPr>
        <w:t>单位</w:t>
      </w:r>
      <w:r>
        <w:rPr>
          <w:rFonts w:hint="eastAsia" w:ascii="Times New Roman" w:hAnsi="Times New Roman" w:eastAsia="方正仿宋_GBK" w:cs="Times New Roman"/>
          <w:kern w:val="0"/>
          <w:sz w:val="32"/>
          <w:szCs w:val="32"/>
          <w:shd w:val="clear" w:color="auto" w:fill="FFFFFF"/>
          <w:lang w:eastAsia="zh-CN"/>
        </w:rPr>
        <w:t>属于</w:t>
      </w:r>
      <w:r>
        <w:rPr>
          <w:rFonts w:ascii="Times New Roman" w:hAnsi="Times New Roman" w:eastAsia="方正仿宋_GBK" w:cs="Times New Roman"/>
          <w:kern w:val="0"/>
          <w:sz w:val="32"/>
          <w:szCs w:val="32"/>
          <w:shd w:val="clear" w:color="auto" w:fill="FFFFFF"/>
        </w:rPr>
        <w:t>差额拨款单位，财政未保障</w:t>
      </w:r>
      <w:r>
        <w:rPr>
          <w:rFonts w:hint="eastAsia" w:ascii="Times New Roman" w:hAnsi="Times New Roman" w:eastAsia="方正仿宋_GBK" w:cs="Times New Roman"/>
          <w:kern w:val="0"/>
          <w:sz w:val="32"/>
          <w:szCs w:val="32"/>
          <w:shd w:val="clear" w:color="auto" w:fill="FFFFFF"/>
          <w:lang w:eastAsia="zh-CN"/>
        </w:rPr>
        <w:t>本</w:t>
      </w:r>
      <w:r>
        <w:rPr>
          <w:rFonts w:ascii="Times New Roman" w:hAnsi="Times New Roman" w:eastAsia="方正仿宋_GBK" w:cs="Times New Roman"/>
          <w:kern w:val="0"/>
          <w:sz w:val="32"/>
          <w:szCs w:val="32"/>
          <w:shd w:val="clear" w:color="auto" w:fill="FFFFFF"/>
        </w:rPr>
        <w:t>单位“三公”经费。</w:t>
      </w:r>
    </w:p>
    <w:p>
      <w:pPr>
        <w:pStyle w:val="9"/>
        <w:keepNext w:val="0"/>
        <w:keepLines w:val="0"/>
        <w:pageBreakBefore w:val="0"/>
        <w:widowControl/>
        <w:kinsoku/>
        <w:wordWrap/>
        <w:overflowPunct/>
        <w:topLinePunct w:val="0"/>
        <w:autoSpaceDE/>
        <w:autoSpaceDN/>
        <w:bidi w:val="0"/>
        <w:adjustRightInd/>
        <w:snapToGrid w:val="0"/>
        <w:spacing w:beforeAutospacing="0" w:afterAutospacing="0" w:line="560" w:lineRule="exact"/>
        <w:ind w:firstLine="640" w:firstLineChars="200"/>
        <w:jc w:val="both"/>
        <w:textAlignment w:val="auto"/>
        <w:outlineLvl w:val="9"/>
        <w:rPr>
          <w:rFonts w:ascii="方正楷体_GBK" w:hAnsi="方正楷体_GBK" w:eastAsia="方正楷体_GBK" w:cs="方正楷体_GBK"/>
          <w:bCs/>
          <w:sz w:val="32"/>
          <w:szCs w:val="32"/>
          <w:shd w:val="clear" w:color="auto" w:fill="FFFFFF"/>
        </w:rPr>
      </w:pPr>
      <w:r>
        <w:rPr>
          <w:rFonts w:hint="eastAsia" w:ascii="方正楷体_GBK" w:hAnsi="方正楷体_GBK" w:eastAsia="方正楷体_GBK" w:cs="方正楷体_GBK"/>
          <w:bCs/>
          <w:sz w:val="32"/>
          <w:szCs w:val="32"/>
          <w:shd w:val="clear" w:color="auto" w:fill="FFFFFF"/>
        </w:rPr>
        <w:t>（二）“三公”经费分项支出情况</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left="0" w:firstLine="640" w:firstLineChars="200"/>
        <w:jc w:val="both"/>
        <w:textAlignment w:val="auto"/>
        <w:outlineLvl w:val="9"/>
        <w:rPr>
          <w:rFonts w:hint="eastAsia" w:ascii="Times New Roman" w:hAnsi="Times New Roman" w:eastAsia="方正仿宋_GBK" w:cs="方正仿宋_GBK"/>
          <w:b w:val="0"/>
          <w:bCs w:val="0"/>
          <w:sz w:val="32"/>
          <w:szCs w:val="32"/>
          <w:lang w:eastAsia="zh-CN"/>
        </w:rPr>
      </w:pPr>
      <w:r>
        <w:rPr>
          <w:rFonts w:ascii="Times New Roman" w:hAnsi="Times New Roman" w:eastAsia="方正仿宋_GBK" w:cs="方正仿宋_GBK"/>
          <w:sz w:val="32"/>
          <w:szCs w:val="32"/>
          <w:shd w:val="clear" w:color="auto" w:fill="FFFFFF"/>
        </w:rPr>
        <w:t>2023年度本单位</w:t>
      </w:r>
      <w:r>
        <w:rPr>
          <w:rFonts w:hint="eastAsia" w:ascii="Times New Roman" w:hAnsi="Times New Roman" w:eastAsia="方正仿宋_GBK" w:cs="方正仿宋_GBK"/>
          <w:sz w:val="32"/>
          <w:szCs w:val="32"/>
          <w:shd w:val="clear" w:color="auto" w:fill="FFFFFF"/>
          <w:lang w:eastAsia="zh-CN"/>
        </w:rPr>
        <w:t>无</w:t>
      </w:r>
      <w:r>
        <w:rPr>
          <w:rFonts w:ascii="Times New Roman" w:hAnsi="Times New Roman" w:eastAsia="方正仿宋_GBK" w:cs="方正仿宋_GBK"/>
          <w:sz w:val="32"/>
          <w:szCs w:val="32"/>
          <w:shd w:val="clear" w:color="auto" w:fill="FFFFFF"/>
        </w:rPr>
        <w:t>因公出国（境）费用</w:t>
      </w:r>
      <w:r>
        <w:rPr>
          <w:rFonts w:hint="eastAsia" w:ascii="Times New Roman" w:hAnsi="Times New Roman" w:eastAsia="方正仿宋_GBK" w:cs="方正仿宋_GBK"/>
          <w:sz w:val="32"/>
          <w:szCs w:val="32"/>
          <w:shd w:val="clear" w:color="auto" w:fill="FFFFFF"/>
          <w:lang w:eastAsia="zh-CN"/>
        </w:rPr>
        <w:t>，</w:t>
      </w:r>
      <w:r>
        <w:rPr>
          <w:rFonts w:hint="eastAsia" w:ascii="Times New Roman" w:hAnsi="Times New Roman" w:eastAsia="方正仿宋_GBK" w:cs="方正仿宋_GBK"/>
          <w:b w:val="0"/>
          <w:bCs w:val="0"/>
          <w:sz w:val="32"/>
          <w:szCs w:val="32"/>
          <w:lang w:eastAsia="zh-CN"/>
        </w:rPr>
        <w:t>较年初预算数无增减，较上年支出数无增减。</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left="0" w:firstLine="640" w:firstLineChars="200"/>
        <w:jc w:val="both"/>
        <w:textAlignment w:val="auto"/>
        <w:outlineLvl w:val="9"/>
        <w:rPr>
          <w:rFonts w:hint="eastAsia" w:ascii="Times New Roman" w:hAnsi="Times New Roman" w:eastAsia="方正仿宋_GBK" w:cs="方正仿宋_GBK"/>
          <w:b w:val="0"/>
          <w:bCs w:val="0"/>
          <w:sz w:val="32"/>
          <w:szCs w:val="32"/>
          <w:lang w:eastAsia="zh-CN"/>
        </w:rPr>
      </w:pPr>
      <w:r>
        <w:rPr>
          <w:rFonts w:ascii="Times New Roman" w:hAnsi="Times New Roman" w:eastAsia="方正仿宋_GBK" w:cs="方正仿宋_GBK"/>
          <w:sz w:val="32"/>
          <w:szCs w:val="32"/>
          <w:shd w:val="clear" w:color="auto" w:fill="FFFFFF"/>
        </w:rPr>
        <w:t>2023年度本单位</w:t>
      </w:r>
      <w:r>
        <w:rPr>
          <w:rFonts w:hint="eastAsia" w:ascii="Times New Roman" w:hAnsi="Times New Roman" w:eastAsia="方正仿宋_GBK" w:cs="方正仿宋_GBK"/>
          <w:sz w:val="32"/>
          <w:szCs w:val="32"/>
          <w:shd w:val="clear" w:color="auto" w:fill="FFFFFF"/>
          <w:lang w:eastAsia="zh-CN"/>
        </w:rPr>
        <w:t>无公务车购置费，</w:t>
      </w:r>
      <w:r>
        <w:rPr>
          <w:rFonts w:hint="eastAsia" w:ascii="Times New Roman" w:hAnsi="Times New Roman" w:eastAsia="方正仿宋_GBK" w:cs="方正仿宋_GBK"/>
          <w:b w:val="0"/>
          <w:bCs w:val="0"/>
          <w:sz w:val="32"/>
          <w:szCs w:val="32"/>
          <w:lang w:eastAsia="zh-CN"/>
        </w:rPr>
        <w:t>较年初预算数无增减，较上年支出数无增减。</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left="0" w:firstLine="640" w:firstLineChars="200"/>
        <w:jc w:val="both"/>
        <w:textAlignment w:val="auto"/>
        <w:outlineLvl w:val="9"/>
        <w:rPr>
          <w:rFonts w:hint="eastAsia" w:ascii="Times New Roman" w:hAnsi="Times New Roman" w:eastAsia="方正仿宋_GBK" w:cs="方正仿宋_GBK"/>
          <w:sz w:val="32"/>
          <w:szCs w:val="32"/>
          <w:shd w:val="clear" w:color="auto" w:fill="FFFFFF"/>
          <w:lang w:eastAsia="zh-CN"/>
        </w:rPr>
      </w:pPr>
      <w:r>
        <w:rPr>
          <w:rFonts w:ascii="Times New Roman" w:hAnsi="Times New Roman" w:eastAsia="方正仿宋_GBK" w:cs="方正仿宋_GBK"/>
          <w:sz w:val="32"/>
          <w:szCs w:val="32"/>
          <w:shd w:val="clear" w:color="auto" w:fill="FFFFFF"/>
        </w:rPr>
        <w:t>2023年度本单位</w:t>
      </w:r>
      <w:r>
        <w:rPr>
          <w:rFonts w:hint="eastAsia" w:ascii="Times New Roman" w:hAnsi="Times New Roman" w:eastAsia="方正仿宋_GBK" w:cs="方正仿宋_GBK"/>
          <w:sz w:val="32"/>
          <w:szCs w:val="32"/>
          <w:shd w:val="clear" w:color="auto" w:fill="FFFFFF"/>
          <w:lang w:eastAsia="zh-CN"/>
        </w:rPr>
        <w:t>无公务车运行维护费，</w:t>
      </w:r>
      <w:r>
        <w:rPr>
          <w:rFonts w:hint="eastAsia" w:ascii="Times New Roman" w:hAnsi="Times New Roman" w:eastAsia="方正仿宋_GBK" w:cs="方正仿宋_GBK"/>
          <w:b w:val="0"/>
          <w:bCs w:val="0"/>
          <w:sz w:val="32"/>
          <w:szCs w:val="32"/>
          <w:lang w:eastAsia="zh-CN"/>
        </w:rPr>
        <w:t>较年初预算数无增减，较上年支出数无增减。</w:t>
      </w:r>
    </w:p>
    <w:p>
      <w:pPr>
        <w:pStyle w:val="4"/>
        <w:keepNext w:val="0"/>
        <w:keepLines w:val="0"/>
        <w:pageBreakBefore w:val="0"/>
        <w:kinsoku/>
        <w:wordWrap/>
        <w:overflowPunct/>
        <w:topLinePunct w:val="0"/>
        <w:autoSpaceDE/>
        <w:autoSpaceDN/>
        <w:bidi w:val="0"/>
        <w:adjustRightInd/>
        <w:spacing w:line="560" w:lineRule="exact"/>
        <w:ind w:left="0" w:firstLine="640" w:firstLineChars="200"/>
        <w:jc w:val="both"/>
        <w:textAlignment w:val="auto"/>
        <w:rPr>
          <w:rFonts w:hint="eastAsia" w:ascii="方正仿宋_GBK" w:hAnsi="方正仿宋_GBK" w:eastAsia="方正仿宋_GBK" w:cs="方正仿宋_GBK"/>
          <w:i w:val="0"/>
          <w:color w:val="auto"/>
          <w:kern w:val="0"/>
          <w:sz w:val="24"/>
          <w:szCs w:val="24"/>
          <w:highlight w:val="none"/>
          <w:u w:val="none"/>
          <w:lang w:val="en-US" w:eastAsia="zh-CN" w:bidi="ar"/>
        </w:rPr>
      </w:pPr>
      <w:r>
        <w:rPr>
          <w:rFonts w:ascii="Times New Roman" w:hAnsi="Times New Roman" w:eastAsia="方正仿宋_GBK" w:cs="方正仿宋_GBK"/>
          <w:sz w:val="32"/>
          <w:szCs w:val="32"/>
          <w:shd w:val="clear" w:color="auto" w:fill="FFFFFF"/>
        </w:rPr>
        <w:t>2023年度本单位</w:t>
      </w:r>
      <w:r>
        <w:rPr>
          <w:rFonts w:hint="eastAsia" w:ascii="Times New Roman" w:hAnsi="Times New Roman" w:eastAsia="方正仿宋_GBK" w:cs="方正仿宋_GBK"/>
          <w:sz w:val="32"/>
          <w:szCs w:val="32"/>
          <w:shd w:val="clear" w:color="auto" w:fill="FFFFFF"/>
          <w:lang w:eastAsia="zh-CN"/>
        </w:rPr>
        <w:t>无公务接待费，</w:t>
      </w:r>
      <w:r>
        <w:rPr>
          <w:rFonts w:hint="eastAsia" w:ascii="Times New Roman" w:hAnsi="Times New Roman" w:eastAsia="方正仿宋_GBK" w:cs="方正仿宋_GBK"/>
          <w:b w:val="0"/>
          <w:bCs w:val="0"/>
          <w:sz w:val="32"/>
          <w:szCs w:val="32"/>
          <w:lang w:eastAsia="zh-CN"/>
        </w:rPr>
        <w:t>较年初预算数无增减，较上年支出数无增减。</w:t>
      </w:r>
    </w:p>
    <w:p>
      <w:pPr>
        <w:pStyle w:val="9"/>
        <w:keepNext w:val="0"/>
        <w:keepLines w:val="0"/>
        <w:pageBreakBefore w:val="0"/>
        <w:widowControl/>
        <w:shd w:val="clear" w:color="auto" w:fill="FFFFFF"/>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ascii="方正楷体_GBK" w:hAnsi="方正楷体_GBK" w:eastAsia="方正楷体_GBK" w:cs="方正楷体_GBK"/>
          <w:sz w:val="32"/>
          <w:szCs w:val="32"/>
          <w:shd w:val="clear" w:color="auto" w:fill="FFFFFF"/>
        </w:rPr>
      </w:pPr>
      <w:r>
        <w:rPr>
          <w:rFonts w:hint="eastAsia" w:ascii="方正楷体_GBK" w:hAnsi="方正楷体_GBK" w:eastAsia="方正楷体_GBK" w:cs="方正楷体_GBK"/>
          <w:sz w:val="32"/>
          <w:szCs w:val="32"/>
          <w:shd w:val="clear" w:color="auto" w:fill="FFFFFF"/>
        </w:rPr>
        <w:t>（三）“三公”经费实物量情况</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rPr>
          <w:rFonts w:hint="eastAsia" w:ascii="Times New Roman" w:hAnsi="Times New Roman" w:eastAsia="方正仿宋_GBK"/>
          <w:sz w:val="32"/>
          <w:szCs w:val="32"/>
          <w:shd w:val="clear" w:color="auto" w:fill="FFFFFF"/>
          <w:lang w:val="en-US" w:eastAsia="zh-CN"/>
        </w:rPr>
      </w:pPr>
      <w:r>
        <w:rPr>
          <w:rFonts w:hint="eastAsia" w:ascii="Times New Roman" w:hAnsi="Times New Roman" w:eastAsia="方正仿宋_GBK"/>
          <w:sz w:val="32"/>
          <w:szCs w:val="32"/>
          <w:shd w:val="clear" w:color="auto" w:fill="FFFFFF"/>
          <w:lang w:val="en-US" w:eastAsia="zh-CN"/>
        </w:rPr>
        <w:t>2023年度本单位因公出国（境）共计0个团组，0人；公务用车购置0辆，公务车保有量为0辆；国内公务接待0批次0人，其中：国内外事接待0批次，0人；国（境）外公务接待0批次，0人。2023年本单位人均接待费0元，车均购置费0万元，车均维护费0万元。</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rPr>
          <w:rFonts w:ascii="Times New Roman" w:hAnsi="Times New Roman" w:eastAsia="方正黑体_GBK"/>
          <w:bCs/>
          <w:sz w:val="32"/>
          <w:szCs w:val="32"/>
        </w:rPr>
      </w:pPr>
      <w:r>
        <w:rPr>
          <w:rFonts w:ascii="Times New Roman" w:hAnsi="Times New Roman" w:eastAsia="方正黑体_GBK"/>
          <w:bCs/>
          <w:sz w:val="32"/>
          <w:szCs w:val="32"/>
          <w:shd w:val="clear" w:color="auto" w:fill="FFFFFF"/>
        </w:rPr>
        <w:t>四、其他需要说明的事项</w:t>
      </w:r>
    </w:p>
    <w:p>
      <w:pPr>
        <w:pStyle w:val="9"/>
        <w:keepNext w:val="0"/>
        <w:keepLines w:val="0"/>
        <w:pageBreakBefore w:val="0"/>
        <w:widowControl/>
        <w:shd w:val="clear" w:color="auto" w:fill="FFFFFF"/>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eastAsia" w:ascii="方正楷体_GBK" w:hAnsi="方正楷体_GBK" w:eastAsia="方正楷体_GBK" w:cs="方正楷体_GBK"/>
          <w:sz w:val="32"/>
          <w:szCs w:val="32"/>
          <w:shd w:val="clear" w:color="auto" w:fill="FFFFFF"/>
        </w:rPr>
      </w:pPr>
      <w:r>
        <w:rPr>
          <w:rFonts w:hint="eastAsia" w:ascii="方正楷体_GBK" w:hAnsi="方正楷体_GBK" w:eastAsia="方正楷体_GBK" w:cs="方正楷体_GBK"/>
          <w:sz w:val="32"/>
          <w:szCs w:val="32"/>
          <w:shd w:val="clear" w:color="auto" w:fill="FFFFFF"/>
        </w:rPr>
        <w:t>（一）财政拨款会议费和培训费情况说明</w:t>
      </w:r>
    </w:p>
    <w:p>
      <w:pPr>
        <w:pStyle w:val="9"/>
        <w:keepNext w:val="0"/>
        <w:keepLines w:val="0"/>
        <w:pageBreakBefore w:val="0"/>
        <w:widowControl/>
        <w:shd w:val="clear" w:color="auto" w:fill="FFFFFF"/>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eastAsia" w:ascii="Times New Roman" w:hAnsi="Times New Roman" w:eastAsia="方正仿宋_GBK"/>
          <w:sz w:val="32"/>
          <w:szCs w:val="32"/>
          <w:shd w:val="clear" w:color="auto" w:fill="FFFFFF"/>
          <w:lang w:val="en-US" w:eastAsia="zh-CN"/>
        </w:rPr>
      </w:pPr>
      <w:r>
        <w:rPr>
          <w:rFonts w:hint="eastAsia" w:ascii="Times New Roman" w:hAnsi="Times New Roman" w:eastAsia="方正仿宋_GBK"/>
          <w:sz w:val="32"/>
          <w:szCs w:val="32"/>
          <w:shd w:val="clear" w:color="auto" w:fill="FFFFFF"/>
          <w:lang w:val="en-US" w:eastAsia="zh-CN"/>
        </w:rPr>
        <w:t>因本单位属于差额拨款事业单位，财政未保障本单位会议费和培训费。</w:t>
      </w:r>
    </w:p>
    <w:p>
      <w:pPr>
        <w:pStyle w:val="9"/>
        <w:keepNext w:val="0"/>
        <w:keepLines w:val="0"/>
        <w:pageBreakBefore w:val="0"/>
        <w:widowControl/>
        <w:shd w:val="clear" w:color="auto" w:fill="FFFFFF"/>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eastAsia" w:ascii="方正楷体_GBK" w:hAnsi="方正楷体_GBK" w:eastAsia="方正楷体_GBK" w:cs="方正楷体_GBK"/>
          <w:sz w:val="32"/>
          <w:szCs w:val="32"/>
          <w:shd w:val="clear" w:color="auto" w:fill="FFFFFF"/>
        </w:rPr>
      </w:pPr>
      <w:r>
        <w:rPr>
          <w:rFonts w:hint="eastAsia" w:ascii="方正楷体_GBK" w:hAnsi="方正楷体_GBK" w:eastAsia="方正楷体_GBK" w:cs="方正楷体_GBK"/>
          <w:sz w:val="32"/>
          <w:szCs w:val="32"/>
          <w:shd w:val="clear" w:color="auto" w:fill="FFFFFF"/>
        </w:rPr>
        <w:t>（二）机关运行经费支出情况说明</w:t>
      </w:r>
    </w:p>
    <w:p>
      <w:pPr>
        <w:pStyle w:val="9"/>
        <w:keepNext w:val="0"/>
        <w:keepLines w:val="0"/>
        <w:pageBreakBefore w:val="0"/>
        <w:shd w:val="clear" w:color="auto" w:fill="FFFFFF"/>
        <w:kinsoku/>
        <w:wordWrap/>
        <w:overflowPunct/>
        <w:topLinePunct w:val="0"/>
        <w:autoSpaceDE/>
        <w:autoSpaceDN/>
        <w:bidi w:val="0"/>
        <w:adjustRightInd/>
        <w:spacing w:before="0" w:beforeAutospacing="0" w:after="0" w:afterAutospacing="0" w:line="560" w:lineRule="exact"/>
        <w:ind w:left="0" w:leftChars="0"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按照部门决算列报口径，因</w:t>
      </w:r>
      <w:r>
        <w:rPr>
          <w:rFonts w:hint="eastAsia" w:ascii="Times New Roman" w:hAnsi="Times New Roman" w:eastAsia="方正仿宋_GBK" w:cs="Times New Roman"/>
          <w:sz w:val="32"/>
          <w:szCs w:val="32"/>
          <w:lang w:eastAsia="zh-CN"/>
        </w:rPr>
        <w:t>本</w:t>
      </w:r>
      <w:r>
        <w:rPr>
          <w:rFonts w:hint="default" w:ascii="Times New Roman" w:hAnsi="Times New Roman" w:eastAsia="方正仿宋_GBK" w:cs="Times New Roman"/>
          <w:sz w:val="32"/>
          <w:szCs w:val="32"/>
          <w:lang w:eastAsia="zh-CN"/>
        </w:rPr>
        <w:t>单位</w:t>
      </w:r>
      <w:r>
        <w:rPr>
          <w:rFonts w:hint="default" w:ascii="Times New Roman" w:hAnsi="Times New Roman" w:eastAsia="方正仿宋_GBK" w:cs="Times New Roman"/>
          <w:sz w:val="32"/>
          <w:szCs w:val="32"/>
        </w:rPr>
        <w:t>为差额拨款事业单位不在机关运行经费统计范围之内。</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ascii="方正楷体_GBK" w:hAnsi="方正楷体_GBK" w:eastAsia="方正楷体_GBK" w:cs="方正楷体_GBK"/>
          <w:bCs/>
          <w:sz w:val="32"/>
          <w:szCs w:val="32"/>
          <w:shd w:val="clear" w:color="auto" w:fill="FFFFFF"/>
        </w:rPr>
      </w:pPr>
      <w:r>
        <w:rPr>
          <w:rFonts w:ascii="方正楷体_GBK" w:hAnsi="方正楷体_GBK" w:eastAsia="方正楷体_GBK" w:cs="方正楷体_GBK"/>
          <w:bCs/>
          <w:sz w:val="32"/>
          <w:szCs w:val="32"/>
          <w:shd w:val="clear" w:color="auto" w:fill="FFFFFF"/>
        </w:rPr>
        <w:t>（</w:t>
      </w:r>
      <w:r>
        <w:rPr>
          <w:rFonts w:hint="eastAsia" w:ascii="方正楷体_GBK" w:hAnsi="方正楷体_GBK" w:eastAsia="方正楷体_GBK" w:cs="方正楷体_GBK"/>
          <w:bCs/>
          <w:sz w:val="32"/>
          <w:szCs w:val="32"/>
          <w:shd w:val="clear" w:color="auto" w:fill="FFFFFF"/>
          <w:lang w:eastAsia="zh-CN"/>
        </w:rPr>
        <w:t>三</w:t>
      </w:r>
      <w:r>
        <w:rPr>
          <w:rFonts w:ascii="方正楷体_GBK" w:hAnsi="方正楷体_GBK" w:eastAsia="方正楷体_GBK" w:cs="方正楷体_GBK"/>
          <w:bCs/>
          <w:sz w:val="32"/>
          <w:szCs w:val="32"/>
          <w:shd w:val="clear" w:color="auto" w:fill="FFFFFF"/>
        </w:rPr>
        <w:t>）国有资产占用情况说明</w:t>
      </w:r>
    </w:p>
    <w:p>
      <w:pPr>
        <w:pStyle w:val="9"/>
        <w:keepNext w:val="0"/>
        <w:keepLines w:val="0"/>
        <w:pageBreakBefore w:val="0"/>
        <w:widowControl/>
        <w:shd w:val="clear" w:color="auto" w:fill="FFFFFF"/>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sz w:val="32"/>
          <w:szCs w:val="32"/>
          <w:shd w:val="clear" w:color="auto" w:fill="FFFFFF"/>
        </w:rPr>
      </w:pPr>
      <w:r>
        <w:rPr>
          <w:rFonts w:ascii="Times New Roman" w:hAnsi="Times New Roman" w:eastAsia="方正仿宋_GBK"/>
          <w:sz w:val="32"/>
          <w:szCs w:val="32"/>
          <w:shd w:val="clear" w:color="auto" w:fill="FFFFFF"/>
        </w:rPr>
        <w:t>截至2023年12月31日，</w:t>
      </w:r>
      <w:r>
        <w:rPr>
          <w:rFonts w:hint="eastAsia" w:ascii="Times New Roman" w:hAnsi="Times New Roman" w:eastAsia="方正仿宋_GBK"/>
          <w:sz w:val="32"/>
          <w:szCs w:val="32"/>
          <w:shd w:val="clear" w:color="auto" w:fill="FFFFFF"/>
          <w:lang w:eastAsia="zh-CN"/>
        </w:rPr>
        <w:t>本</w:t>
      </w:r>
      <w:r>
        <w:rPr>
          <w:rFonts w:ascii="Times New Roman" w:hAnsi="Times New Roman" w:eastAsia="方正仿宋_GBK"/>
          <w:sz w:val="32"/>
          <w:szCs w:val="32"/>
          <w:shd w:val="clear" w:color="auto" w:fill="FFFFFF"/>
        </w:rPr>
        <w:t>单位共有车辆2辆，其中，副部（省）级及以上领导用车0辆、主要负责人用车0辆、机要通信用车0辆、应急保障用车0辆、执法执勤用车0辆，特种专业技术用车2辆，离退休干部用车0辆。单价100万元（含）以上专用设备0台（套）。</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ascii="Times New Roman" w:hAnsi="Times New Roman" w:eastAsia="方正楷体_GBK"/>
          <w:sz w:val="32"/>
          <w:szCs w:val="32"/>
          <w:shd w:val="clear" w:color="auto" w:fill="FFFFFF"/>
        </w:rPr>
      </w:pPr>
      <w:r>
        <w:rPr>
          <w:rFonts w:ascii="Times New Roman" w:hAnsi="Times New Roman" w:eastAsia="方正楷体_GBK"/>
          <w:sz w:val="32"/>
          <w:szCs w:val="32"/>
          <w:shd w:val="clear" w:color="auto" w:fill="FFFFFF"/>
        </w:rPr>
        <w:t>（三）政府采购支出情况说明</w:t>
      </w:r>
    </w:p>
    <w:p>
      <w:pPr>
        <w:pStyle w:val="9"/>
        <w:keepNext w:val="0"/>
        <w:keepLines w:val="0"/>
        <w:pageBreakBefore w:val="0"/>
        <w:widowControl/>
        <w:shd w:val="clear" w:color="auto" w:fill="FFFFFF"/>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ascii="Times New Roman" w:hAnsi="Times New Roman" w:eastAsia="方正仿宋_GBK"/>
          <w:sz w:val="32"/>
          <w:szCs w:val="32"/>
          <w:shd w:val="clear" w:color="auto" w:fill="FFFFFF"/>
        </w:rPr>
      </w:pPr>
      <w:r>
        <w:rPr>
          <w:rFonts w:ascii="Times New Roman" w:hAnsi="Times New Roman" w:eastAsia="方正仿宋_GBK"/>
          <w:sz w:val="32"/>
          <w:szCs w:val="32"/>
          <w:shd w:val="clear" w:color="auto" w:fill="FFFFFF"/>
        </w:rPr>
        <w:t>202</w:t>
      </w:r>
      <w:r>
        <w:rPr>
          <w:rFonts w:hint="eastAsia" w:ascii="Times New Roman" w:hAnsi="Times New Roman" w:eastAsia="方正仿宋_GBK"/>
          <w:sz w:val="32"/>
          <w:szCs w:val="32"/>
          <w:shd w:val="clear" w:color="auto" w:fill="FFFFFF"/>
          <w:lang w:val="en-US" w:eastAsia="zh-CN"/>
        </w:rPr>
        <w:t>3</w:t>
      </w:r>
      <w:r>
        <w:rPr>
          <w:rFonts w:ascii="Times New Roman" w:hAnsi="Times New Roman" w:eastAsia="方正仿宋_GBK"/>
          <w:sz w:val="32"/>
          <w:szCs w:val="32"/>
          <w:shd w:val="clear" w:color="auto" w:fill="FFFFFF"/>
        </w:rPr>
        <w:t>年度</w:t>
      </w:r>
      <w:r>
        <w:rPr>
          <w:rFonts w:hint="eastAsia" w:ascii="Times New Roman" w:hAnsi="Times New Roman" w:eastAsia="方正仿宋_GBK"/>
          <w:sz w:val="32"/>
          <w:szCs w:val="32"/>
          <w:shd w:val="clear" w:color="auto" w:fill="FFFFFF"/>
          <w:lang w:eastAsia="zh-CN"/>
        </w:rPr>
        <w:t>本</w:t>
      </w:r>
      <w:r>
        <w:rPr>
          <w:rFonts w:ascii="Times New Roman" w:hAnsi="Times New Roman" w:eastAsia="方正仿宋_GBK"/>
          <w:sz w:val="32"/>
          <w:szCs w:val="32"/>
          <w:shd w:val="clear" w:color="auto" w:fill="FFFFFF"/>
        </w:rPr>
        <w:t>单位未发生政府采购事项，无相关经费支出。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Times New Roman" w:hAnsi="Times New Roman" w:eastAsia="方正仿宋_GBK" w:cs="宋体"/>
          <w:b/>
          <w:kern w:val="0"/>
          <w:sz w:val="32"/>
          <w:szCs w:val="32"/>
        </w:rPr>
      </w:pPr>
      <w:r>
        <w:rPr>
          <w:rFonts w:hint="eastAsia" w:ascii="Times New Roman" w:hAnsi="Times New Roman" w:eastAsia="方正黑体_GBK" w:cs="宋体"/>
          <w:kern w:val="0"/>
          <w:sz w:val="32"/>
          <w:szCs w:val="32"/>
        </w:rPr>
        <w:t>五、预算绩效管理情况说明</w:t>
      </w:r>
    </w:p>
    <w:p>
      <w:pPr>
        <w:pStyle w:val="19"/>
        <w:keepNext w:val="0"/>
        <w:keepLines w:val="0"/>
        <w:pageBreakBefore w:val="0"/>
        <w:widowControl w:val="0"/>
        <w:tabs>
          <w:tab w:val="center" w:pos="4153"/>
          <w:tab w:val="left" w:pos="7275"/>
        </w:tabs>
        <w:kinsoku/>
        <w:wordWrap/>
        <w:overflowPunct/>
        <w:topLinePunct w:val="0"/>
        <w:autoSpaceDE/>
        <w:autoSpaceDN/>
        <w:bidi w:val="0"/>
        <w:adjustRightInd/>
        <w:snapToGrid/>
        <w:spacing w:line="560" w:lineRule="exact"/>
        <w:ind w:firstLine="640"/>
        <w:jc w:val="both"/>
        <w:textAlignment w:val="auto"/>
        <w:outlineLvl w:val="9"/>
        <w:rPr>
          <w:rFonts w:hint="eastAsia" w:ascii="Times New Roman" w:hAnsi="Times New Roman" w:eastAsia="方正楷体_GBK" w:cs="Times New Roman"/>
          <w:kern w:val="0"/>
          <w:sz w:val="32"/>
          <w:szCs w:val="32"/>
          <w:shd w:val="clear" w:color="auto" w:fill="FFFFFF"/>
          <w:lang w:val="en-US" w:eastAsia="zh-CN" w:bidi="ar-SA"/>
        </w:rPr>
      </w:pPr>
      <w:r>
        <w:rPr>
          <w:rFonts w:hint="eastAsia" w:ascii="Times New Roman" w:hAnsi="Times New Roman" w:eastAsia="方正楷体_GBK" w:cs="Times New Roman"/>
          <w:kern w:val="0"/>
          <w:sz w:val="32"/>
          <w:szCs w:val="32"/>
          <w:shd w:val="clear" w:color="auto" w:fill="FFFFFF"/>
          <w:lang w:val="en-US" w:eastAsia="zh-CN" w:bidi="ar-SA"/>
        </w:rPr>
        <w:t>（一）单位自评情况</w:t>
      </w:r>
    </w:p>
    <w:p>
      <w:pPr>
        <w:pStyle w:val="9"/>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560" w:lineRule="exact"/>
        <w:ind w:left="0" w:firstLine="640" w:firstLineChars="200"/>
        <w:jc w:val="both"/>
        <w:textAlignment w:val="auto"/>
        <w:outlineLvl w:val="9"/>
        <w:rPr>
          <w:rFonts w:hint="eastAsia" w:ascii="Times New Roman" w:hAnsi="Times New Roman" w:eastAsia="方正仿宋_GBK" w:cs="方正仿宋_GBK"/>
          <w:b w:val="0"/>
          <w:bCs w:val="0"/>
          <w:sz w:val="32"/>
          <w:szCs w:val="32"/>
          <w:shd w:val="clear" w:color="auto" w:fill="FFFFFF"/>
          <w:lang w:eastAsia="zh-CN"/>
        </w:rPr>
      </w:pPr>
      <w:r>
        <w:rPr>
          <w:rFonts w:hint="eastAsia" w:ascii="Times New Roman" w:hAnsi="Times New Roman" w:eastAsia="方正仿宋_GBK" w:cs="方正仿宋_GBK"/>
          <w:b w:val="0"/>
          <w:bCs w:val="0"/>
          <w:sz w:val="32"/>
          <w:szCs w:val="32"/>
          <w:shd w:val="clear" w:color="auto" w:fill="FFFFFF"/>
          <w:lang w:eastAsia="zh-CN"/>
        </w:rPr>
        <w:t>本单位为秀山土家族苗族自治县卫生健康委员会二级预算单位，由主管部门统一开展项目支出绩效自评。</w:t>
      </w:r>
    </w:p>
    <w:tbl>
      <w:tblPr>
        <w:tblStyle w:val="12"/>
        <w:tblpPr w:leftFromText="180" w:rightFromText="180" w:vertAnchor="text" w:horzAnchor="page" w:tblpX="1697" w:tblpY="286"/>
        <w:tblOverlap w:val="never"/>
        <w:tblW w:w="840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505"/>
        <w:gridCol w:w="611"/>
        <w:gridCol w:w="2112"/>
        <w:gridCol w:w="629"/>
        <w:gridCol w:w="554"/>
        <w:gridCol w:w="629"/>
        <w:gridCol w:w="630"/>
        <w:gridCol w:w="705"/>
        <w:gridCol w:w="686"/>
        <w:gridCol w:w="629"/>
        <w:gridCol w:w="71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1490" w:hRule="atLeast"/>
        </w:trPr>
        <w:tc>
          <w:tcPr>
            <w:tcW w:w="8400" w:type="dxa"/>
            <w:gridSpan w:val="11"/>
            <w:shd w:val="clear" w:color="auto" w:fill="auto"/>
            <w:vAlign w:val="center"/>
          </w:tcPr>
          <w:p>
            <w:pPr>
              <w:keepNext w:val="0"/>
              <w:keepLines w:val="0"/>
              <w:widowControl/>
              <w:suppressLineNumbers w:val="0"/>
              <w:ind w:firstLine="1285" w:firstLineChars="400"/>
              <w:jc w:val="both"/>
              <w:textAlignment w:val="center"/>
              <w:rPr>
                <w:rFonts w:hint="eastAsia" w:cs="宋体"/>
                <w:b/>
                <w:bCs w:val="0"/>
                <w:i w:val="0"/>
                <w:color w:val="auto"/>
                <w:kern w:val="0"/>
                <w:sz w:val="32"/>
                <w:szCs w:val="32"/>
                <w:highlight w:val="none"/>
                <w:u w:val="none"/>
                <w:lang w:val="en-US" w:eastAsia="zh-CN" w:bidi="ar"/>
              </w:rPr>
            </w:pPr>
            <w:r>
              <w:rPr>
                <w:rFonts w:hint="eastAsia" w:cs="宋体"/>
                <w:b/>
                <w:bCs w:val="0"/>
                <w:i w:val="0"/>
                <w:color w:val="auto"/>
                <w:kern w:val="0"/>
                <w:sz w:val="32"/>
                <w:szCs w:val="32"/>
                <w:highlight w:val="none"/>
                <w:u w:val="none"/>
                <w:lang w:val="en-US" w:eastAsia="zh-CN" w:bidi="ar"/>
              </w:rPr>
              <w:t>秀山土家族苗族自治县卫生健康委员会</w:t>
            </w:r>
          </w:p>
          <w:p>
            <w:pPr>
              <w:keepNext w:val="0"/>
              <w:keepLines w:val="0"/>
              <w:widowControl/>
              <w:suppressLineNumbers w:val="0"/>
              <w:jc w:val="center"/>
              <w:textAlignment w:val="center"/>
              <w:rPr>
                <w:rFonts w:hint="eastAsia" w:ascii="宋体" w:hAnsi="宋体" w:eastAsia="宋体" w:cs="宋体"/>
                <w:b/>
                <w:i w:val="0"/>
                <w:color w:val="auto"/>
                <w:sz w:val="32"/>
                <w:szCs w:val="32"/>
                <w:highlight w:val="none"/>
                <w:u w:val="none"/>
              </w:rPr>
            </w:pPr>
            <w:r>
              <w:rPr>
                <w:rFonts w:hint="eastAsia" w:ascii="宋体" w:hAnsi="宋体" w:eastAsia="宋体" w:cs="宋体"/>
                <w:b/>
                <w:bCs w:val="0"/>
                <w:i w:val="0"/>
                <w:color w:val="auto"/>
                <w:kern w:val="0"/>
                <w:sz w:val="32"/>
                <w:szCs w:val="32"/>
                <w:highlight w:val="none"/>
                <w:u w:val="none"/>
                <w:lang w:val="en-US" w:eastAsia="zh-CN" w:bidi="ar"/>
              </w:rPr>
              <w:t>2023年度项目支出绩效自评情况表（</w:t>
            </w:r>
            <w:r>
              <w:rPr>
                <w:rFonts w:hint="eastAsia" w:cs="宋体"/>
                <w:b/>
                <w:bCs w:val="0"/>
                <w:i w:val="0"/>
                <w:color w:val="auto"/>
                <w:kern w:val="0"/>
                <w:sz w:val="32"/>
                <w:szCs w:val="32"/>
                <w:highlight w:val="none"/>
                <w:u w:val="none"/>
                <w:lang w:val="en-US" w:eastAsia="zh-CN" w:bidi="ar"/>
              </w:rPr>
              <w:t>二级项目</w:t>
            </w:r>
            <w:r>
              <w:rPr>
                <w:rFonts w:hint="eastAsia" w:ascii="宋体" w:hAnsi="宋体" w:eastAsia="宋体" w:cs="宋体"/>
                <w:b/>
                <w:bCs w:val="0"/>
                <w:i w:val="0"/>
                <w:color w:val="auto"/>
                <w:kern w:val="0"/>
                <w:sz w:val="32"/>
                <w:szCs w:val="32"/>
                <w:highlight w:val="none"/>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881" w:hRule="atLeast"/>
        </w:trPr>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序号</w:t>
            </w:r>
          </w:p>
        </w:tc>
        <w:tc>
          <w:tcPr>
            <w:tcW w:w="6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项目名称</w:t>
            </w:r>
          </w:p>
        </w:tc>
        <w:tc>
          <w:tcPr>
            <w:tcW w:w="21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指标名称</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指标性质</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指标值</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计量单位</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指标权重</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全年完成值</w:t>
            </w:r>
          </w:p>
        </w:tc>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指标得分</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说明</w:t>
            </w: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自评得分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705" w:hRule="atLeast"/>
        </w:trPr>
        <w:tc>
          <w:tcPr>
            <w:tcW w:w="50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bookmarkStart w:id="0" w:name="_GoBack" w:colFirst="2" w:colLast="10"/>
            <w:r>
              <w:rPr>
                <w:rFonts w:hint="eastAsia" w:ascii="方正仿宋_GBK" w:hAnsi="方正仿宋_GBK" w:eastAsia="方正仿宋_GBK" w:cs="方正仿宋_GBK"/>
                <w:i w:val="0"/>
                <w:color w:val="auto"/>
                <w:kern w:val="0"/>
                <w:sz w:val="24"/>
                <w:szCs w:val="24"/>
                <w:highlight w:val="none"/>
                <w:u w:val="none"/>
                <w:lang w:val="en-US" w:eastAsia="zh-CN" w:bidi="ar"/>
              </w:rPr>
              <w:t>1</w:t>
            </w:r>
          </w:p>
        </w:tc>
        <w:tc>
          <w:tcPr>
            <w:tcW w:w="61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基本公共卫生服务县级配套</w:t>
            </w:r>
          </w:p>
        </w:tc>
        <w:tc>
          <w:tcPr>
            <w:tcW w:w="21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sz w:val="24"/>
                <w:szCs w:val="24"/>
              </w:rPr>
              <w:t>资金拨付及时率</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sz w:val="24"/>
                <w:szCs w:val="24"/>
              </w:rPr>
              <w:t>≥</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80</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50</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80</w:t>
            </w:r>
          </w:p>
        </w:tc>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50</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041" w:hRule="atLeast"/>
        </w:trPr>
        <w:tc>
          <w:tcPr>
            <w:tcW w:w="5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p>
        </w:tc>
        <w:tc>
          <w:tcPr>
            <w:tcW w:w="6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p>
        </w:tc>
        <w:tc>
          <w:tcPr>
            <w:tcW w:w="21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sz w:val="24"/>
                <w:szCs w:val="24"/>
              </w:rPr>
              <w:t>居民健康水平</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定性</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持续提高</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30</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全部完成</w:t>
            </w:r>
          </w:p>
        </w:tc>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30</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100</w:t>
            </w:r>
          </w:p>
        </w:tc>
      </w:tr>
      <w:bookmarkEnd w:id="0"/>
    </w:tbl>
    <w:p>
      <w:pPr>
        <w:pStyle w:val="9"/>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560" w:lineRule="exact"/>
        <w:jc w:val="both"/>
        <w:textAlignment w:val="auto"/>
        <w:outlineLvl w:val="9"/>
        <w:rPr>
          <w:rFonts w:hint="eastAsia" w:ascii="Times New Roman" w:hAnsi="Times New Roman" w:eastAsia="方正仿宋_GBK" w:cs="方正仿宋_GBK"/>
          <w:b w:val="0"/>
          <w:bCs w:val="0"/>
          <w:sz w:val="32"/>
          <w:szCs w:val="32"/>
          <w:shd w:val="clear" w:color="auto" w:fill="FFFFFF"/>
          <w:lang w:val="en-US" w:eastAsia="zh-CN"/>
        </w:rPr>
      </w:pPr>
    </w:p>
    <w:p>
      <w:pPr>
        <w:pStyle w:val="14"/>
        <w:keepNext w:val="0"/>
        <w:keepLines w:val="0"/>
        <w:pageBreakBefore w:val="0"/>
        <w:widowControl/>
        <w:kinsoku/>
        <w:wordWrap/>
        <w:overflowPunct/>
        <w:topLinePunct w:val="0"/>
        <w:autoSpaceDE w:val="0"/>
        <w:autoSpaceDN/>
        <w:bidi w:val="0"/>
        <w:adjustRightInd w:val="0"/>
        <w:snapToGrid w:val="0"/>
        <w:spacing w:beforeAutospacing="0" w:afterAutospacing="0" w:line="560" w:lineRule="exact"/>
        <w:ind w:firstLine="643"/>
        <w:textAlignment w:val="auto"/>
        <w:outlineLvl w:val="9"/>
        <w:rPr>
          <w:rFonts w:hint="default" w:ascii="方正楷体_GBK" w:hAnsi="方正楷体_GBK" w:eastAsia="方正楷体_GBK" w:cs="方正楷体_GBK"/>
          <w:b w:val="0"/>
          <w:bCs w:val="0"/>
          <w:sz w:val="32"/>
          <w:szCs w:val="32"/>
          <w:shd w:val="clear" w:color="auto" w:fill="FFFFFF"/>
        </w:rPr>
      </w:pPr>
      <w:r>
        <w:rPr>
          <w:rFonts w:hint="eastAsia" w:ascii="方正楷体_GBK" w:hAnsi="方正楷体_GBK" w:eastAsia="方正楷体_GBK" w:cs="方正楷体_GBK"/>
          <w:b w:val="0"/>
          <w:bCs w:val="0"/>
          <w:sz w:val="32"/>
          <w:szCs w:val="32"/>
          <w:shd w:val="clear" w:color="auto" w:fill="FFFFFF"/>
          <w:lang w:eastAsia="zh-CN"/>
        </w:rPr>
        <w:t>（</w:t>
      </w:r>
      <w:r>
        <w:rPr>
          <w:rFonts w:hint="eastAsia" w:ascii="方正楷体_GBK" w:hAnsi="方正楷体_GBK" w:eastAsia="方正楷体_GBK" w:cs="方正楷体_GBK"/>
          <w:b w:val="0"/>
          <w:bCs w:val="0"/>
          <w:sz w:val="32"/>
          <w:szCs w:val="32"/>
          <w:shd w:val="clear" w:color="auto" w:fill="FFFFFF"/>
          <w:lang w:val="en-US" w:eastAsia="zh-CN"/>
        </w:rPr>
        <w:t>二）</w:t>
      </w:r>
      <w:r>
        <w:rPr>
          <w:rFonts w:hint="default" w:ascii="方正楷体_GBK" w:hAnsi="方正楷体_GBK" w:eastAsia="方正楷体_GBK" w:cs="方正楷体_GBK"/>
          <w:b w:val="0"/>
          <w:bCs w:val="0"/>
          <w:sz w:val="32"/>
          <w:szCs w:val="32"/>
          <w:shd w:val="clear" w:color="auto" w:fill="FFFFFF"/>
        </w:rPr>
        <w:t>单位绩效评价情况</w:t>
      </w:r>
    </w:p>
    <w:p>
      <w:pPr>
        <w:pStyle w:val="14"/>
        <w:keepNext w:val="0"/>
        <w:keepLines w:val="0"/>
        <w:pageBreakBefore w:val="0"/>
        <w:widowControl/>
        <w:numPr>
          <w:ilvl w:val="0"/>
          <w:numId w:val="0"/>
        </w:numPr>
        <w:kinsoku/>
        <w:wordWrap/>
        <w:overflowPunct/>
        <w:topLinePunct w:val="0"/>
        <w:autoSpaceDE w:val="0"/>
        <w:autoSpaceDN/>
        <w:bidi w:val="0"/>
        <w:adjustRightInd w:val="0"/>
        <w:snapToGrid w:val="0"/>
        <w:spacing w:beforeAutospacing="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highlight w:val="none"/>
          <w:shd w:val="clear" w:color="auto" w:fill="FFFFFF"/>
        </w:rPr>
      </w:pPr>
      <w:r>
        <w:rPr>
          <w:rFonts w:hint="eastAsia" w:ascii="Times New Roman" w:hAnsi="Times New Roman" w:eastAsia="方正仿宋_GBK" w:cs="Times New Roman"/>
          <w:b w:val="0"/>
          <w:bCs w:val="0"/>
          <w:kern w:val="0"/>
          <w:sz w:val="32"/>
          <w:szCs w:val="32"/>
          <w:lang w:val="en-US" w:eastAsia="zh-CN" w:bidi="ar-SA"/>
        </w:rPr>
        <w:t>本单位</w:t>
      </w:r>
      <w:r>
        <w:rPr>
          <w:rFonts w:hint="default" w:ascii="Times New Roman" w:hAnsi="Times New Roman" w:eastAsia="方正仿宋_GBK" w:cs="Times New Roman"/>
          <w:b w:val="0"/>
          <w:bCs w:val="0"/>
          <w:kern w:val="0"/>
          <w:sz w:val="32"/>
          <w:szCs w:val="32"/>
          <w:lang w:val="en-US" w:eastAsia="zh-CN" w:bidi="ar-SA"/>
        </w:rPr>
        <w:t>未组织开展绩效评价。</w:t>
      </w:r>
    </w:p>
    <w:p>
      <w:pPr>
        <w:pStyle w:val="14"/>
        <w:keepNext w:val="0"/>
        <w:keepLines w:val="0"/>
        <w:pageBreakBefore w:val="0"/>
        <w:widowControl/>
        <w:kinsoku/>
        <w:wordWrap/>
        <w:overflowPunct/>
        <w:topLinePunct w:val="0"/>
        <w:autoSpaceDE w:val="0"/>
        <w:autoSpaceDN/>
        <w:bidi w:val="0"/>
        <w:adjustRightInd w:val="0"/>
        <w:snapToGrid w:val="0"/>
        <w:spacing w:beforeAutospacing="0" w:afterAutospacing="0" w:line="560" w:lineRule="exact"/>
        <w:ind w:firstLine="643"/>
        <w:textAlignment w:val="auto"/>
        <w:outlineLvl w:val="9"/>
        <w:rPr>
          <w:rFonts w:hint="default" w:ascii="方正楷体_GBK" w:hAnsi="方正楷体_GBK" w:eastAsia="方正楷体_GBK" w:cs="方正楷体_GBK"/>
          <w:b w:val="0"/>
          <w:bCs w:val="0"/>
          <w:sz w:val="32"/>
          <w:szCs w:val="32"/>
          <w:shd w:val="clear" w:color="auto" w:fill="FFFFFF"/>
        </w:rPr>
      </w:pPr>
      <w:r>
        <w:rPr>
          <w:rFonts w:hint="eastAsia" w:ascii="方正楷体_GBK" w:hAnsi="方正楷体_GBK" w:eastAsia="方正楷体_GBK" w:cs="方正楷体_GBK"/>
          <w:b w:val="0"/>
          <w:bCs w:val="0"/>
          <w:sz w:val="32"/>
          <w:szCs w:val="32"/>
          <w:shd w:val="clear" w:color="auto" w:fill="FFFFFF"/>
          <w:lang w:eastAsia="zh-CN"/>
        </w:rPr>
        <w:t>（</w:t>
      </w:r>
      <w:r>
        <w:rPr>
          <w:rFonts w:hint="eastAsia" w:ascii="方正楷体_GBK" w:hAnsi="方正楷体_GBK" w:eastAsia="方正楷体_GBK" w:cs="方正楷体_GBK"/>
          <w:b w:val="0"/>
          <w:bCs w:val="0"/>
          <w:sz w:val="32"/>
          <w:szCs w:val="32"/>
          <w:shd w:val="clear" w:color="auto" w:fill="FFFFFF"/>
          <w:lang w:val="en-US" w:eastAsia="zh-CN"/>
        </w:rPr>
        <w:t>三）</w:t>
      </w:r>
      <w:r>
        <w:rPr>
          <w:rFonts w:hint="default" w:ascii="方正楷体_GBK" w:hAnsi="方正楷体_GBK" w:eastAsia="方正楷体_GBK" w:cs="方正楷体_GBK"/>
          <w:b w:val="0"/>
          <w:bCs w:val="0"/>
          <w:sz w:val="32"/>
          <w:szCs w:val="32"/>
          <w:shd w:val="clear" w:color="auto" w:fill="FFFFFF"/>
        </w:rPr>
        <w:t>财政绩效评价情况</w:t>
      </w:r>
    </w:p>
    <w:p>
      <w:pPr>
        <w:pStyle w:val="14"/>
        <w:keepNext w:val="0"/>
        <w:keepLines w:val="0"/>
        <w:pageBreakBefore w:val="0"/>
        <w:widowControl/>
        <w:numPr>
          <w:ilvl w:val="0"/>
          <w:numId w:val="0"/>
        </w:numPr>
        <w:kinsoku/>
        <w:wordWrap/>
        <w:overflowPunct/>
        <w:topLinePunct w:val="0"/>
        <w:autoSpaceDE w:val="0"/>
        <w:autoSpaceDN/>
        <w:bidi w:val="0"/>
        <w:adjustRightInd w:val="0"/>
        <w:snapToGrid w:val="0"/>
        <w:spacing w:beforeAutospacing="0" w:afterAutospacing="0" w:line="560" w:lineRule="exact"/>
        <w:ind w:firstLine="640" w:firstLineChars="200"/>
        <w:jc w:val="both"/>
        <w:textAlignment w:val="auto"/>
        <w:outlineLvl w:val="9"/>
        <w:rPr>
          <w:rFonts w:hint="eastAsia" w:ascii="方正仿宋_GBK" w:hAnsi="宋体" w:eastAsia="方正仿宋_GBK" w:cs="宋体"/>
          <w:kern w:val="0"/>
          <w:sz w:val="32"/>
          <w:szCs w:val="32"/>
          <w:lang w:eastAsia="zh-CN"/>
        </w:rPr>
      </w:pPr>
      <w:r>
        <w:rPr>
          <w:rFonts w:hint="eastAsia" w:ascii="Times New Roman" w:hAnsi="Times New Roman" w:eastAsia="方正仿宋_GBK" w:cs="Times New Roman"/>
          <w:b w:val="0"/>
          <w:bCs w:val="0"/>
          <w:kern w:val="0"/>
          <w:sz w:val="32"/>
          <w:szCs w:val="32"/>
          <w:lang w:val="en-US" w:eastAsia="zh-CN" w:bidi="ar-SA"/>
        </w:rPr>
        <w:t>县</w:t>
      </w:r>
      <w:r>
        <w:rPr>
          <w:rFonts w:hint="default" w:ascii="Times New Roman" w:hAnsi="Times New Roman" w:eastAsia="方正仿宋_GBK" w:cs="Times New Roman"/>
          <w:b w:val="0"/>
          <w:bCs w:val="0"/>
          <w:kern w:val="0"/>
          <w:sz w:val="32"/>
          <w:szCs w:val="32"/>
          <w:lang w:val="en-US" w:eastAsia="zh-CN" w:bidi="ar-SA"/>
        </w:rPr>
        <w:t>财政局未委托第三方对</w:t>
      </w:r>
      <w:r>
        <w:rPr>
          <w:rFonts w:hint="eastAsia" w:ascii="Times New Roman" w:hAnsi="Times New Roman" w:eastAsia="方正仿宋_GBK" w:cs="Times New Roman"/>
          <w:b w:val="0"/>
          <w:bCs w:val="0"/>
          <w:kern w:val="0"/>
          <w:sz w:val="32"/>
          <w:szCs w:val="32"/>
          <w:lang w:val="en-US" w:eastAsia="zh-CN" w:bidi="ar-SA"/>
        </w:rPr>
        <w:t>本单位</w:t>
      </w:r>
      <w:r>
        <w:rPr>
          <w:rFonts w:hint="default" w:ascii="Times New Roman" w:hAnsi="Times New Roman" w:eastAsia="方正仿宋_GBK" w:cs="Times New Roman"/>
          <w:b w:val="0"/>
          <w:bCs w:val="0"/>
          <w:kern w:val="0"/>
          <w:sz w:val="32"/>
          <w:szCs w:val="32"/>
          <w:lang w:val="en-US" w:eastAsia="zh-CN" w:bidi="ar-SA"/>
        </w:rPr>
        <w:t>开展绩效评价。</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ascii="Times New Roman" w:hAnsi="Times New Roman" w:eastAsia="方正黑体_GBK"/>
          <w:bCs/>
          <w:sz w:val="32"/>
          <w:szCs w:val="32"/>
        </w:rPr>
      </w:pPr>
      <w:r>
        <w:rPr>
          <w:rFonts w:ascii="Times New Roman" w:hAnsi="Times New Roman" w:eastAsia="方正黑体_GBK"/>
          <w:bCs/>
          <w:sz w:val="32"/>
          <w:szCs w:val="32"/>
          <w:shd w:val="clear" w:color="auto" w:fill="FFFFFF"/>
        </w:rPr>
        <w:t>六、专业名词解释</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ascii="Times New Roman" w:hAnsi="Times New Roman" w:eastAsia="方正楷体_GBK"/>
          <w:bCs/>
          <w:sz w:val="32"/>
          <w:szCs w:val="32"/>
        </w:rPr>
      </w:pPr>
      <w:r>
        <w:rPr>
          <w:rFonts w:ascii="Times New Roman" w:hAnsi="Times New Roman" w:eastAsia="方正楷体_GBK"/>
          <w:bCs/>
          <w:sz w:val="32"/>
          <w:szCs w:val="32"/>
          <w:shd w:val="clear" w:color="auto" w:fill="FFFFFF"/>
        </w:rPr>
        <w:t>（一）财政拨款收入：</w:t>
      </w:r>
      <w:r>
        <w:rPr>
          <w:rFonts w:ascii="Times New Roman" w:hAnsi="Times New Roman" w:eastAsia="方正仿宋_GBK"/>
          <w:bCs/>
          <w:sz w:val="32"/>
          <w:szCs w:val="32"/>
          <w:shd w:val="clear" w:color="auto" w:fill="FFFFFF"/>
        </w:rPr>
        <w:t>指本年度从本级财政部门取得的财政拨款，包括一般公共预算财政拨款和政府性基金预算财政拨款。</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ascii="Times New Roman" w:hAnsi="Times New Roman" w:eastAsia="方正仿宋_GBK"/>
          <w:bCs/>
          <w:sz w:val="32"/>
          <w:szCs w:val="32"/>
        </w:rPr>
      </w:pPr>
      <w:r>
        <w:rPr>
          <w:rFonts w:ascii="Times New Roman" w:hAnsi="Times New Roman" w:eastAsia="方正楷体_GBK"/>
          <w:bCs/>
          <w:sz w:val="32"/>
          <w:szCs w:val="32"/>
          <w:shd w:val="clear" w:color="auto" w:fill="FFFFFF"/>
        </w:rPr>
        <w:t>（二）事业收入：</w:t>
      </w:r>
      <w:r>
        <w:rPr>
          <w:rFonts w:ascii="Times New Roman" w:hAnsi="Times New Roman" w:eastAsia="方正仿宋_GBK"/>
          <w:bCs/>
          <w:sz w:val="32"/>
          <w:szCs w:val="32"/>
          <w:shd w:val="clear" w:color="auto" w:fill="FFFFFF"/>
        </w:rPr>
        <w:t>指事业单位开展专业业务活动及其辅助活动取得的现金流入；事业单位收到的财政专户实际核拨的教育收费等资金在此反映。</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ascii="Times New Roman" w:hAnsi="Times New Roman" w:eastAsia="方正楷体_GBK"/>
          <w:bCs/>
          <w:sz w:val="32"/>
          <w:szCs w:val="32"/>
        </w:rPr>
      </w:pPr>
      <w:r>
        <w:rPr>
          <w:rFonts w:ascii="Times New Roman" w:hAnsi="Times New Roman" w:eastAsia="方正楷体_GBK"/>
          <w:bCs/>
          <w:sz w:val="32"/>
          <w:szCs w:val="32"/>
          <w:shd w:val="clear" w:color="auto" w:fill="FFFFFF"/>
        </w:rPr>
        <w:t>（三）经营收入：</w:t>
      </w:r>
      <w:r>
        <w:rPr>
          <w:rFonts w:ascii="Times New Roman" w:hAnsi="Times New Roman" w:eastAsia="方正仿宋_GBK"/>
          <w:bCs/>
          <w:sz w:val="32"/>
          <w:szCs w:val="32"/>
          <w:shd w:val="clear" w:color="auto" w:fill="FFFFFF"/>
        </w:rPr>
        <w:t>指事业单位在专业业务活动及其辅助活动之外开展非独立核算经营活动取得的现金流入。</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ascii="Times New Roman" w:hAnsi="Times New Roman" w:eastAsia="方正楷体_GBK"/>
          <w:bCs/>
          <w:sz w:val="32"/>
          <w:szCs w:val="32"/>
        </w:rPr>
      </w:pPr>
      <w:r>
        <w:rPr>
          <w:rFonts w:ascii="Times New Roman" w:hAnsi="Times New Roman" w:eastAsia="方正楷体_GBK"/>
          <w:bCs/>
          <w:sz w:val="32"/>
          <w:szCs w:val="32"/>
          <w:shd w:val="clear" w:color="auto" w:fill="FFFFFF"/>
        </w:rPr>
        <w:t>（四）其他收入：</w:t>
      </w:r>
      <w:r>
        <w:rPr>
          <w:rFonts w:ascii="Times New Roman" w:hAnsi="Times New Roman" w:eastAsia="方正仿宋_GBK"/>
          <w:bCs/>
          <w:sz w:val="32"/>
          <w:szCs w:val="32"/>
          <w:shd w:val="clear" w:color="auto" w:fill="FFFFFF"/>
        </w:rPr>
        <w:t>指单位取得的除“财政拨款收入”、“事业收入”、“经营收入”等以外的收入，包括未纳入财政预算或财政专户管理的投资收益、银行存款利息收入、租金收入、捐赠收入，现金盘盈收入、存货盘盈收入、收回已核销的应收及预付款项、无法偿付的应付及预收款项等。各单位从本级财政部门以外的同级单位取得的经费、从非本级财政部门取得的经费，以及行政单位收到的财政专户管理资金反映在本项内。</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ascii="Times New Roman" w:hAnsi="Times New Roman" w:eastAsia="方正仿宋_GBK"/>
          <w:bCs/>
          <w:sz w:val="32"/>
          <w:szCs w:val="32"/>
        </w:rPr>
      </w:pPr>
      <w:r>
        <w:rPr>
          <w:rFonts w:ascii="Times New Roman" w:hAnsi="Times New Roman" w:eastAsia="方正楷体_GBK"/>
          <w:bCs/>
          <w:sz w:val="32"/>
          <w:szCs w:val="32"/>
          <w:shd w:val="clear" w:color="auto" w:fill="FFFFFF"/>
        </w:rPr>
        <w:t>（五）使用非财政拨款结余：</w:t>
      </w:r>
      <w:r>
        <w:rPr>
          <w:rFonts w:ascii="Times New Roman" w:hAnsi="Times New Roman" w:eastAsia="方正仿宋_GBK"/>
          <w:bCs/>
          <w:sz w:val="32"/>
          <w:szCs w:val="32"/>
          <w:shd w:val="clear" w:color="auto" w:fill="FFFFFF"/>
        </w:rPr>
        <w:t>指单位在当年的“财政拨款收入”、“事业收入”、“经营收入”、“其他收入”等不足以安排当年支出的情况下，使用以前年度积累的非财政拨款结余弥补本年度收支缺口的资金。</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ascii="Times New Roman" w:hAnsi="Times New Roman" w:eastAsia="方正仿宋_GBK"/>
          <w:bCs/>
          <w:sz w:val="32"/>
          <w:szCs w:val="32"/>
        </w:rPr>
      </w:pPr>
      <w:r>
        <w:rPr>
          <w:rFonts w:ascii="Times New Roman" w:hAnsi="Times New Roman" w:eastAsia="方正楷体_GBK"/>
          <w:bCs/>
          <w:sz w:val="32"/>
          <w:szCs w:val="32"/>
          <w:shd w:val="clear" w:color="auto" w:fill="FFFFFF"/>
        </w:rPr>
        <w:t>（六）年初结转和结余：</w:t>
      </w:r>
      <w:r>
        <w:rPr>
          <w:rFonts w:ascii="Times New Roman" w:hAnsi="Times New Roman" w:eastAsia="方正仿宋_GBK"/>
          <w:bCs/>
          <w:sz w:val="32"/>
          <w:szCs w:val="32"/>
          <w:shd w:val="clear" w:color="auto" w:fill="FFFFFF"/>
        </w:rPr>
        <w:t>指单位上年结转本年使用的基本支出结转、项目支出结转和结余、经营结余。</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ascii="Times New Roman" w:hAnsi="Times New Roman" w:eastAsia="方正楷体_GBK"/>
          <w:bCs/>
          <w:sz w:val="32"/>
          <w:szCs w:val="32"/>
        </w:rPr>
      </w:pPr>
      <w:r>
        <w:rPr>
          <w:rFonts w:ascii="Times New Roman" w:hAnsi="Times New Roman" w:eastAsia="方正楷体_GBK"/>
          <w:bCs/>
          <w:sz w:val="32"/>
          <w:szCs w:val="32"/>
          <w:shd w:val="clear" w:color="auto" w:fill="FFFFFF"/>
        </w:rPr>
        <w:t>（七）结余分配：</w:t>
      </w:r>
      <w:r>
        <w:rPr>
          <w:rFonts w:ascii="Times New Roman" w:hAnsi="Times New Roman" w:eastAsia="方正仿宋_GBK"/>
          <w:bCs/>
          <w:sz w:val="32"/>
          <w:szCs w:val="32"/>
          <w:shd w:val="clear" w:color="auto" w:fill="FFFFFF"/>
        </w:rPr>
        <w:t>指单位按照国家有关规定，缴纳所得税、提取专用基金、转入非财政拨款结余等当年结余的分配情况。</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ascii="Times New Roman" w:hAnsi="Times New Roman" w:eastAsia="方正仿宋_GBK"/>
          <w:bCs/>
          <w:sz w:val="32"/>
          <w:szCs w:val="32"/>
        </w:rPr>
      </w:pPr>
      <w:r>
        <w:rPr>
          <w:rFonts w:ascii="Times New Roman" w:hAnsi="Times New Roman" w:eastAsia="方正楷体_GBK"/>
          <w:bCs/>
          <w:sz w:val="32"/>
          <w:szCs w:val="32"/>
          <w:shd w:val="clear" w:color="auto" w:fill="FFFFFF"/>
        </w:rPr>
        <w:t>（八）年末结转和结余：</w:t>
      </w:r>
      <w:r>
        <w:rPr>
          <w:rFonts w:ascii="Times New Roman" w:hAnsi="Times New Roman" w:eastAsia="方正仿宋_GBK"/>
          <w:bCs/>
          <w:sz w:val="32"/>
          <w:szCs w:val="32"/>
          <w:shd w:val="clear" w:color="auto" w:fill="FFFFFF"/>
        </w:rPr>
        <w:t>指单位结转下年的基本支出结转、项目支出结转和结余、经营结余。</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ascii="Times New Roman" w:hAnsi="Times New Roman" w:eastAsia="方正仿宋_GBK"/>
          <w:bCs/>
          <w:sz w:val="32"/>
          <w:szCs w:val="32"/>
        </w:rPr>
      </w:pPr>
      <w:r>
        <w:rPr>
          <w:rFonts w:ascii="Times New Roman" w:hAnsi="Times New Roman" w:eastAsia="方正楷体_GBK"/>
          <w:bCs/>
          <w:sz w:val="32"/>
          <w:szCs w:val="32"/>
          <w:shd w:val="clear" w:color="auto" w:fill="FFFFFF"/>
        </w:rPr>
        <w:t>（九）基本支出：</w:t>
      </w:r>
      <w:r>
        <w:rPr>
          <w:rFonts w:ascii="Times New Roman" w:hAnsi="Times New Roman" w:eastAsia="方正仿宋_GBK"/>
          <w:bCs/>
          <w:sz w:val="32"/>
          <w:szCs w:val="32"/>
          <w:shd w:val="clear" w:color="auto" w:fill="FFFFFF"/>
        </w:rPr>
        <w:t>指为保障机构正常运转、完成日常工作任务而发生的人员经费和公用经费。其中：人员经费指政府收支分类经济科目中的“工资福利支出”和“对个人和家庭的补助”；公用经费指政府收支分类经济科目中除“工资福利支出”和“对个人和家庭的补助”外的其他支出。</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ascii="Times New Roman" w:hAnsi="Times New Roman" w:eastAsia="方正楷体_GBK"/>
          <w:bCs/>
          <w:sz w:val="32"/>
          <w:szCs w:val="32"/>
        </w:rPr>
      </w:pPr>
      <w:r>
        <w:rPr>
          <w:rFonts w:ascii="Times New Roman" w:hAnsi="Times New Roman" w:eastAsia="方正楷体_GBK"/>
          <w:bCs/>
          <w:sz w:val="32"/>
          <w:szCs w:val="32"/>
          <w:shd w:val="clear" w:color="auto" w:fill="FFFFFF"/>
        </w:rPr>
        <w:t>（十）项目支出：</w:t>
      </w:r>
      <w:r>
        <w:rPr>
          <w:rFonts w:ascii="Times New Roman" w:hAnsi="Times New Roman" w:eastAsia="方正仿宋_GBK"/>
          <w:bCs/>
          <w:sz w:val="32"/>
          <w:szCs w:val="32"/>
          <w:shd w:val="clear" w:color="auto" w:fill="FFFFFF"/>
        </w:rPr>
        <w:t>指在基本支出之外为完成特定行政任务和事业发展目标所发生的支出。</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ascii="Times New Roman" w:hAnsi="Times New Roman" w:eastAsia="方正楷体_GBK"/>
          <w:bCs/>
          <w:sz w:val="32"/>
          <w:szCs w:val="32"/>
        </w:rPr>
      </w:pPr>
      <w:r>
        <w:rPr>
          <w:rFonts w:ascii="Times New Roman" w:hAnsi="Times New Roman" w:eastAsia="方正楷体_GBK"/>
          <w:bCs/>
          <w:sz w:val="32"/>
          <w:szCs w:val="32"/>
          <w:shd w:val="clear" w:color="auto" w:fill="FFFFFF"/>
        </w:rPr>
        <w:t>（十一）经营支出：</w:t>
      </w:r>
      <w:r>
        <w:rPr>
          <w:rFonts w:ascii="Times New Roman" w:hAnsi="Times New Roman" w:eastAsia="方正仿宋_GBK"/>
          <w:bCs/>
          <w:sz w:val="32"/>
          <w:szCs w:val="32"/>
          <w:shd w:val="clear" w:color="auto" w:fill="FFFFFF"/>
        </w:rPr>
        <w:t>指事业单位在专业业务活动及其辅助活动之外开展非独立核算经营活动发生的支出。</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ascii="Times New Roman" w:hAnsi="Times New Roman" w:eastAsia="方正仿宋_GBK"/>
          <w:bCs/>
          <w:sz w:val="32"/>
          <w:szCs w:val="32"/>
        </w:rPr>
      </w:pPr>
      <w:r>
        <w:rPr>
          <w:rFonts w:ascii="Times New Roman" w:hAnsi="Times New Roman" w:eastAsia="方正楷体_GBK"/>
          <w:bCs/>
          <w:sz w:val="32"/>
          <w:szCs w:val="32"/>
          <w:shd w:val="clear" w:color="auto" w:fill="FFFFFF"/>
        </w:rPr>
        <w:t>（十二）“三公”经费：</w:t>
      </w:r>
      <w:r>
        <w:rPr>
          <w:rFonts w:ascii="Times New Roman" w:hAnsi="Times New Roman" w:eastAsia="方正仿宋_GBK"/>
          <w:bCs/>
          <w:sz w:val="32"/>
          <w:szCs w:val="32"/>
          <w:shd w:val="clear" w:color="auto" w:fill="FFFFFF"/>
        </w:rPr>
        <w:t>指用一般公共预算财政拨款安排的因公出国（境）费、公务用车购置及运行维护费、公务接待费。其中，因公出国（境）费反映单位公务出国（境）的国际旅费、国外城市间交通费、住宿费、伙食费、培训费、公杂费等支出；公务用车购置费反映单位公务用车购置支出（含车辆购置税）；公务用车运行维护费反映单位按规定保留的公务用车燃料费、维修费、过路过桥费、保险费、安全奖励费用等支出；公务接待费反映单位按规定开支的各类公务接待（含外宾接待）支出。</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ascii="Times New Roman" w:hAnsi="Times New Roman" w:eastAsia="方正仿宋_GBK"/>
          <w:bCs/>
          <w:sz w:val="32"/>
          <w:szCs w:val="32"/>
        </w:rPr>
      </w:pPr>
      <w:r>
        <w:rPr>
          <w:rFonts w:ascii="Times New Roman" w:hAnsi="Times New Roman" w:eastAsia="方正楷体_GBK"/>
          <w:bCs/>
          <w:sz w:val="32"/>
          <w:szCs w:val="32"/>
          <w:shd w:val="clear" w:color="auto" w:fill="FFFFFF"/>
        </w:rPr>
        <w:t>（十三）机关运行经费：</w:t>
      </w:r>
      <w:r>
        <w:rPr>
          <w:rFonts w:ascii="Times New Roman" w:hAnsi="Times New Roman" w:eastAsia="方正仿宋_GBK"/>
          <w:bCs/>
          <w:sz w:val="32"/>
          <w:szCs w:val="32"/>
          <w:shd w:val="clear" w:color="auto" w:fill="FFFFFF"/>
        </w:rPr>
        <w:t>为保障行政单位（含参照公务员法管理的事业单位）运行用于购买货物和服务等的各项公用经费，包括办公及印刷费、邮电费、差旅费、会议费、福利费、日常维护费、专用材料及一般设备购置费、办公用房水电费、办公用房取暖费、办公用房物业管理费、公务用车运行维护费以及其他费用。</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ascii="Times New Roman" w:hAnsi="Times New Roman" w:eastAsia="方正仿宋_GBK"/>
          <w:bCs/>
          <w:sz w:val="32"/>
          <w:szCs w:val="32"/>
        </w:rPr>
      </w:pPr>
      <w:r>
        <w:rPr>
          <w:rFonts w:ascii="Times New Roman" w:hAnsi="Times New Roman" w:eastAsia="方正楷体_GBK"/>
          <w:bCs/>
          <w:sz w:val="32"/>
          <w:szCs w:val="32"/>
          <w:shd w:val="clear" w:color="auto" w:fill="FFFFFF"/>
        </w:rPr>
        <w:t>（十四）工资福利支出</w:t>
      </w:r>
      <w:r>
        <w:rPr>
          <w:rFonts w:hint="eastAsia" w:ascii="方正楷体_GBK" w:hAnsi="方正楷体_GBK" w:eastAsia="方正楷体_GBK" w:cs="方正楷体_GBK"/>
          <w:sz w:val="32"/>
          <w:szCs w:val="32"/>
        </w:rPr>
        <w:t>（支出经济分类科目类级）</w:t>
      </w:r>
      <w:r>
        <w:rPr>
          <w:rFonts w:ascii="Times New Roman" w:hAnsi="Times New Roman" w:eastAsia="方正楷体_GBK"/>
          <w:bCs/>
          <w:sz w:val="32"/>
          <w:szCs w:val="32"/>
          <w:shd w:val="clear" w:color="auto" w:fill="FFFFFF"/>
        </w:rPr>
        <w:t>：</w:t>
      </w:r>
      <w:r>
        <w:rPr>
          <w:rFonts w:ascii="Times New Roman" w:hAnsi="Times New Roman" w:eastAsia="方正仿宋_GBK"/>
          <w:bCs/>
          <w:sz w:val="32"/>
          <w:szCs w:val="32"/>
          <w:shd w:val="clear" w:color="auto" w:fill="FFFFFF"/>
        </w:rPr>
        <w:t>反映单位开支的在职职工和编制外长期聘用人员的各类劳动报酬，以及为上述人员缴纳的各项社会保险费等。</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ascii="Times New Roman" w:hAnsi="Times New Roman" w:eastAsia="方正仿宋_GBK"/>
          <w:bCs/>
          <w:sz w:val="32"/>
          <w:szCs w:val="32"/>
        </w:rPr>
      </w:pPr>
      <w:r>
        <w:rPr>
          <w:rFonts w:ascii="Times New Roman" w:hAnsi="Times New Roman" w:eastAsia="方正楷体_GBK"/>
          <w:bCs/>
          <w:sz w:val="32"/>
          <w:szCs w:val="32"/>
          <w:shd w:val="clear" w:color="auto" w:fill="FFFFFF"/>
        </w:rPr>
        <w:t>（十五）商品和服务支出</w:t>
      </w:r>
      <w:r>
        <w:rPr>
          <w:rFonts w:hint="eastAsia" w:ascii="方正楷体_GBK" w:hAnsi="方正楷体_GBK" w:eastAsia="方正楷体_GBK" w:cs="方正楷体_GBK"/>
          <w:sz w:val="32"/>
          <w:szCs w:val="32"/>
        </w:rPr>
        <w:t>（支出经济分类科目类级）</w:t>
      </w:r>
      <w:r>
        <w:rPr>
          <w:rFonts w:ascii="Times New Roman" w:hAnsi="Times New Roman" w:eastAsia="方正楷体_GBK"/>
          <w:bCs/>
          <w:sz w:val="32"/>
          <w:szCs w:val="32"/>
          <w:shd w:val="clear" w:color="auto" w:fill="FFFFFF"/>
        </w:rPr>
        <w:t>：</w:t>
      </w:r>
      <w:r>
        <w:rPr>
          <w:rFonts w:ascii="Times New Roman" w:hAnsi="Times New Roman" w:eastAsia="方正仿宋_GBK"/>
          <w:bCs/>
          <w:sz w:val="32"/>
          <w:szCs w:val="32"/>
          <w:shd w:val="clear" w:color="auto" w:fill="FFFFFF"/>
        </w:rPr>
        <w:t>反映单位购买商品和服务的支出（不包括用于购置固定资产的支出、战略性和应急储备支出）。</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ascii="Times New Roman" w:hAnsi="Times New Roman" w:eastAsia="方正仿宋_GBK"/>
          <w:bCs/>
          <w:sz w:val="32"/>
          <w:szCs w:val="32"/>
        </w:rPr>
      </w:pPr>
      <w:r>
        <w:rPr>
          <w:rFonts w:ascii="Times New Roman" w:hAnsi="Times New Roman" w:eastAsia="方正楷体_GBK"/>
          <w:bCs/>
          <w:sz w:val="32"/>
          <w:szCs w:val="32"/>
          <w:shd w:val="clear" w:color="auto" w:fill="FFFFFF"/>
        </w:rPr>
        <w:t>（十六）对个人和家庭的补助</w:t>
      </w:r>
      <w:r>
        <w:rPr>
          <w:rFonts w:hint="eastAsia" w:ascii="方正楷体_GBK" w:hAnsi="方正楷体_GBK" w:eastAsia="方正楷体_GBK" w:cs="方正楷体_GBK"/>
          <w:sz w:val="32"/>
          <w:szCs w:val="32"/>
        </w:rPr>
        <w:t>（支出经济分类科目类级）</w:t>
      </w:r>
      <w:r>
        <w:rPr>
          <w:rFonts w:ascii="Times New Roman" w:hAnsi="Times New Roman" w:eastAsia="方正楷体_GBK"/>
          <w:bCs/>
          <w:sz w:val="32"/>
          <w:szCs w:val="32"/>
          <w:shd w:val="clear" w:color="auto" w:fill="FFFFFF"/>
        </w:rPr>
        <w:t>：</w:t>
      </w:r>
      <w:r>
        <w:rPr>
          <w:rFonts w:ascii="Times New Roman" w:hAnsi="Times New Roman" w:eastAsia="方正仿宋_GBK"/>
          <w:bCs/>
          <w:sz w:val="32"/>
          <w:szCs w:val="32"/>
          <w:shd w:val="clear" w:color="auto" w:fill="FFFFFF"/>
        </w:rPr>
        <w:t>反映用于对个人和家庭的补助支出。</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ascii="Times New Roman" w:hAnsi="Times New Roman" w:eastAsia="方正仿宋_GBK"/>
          <w:bCs/>
          <w:sz w:val="32"/>
          <w:szCs w:val="32"/>
        </w:rPr>
      </w:pPr>
      <w:r>
        <w:rPr>
          <w:rFonts w:ascii="Times New Roman" w:hAnsi="Times New Roman" w:eastAsia="方正楷体_GBK"/>
          <w:bCs/>
          <w:sz w:val="32"/>
          <w:szCs w:val="32"/>
          <w:shd w:val="clear" w:color="auto" w:fill="FFFFFF"/>
        </w:rPr>
        <w:t>（十七）其他资本性支出</w:t>
      </w:r>
      <w:r>
        <w:rPr>
          <w:rFonts w:hint="eastAsia" w:ascii="方正楷体_GBK" w:hAnsi="方正楷体_GBK" w:eastAsia="方正楷体_GBK" w:cs="方正楷体_GBK"/>
          <w:sz w:val="32"/>
          <w:szCs w:val="32"/>
        </w:rPr>
        <w:t>（支出经济分类科目类级）</w:t>
      </w:r>
      <w:r>
        <w:rPr>
          <w:rFonts w:ascii="Times New Roman" w:hAnsi="Times New Roman" w:eastAsia="方正楷体_GBK"/>
          <w:bCs/>
          <w:sz w:val="32"/>
          <w:szCs w:val="32"/>
          <w:shd w:val="clear" w:color="auto" w:fill="FFFFFF"/>
        </w:rPr>
        <w:t>：</w:t>
      </w:r>
      <w:r>
        <w:rPr>
          <w:rFonts w:ascii="Times New Roman" w:hAnsi="Times New Roman" w:eastAsia="方正仿宋_GBK"/>
          <w:bCs/>
          <w:sz w:val="32"/>
          <w:szCs w:val="32"/>
          <w:shd w:val="clear" w:color="auto" w:fill="FFFFFF"/>
        </w:rPr>
        <w:t>反映非各级发展与改革部门集中安排的用于购置固定资产、战略性和应急性储备、土地和无形资产，以及构建基础设施、大型修缮和财政支持企业更新改造所发生的支出。</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ascii="Times New Roman" w:hAnsi="Times New Roman" w:eastAsia="方正黑体_GBK"/>
          <w:bCs/>
          <w:sz w:val="32"/>
          <w:szCs w:val="32"/>
        </w:rPr>
      </w:pPr>
      <w:r>
        <w:rPr>
          <w:rFonts w:ascii="Times New Roman" w:hAnsi="Times New Roman" w:eastAsia="方正黑体_GBK"/>
          <w:bCs/>
          <w:sz w:val="32"/>
          <w:szCs w:val="32"/>
          <w:shd w:val="clear" w:color="auto" w:fill="FFFFFF"/>
        </w:rPr>
        <w:t>七、决算公开联系方式及信息反馈渠道</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eastAsia" w:ascii="方正仿宋_GBK" w:hAnsi="方正仿宋_GBK" w:eastAsia="方正仿宋_GBK" w:cs="方正仿宋_GBK"/>
          <w:sz w:val="32"/>
          <w:szCs w:val="32"/>
          <w:lang w:val="en-US" w:eastAsia="zh-CN"/>
        </w:rPr>
        <w:sectPr>
          <w:footerReference r:id="rId3" w:type="default"/>
          <w:pgSz w:w="11915" w:h="16840"/>
          <w:pgMar w:top="1984" w:right="1588" w:bottom="2098" w:left="1474" w:header="851" w:footer="992" w:gutter="0"/>
          <w:pgNumType w:fmt="numberInDash"/>
          <w:cols w:space="720" w:num="1"/>
          <w:docGrid w:type="lines" w:linePitch="312" w:charSpace="0"/>
        </w:sectPr>
      </w:pPr>
      <w:r>
        <w:rPr>
          <w:rFonts w:hint="eastAsia" w:ascii="方正仿宋_GBK" w:hAnsi="方正仿宋_GBK" w:eastAsia="方正仿宋_GBK" w:cs="方正仿宋_GBK"/>
          <w:sz w:val="32"/>
          <w:szCs w:val="32"/>
          <w:shd w:val="clear" w:color="auto" w:fill="FFFFFF"/>
          <w:lang w:eastAsia="zh-CN"/>
        </w:rPr>
        <w:t>本</w:t>
      </w:r>
      <w:r>
        <w:rPr>
          <w:rFonts w:ascii="方正仿宋_GBK" w:hAnsi="方正仿宋_GBK" w:eastAsia="方正仿宋_GBK" w:cs="方正仿宋_GBK"/>
          <w:sz w:val="32"/>
          <w:szCs w:val="32"/>
          <w:shd w:val="clear" w:color="auto" w:fill="FFFFFF"/>
        </w:rPr>
        <w:t>单位决算公开信息反馈和联系方式</w:t>
      </w:r>
      <w:r>
        <w:rPr>
          <w:rFonts w:ascii="Times New Roman" w:hAnsi="Times New Roman" w:eastAsia="方正仿宋_GBK"/>
          <w:sz w:val="32"/>
          <w:szCs w:val="32"/>
          <w:shd w:val="clear" w:color="auto" w:fill="FFFFFF"/>
        </w:rPr>
        <w:t>：</w:t>
      </w:r>
      <w:r>
        <w:rPr>
          <w:rFonts w:hint="eastAsia" w:ascii="方正仿宋_GBK" w:hAnsi="方正仿宋_GBK" w:eastAsia="方正仿宋_GBK" w:cs="方正仿宋_GBK"/>
          <w:sz w:val="32"/>
          <w:szCs w:val="32"/>
          <w:shd w:val="clear" w:color="auto" w:fill="FFFFFF"/>
          <w:lang w:eastAsia="zh-CN"/>
        </w:rPr>
        <w:t>胡春</w:t>
      </w:r>
      <w:r>
        <w:rPr>
          <w:rFonts w:ascii="Times New Roman" w:hAnsi="Times New Roman" w:eastAsia="方正仿宋_GBK"/>
          <w:sz w:val="32"/>
          <w:szCs w:val="32"/>
          <w:shd w:val="clear" w:color="auto" w:fill="FFFFFF"/>
        </w:rPr>
        <w:t>023-7664316</w:t>
      </w:r>
      <w:r>
        <w:rPr>
          <w:rFonts w:hint="eastAsia" w:ascii="Times New Roman" w:hAnsi="Times New Roman" w:eastAsia="方正仿宋_GBK"/>
          <w:sz w:val="32"/>
          <w:szCs w:val="32"/>
          <w:shd w:val="clear" w:color="auto" w:fill="FFFFFF"/>
          <w:lang w:val="en-US" w:eastAsia="zh-CN"/>
        </w:rPr>
        <w:t>2</w:t>
      </w:r>
    </w:p>
    <w:p>
      <w:pPr>
        <w:rPr>
          <w:rFonts w:hint="default" w:cs="宋体"/>
          <w:sz w:val="21"/>
          <w:szCs w:val="21"/>
        </w:rPr>
      </w:pPr>
    </w:p>
    <w:tbl>
      <w:tblPr>
        <w:tblStyle w:val="12"/>
        <w:tblW w:w="15393" w:type="dxa"/>
        <w:tblInd w:w="0" w:type="dxa"/>
        <w:tblLayout w:type="fixed"/>
        <w:tblCellMar>
          <w:top w:w="0" w:type="dxa"/>
          <w:left w:w="0" w:type="dxa"/>
          <w:bottom w:w="0" w:type="dxa"/>
          <w:right w:w="0" w:type="dxa"/>
        </w:tblCellMar>
      </w:tblPr>
      <w:tblGrid>
        <w:gridCol w:w="5122"/>
        <w:gridCol w:w="2020"/>
        <w:gridCol w:w="4809"/>
        <w:gridCol w:w="3442"/>
      </w:tblGrid>
      <w:tr>
        <w:tblPrEx>
          <w:tblLayout w:type="fixed"/>
          <w:tblCellMar>
            <w:top w:w="0" w:type="dxa"/>
            <w:left w:w="0" w:type="dxa"/>
            <w:bottom w:w="0" w:type="dxa"/>
            <w:right w:w="0" w:type="dxa"/>
          </w:tblCellMar>
        </w:tblPrEx>
        <w:trPr>
          <w:trHeight w:val="232" w:hRule="atLeast"/>
        </w:trPr>
        <w:tc>
          <w:tcPr>
            <w:tcW w:w="15393" w:type="dxa"/>
            <w:gridSpan w:val="4"/>
            <w:tcBorders>
              <w:top w:val="nil"/>
              <w:left w:val="nil"/>
              <w:bottom w:val="nil"/>
              <w:right w:val="nil"/>
            </w:tcBorders>
            <w:shd w:val="clear" w:color="auto" w:fill="auto"/>
            <w:tcMar>
              <w:top w:w="15" w:type="dxa"/>
              <w:left w:w="15" w:type="dxa"/>
              <w:right w:w="15" w:type="dxa"/>
            </w:tcMar>
            <w:vAlign w:val="bottom"/>
          </w:tcPr>
          <w:p>
            <w:pPr>
              <w:spacing w:line="400" w:lineRule="exact"/>
              <w:jc w:val="center"/>
              <w:textAlignment w:val="bottom"/>
              <w:rPr>
                <w:rFonts w:hint="default" w:cs="宋体"/>
                <w:b/>
                <w:color w:val="000000"/>
                <w:sz w:val="32"/>
                <w:szCs w:val="32"/>
              </w:rPr>
            </w:pPr>
            <w:r>
              <w:rPr>
                <w:rFonts w:cs="宋体"/>
                <w:b/>
                <w:color w:val="000000"/>
                <w:sz w:val="32"/>
                <w:szCs w:val="32"/>
              </w:rPr>
              <w:t>收入支出决算总表</w:t>
            </w:r>
          </w:p>
        </w:tc>
      </w:tr>
      <w:tr>
        <w:tblPrEx>
          <w:tblLayout w:type="fixed"/>
          <w:tblCellMar>
            <w:top w:w="0" w:type="dxa"/>
            <w:left w:w="0" w:type="dxa"/>
            <w:bottom w:w="0" w:type="dxa"/>
            <w:right w:w="0" w:type="dxa"/>
          </w:tblCellMar>
        </w:tblPrEx>
        <w:trPr>
          <w:trHeight w:val="232" w:hRule="atLeast"/>
        </w:trPr>
        <w:tc>
          <w:tcPr>
            <w:tcW w:w="5122"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Arial" w:hAnsi="Arial" w:cs="Arial"/>
                <w:color w:val="000000"/>
                <w:sz w:val="20"/>
                <w:szCs w:val="20"/>
              </w:rPr>
            </w:pPr>
          </w:p>
        </w:tc>
        <w:tc>
          <w:tcPr>
            <w:tcW w:w="2020" w:type="dxa"/>
            <w:tcBorders>
              <w:top w:val="nil"/>
              <w:left w:val="nil"/>
              <w:bottom w:val="nil"/>
              <w:right w:val="nil"/>
            </w:tcBorders>
            <w:shd w:val="clear" w:color="auto" w:fill="auto"/>
            <w:tcMar>
              <w:top w:w="15" w:type="dxa"/>
              <w:left w:w="15" w:type="dxa"/>
              <w:right w:w="15" w:type="dxa"/>
            </w:tcMar>
            <w:vAlign w:val="bottom"/>
          </w:tcPr>
          <w:p>
            <w:pPr>
              <w:spacing w:line="200" w:lineRule="exact"/>
              <w:jc w:val="right"/>
              <w:rPr>
                <w:rFonts w:hint="default" w:ascii="Arial" w:hAnsi="Arial" w:cs="Arial"/>
                <w:color w:val="000000"/>
                <w:sz w:val="20"/>
                <w:szCs w:val="20"/>
              </w:rPr>
            </w:pPr>
          </w:p>
        </w:tc>
        <w:tc>
          <w:tcPr>
            <w:tcW w:w="4809"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Arial" w:hAnsi="Arial" w:cs="Arial"/>
                <w:color w:val="000000"/>
                <w:sz w:val="20"/>
                <w:szCs w:val="20"/>
              </w:rPr>
            </w:pPr>
          </w:p>
        </w:tc>
        <w:tc>
          <w:tcPr>
            <w:tcW w:w="3442"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cs="宋体"/>
                <w:color w:val="000000"/>
                <w:sz w:val="20"/>
                <w:szCs w:val="20"/>
              </w:rPr>
            </w:pPr>
            <w:r>
              <w:rPr>
                <w:rFonts w:cs="宋体"/>
                <w:color w:val="000000"/>
                <w:sz w:val="20"/>
                <w:szCs w:val="20"/>
              </w:rPr>
              <w:t>公开01表</w:t>
            </w:r>
          </w:p>
        </w:tc>
      </w:tr>
      <w:tr>
        <w:tblPrEx>
          <w:tblLayout w:type="fixed"/>
          <w:tblCellMar>
            <w:top w:w="0" w:type="dxa"/>
            <w:left w:w="0" w:type="dxa"/>
            <w:bottom w:w="0" w:type="dxa"/>
            <w:right w:w="0" w:type="dxa"/>
          </w:tblCellMar>
        </w:tblPrEx>
        <w:trPr>
          <w:trHeight w:val="232" w:hRule="atLeast"/>
        </w:trPr>
        <w:tc>
          <w:tcPr>
            <w:tcW w:w="7142" w:type="dxa"/>
            <w:gridSpan w:val="2"/>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Arial" w:hAnsi="Arial" w:cs="Arial"/>
                <w:color w:val="000000"/>
                <w:sz w:val="22"/>
                <w:szCs w:val="22"/>
              </w:rPr>
            </w:pPr>
            <w:r>
              <w:rPr>
                <w:rFonts w:cs="宋体"/>
                <w:sz w:val="20"/>
                <w:szCs w:val="20"/>
              </w:rPr>
              <w:t>公开单位：</w:t>
            </w:r>
            <w:r>
              <w:rPr>
                <w:sz w:val="20"/>
                <w:u w:color="auto"/>
              </w:rPr>
              <w:t>重庆市秀山土家族苗族自治县妙泉镇卫生院</w:t>
            </w:r>
          </w:p>
        </w:tc>
        <w:tc>
          <w:tcPr>
            <w:tcW w:w="4809"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Arial" w:hAnsi="Arial" w:cs="Arial"/>
                <w:color w:val="000000"/>
                <w:sz w:val="22"/>
                <w:szCs w:val="22"/>
              </w:rPr>
            </w:pPr>
          </w:p>
        </w:tc>
        <w:tc>
          <w:tcPr>
            <w:tcW w:w="3442"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243" w:hRule="atLeast"/>
        </w:trPr>
        <w:tc>
          <w:tcPr>
            <w:tcW w:w="7142"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收入</w:t>
            </w:r>
          </w:p>
        </w:tc>
        <w:tc>
          <w:tcPr>
            <w:tcW w:w="8251" w:type="dxa"/>
            <w:gridSpan w:val="2"/>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支出</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项目</w:t>
            </w:r>
          </w:p>
        </w:tc>
        <w:tc>
          <w:tcPr>
            <w:tcW w:w="2020"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决算数</w:t>
            </w: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功能分类科目</w:t>
            </w:r>
          </w:p>
        </w:tc>
        <w:tc>
          <w:tcPr>
            <w:tcW w:w="3442"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决算数</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一、一般公共预算财政拨款收入</w:t>
            </w: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rFonts w:cs="宋体"/>
                <w:color w:val="000000"/>
                <w:sz w:val="20"/>
                <w:szCs w:val="20"/>
              </w:rPr>
              <w:t>193.73</w:t>
            </w:r>
            <w:r>
              <w:rPr>
                <w:color w:val="000000"/>
                <w:sz w:val="20"/>
                <w:u w:color="auto"/>
              </w:rPr>
              <w:t xml:space="preserve"> </w:t>
            </w: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一、一般公共服务支出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二、政府性基金预算财政拨款收入</w:t>
            </w: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二、外交支出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三、国有资本经营预算财政拨款收入</w:t>
            </w: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三、国防支出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四、上级补助收入</w:t>
            </w: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四、公共安全支出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五、事业收入</w:t>
            </w: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rFonts w:cs="宋体"/>
                <w:color w:val="000000"/>
                <w:sz w:val="20"/>
                <w:szCs w:val="20"/>
              </w:rPr>
              <w:t>126.20</w:t>
            </w:r>
            <w:r>
              <w:rPr>
                <w:color w:val="000000"/>
                <w:sz w:val="20"/>
                <w:u w:color="auto"/>
              </w:rPr>
              <w:t xml:space="preserve"> </w:t>
            </w: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五、教育支出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六、经营收入</w:t>
            </w: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六、科学技术支出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七、附属单位上缴收入</w:t>
            </w: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七、文化旅游体育与传媒支出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八、其他收入</w:t>
            </w:r>
          </w:p>
        </w:tc>
        <w:tc>
          <w:tcPr>
            <w:tcW w:w="2020" w:type="dxa"/>
            <w:tcBorders>
              <w:top w:val="nil"/>
              <w:left w:val="nil"/>
              <w:bottom w:val="nil"/>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rFonts w:cs="宋体"/>
                <w:color w:val="000000"/>
                <w:sz w:val="20"/>
                <w:szCs w:val="20"/>
              </w:rPr>
              <w:t>12.54</w:t>
            </w:r>
            <w:r>
              <w:rPr>
                <w:color w:val="000000"/>
                <w:sz w:val="20"/>
                <w:u w:color="auto"/>
              </w:rPr>
              <w:t xml:space="preserve"> </w:t>
            </w: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八、社会保障和就业支出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rFonts w:cs="宋体"/>
                <w:color w:val="000000"/>
                <w:sz w:val="20"/>
                <w:szCs w:val="20"/>
              </w:rPr>
              <w:t>11.55</w:t>
            </w: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20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40" w:lineRule="exact"/>
              <w:jc w:val="right"/>
              <w:rPr>
                <w:rFonts w:hint="default" w:ascii="Arial" w:hAnsi="Arial" w:cs="Arial"/>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九、卫生健康支出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rFonts w:cs="宋体"/>
                <w:color w:val="000000"/>
                <w:sz w:val="20"/>
                <w:szCs w:val="20"/>
              </w:rPr>
              <w:t>309.78</w:t>
            </w: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20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40" w:lineRule="exact"/>
              <w:jc w:val="right"/>
              <w:rPr>
                <w:rFonts w:hint="default" w:ascii="Arial" w:hAnsi="Arial" w:cs="Arial"/>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十、节能环保支出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20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40" w:lineRule="exact"/>
              <w:jc w:val="right"/>
              <w:rPr>
                <w:rFonts w:hint="default" w:ascii="Arial" w:hAnsi="Arial" w:cs="Arial"/>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十一、城乡社区支出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20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40" w:lineRule="exact"/>
              <w:jc w:val="right"/>
              <w:rPr>
                <w:rFonts w:hint="default" w:ascii="Arial" w:hAnsi="Arial" w:cs="Arial"/>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十二、农林水支出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20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cs="宋体"/>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十三、交通运输支出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cs="宋体"/>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十四、资源勘探工业信息等支出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cs="宋体"/>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十五、商业服务业等支出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cs="宋体"/>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十六、金融支出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cs="宋体"/>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十七、援助其他地区支出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cs="宋体"/>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十八、自然资源海洋气象等支出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cs="宋体"/>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十九、住房保障支出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rFonts w:cs="宋体"/>
                <w:color w:val="000000"/>
                <w:sz w:val="20"/>
                <w:szCs w:val="20"/>
              </w:rPr>
              <w:t>4.26</w:t>
            </w: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cs="宋体"/>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二十、粮油物资储备支出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cs="宋体"/>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二十一、国有资本经营预算支出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cs="宋体"/>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二十二、灾害防治及应急管理支出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cs="宋体"/>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二十三、其他支出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jc w:val="center"/>
              <w:rPr>
                <w:rFonts w:hint="default" w:cs="宋体"/>
                <w:b/>
                <w:color w:val="000000"/>
                <w:sz w:val="20"/>
                <w:szCs w:val="20"/>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cs="宋体"/>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二十四、债务还本支出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cs="宋体"/>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二十五、债务付息支出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cs="宋体"/>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二十六、抗疫特别国债安排的支出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本年收入合计</w:t>
            </w: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rFonts w:cs="宋体"/>
                <w:color w:val="000000"/>
                <w:sz w:val="20"/>
                <w:szCs w:val="20"/>
              </w:rPr>
              <w:t>332.47</w:t>
            </w:r>
            <w:r>
              <w:rPr>
                <w:color w:val="000000"/>
                <w:sz w:val="20"/>
                <w:u w:color="auto"/>
              </w:rPr>
              <w:t xml:space="preserve"> </w:t>
            </w: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本年支出合计</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rFonts w:cs="宋体"/>
                <w:color w:val="000000"/>
                <w:sz w:val="20"/>
                <w:szCs w:val="20"/>
              </w:rPr>
              <w:t>325.59</w:t>
            </w: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使用非财政拨款结余和专用结余</w:t>
            </w: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结余分配</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年初结转和结余</w:t>
            </w: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年末结转和结余</w:t>
            </w:r>
          </w:p>
        </w:tc>
        <w:tc>
          <w:tcPr>
            <w:tcW w:w="3442" w:type="dxa"/>
            <w:tcBorders>
              <w:top w:val="nil"/>
              <w:left w:val="nil"/>
              <w:bottom w:val="single" w:color="auto"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rFonts w:cs="宋体"/>
                <w:color w:val="000000"/>
                <w:sz w:val="20"/>
                <w:szCs w:val="20"/>
              </w:rPr>
              <w:t>6.88</w:t>
            </w:r>
            <w:r>
              <w:rPr>
                <w:color w:val="000000"/>
                <w:sz w:val="20"/>
                <w:u w:color="auto"/>
              </w:rPr>
              <w:t xml:space="preserve"> </w:t>
            </w:r>
          </w:p>
        </w:tc>
      </w:tr>
      <w:tr>
        <w:tblPrEx>
          <w:tblLayout w:type="fixed"/>
          <w:tblCellMar>
            <w:top w:w="0" w:type="dxa"/>
            <w:left w:w="0" w:type="dxa"/>
            <w:bottom w:w="0" w:type="dxa"/>
            <w:right w:w="0" w:type="dxa"/>
          </w:tblCellMar>
        </w:tblPrEx>
        <w:trPr>
          <w:trHeight w:val="25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总计</w:t>
            </w:r>
          </w:p>
        </w:tc>
        <w:tc>
          <w:tcPr>
            <w:tcW w:w="20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rFonts w:cs="宋体"/>
                <w:color w:val="000000"/>
                <w:sz w:val="20"/>
                <w:szCs w:val="20"/>
              </w:rPr>
              <w:t>332.47</w:t>
            </w:r>
            <w:r>
              <w:rPr>
                <w:color w:val="000000"/>
                <w:sz w:val="20"/>
                <w:u w:color="auto"/>
              </w:rPr>
              <w:t xml:space="preserve"> </w:t>
            </w:r>
          </w:p>
        </w:tc>
        <w:tc>
          <w:tcPr>
            <w:tcW w:w="4809" w:type="dxa"/>
            <w:tcBorders>
              <w:top w:val="nil"/>
              <w:left w:val="nil"/>
              <w:bottom w:val="single" w:color="000000" w:sz="4" w:space="0"/>
              <w:right w:val="single" w:color="auto" w:sz="4" w:space="0"/>
            </w:tcBorders>
            <w:shd w:val="clear" w:color="FFFFFF" w:fill="C0C0C0"/>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总计</w:t>
            </w:r>
          </w:p>
        </w:tc>
        <w:tc>
          <w:tcPr>
            <w:tcW w:w="344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rFonts w:cs="宋体"/>
                <w:color w:val="000000"/>
                <w:sz w:val="20"/>
                <w:szCs w:val="20"/>
              </w:rPr>
              <w:t>332.47</w:t>
            </w:r>
            <w:r>
              <w:rPr>
                <w:color w:val="000000"/>
                <w:sz w:val="20"/>
                <w:u w:color="auto"/>
              </w:rPr>
              <w:t xml:space="preserve"> </w:t>
            </w:r>
          </w:p>
        </w:tc>
      </w:tr>
    </w:tbl>
    <w:p>
      <w:pPr>
        <w:spacing w:line="240" w:lineRule="exact"/>
        <w:rPr>
          <w:rFonts w:hint="default" w:cs="宋体"/>
          <w:sz w:val="20"/>
          <w:szCs w:val="20"/>
        </w:rPr>
      </w:pPr>
      <w:r>
        <w:rPr>
          <w:rFonts w:cs="宋体"/>
          <w:sz w:val="20"/>
          <w:szCs w:val="20"/>
        </w:rPr>
        <w:t>备注：1.本表反映单位本年度的总收支和年末结转结余情况。</w:t>
      </w:r>
      <w:r>
        <w:rPr>
          <w:rFonts w:cs="宋体"/>
          <w:sz w:val="20"/>
          <w:szCs w:val="20"/>
        </w:rPr>
        <w:br w:type="textWrapping"/>
      </w:r>
      <w:r>
        <w:rPr>
          <w:rFonts w:cs="宋体"/>
          <w:sz w:val="20"/>
          <w:szCs w:val="20"/>
        </w:rPr>
        <w:t xml:space="preserve">      2.本套报表金额单位转换时可能存在尾数误差。</w:t>
      </w:r>
      <w:r>
        <w:rPr>
          <w:rFonts w:cs="宋体"/>
          <w:sz w:val="20"/>
          <w:szCs w:val="20"/>
        </w:rPr>
        <w:br w:type="textWrapping"/>
      </w:r>
      <w:r>
        <w:rPr>
          <w:rFonts w:cs="宋体"/>
          <w:sz w:val="20"/>
          <w:szCs w:val="20"/>
        </w:rPr>
        <w:br w:type="textWrapping"/>
      </w:r>
    </w:p>
    <w:tbl>
      <w:tblPr>
        <w:tblStyle w:val="12"/>
        <w:tblW w:w="15378" w:type="dxa"/>
        <w:tblInd w:w="0" w:type="dxa"/>
        <w:tblLayout w:type="fixed"/>
        <w:tblCellMar>
          <w:top w:w="0" w:type="dxa"/>
          <w:left w:w="0" w:type="dxa"/>
          <w:bottom w:w="0" w:type="dxa"/>
          <w:right w:w="0" w:type="dxa"/>
        </w:tblCellMar>
      </w:tblPr>
      <w:tblGrid>
        <w:gridCol w:w="1702"/>
        <w:gridCol w:w="3171"/>
        <w:gridCol w:w="1233"/>
        <w:gridCol w:w="1233"/>
        <w:gridCol w:w="1233"/>
        <w:gridCol w:w="1233"/>
        <w:gridCol w:w="1366"/>
        <w:gridCol w:w="1307"/>
        <w:gridCol w:w="1439"/>
        <w:gridCol w:w="1461"/>
      </w:tblGrid>
      <w:tr>
        <w:tblPrEx>
          <w:tblLayout w:type="fixed"/>
          <w:tblCellMar>
            <w:top w:w="0" w:type="dxa"/>
            <w:left w:w="0" w:type="dxa"/>
            <w:bottom w:w="0" w:type="dxa"/>
            <w:right w:w="0" w:type="dxa"/>
          </w:tblCellMar>
        </w:tblPrEx>
        <w:trPr>
          <w:trHeight w:val="641" w:hRule="atLeast"/>
        </w:trPr>
        <w:tc>
          <w:tcPr>
            <w:tcW w:w="15378" w:type="dxa"/>
            <w:gridSpan w:val="10"/>
            <w:tcBorders>
              <w:top w:val="nil"/>
              <w:left w:val="nil"/>
              <w:bottom w:val="nil"/>
              <w:right w:val="nil"/>
            </w:tcBorders>
            <w:shd w:val="clear" w:color="auto" w:fill="auto"/>
            <w:tcMar>
              <w:top w:w="15" w:type="dxa"/>
              <w:left w:w="15" w:type="dxa"/>
              <w:right w:w="15" w:type="dxa"/>
            </w:tcMar>
            <w:vAlign w:val="bottom"/>
          </w:tcPr>
          <w:p>
            <w:pPr>
              <w:jc w:val="center"/>
              <w:textAlignment w:val="bottom"/>
              <w:rPr>
                <w:rFonts w:hint="default" w:cs="宋体"/>
                <w:b/>
                <w:color w:val="000000"/>
                <w:sz w:val="32"/>
                <w:szCs w:val="32"/>
              </w:rPr>
            </w:pPr>
            <w:r>
              <w:rPr>
                <w:rFonts w:cs="宋体"/>
                <w:b/>
                <w:color w:val="000000"/>
                <w:sz w:val="32"/>
                <w:szCs w:val="32"/>
              </w:rPr>
              <w:t>收入决算表</w:t>
            </w:r>
          </w:p>
        </w:tc>
      </w:tr>
      <w:tr>
        <w:tblPrEx>
          <w:tblLayout w:type="fixed"/>
          <w:tblCellMar>
            <w:top w:w="0" w:type="dxa"/>
            <w:left w:w="0" w:type="dxa"/>
            <w:bottom w:w="0" w:type="dxa"/>
            <w:right w:w="0" w:type="dxa"/>
          </w:tblCellMar>
        </w:tblPrEx>
        <w:trPr>
          <w:trHeight w:val="328" w:hRule="atLeast"/>
        </w:trPr>
        <w:tc>
          <w:tcPr>
            <w:tcW w:w="6106" w:type="dxa"/>
            <w:gridSpan w:val="3"/>
            <w:vMerge w:val="restart"/>
            <w:tcBorders>
              <w:top w:val="nil"/>
              <w:left w:val="nil"/>
              <w:right w:val="nil"/>
            </w:tcBorders>
            <w:shd w:val="clear" w:color="auto" w:fill="auto"/>
            <w:tcMar>
              <w:top w:w="15" w:type="dxa"/>
              <w:left w:w="15" w:type="dxa"/>
              <w:right w:w="15" w:type="dxa"/>
            </w:tcMar>
            <w:vAlign w:val="bottom"/>
          </w:tcPr>
          <w:p>
            <w:pPr>
              <w:rPr>
                <w:rFonts w:hint="default" w:cs="宋体"/>
                <w:color w:val="000000"/>
                <w:sz w:val="20"/>
                <w:szCs w:val="20"/>
              </w:rPr>
            </w:pPr>
            <w:r>
              <w:rPr>
                <w:rFonts w:cs="宋体"/>
                <w:sz w:val="20"/>
                <w:szCs w:val="20"/>
              </w:rPr>
              <w:t>公开单位：</w:t>
            </w:r>
            <w:r>
              <w:rPr>
                <w:sz w:val="20"/>
                <w:u w:color="auto"/>
              </w:rPr>
              <w:t>重庆市秀山土家族苗族自治县妙泉镇卫生院</w:t>
            </w:r>
          </w:p>
        </w:tc>
        <w:tc>
          <w:tcPr>
            <w:tcW w:w="1233"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233"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233"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366"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307"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439"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461"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公开02表</w:t>
            </w:r>
          </w:p>
        </w:tc>
      </w:tr>
      <w:tr>
        <w:tblPrEx>
          <w:tblLayout w:type="fixed"/>
          <w:tblCellMar>
            <w:top w:w="0" w:type="dxa"/>
            <w:left w:w="0" w:type="dxa"/>
            <w:bottom w:w="0" w:type="dxa"/>
            <w:right w:w="0" w:type="dxa"/>
          </w:tblCellMar>
        </w:tblPrEx>
        <w:trPr>
          <w:trHeight w:val="328" w:hRule="atLeast"/>
        </w:trPr>
        <w:tc>
          <w:tcPr>
            <w:tcW w:w="6106" w:type="dxa"/>
            <w:gridSpan w:val="3"/>
            <w:vMerge w:val="continue"/>
            <w:tcBorders>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233"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233"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233"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366"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307"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439"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461"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431" w:hRule="atLeast"/>
        </w:trPr>
        <w:tc>
          <w:tcPr>
            <w:tcW w:w="4873" w:type="dxa"/>
            <w:gridSpan w:val="2"/>
            <w:tcBorders>
              <w:top w:val="single" w:color="000000" w:sz="4" w:space="0"/>
              <w:left w:val="single" w:color="000000" w:sz="4" w:space="0"/>
              <w:bottom w:val="single" w:color="000000" w:sz="4" w:space="0"/>
              <w:right w:val="nil"/>
            </w:tcBorders>
            <w:shd w:val="clear" w:color="auto" w:fill="D0CECE"/>
            <w:tcMar>
              <w:top w:w="15" w:type="dxa"/>
              <w:left w:w="15" w:type="dxa"/>
              <w:right w:w="15" w:type="dxa"/>
            </w:tcMar>
            <w:vAlign w:val="bottom"/>
          </w:tcPr>
          <w:p>
            <w:pPr>
              <w:jc w:val="center"/>
              <w:textAlignment w:val="bottom"/>
              <w:rPr>
                <w:rFonts w:hint="default" w:cs="宋体"/>
                <w:b/>
                <w:color w:val="000000"/>
                <w:sz w:val="20"/>
                <w:szCs w:val="20"/>
              </w:rPr>
            </w:pPr>
            <w:r>
              <w:rPr>
                <w:rFonts w:cs="宋体"/>
                <w:b/>
                <w:color w:val="000000"/>
                <w:sz w:val="20"/>
                <w:szCs w:val="20"/>
              </w:rPr>
              <w:t>项目</w:t>
            </w:r>
          </w:p>
        </w:tc>
        <w:tc>
          <w:tcPr>
            <w:tcW w:w="1233"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本年收入合计</w:t>
            </w:r>
          </w:p>
        </w:tc>
        <w:tc>
          <w:tcPr>
            <w:tcW w:w="1233"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财政拨款收入</w:t>
            </w:r>
          </w:p>
        </w:tc>
        <w:tc>
          <w:tcPr>
            <w:tcW w:w="1233"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上级补助收入</w:t>
            </w:r>
          </w:p>
        </w:tc>
        <w:tc>
          <w:tcPr>
            <w:tcW w:w="2599" w:type="dxa"/>
            <w:gridSpan w:val="2"/>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bottom"/>
          </w:tcPr>
          <w:p>
            <w:pPr>
              <w:jc w:val="center"/>
              <w:textAlignment w:val="bottom"/>
              <w:rPr>
                <w:rFonts w:hint="default" w:cs="宋体"/>
                <w:b/>
                <w:color w:val="000000"/>
                <w:sz w:val="20"/>
                <w:szCs w:val="20"/>
              </w:rPr>
            </w:pPr>
            <w:r>
              <w:rPr>
                <w:rFonts w:cs="宋体"/>
                <w:b/>
                <w:color w:val="000000"/>
                <w:sz w:val="20"/>
                <w:szCs w:val="20"/>
              </w:rPr>
              <w:t>事业收入</w:t>
            </w:r>
          </w:p>
        </w:tc>
        <w:tc>
          <w:tcPr>
            <w:tcW w:w="1307"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经营收入</w:t>
            </w:r>
          </w:p>
        </w:tc>
        <w:tc>
          <w:tcPr>
            <w:tcW w:w="1439"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附属单位上缴收入</w:t>
            </w:r>
          </w:p>
        </w:tc>
        <w:tc>
          <w:tcPr>
            <w:tcW w:w="1461"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其他收入</w:t>
            </w:r>
          </w:p>
        </w:tc>
      </w:tr>
      <w:tr>
        <w:tblPrEx>
          <w:tblLayout w:type="fixed"/>
          <w:tblCellMar>
            <w:top w:w="0" w:type="dxa"/>
            <w:left w:w="0" w:type="dxa"/>
            <w:bottom w:w="0" w:type="dxa"/>
            <w:right w:w="0" w:type="dxa"/>
          </w:tblCellMar>
        </w:tblPrEx>
        <w:trPr>
          <w:trHeight w:val="334" w:hRule="atLeast"/>
        </w:trPr>
        <w:tc>
          <w:tcPr>
            <w:tcW w:w="1702" w:type="dxa"/>
            <w:vMerge w:val="restart"/>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功能分类科目编码</w:t>
            </w:r>
          </w:p>
        </w:tc>
        <w:tc>
          <w:tcPr>
            <w:tcW w:w="3171" w:type="dxa"/>
            <w:vMerge w:val="restart"/>
            <w:tcBorders>
              <w:top w:val="nil"/>
              <w:left w:val="nil"/>
              <w:bottom w:val="single" w:color="000000" w:sz="4" w:space="0"/>
              <w:right w:val="nil"/>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项目（按“项”级功能分类科目）</w:t>
            </w: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233"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小计</w:t>
            </w:r>
          </w:p>
        </w:tc>
        <w:tc>
          <w:tcPr>
            <w:tcW w:w="1366"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其中：教育收费</w:t>
            </w:r>
          </w:p>
        </w:tc>
        <w:tc>
          <w:tcPr>
            <w:tcW w:w="1307"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439"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46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4" w:hRule="atLeast"/>
        </w:trPr>
        <w:tc>
          <w:tcPr>
            <w:tcW w:w="1702"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171" w:type="dxa"/>
            <w:vMerge w:val="continue"/>
            <w:tcBorders>
              <w:top w:val="nil"/>
              <w:left w:val="nil"/>
              <w:bottom w:val="single" w:color="000000" w:sz="4" w:space="0"/>
              <w:right w:val="nil"/>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366"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307"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439"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46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4" w:hRule="atLeast"/>
        </w:trPr>
        <w:tc>
          <w:tcPr>
            <w:tcW w:w="1702"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171" w:type="dxa"/>
            <w:vMerge w:val="continue"/>
            <w:tcBorders>
              <w:top w:val="nil"/>
              <w:left w:val="nil"/>
              <w:bottom w:val="single" w:color="000000" w:sz="4" w:space="0"/>
              <w:right w:val="nil"/>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366"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307"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439"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46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4" w:hRule="atLeast"/>
        </w:trPr>
        <w:tc>
          <w:tcPr>
            <w:tcW w:w="1702"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171" w:type="dxa"/>
            <w:vMerge w:val="continue"/>
            <w:tcBorders>
              <w:top w:val="nil"/>
              <w:left w:val="nil"/>
              <w:bottom w:val="single" w:color="000000" w:sz="4" w:space="0"/>
              <w:right w:val="nil"/>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366"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307"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439"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46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8" w:hRule="atLeast"/>
        </w:trPr>
        <w:tc>
          <w:tcPr>
            <w:tcW w:w="4873"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123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bCs/>
                <w:color w:val="000000"/>
                <w:sz w:val="20"/>
                <w:szCs w:val="20"/>
              </w:rPr>
              <w:t>332.47</w:t>
            </w:r>
            <w:r>
              <w:rPr>
                <w:b/>
                <w:color w:val="000000"/>
                <w:sz w:val="20"/>
                <w:u w:color="auto"/>
              </w:rPr>
              <w:t xml:space="preserve"> </w:t>
            </w:r>
          </w:p>
        </w:tc>
        <w:tc>
          <w:tcPr>
            <w:tcW w:w="123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bCs/>
                <w:color w:val="000000"/>
                <w:sz w:val="20"/>
                <w:szCs w:val="20"/>
              </w:rPr>
              <w:t>193.73</w:t>
            </w:r>
            <w:r>
              <w:rPr>
                <w:b/>
                <w:color w:val="000000"/>
                <w:sz w:val="20"/>
                <w:u w:color="auto"/>
              </w:rPr>
              <w:t xml:space="preserve"> </w:t>
            </w:r>
          </w:p>
        </w:tc>
        <w:tc>
          <w:tcPr>
            <w:tcW w:w="123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b/>
                <w:color w:val="000000"/>
                <w:sz w:val="20"/>
                <w:u w:color="auto"/>
              </w:rPr>
              <w:t xml:space="preserve"> </w:t>
            </w:r>
          </w:p>
        </w:tc>
        <w:tc>
          <w:tcPr>
            <w:tcW w:w="123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bCs/>
                <w:color w:val="000000"/>
                <w:sz w:val="20"/>
                <w:szCs w:val="20"/>
              </w:rPr>
              <w:t>126.20</w:t>
            </w:r>
            <w:r>
              <w:rPr>
                <w:b/>
                <w:color w:val="000000"/>
                <w:sz w:val="20"/>
                <w:u w:color="auto"/>
              </w:rPr>
              <w:t xml:space="preserve"> </w:t>
            </w:r>
          </w:p>
        </w:tc>
        <w:tc>
          <w:tcPr>
            <w:tcW w:w="136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b/>
                <w:color w:val="000000"/>
                <w:sz w:val="20"/>
                <w:u w:color="auto"/>
              </w:rPr>
              <w:t xml:space="preserve"> </w:t>
            </w:r>
          </w:p>
        </w:tc>
        <w:tc>
          <w:tcPr>
            <w:tcW w:w="130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b/>
                <w:color w:val="000000"/>
                <w:sz w:val="20"/>
                <w:u w:color="auto"/>
              </w:rPr>
              <w:t xml:space="preserve"> </w:t>
            </w:r>
          </w:p>
        </w:tc>
        <w:tc>
          <w:tcPr>
            <w:tcW w:w="143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b/>
                <w:color w:val="000000"/>
                <w:sz w:val="20"/>
                <w:u w:color="auto"/>
              </w:rPr>
              <w:t xml:space="preserve"> </w:t>
            </w:r>
          </w:p>
        </w:tc>
        <w:tc>
          <w:tcPr>
            <w:tcW w:w="146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bCs/>
                <w:color w:val="000000"/>
                <w:sz w:val="20"/>
                <w:szCs w:val="20"/>
              </w:rPr>
              <w:t>12.54</w:t>
            </w:r>
            <w:r>
              <w:rPr>
                <w:b/>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208</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社会保障和就业支出</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11.55</w:t>
            </w:r>
            <w:r>
              <w:rPr>
                <w:b/>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11.55</w:t>
            </w:r>
            <w:r>
              <w:rPr>
                <w:b/>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20805</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行政事业单位养老支出</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11.55</w:t>
            </w:r>
            <w:r>
              <w:rPr>
                <w:b/>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11.55</w:t>
            </w:r>
            <w:r>
              <w:rPr>
                <w:b/>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2080502</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事业单位离退休</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0.67</w:t>
            </w: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0.67</w:t>
            </w: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2080505</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机关事业单位基本养老保险缴费支出</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5.19</w:t>
            </w: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5.19</w:t>
            </w: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2080506</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机关事业单位职业年金缴费支出</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2.58</w:t>
            </w: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2.58</w:t>
            </w: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2080599</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其他行政事业单位养老支出</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3.11</w:t>
            </w: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3.11</w:t>
            </w: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卫生健康支出</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316.66</w:t>
            </w:r>
            <w:r>
              <w:rPr>
                <w:b/>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177.92</w:t>
            </w:r>
            <w:r>
              <w:rPr>
                <w:b/>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126.20</w:t>
            </w:r>
            <w:r>
              <w:rPr>
                <w:b/>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12.54</w:t>
            </w:r>
            <w:r>
              <w:rPr>
                <w:b/>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21001</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卫生健康管理事务</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0.30</w:t>
            </w:r>
            <w:r>
              <w:rPr>
                <w:b/>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0.30</w:t>
            </w:r>
            <w:r>
              <w:rPr>
                <w:b/>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2100199</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其他卫生健康管理事务支出</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0.30</w:t>
            </w: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0.30</w:t>
            </w: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21003</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基层医疗卫生机构</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227.84</w:t>
            </w:r>
            <w:r>
              <w:rPr>
                <w:b/>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89.10</w:t>
            </w:r>
            <w:r>
              <w:rPr>
                <w:b/>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126.20</w:t>
            </w:r>
            <w:r>
              <w:rPr>
                <w:b/>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12.54</w:t>
            </w:r>
            <w:r>
              <w:rPr>
                <w:b/>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2100302</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乡镇卫生院</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227.84</w:t>
            </w: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89.10</w:t>
            </w: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126.20</w:t>
            </w:r>
            <w:r>
              <w:rPr>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12.54</w:t>
            </w:r>
            <w:r>
              <w:rPr>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21004</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公共卫生</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73.77</w:t>
            </w:r>
            <w:r>
              <w:rPr>
                <w:b/>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73.77</w:t>
            </w:r>
            <w:r>
              <w:rPr>
                <w:b/>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2100408</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基本公共卫生服务</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62.88</w:t>
            </w: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62.88</w:t>
            </w: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2100410</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突发公共卫生事件应急处理</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9.97</w:t>
            </w: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9.97</w:t>
            </w: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2100499</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其他公共卫生支出</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0.93</w:t>
            </w: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0.93</w:t>
            </w: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21011</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行政事业单位医疗</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3.25</w:t>
            </w:r>
            <w:r>
              <w:rPr>
                <w:b/>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3.25</w:t>
            </w:r>
            <w:r>
              <w:rPr>
                <w:b/>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2101102</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事业单位医疗</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3.25</w:t>
            </w: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3.25</w:t>
            </w: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21099</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其他卫生健康支出</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11.50</w:t>
            </w:r>
            <w:r>
              <w:rPr>
                <w:b/>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11.50</w:t>
            </w:r>
            <w:r>
              <w:rPr>
                <w:b/>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2109999</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其他卫生健康支出</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11.50</w:t>
            </w: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11.50</w:t>
            </w: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221</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住房保障支出</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4.26</w:t>
            </w:r>
            <w:r>
              <w:rPr>
                <w:b/>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4.26</w:t>
            </w:r>
            <w:r>
              <w:rPr>
                <w:b/>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22102</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住房改革支出</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4.26</w:t>
            </w:r>
            <w:r>
              <w:rPr>
                <w:b/>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4.26</w:t>
            </w:r>
            <w:r>
              <w:rPr>
                <w:b/>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2210201</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住房公积金</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4.26</w:t>
            </w: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4.26</w:t>
            </w: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bl>
    <w:p>
      <w:pPr>
        <w:ind w:left="600" w:hanging="600" w:hangingChars="300"/>
        <w:rPr>
          <w:rFonts w:hint="default" w:cs="宋体"/>
          <w:sz w:val="20"/>
          <w:szCs w:val="20"/>
        </w:rPr>
      </w:pPr>
      <w:r>
        <w:rPr>
          <w:rFonts w:cs="宋体"/>
          <w:sz w:val="20"/>
          <w:szCs w:val="20"/>
        </w:rPr>
        <w:t>备注：1.本表反映单位本年度取得的各项收入情况。</w:t>
      </w:r>
      <w:r>
        <w:rPr>
          <w:rFonts w:cs="宋体"/>
          <w:sz w:val="20"/>
          <w:szCs w:val="20"/>
        </w:rPr>
        <w:br w:type="textWrapping"/>
      </w:r>
      <w:r>
        <w:rPr>
          <w:rFonts w:cs="宋体"/>
          <w:sz w:val="20"/>
          <w:szCs w:val="20"/>
        </w:rPr>
        <w:t>2.本套报表金额单位转换时可能存在尾数误差。</w:t>
      </w:r>
      <w:r>
        <w:rPr>
          <w:rFonts w:cs="宋体"/>
          <w:sz w:val="20"/>
          <w:szCs w:val="20"/>
        </w:rPr>
        <w:br w:type="textWrapping"/>
      </w:r>
      <w:r>
        <w:rPr>
          <w:rFonts w:cs="宋体"/>
          <w:sz w:val="20"/>
          <w:szCs w:val="20"/>
        </w:rPr>
        <w:br w:type="textWrapping"/>
      </w:r>
    </w:p>
    <w:p>
      <w:pPr>
        <w:rPr>
          <w:rFonts w:hint="default" w:cs="宋体"/>
          <w:sz w:val="20"/>
          <w:szCs w:val="20"/>
        </w:rPr>
      </w:pPr>
      <w:r>
        <w:rPr>
          <w:rFonts w:cs="宋体"/>
          <w:sz w:val="20"/>
          <w:szCs w:val="20"/>
        </w:rPr>
        <w:br w:type="page"/>
      </w:r>
    </w:p>
    <w:tbl>
      <w:tblPr>
        <w:tblStyle w:val="12"/>
        <w:tblW w:w="15378" w:type="dxa"/>
        <w:tblInd w:w="0" w:type="dxa"/>
        <w:tblLayout w:type="fixed"/>
        <w:tblCellMar>
          <w:top w:w="0" w:type="dxa"/>
          <w:left w:w="0" w:type="dxa"/>
          <w:bottom w:w="0" w:type="dxa"/>
          <w:right w:w="0" w:type="dxa"/>
        </w:tblCellMar>
      </w:tblPr>
      <w:tblGrid>
        <w:gridCol w:w="1802"/>
        <w:gridCol w:w="3355"/>
        <w:gridCol w:w="1701"/>
        <w:gridCol w:w="1701"/>
        <w:gridCol w:w="1701"/>
        <w:gridCol w:w="1685"/>
        <w:gridCol w:w="1685"/>
        <w:gridCol w:w="1748"/>
      </w:tblGrid>
      <w:tr>
        <w:tblPrEx>
          <w:tblLayout w:type="fixed"/>
          <w:tblCellMar>
            <w:top w:w="0" w:type="dxa"/>
            <w:left w:w="0" w:type="dxa"/>
            <w:bottom w:w="0" w:type="dxa"/>
            <w:right w:w="0" w:type="dxa"/>
          </w:tblCellMar>
        </w:tblPrEx>
        <w:trPr>
          <w:trHeight w:val="654" w:hRule="atLeast"/>
        </w:trPr>
        <w:tc>
          <w:tcPr>
            <w:tcW w:w="15378" w:type="dxa"/>
            <w:gridSpan w:val="8"/>
            <w:tcBorders>
              <w:top w:val="nil"/>
              <w:left w:val="nil"/>
              <w:bottom w:val="nil"/>
              <w:right w:val="nil"/>
            </w:tcBorders>
            <w:shd w:val="clear" w:color="auto" w:fill="auto"/>
            <w:tcMar>
              <w:top w:w="15" w:type="dxa"/>
              <w:left w:w="15" w:type="dxa"/>
              <w:right w:w="15" w:type="dxa"/>
            </w:tcMar>
            <w:vAlign w:val="bottom"/>
          </w:tcPr>
          <w:p>
            <w:pPr>
              <w:jc w:val="center"/>
              <w:textAlignment w:val="bottom"/>
              <w:rPr>
                <w:rFonts w:hint="default" w:cs="宋体"/>
                <w:b/>
                <w:color w:val="000000"/>
                <w:sz w:val="32"/>
                <w:szCs w:val="32"/>
              </w:rPr>
            </w:pPr>
            <w:r>
              <w:rPr>
                <w:rFonts w:cs="宋体"/>
                <w:b/>
                <w:color w:val="000000"/>
                <w:sz w:val="32"/>
                <w:szCs w:val="32"/>
              </w:rPr>
              <w:t>支出决算表</w:t>
            </w:r>
          </w:p>
        </w:tc>
      </w:tr>
      <w:tr>
        <w:tblPrEx>
          <w:tblLayout w:type="fixed"/>
          <w:tblCellMar>
            <w:top w:w="0" w:type="dxa"/>
            <w:left w:w="0" w:type="dxa"/>
            <w:bottom w:w="0" w:type="dxa"/>
            <w:right w:w="0" w:type="dxa"/>
          </w:tblCellMar>
        </w:tblPrEx>
        <w:trPr>
          <w:trHeight w:val="342" w:hRule="atLeast"/>
        </w:trPr>
        <w:tc>
          <w:tcPr>
            <w:tcW w:w="6858" w:type="dxa"/>
            <w:gridSpan w:val="3"/>
            <w:vMerge w:val="restart"/>
            <w:tcBorders>
              <w:top w:val="nil"/>
              <w:left w:val="nil"/>
              <w:right w:val="nil"/>
            </w:tcBorders>
            <w:shd w:val="clear" w:color="auto" w:fill="auto"/>
            <w:tcMar>
              <w:top w:w="15" w:type="dxa"/>
              <w:left w:w="15" w:type="dxa"/>
              <w:right w:w="15" w:type="dxa"/>
            </w:tcMar>
            <w:vAlign w:val="bottom"/>
          </w:tcPr>
          <w:p>
            <w:pPr>
              <w:rPr>
                <w:rFonts w:hint="default" w:cs="宋体"/>
                <w:color w:val="000000"/>
                <w:sz w:val="20"/>
                <w:szCs w:val="20"/>
              </w:rPr>
            </w:pPr>
            <w:r>
              <w:rPr>
                <w:rFonts w:cs="宋体"/>
                <w:sz w:val="20"/>
                <w:szCs w:val="20"/>
              </w:rPr>
              <w:t>公开单位</w:t>
            </w:r>
            <w:r>
              <w:rPr>
                <w:rFonts w:cs="宋体"/>
                <w:color w:val="000000"/>
                <w:sz w:val="20"/>
                <w:szCs w:val="20"/>
              </w:rPr>
              <w:t xml:space="preserve">： </w:t>
            </w:r>
            <w:r>
              <w:rPr>
                <w:color w:val="000000"/>
                <w:sz w:val="20"/>
                <w:u w:color="auto"/>
              </w:rPr>
              <w:t xml:space="preserve">重庆市秀山土家族苗族自治县妙泉镇卫生院 </w:t>
            </w:r>
          </w:p>
        </w:tc>
        <w:tc>
          <w:tcPr>
            <w:tcW w:w="1701"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01"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685"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685"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48"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公开03表</w:t>
            </w:r>
          </w:p>
        </w:tc>
      </w:tr>
      <w:tr>
        <w:tblPrEx>
          <w:tblLayout w:type="fixed"/>
          <w:tblCellMar>
            <w:top w:w="0" w:type="dxa"/>
            <w:left w:w="0" w:type="dxa"/>
            <w:bottom w:w="0" w:type="dxa"/>
            <w:right w:w="0" w:type="dxa"/>
          </w:tblCellMar>
        </w:tblPrEx>
        <w:trPr>
          <w:trHeight w:val="342" w:hRule="atLeast"/>
        </w:trPr>
        <w:tc>
          <w:tcPr>
            <w:tcW w:w="6858" w:type="dxa"/>
            <w:gridSpan w:val="3"/>
            <w:vMerge w:val="continue"/>
            <w:tcBorders>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01"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01"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685"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685"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48"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362" w:hRule="atLeast"/>
        </w:trPr>
        <w:tc>
          <w:tcPr>
            <w:tcW w:w="5157" w:type="dxa"/>
            <w:gridSpan w:val="2"/>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bottom"/>
          </w:tcPr>
          <w:p>
            <w:pPr>
              <w:jc w:val="center"/>
              <w:textAlignment w:val="bottom"/>
              <w:rPr>
                <w:rFonts w:hint="default" w:cs="宋体"/>
                <w:b/>
                <w:color w:val="000000"/>
                <w:sz w:val="20"/>
                <w:szCs w:val="20"/>
              </w:rPr>
            </w:pPr>
            <w:r>
              <w:rPr>
                <w:rFonts w:cs="宋体"/>
                <w:b/>
                <w:color w:val="000000"/>
                <w:sz w:val="20"/>
                <w:szCs w:val="20"/>
              </w:rPr>
              <w:t>项目</w:t>
            </w:r>
          </w:p>
        </w:tc>
        <w:tc>
          <w:tcPr>
            <w:tcW w:w="1701"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本年支出合计</w:t>
            </w:r>
          </w:p>
        </w:tc>
        <w:tc>
          <w:tcPr>
            <w:tcW w:w="1701"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基本支出</w:t>
            </w:r>
          </w:p>
        </w:tc>
        <w:tc>
          <w:tcPr>
            <w:tcW w:w="1701"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项目支出</w:t>
            </w:r>
          </w:p>
        </w:tc>
        <w:tc>
          <w:tcPr>
            <w:tcW w:w="1685"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上缴上级支出</w:t>
            </w:r>
          </w:p>
        </w:tc>
        <w:tc>
          <w:tcPr>
            <w:tcW w:w="1685"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经营支出</w:t>
            </w:r>
          </w:p>
        </w:tc>
        <w:tc>
          <w:tcPr>
            <w:tcW w:w="1748"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对附属单位补助支出</w:t>
            </w:r>
          </w:p>
        </w:tc>
      </w:tr>
      <w:tr>
        <w:tblPrEx>
          <w:tblLayout w:type="fixed"/>
          <w:tblCellMar>
            <w:top w:w="0" w:type="dxa"/>
            <w:left w:w="0" w:type="dxa"/>
            <w:bottom w:w="0" w:type="dxa"/>
            <w:right w:w="0" w:type="dxa"/>
          </w:tblCellMar>
        </w:tblPrEx>
        <w:trPr>
          <w:trHeight w:val="338" w:hRule="atLeast"/>
        </w:trPr>
        <w:tc>
          <w:tcPr>
            <w:tcW w:w="1802" w:type="dxa"/>
            <w:vMerge w:val="restart"/>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功能分类科目编码</w:t>
            </w:r>
          </w:p>
        </w:tc>
        <w:tc>
          <w:tcPr>
            <w:tcW w:w="3355" w:type="dxa"/>
            <w:vMerge w:val="restart"/>
            <w:tcBorders>
              <w:top w:val="nil"/>
              <w:left w:val="nil"/>
              <w:bottom w:val="single" w:color="000000" w:sz="4" w:space="0"/>
              <w:right w:val="nil"/>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项目（按“项”级功能分类科目）</w:t>
            </w:r>
          </w:p>
        </w:tc>
        <w:tc>
          <w:tcPr>
            <w:tcW w:w="170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685"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685"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48"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8" w:hRule="atLeast"/>
        </w:trPr>
        <w:tc>
          <w:tcPr>
            <w:tcW w:w="1802"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355" w:type="dxa"/>
            <w:vMerge w:val="continue"/>
            <w:tcBorders>
              <w:top w:val="nil"/>
              <w:left w:val="nil"/>
              <w:bottom w:val="single" w:color="000000" w:sz="4" w:space="0"/>
              <w:right w:val="nil"/>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685"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685"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48"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8" w:hRule="atLeast"/>
        </w:trPr>
        <w:tc>
          <w:tcPr>
            <w:tcW w:w="1802"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355" w:type="dxa"/>
            <w:vMerge w:val="continue"/>
            <w:tcBorders>
              <w:top w:val="nil"/>
              <w:left w:val="nil"/>
              <w:bottom w:val="single" w:color="000000" w:sz="4" w:space="0"/>
              <w:right w:val="nil"/>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685"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685"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48"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8" w:hRule="atLeast"/>
        </w:trPr>
        <w:tc>
          <w:tcPr>
            <w:tcW w:w="1802"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355" w:type="dxa"/>
            <w:vMerge w:val="continue"/>
            <w:tcBorders>
              <w:top w:val="nil"/>
              <w:left w:val="nil"/>
              <w:bottom w:val="single" w:color="000000" w:sz="4" w:space="0"/>
              <w:right w:val="nil"/>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685"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685"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48"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62" w:hRule="atLeast"/>
        </w:trPr>
        <w:tc>
          <w:tcPr>
            <w:tcW w:w="5157"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bCs/>
                <w:color w:val="000000"/>
                <w:sz w:val="20"/>
                <w:szCs w:val="20"/>
              </w:rPr>
              <w:t>325.59</w:t>
            </w:r>
            <w:r>
              <w:rPr>
                <w:b/>
                <w:color w:val="000000"/>
                <w:sz w:val="20"/>
                <w:u w:color="auto"/>
              </w:rPr>
              <w:t xml:space="preserve"> </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bCs/>
                <w:color w:val="000000"/>
                <w:sz w:val="20"/>
                <w:szCs w:val="20"/>
              </w:rPr>
              <w:t>304.12</w:t>
            </w:r>
            <w:r>
              <w:rPr>
                <w:b/>
                <w:color w:val="000000"/>
                <w:sz w:val="20"/>
                <w:u w:color="auto"/>
              </w:rPr>
              <w:t xml:space="preserve"> </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bCs/>
                <w:color w:val="000000"/>
                <w:sz w:val="20"/>
                <w:szCs w:val="20"/>
              </w:rPr>
              <w:t>21.47</w:t>
            </w:r>
            <w:r>
              <w:rPr>
                <w:b/>
                <w:color w:val="000000"/>
                <w:sz w:val="20"/>
                <w:u w:color="auto"/>
              </w:rPr>
              <w:t xml:space="preserve"> </w:t>
            </w:r>
          </w:p>
        </w:tc>
        <w:tc>
          <w:tcPr>
            <w:tcW w:w="168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b/>
                <w:color w:val="000000"/>
                <w:sz w:val="20"/>
                <w:u w:color="auto"/>
              </w:rPr>
              <w:t xml:space="preserve"> </w:t>
            </w:r>
          </w:p>
        </w:tc>
        <w:tc>
          <w:tcPr>
            <w:tcW w:w="168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b/>
                <w:color w:val="000000"/>
                <w:sz w:val="20"/>
                <w:u w:color="auto"/>
              </w:rPr>
              <w:t xml:space="preserve"> </w:t>
            </w:r>
          </w:p>
        </w:tc>
        <w:tc>
          <w:tcPr>
            <w:tcW w:w="174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b/>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8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208</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社会保障和就业支出</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11.55</w:t>
            </w:r>
            <w:r>
              <w:rPr>
                <w:b/>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11.55</w:t>
            </w:r>
            <w:r>
              <w:rPr>
                <w:b/>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7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8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20805</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行政事业单位养老支出</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11.55</w:t>
            </w:r>
            <w:r>
              <w:rPr>
                <w:b/>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11.55</w:t>
            </w:r>
            <w:r>
              <w:rPr>
                <w:b/>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7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8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2080502</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事业单位离退休</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0.67</w:t>
            </w:r>
            <w:r>
              <w:rPr>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0.67</w:t>
            </w:r>
            <w:r>
              <w:rPr>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7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8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2080505</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机关事业单位基本养老保险缴费支出</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5.19</w:t>
            </w:r>
            <w:r>
              <w:rPr>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5.19</w:t>
            </w:r>
            <w:r>
              <w:rPr>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7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8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2080506</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机关事业单位职业年金缴费支出</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2.58</w:t>
            </w:r>
            <w:r>
              <w:rPr>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2.58</w:t>
            </w:r>
            <w:r>
              <w:rPr>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7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8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2080599</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其他行政事业单位养老支出</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3.11</w:t>
            </w:r>
            <w:r>
              <w:rPr>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3.11</w:t>
            </w:r>
            <w:r>
              <w:rPr>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7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8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卫生健康支出</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309.78</w:t>
            </w:r>
            <w:r>
              <w:rPr>
                <w:b/>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288.31</w:t>
            </w:r>
            <w:r>
              <w:rPr>
                <w:b/>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21.47</w:t>
            </w:r>
            <w:r>
              <w:rPr>
                <w:b/>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7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8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21001</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卫生健康管理事务</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0.30</w:t>
            </w:r>
            <w:r>
              <w:rPr>
                <w:b/>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0.30</w:t>
            </w:r>
            <w:r>
              <w:rPr>
                <w:b/>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7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8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2100199</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其他卫生健康管理事务支出</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0.30</w:t>
            </w:r>
            <w:r>
              <w:rPr>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0.30</w:t>
            </w:r>
            <w:r>
              <w:rPr>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7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8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21003</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基层医疗卫生机构</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220.96</w:t>
            </w:r>
            <w:r>
              <w:rPr>
                <w:b/>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220.96</w:t>
            </w:r>
            <w:r>
              <w:rPr>
                <w:b/>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7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8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2100302</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乡镇卫生院</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220.96</w:t>
            </w:r>
            <w:r>
              <w:rPr>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220.96</w:t>
            </w:r>
            <w:r>
              <w:rPr>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7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8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21004</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公共卫生</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73.77</w:t>
            </w:r>
            <w:r>
              <w:rPr>
                <w:b/>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63.80</w:t>
            </w:r>
            <w:r>
              <w:rPr>
                <w:b/>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9.97</w:t>
            </w:r>
            <w:r>
              <w:rPr>
                <w:b/>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7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8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2100408</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基本公共卫生服务</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62.88</w:t>
            </w:r>
            <w:r>
              <w:rPr>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62.88</w:t>
            </w:r>
            <w:r>
              <w:rPr>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7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8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2100410</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突发公共卫生事件应急处理</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9.97</w:t>
            </w:r>
            <w:r>
              <w:rPr>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9.97</w:t>
            </w: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7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8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2100499</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其他公共卫生支出</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0.93</w:t>
            </w:r>
            <w:r>
              <w:rPr>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0.93</w:t>
            </w:r>
            <w:r>
              <w:rPr>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7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8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21011</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行政事业单位医疗</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3.25</w:t>
            </w:r>
            <w:r>
              <w:rPr>
                <w:b/>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3.25</w:t>
            </w:r>
            <w:r>
              <w:rPr>
                <w:b/>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7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8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2101102</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事业单位医疗</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3.25</w:t>
            </w:r>
            <w:r>
              <w:rPr>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3.25</w:t>
            </w:r>
            <w:r>
              <w:rPr>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7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8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21099</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其他卫生健康支出</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11.50</w:t>
            </w:r>
            <w:r>
              <w:rPr>
                <w:b/>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11.50</w:t>
            </w:r>
            <w:r>
              <w:rPr>
                <w:b/>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7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8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2109999</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其他卫生健康支出</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11.50</w:t>
            </w:r>
            <w:r>
              <w:rPr>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11.50</w:t>
            </w: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7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8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221</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住房保障支出</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4.26</w:t>
            </w:r>
            <w:r>
              <w:rPr>
                <w:b/>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4.26</w:t>
            </w:r>
            <w:r>
              <w:rPr>
                <w:b/>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7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8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22102</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住房改革支出</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4.26</w:t>
            </w:r>
            <w:r>
              <w:rPr>
                <w:b/>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4.26</w:t>
            </w:r>
            <w:r>
              <w:rPr>
                <w:b/>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7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8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2210201</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住房公积金</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4.26</w:t>
            </w:r>
            <w:r>
              <w:rPr>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4.26</w:t>
            </w:r>
            <w:r>
              <w:rPr>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7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bl>
    <w:p>
      <w:pPr>
        <w:rPr>
          <w:rFonts w:hint="default" w:cs="宋体"/>
          <w:sz w:val="20"/>
          <w:szCs w:val="20"/>
        </w:rPr>
      </w:pPr>
      <w:r>
        <w:rPr>
          <w:rFonts w:cs="宋体"/>
          <w:sz w:val="20"/>
          <w:szCs w:val="20"/>
        </w:rPr>
        <w:t>备注：1.本表反映单位本年度各项支出情况。</w:t>
      </w:r>
      <w:r>
        <w:rPr>
          <w:rFonts w:cs="宋体"/>
          <w:sz w:val="20"/>
          <w:szCs w:val="20"/>
        </w:rPr>
        <w:br w:type="textWrapping"/>
      </w:r>
      <w:r>
        <w:rPr>
          <w:rFonts w:cs="宋体"/>
          <w:sz w:val="20"/>
          <w:szCs w:val="20"/>
        </w:rPr>
        <w:t xml:space="preserve">      2.本套报表金额单位转换时可能存在尾数误差。</w:t>
      </w:r>
      <w:r>
        <w:rPr>
          <w:rFonts w:cs="宋体"/>
          <w:sz w:val="20"/>
          <w:szCs w:val="20"/>
        </w:rPr>
        <w:br w:type="textWrapping"/>
      </w:r>
      <w:r>
        <w:rPr>
          <w:rFonts w:cs="宋体"/>
          <w:sz w:val="20"/>
          <w:szCs w:val="20"/>
        </w:rPr>
        <w:br w:type="textWrapping"/>
      </w:r>
    </w:p>
    <w:p>
      <w:pPr>
        <w:rPr>
          <w:rFonts w:hint="default" w:cs="宋体"/>
          <w:sz w:val="21"/>
          <w:szCs w:val="21"/>
        </w:rPr>
      </w:pPr>
      <w:r>
        <w:rPr>
          <w:rFonts w:cs="宋体"/>
          <w:sz w:val="21"/>
          <w:szCs w:val="21"/>
        </w:rPr>
        <w:br w:type="page"/>
      </w:r>
    </w:p>
    <w:p>
      <w:pPr>
        <w:rPr>
          <w:rFonts w:hint="default" w:cs="宋体"/>
          <w:sz w:val="21"/>
          <w:szCs w:val="21"/>
        </w:rPr>
      </w:pPr>
    </w:p>
    <w:tbl>
      <w:tblPr>
        <w:tblStyle w:val="12"/>
        <w:tblW w:w="14732" w:type="dxa"/>
        <w:tblInd w:w="0" w:type="dxa"/>
        <w:tblLayout w:type="fixed"/>
        <w:tblCellMar>
          <w:top w:w="0" w:type="dxa"/>
          <w:left w:w="0" w:type="dxa"/>
          <w:bottom w:w="0" w:type="dxa"/>
          <w:right w:w="0" w:type="dxa"/>
        </w:tblCellMar>
      </w:tblPr>
      <w:tblGrid>
        <w:gridCol w:w="2979"/>
        <w:gridCol w:w="1526"/>
        <w:gridCol w:w="3191"/>
        <w:gridCol w:w="1700"/>
        <w:gridCol w:w="1700"/>
        <w:gridCol w:w="1700"/>
        <w:gridCol w:w="1936"/>
      </w:tblGrid>
      <w:tr>
        <w:tblPrEx>
          <w:tblLayout w:type="fixed"/>
          <w:tblCellMar>
            <w:top w:w="0" w:type="dxa"/>
            <w:left w:w="0" w:type="dxa"/>
            <w:bottom w:w="0" w:type="dxa"/>
            <w:right w:w="0" w:type="dxa"/>
          </w:tblCellMar>
        </w:tblPrEx>
        <w:trPr>
          <w:trHeight w:val="90" w:hRule="atLeast"/>
        </w:trPr>
        <w:tc>
          <w:tcPr>
            <w:tcW w:w="14732" w:type="dxa"/>
            <w:gridSpan w:val="7"/>
            <w:tcBorders>
              <w:top w:val="nil"/>
              <w:left w:val="nil"/>
              <w:bottom w:val="nil"/>
              <w:right w:val="nil"/>
            </w:tcBorders>
            <w:shd w:val="clear" w:color="auto" w:fill="auto"/>
            <w:tcMar>
              <w:top w:w="15" w:type="dxa"/>
              <w:left w:w="15" w:type="dxa"/>
              <w:right w:w="15" w:type="dxa"/>
            </w:tcMar>
            <w:vAlign w:val="bottom"/>
          </w:tcPr>
          <w:p>
            <w:pPr>
              <w:spacing w:line="400" w:lineRule="exact"/>
              <w:jc w:val="center"/>
              <w:textAlignment w:val="bottom"/>
              <w:rPr>
                <w:rFonts w:hint="default" w:cs="宋体"/>
                <w:b/>
                <w:color w:val="000000"/>
                <w:sz w:val="32"/>
                <w:szCs w:val="32"/>
              </w:rPr>
            </w:pPr>
            <w:r>
              <w:rPr>
                <w:rFonts w:cs="宋体"/>
                <w:b/>
                <w:color w:val="000000"/>
                <w:sz w:val="32"/>
                <w:szCs w:val="32"/>
              </w:rPr>
              <w:t>财政拨款收入支出决算总表</w:t>
            </w:r>
          </w:p>
        </w:tc>
      </w:tr>
      <w:tr>
        <w:tblPrEx>
          <w:tblLayout w:type="fixed"/>
          <w:tblCellMar>
            <w:top w:w="0" w:type="dxa"/>
            <w:left w:w="0" w:type="dxa"/>
            <w:bottom w:w="0" w:type="dxa"/>
            <w:right w:w="0" w:type="dxa"/>
          </w:tblCellMar>
        </w:tblPrEx>
        <w:trPr>
          <w:trHeight w:val="90" w:hRule="atLeast"/>
        </w:trPr>
        <w:tc>
          <w:tcPr>
            <w:tcW w:w="7696" w:type="dxa"/>
            <w:gridSpan w:val="3"/>
            <w:vMerge w:val="restart"/>
            <w:tcBorders>
              <w:top w:val="nil"/>
              <w:left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r>
              <w:rPr>
                <w:rFonts w:cs="宋体"/>
                <w:sz w:val="20"/>
                <w:szCs w:val="20"/>
              </w:rPr>
              <w:t>公开单位</w:t>
            </w:r>
            <w:r>
              <w:rPr>
                <w:rFonts w:cs="宋体"/>
                <w:color w:val="000000"/>
                <w:sz w:val="20"/>
                <w:szCs w:val="20"/>
              </w:rPr>
              <w:t xml:space="preserve">： </w:t>
            </w:r>
            <w:r>
              <w:rPr>
                <w:color w:val="000000"/>
                <w:sz w:val="20"/>
                <w:u w:color="auto"/>
              </w:rPr>
              <w:t>重庆市秀山土家族苗族自治县妙泉镇卫生院</w:t>
            </w:r>
          </w:p>
        </w:tc>
        <w:tc>
          <w:tcPr>
            <w:tcW w:w="1700"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700"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700"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936" w:type="dxa"/>
            <w:tcBorders>
              <w:top w:val="nil"/>
              <w:left w:val="nil"/>
              <w:bottom w:val="nil"/>
              <w:right w:val="nil"/>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rFonts w:cs="宋体"/>
                <w:color w:val="000000"/>
                <w:sz w:val="20"/>
                <w:szCs w:val="20"/>
              </w:rPr>
              <w:t>公开04表</w:t>
            </w:r>
          </w:p>
        </w:tc>
      </w:tr>
      <w:tr>
        <w:tblPrEx>
          <w:tblLayout w:type="fixed"/>
          <w:tblCellMar>
            <w:top w:w="0" w:type="dxa"/>
            <w:left w:w="0" w:type="dxa"/>
            <w:bottom w:w="0" w:type="dxa"/>
            <w:right w:w="0" w:type="dxa"/>
          </w:tblCellMar>
        </w:tblPrEx>
        <w:trPr>
          <w:trHeight w:val="90" w:hRule="atLeast"/>
        </w:trPr>
        <w:tc>
          <w:tcPr>
            <w:tcW w:w="7696" w:type="dxa"/>
            <w:gridSpan w:val="3"/>
            <w:vMerge w:val="continue"/>
            <w:tcBorders>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700"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700"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700"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936"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90" w:hRule="atLeast"/>
        </w:trPr>
        <w:tc>
          <w:tcPr>
            <w:tcW w:w="4505"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收     入</w:t>
            </w:r>
          </w:p>
        </w:tc>
        <w:tc>
          <w:tcPr>
            <w:tcW w:w="10227" w:type="dxa"/>
            <w:gridSpan w:val="5"/>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支     出</w:t>
            </w:r>
          </w:p>
        </w:tc>
      </w:tr>
      <w:tr>
        <w:tblPrEx>
          <w:tblLayout w:type="fixed"/>
          <w:tblCellMar>
            <w:top w:w="0" w:type="dxa"/>
            <w:left w:w="0" w:type="dxa"/>
            <w:bottom w:w="0" w:type="dxa"/>
            <w:right w:w="0" w:type="dxa"/>
          </w:tblCellMar>
        </w:tblPrEx>
        <w:trPr>
          <w:trHeight w:val="90" w:hRule="atLeast"/>
        </w:trPr>
        <w:tc>
          <w:tcPr>
            <w:tcW w:w="2979"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项目</w:t>
            </w:r>
          </w:p>
        </w:tc>
        <w:tc>
          <w:tcPr>
            <w:tcW w:w="1526"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决算数</w:t>
            </w:r>
          </w:p>
        </w:tc>
        <w:tc>
          <w:tcPr>
            <w:tcW w:w="3191"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功能分类科目</w:t>
            </w:r>
          </w:p>
        </w:tc>
        <w:tc>
          <w:tcPr>
            <w:tcW w:w="7036" w:type="dxa"/>
            <w:gridSpan w:val="4"/>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决算数</w:t>
            </w:r>
          </w:p>
        </w:tc>
      </w:tr>
      <w:tr>
        <w:tblPrEx>
          <w:tblLayout w:type="fixed"/>
          <w:tblCellMar>
            <w:top w:w="0" w:type="dxa"/>
            <w:left w:w="0" w:type="dxa"/>
            <w:bottom w:w="0" w:type="dxa"/>
            <w:right w:w="0" w:type="dxa"/>
          </w:tblCellMar>
        </w:tblPrEx>
        <w:trPr>
          <w:trHeight w:val="90" w:hRule="atLeast"/>
        </w:trPr>
        <w:tc>
          <w:tcPr>
            <w:tcW w:w="2979"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cs="宋体"/>
                <w:b/>
                <w:color w:val="000000"/>
                <w:sz w:val="18"/>
                <w:szCs w:val="18"/>
              </w:rPr>
            </w:pPr>
          </w:p>
        </w:tc>
        <w:tc>
          <w:tcPr>
            <w:tcW w:w="1526"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cs="宋体"/>
                <w:b/>
                <w:color w:val="000000"/>
                <w:sz w:val="18"/>
                <w:szCs w:val="18"/>
              </w:rPr>
            </w:pPr>
          </w:p>
        </w:tc>
        <w:tc>
          <w:tcPr>
            <w:tcW w:w="3191"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cs="宋体"/>
                <w:b/>
                <w:color w:val="000000"/>
                <w:sz w:val="18"/>
                <w:szCs w:val="18"/>
              </w:rPr>
            </w:pPr>
          </w:p>
        </w:tc>
        <w:tc>
          <w:tcPr>
            <w:tcW w:w="170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小计</w:t>
            </w:r>
          </w:p>
        </w:tc>
        <w:tc>
          <w:tcPr>
            <w:tcW w:w="170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一般公共预算财政拨款</w:t>
            </w:r>
          </w:p>
        </w:tc>
        <w:tc>
          <w:tcPr>
            <w:tcW w:w="170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政府性基金预算财政拨款</w:t>
            </w:r>
          </w:p>
        </w:tc>
        <w:tc>
          <w:tcPr>
            <w:tcW w:w="19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国有资本经营预算财政拨款</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一、一般公共预算财政拨款</w:t>
            </w: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193.73</w:t>
            </w:r>
            <w:r>
              <w:rPr>
                <w:color w:val="000000"/>
                <w:sz w:val="18"/>
                <w:u w:color="auto"/>
              </w:rPr>
              <w:t xml:space="preserve"> </w:t>
            </w: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一、一般公共服务支出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二、政府性基金预算财政拨款</w:t>
            </w: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二、外交支出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三、国有资本经营预算财政拨款</w:t>
            </w: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三、国防支出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四、公共安全支出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五、教育支出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六、科学技术支出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七、文化旅游体育与传媒支出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八、社会保障和就业支出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11.55</w:t>
            </w: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11.55</w:t>
            </w: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九、卫生健康支出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173.22</w:t>
            </w: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173.22</w:t>
            </w: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十、节能环保支出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十一、城乡社区支出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十二、农林水支出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十三、交通运输支出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十四、资源勘探工业信息等支出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十五、商业服务业等支出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十六、金融支出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十七、援助其他地区支出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十八、自然资源海洋气象等支出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十九、住房保障支出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4.26</w:t>
            </w: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4.26</w:t>
            </w: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二十、粮油物资储备支出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二十一、国有资本经营预算支出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二十二、灾害防治及应急管理支出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二十三、其他支出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bottom"/>
          </w:tcPr>
          <w:p>
            <w:pPr>
              <w:spacing w:line="200" w:lineRule="exact"/>
              <w:rPr>
                <w:rFonts w:hint="default" w:cs="宋体"/>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二十四、债务还本支出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bottom"/>
          </w:tcPr>
          <w:p>
            <w:pPr>
              <w:spacing w:line="200" w:lineRule="exact"/>
              <w:rPr>
                <w:rFonts w:hint="default" w:cs="宋体"/>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二十五、债务付息支出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bottom"/>
          </w:tcPr>
          <w:p>
            <w:pPr>
              <w:spacing w:line="200" w:lineRule="exact"/>
              <w:rPr>
                <w:rFonts w:hint="default" w:cs="宋体"/>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二十六、抗疫特别国债安排的支出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本年收入合计</w:t>
            </w: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193.73</w:t>
            </w:r>
            <w:r>
              <w:rPr>
                <w:color w:val="000000"/>
                <w:sz w:val="18"/>
                <w:u w:color="auto"/>
              </w:rPr>
              <w:t xml:space="preserve"> </w:t>
            </w: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本年支出合计</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189.03</w:t>
            </w: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189.03</w:t>
            </w: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年初财政拨款结转和结余</w:t>
            </w: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年末财政拨款结转和结余</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4.70</w:t>
            </w: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4.70</w:t>
            </w: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一般公共预算财政拨款</w:t>
            </w: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3191" w:type="dxa"/>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bottom"/>
          </w:tcPr>
          <w:p>
            <w:pPr>
              <w:spacing w:line="200" w:lineRule="exact"/>
              <w:rPr>
                <w:rFonts w:hint="default" w:cs="宋体"/>
                <w:color w:val="000000"/>
                <w:sz w:val="18"/>
                <w:szCs w:val="18"/>
              </w:rPr>
            </w:pP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政府性基金预算财政拨款</w:t>
            </w: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cs="宋体"/>
                <w:b/>
                <w:color w:val="000000"/>
                <w:sz w:val="18"/>
                <w:szCs w:val="18"/>
              </w:rPr>
            </w:pP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国有资本经营预算财政拨款</w:t>
            </w: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cs="宋体"/>
                <w:b/>
                <w:color w:val="000000"/>
                <w:sz w:val="18"/>
                <w:szCs w:val="18"/>
              </w:rPr>
            </w:pP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总计</w:t>
            </w: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193.73</w:t>
            </w:r>
            <w:r>
              <w:rPr>
                <w:color w:val="000000"/>
                <w:sz w:val="18"/>
                <w:u w:color="auto"/>
              </w:rPr>
              <w:t xml:space="preserve"> </w:t>
            </w: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总计</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193.73</w:t>
            </w: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193.73</w:t>
            </w: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bl>
    <w:p>
      <w:pPr>
        <w:spacing w:line="240" w:lineRule="exact"/>
        <w:rPr>
          <w:rFonts w:hint="default" w:cs="宋体"/>
          <w:sz w:val="20"/>
          <w:szCs w:val="20"/>
        </w:rPr>
      </w:pPr>
      <w:r>
        <w:rPr>
          <w:rFonts w:cs="宋体"/>
          <w:sz w:val="20"/>
          <w:szCs w:val="20"/>
        </w:rPr>
        <w:t>备注：1.本表反映单位本年度一般公共预算财政拨款、政府性基金预算财政拨款及国有资本经营预算财政拨款的总收支和年末结转结余情况。</w:t>
      </w:r>
      <w:r>
        <w:rPr>
          <w:rFonts w:cs="宋体"/>
          <w:sz w:val="20"/>
          <w:szCs w:val="20"/>
        </w:rPr>
        <w:br w:type="textWrapping"/>
      </w:r>
      <w:r>
        <w:rPr>
          <w:rFonts w:cs="宋体"/>
          <w:sz w:val="20"/>
          <w:szCs w:val="20"/>
        </w:rPr>
        <w:t xml:space="preserve">      2.本套报表金额单位转换时可能存在尾数误差。</w:t>
      </w:r>
      <w:r>
        <w:rPr>
          <w:rFonts w:cs="宋体"/>
          <w:sz w:val="20"/>
          <w:szCs w:val="20"/>
        </w:rPr>
        <w:br w:type="textWrapping"/>
      </w:r>
      <w:r>
        <w:rPr>
          <w:rFonts w:cs="宋体"/>
          <w:sz w:val="20"/>
          <w:szCs w:val="20"/>
        </w:rPr>
        <w:br w:type="textWrapping"/>
      </w:r>
      <w:r>
        <w:rPr>
          <w:rFonts w:cs="宋体"/>
          <w:sz w:val="21"/>
          <w:szCs w:val="21"/>
        </w:rPr>
        <w:br w:type="page"/>
      </w:r>
    </w:p>
    <w:tbl>
      <w:tblPr>
        <w:tblStyle w:val="12"/>
        <w:tblW w:w="15400" w:type="dxa"/>
        <w:tblInd w:w="0" w:type="dxa"/>
        <w:tblLayout w:type="fixed"/>
        <w:tblCellMar>
          <w:top w:w="0" w:type="dxa"/>
          <w:left w:w="0" w:type="dxa"/>
          <w:bottom w:w="0" w:type="dxa"/>
          <w:right w:w="0" w:type="dxa"/>
        </w:tblCellMar>
      </w:tblPr>
      <w:tblGrid>
        <w:gridCol w:w="1860"/>
        <w:gridCol w:w="3554"/>
        <w:gridCol w:w="3323"/>
        <w:gridCol w:w="3324"/>
        <w:gridCol w:w="1"/>
        <w:gridCol w:w="3338"/>
      </w:tblGrid>
      <w:tr>
        <w:tblPrEx>
          <w:tblLayout w:type="fixed"/>
          <w:tblCellMar>
            <w:top w:w="0" w:type="dxa"/>
            <w:left w:w="0" w:type="dxa"/>
            <w:bottom w:w="0" w:type="dxa"/>
            <w:right w:w="0" w:type="dxa"/>
          </w:tblCellMar>
        </w:tblPrEx>
        <w:trPr>
          <w:trHeight w:val="90" w:hRule="atLeast"/>
        </w:trPr>
        <w:tc>
          <w:tcPr>
            <w:tcW w:w="15400" w:type="dxa"/>
            <w:gridSpan w:val="6"/>
            <w:tcBorders>
              <w:top w:val="nil"/>
              <w:left w:val="nil"/>
              <w:bottom w:val="nil"/>
              <w:right w:val="nil"/>
            </w:tcBorders>
            <w:shd w:val="clear" w:color="auto" w:fill="auto"/>
            <w:tcMar>
              <w:top w:w="15" w:type="dxa"/>
              <w:left w:w="15" w:type="dxa"/>
              <w:right w:w="15" w:type="dxa"/>
            </w:tcMar>
            <w:vAlign w:val="bottom"/>
          </w:tcPr>
          <w:p>
            <w:pPr>
              <w:jc w:val="center"/>
              <w:textAlignment w:val="bottom"/>
              <w:rPr>
                <w:rFonts w:hint="default" w:cs="宋体"/>
                <w:b/>
                <w:color w:val="000000"/>
                <w:sz w:val="32"/>
                <w:szCs w:val="32"/>
              </w:rPr>
            </w:pPr>
            <w:r>
              <w:rPr>
                <w:rFonts w:cs="宋体"/>
                <w:b/>
                <w:color w:val="000000"/>
                <w:sz w:val="32"/>
                <w:szCs w:val="32"/>
              </w:rPr>
              <w:t>一般公共预算财政拨款支出决算表</w:t>
            </w:r>
          </w:p>
        </w:tc>
      </w:tr>
      <w:tr>
        <w:tblPrEx>
          <w:tblLayout w:type="fixed"/>
          <w:tblCellMar>
            <w:top w:w="0" w:type="dxa"/>
            <w:left w:w="0" w:type="dxa"/>
            <w:bottom w:w="0" w:type="dxa"/>
            <w:right w:w="0" w:type="dxa"/>
          </w:tblCellMar>
        </w:tblPrEx>
        <w:trPr>
          <w:trHeight w:val="90" w:hRule="atLeast"/>
        </w:trPr>
        <w:tc>
          <w:tcPr>
            <w:tcW w:w="8737" w:type="dxa"/>
            <w:gridSpan w:val="3"/>
            <w:vMerge w:val="restart"/>
            <w:tcBorders>
              <w:top w:val="nil"/>
              <w:left w:val="nil"/>
              <w:right w:val="nil"/>
            </w:tcBorders>
            <w:shd w:val="clear" w:color="auto" w:fill="auto"/>
            <w:tcMar>
              <w:top w:w="15" w:type="dxa"/>
              <w:left w:w="15" w:type="dxa"/>
              <w:right w:w="15" w:type="dxa"/>
            </w:tcMar>
            <w:vAlign w:val="bottom"/>
          </w:tcPr>
          <w:p>
            <w:pPr>
              <w:rPr>
                <w:rFonts w:hint="default" w:cs="宋体"/>
                <w:color w:val="000000"/>
                <w:sz w:val="20"/>
                <w:szCs w:val="20"/>
              </w:rPr>
            </w:pPr>
            <w:r>
              <w:rPr>
                <w:rFonts w:cs="宋体"/>
                <w:sz w:val="20"/>
                <w:szCs w:val="20"/>
              </w:rPr>
              <w:t>公开单位</w:t>
            </w:r>
            <w:r>
              <w:rPr>
                <w:rFonts w:cs="宋体"/>
                <w:color w:val="000000"/>
                <w:sz w:val="20"/>
                <w:szCs w:val="20"/>
              </w:rPr>
              <w:t xml:space="preserve">： </w:t>
            </w:r>
            <w:r>
              <w:rPr>
                <w:color w:val="000000"/>
                <w:sz w:val="20"/>
                <w:u w:color="auto"/>
              </w:rPr>
              <w:t>重庆市秀山土家族苗族自治县妙泉镇卫生院</w:t>
            </w:r>
          </w:p>
        </w:tc>
        <w:tc>
          <w:tcPr>
            <w:tcW w:w="3324"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339" w:type="dxa"/>
            <w:gridSpan w:val="2"/>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公开05表</w:t>
            </w:r>
          </w:p>
        </w:tc>
      </w:tr>
      <w:tr>
        <w:tblPrEx>
          <w:tblLayout w:type="fixed"/>
          <w:tblCellMar>
            <w:top w:w="0" w:type="dxa"/>
            <w:left w:w="0" w:type="dxa"/>
            <w:bottom w:w="0" w:type="dxa"/>
            <w:right w:w="0" w:type="dxa"/>
          </w:tblCellMar>
        </w:tblPrEx>
        <w:trPr>
          <w:trHeight w:val="90" w:hRule="atLeast"/>
        </w:trPr>
        <w:tc>
          <w:tcPr>
            <w:tcW w:w="8737" w:type="dxa"/>
            <w:gridSpan w:val="3"/>
            <w:vMerge w:val="continue"/>
            <w:tcBorders>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324"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339" w:type="dxa"/>
            <w:gridSpan w:val="2"/>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90" w:hRule="atLeast"/>
        </w:trPr>
        <w:tc>
          <w:tcPr>
            <w:tcW w:w="5414"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w:t>
            </w:r>
          </w:p>
        </w:tc>
        <w:tc>
          <w:tcPr>
            <w:tcW w:w="9986" w:type="dxa"/>
            <w:gridSpan w:val="4"/>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本年支出</w:t>
            </w:r>
          </w:p>
        </w:tc>
      </w:tr>
      <w:tr>
        <w:tblPrEx>
          <w:tblLayout w:type="fixed"/>
          <w:tblCellMar>
            <w:top w:w="0" w:type="dxa"/>
            <w:left w:w="0" w:type="dxa"/>
            <w:bottom w:w="0" w:type="dxa"/>
            <w:right w:w="0" w:type="dxa"/>
          </w:tblCellMar>
        </w:tblPrEx>
        <w:trPr>
          <w:trHeight w:val="312" w:hRule="atLeast"/>
        </w:trPr>
        <w:tc>
          <w:tcPr>
            <w:tcW w:w="1860" w:type="dxa"/>
            <w:vMerge w:val="restart"/>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功能分类科目编码</w:t>
            </w:r>
          </w:p>
        </w:tc>
        <w:tc>
          <w:tcPr>
            <w:tcW w:w="3554"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项目（按“项”级功能分类科目）</w:t>
            </w:r>
          </w:p>
        </w:tc>
        <w:tc>
          <w:tcPr>
            <w:tcW w:w="3323"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3325" w:type="dxa"/>
            <w:gridSpan w:val="2"/>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基本支出</w:t>
            </w:r>
          </w:p>
        </w:tc>
        <w:tc>
          <w:tcPr>
            <w:tcW w:w="3338"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项目支出</w:t>
            </w:r>
          </w:p>
        </w:tc>
      </w:tr>
      <w:tr>
        <w:tblPrEx>
          <w:tblLayout w:type="fixed"/>
          <w:tblCellMar>
            <w:top w:w="0" w:type="dxa"/>
            <w:left w:w="0" w:type="dxa"/>
            <w:bottom w:w="0" w:type="dxa"/>
            <w:right w:w="0" w:type="dxa"/>
          </w:tblCellMar>
        </w:tblPrEx>
        <w:trPr>
          <w:trHeight w:val="312" w:hRule="atLeast"/>
        </w:trPr>
        <w:tc>
          <w:tcPr>
            <w:tcW w:w="1860"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554"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323"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325" w:type="dxa"/>
            <w:gridSpan w:val="2"/>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338"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12" w:hRule="atLeast"/>
        </w:trPr>
        <w:tc>
          <w:tcPr>
            <w:tcW w:w="1860"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554"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323"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325" w:type="dxa"/>
            <w:gridSpan w:val="2"/>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338"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90" w:hRule="atLeast"/>
        </w:trPr>
        <w:tc>
          <w:tcPr>
            <w:tcW w:w="5414" w:type="dxa"/>
            <w:gridSpan w:val="2"/>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332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bCs/>
                <w:color w:val="000000"/>
                <w:sz w:val="20"/>
                <w:szCs w:val="20"/>
              </w:rPr>
              <w:t>189.03</w:t>
            </w:r>
            <w:r>
              <w:rPr>
                <w:b/>
                <w:color w:val="000000"/>
                <w:sz w:val="20"/>
                <w:u w:color="auto"/>
              </w:rPr>
              <w:t xml:space="preserve"> </w:t>
            </w:r>
          </w:p>
        </w:tc>
        <w:tc>
          <w:tcPr>
            <w:tcW w:w="3325"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bCs/>
                <w:color w:val="000000"/>
                <w:sz w:val="20"/>
                <w:szCs w:val="20"/>
              </w:rPr>
              <w:t>167.56</w:t>
            </w:r>
            <w:r>
              <w:rPr>
                <w:b/>
                <w:color w:val="000000"/>
                <w:sz w:val="20"/>
                <w:u w:color="auto"/>
              </w:rPr>
              <w:t xml:space="preserve"> </w:t>
            </w:r>
          </w:p>
        </w:tc>
        <w:tc>
          <w:tcPr>
            <w:tcW w:w="333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bCs/>
                <w:color w:val="000000"/>
                <w:sz w:val="20"/>
                <w:szCs w:val="20"/>
              </w:rPr>
              <w:t>21.47</w:t>
            </w:r>
            <w:r>
              <w:rPr>
                <w:b/>
                <w:color w:val="000000"/>
                <w:sz w:val="20"/>
                <w:u w:color="auto"/>
              </w:rPr>
              <w:t xml:space="preserve"> </w:t>
            </w:r>
          </w:p>
        </w:tc>
      </w:tr>
      <w:tr>
        <w:tblPrEx>
          <w:tblLayout w:type="fixed"/>
          <w:tblCellMar>
            <w:top w:w="0" w:type="dxa"/>
            <w:left w:w="0" w:type="dxa"/>
            <w:bottom w:w="0" w:type="dxa"/>
            <w:right w:w="0" w:type="dxa"/>
          </w:tblCellMar>
        </w:tblPrEx>
        <w:trPr>
          <w:trHeight w:val="90" w:hRule="atLeast"/>
        </w:trPr>
        <w:tc>
          <w:tcPr>
            <w:tcW w:w="1860"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208</w:t>
            </w:r>
          </w:p>
        </w:tc>
        <w:tc>
          <w:tcPr>
            <w:tcW w:w="355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社会保障和就业支出</w:t>
            </w:r>
          </w:p>
        </w:tc>
        <w:tc>
          <w:tcPr>
            <w:tcW w:w="332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11.55</w:t>
            </w:r>
            <w:r>
              <w:rPr>
                <w:b/>
                <w:color w:val="000000"/>
                <w:sz w:val="20"/>
                <w:u w:color="auto"/>
              </w:rPr>
              <w:t xml:space="preserve"> </w:t>
            </w:r>
          </w:p>
        </w:tc>
        <w:tc>
          <w:tcPr>
            <w:tcW w:w="3325"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11.55</w:t>
            </w:r>
            <w:r>
              <w:rPr>
                <w:b/>
                <w:color w:val="000000"/>
                <w:sz w:val="20"/>
                <w:u w:color="auto"/>
              </w:rPr>
              <w:t xml:space="preserve"> </w:t>
            </w:r>
          </w:p>
        </w:tc>
        <w:tc>
          <w:tcPr>
            <w:tcW w:w="333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90" w:hRule="atLeast"/>
        </w:trPr>
        <w:tc>
          <w:tcPr>
            <w:tcW w:w="1860"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20805</w:t>
            </w:r>
          </w:p>
        </w:tc>
        <w:tc>
          <w:tcPr>
            <w:tcW w:w="355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行政事业单位养老支出</w:t>
            </w:r>
          </w:p>
        </w:tc>
        <w:tc>
          <w:tcPr>
            <w:tcW w:w="332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11.55</w:t>
            </w:r>
            <w:r>
              <w:rPr>
                <w:b/>
                <w:color w:val="000000"/>
                <w:sz w:val="20"/>
                <w:u w:color="auto"/>
              </w:rPr>
              <w:t xml:space="preserve"> </w:t>
            </w:r>
          </w:p>
        </w:tc>
        <w:tc>
          <w:tcPr>
            <w:tcW w:w="3325"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11.55</w:t>
            </w:r>
            <w:r>
              <w:rPr>
                <w:b/>
                <w:color w:val="000000"/>
                <w:sz w:val="20"/>
                <w:u w:color="auto"/>
              </w:rPr>
              <w:t xml:space="preserve"> </w:t>
            </w:r>
          </w:p>
        </w:tc>
        <w:tc>
          <w:tcPr>
            <w:tcW w:w="333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90" w:hRule="atLeast"/>
        </w:trPr>
        <w:tc>
          <w:tcPr>
            <w:tcW w:w="1860"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2080502</w:t>
            </w:r>
          </w:p>
        </w:tc>
        <w:tc>
          <w:tcPr>
            <w:tcW w:w="355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事业单位离退休</w:t>
            </w:r>
          </w:p>
        </w:tc>
        <w:tc>
          <w:tcPr>
            <w:tcW w:w="332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0.67</w:t>
            </w:r>
            <w:r>
              <w:rPr>
                <w:color w:val="000000"/>
                <w:sz w:val="20"/>
                <w:u w:color="auto"/>
              </w:rPr>
              <w:t xml:space="preserve"> </w:t>
            </w:r>
          </w:p>
        </w:tc>
        <w:tc>
          <w:tcPr>
            <w:tcW w:w="3325"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0.67</w:t>
            </w:r>
            <w:r>
              <w:rPr>
                <w:color w:val="000000"/>
                <w:sz w:val="20"/>
                <w:u w:color="auto"/>
              </w:rPr>
              <w:t xml:space="preserve"> </w:t>
            </w:r>
          </w:p>
        </w:tc>
        <w:tc>
          <w:tcPr>
            <w:tcW w:w="333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90" w:hRule="atLeast"/>
        </w:trPr>
        <w:tc>
          <w:tcPr>
            <w:tcW w:w="1860"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2080505</w:t>
            </w:r>
          </w:p>
        </w:tc>
        <w:tc>
          <w:tcPr>
            <w:tcW w:w="355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机关事业单位基本养老保险缴费支出</w:t>
            </w:r>
          </w:p>
        </w:tc>
        <w:tc>
          <w:tcPr>
            <w:tcW w:w="332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5.19</w:t>
            </w:r>
            <w:r>
              <w:rPr>
                <w:color w:val="000000"/>
                <w:sz w:val="20"/>
                <w:u w:color="auto"/>
              </w:rPr>
              <w:t xml:space="preserve"> </w:t>
            </w:r>
          </w:p>
        </w:tc>
        <w:tc>
          <w:tcPr>
            <w:tcW w:w="3325"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5.19</w:t>
            </w:r>
            <w:r>
              <w:rPr>
                <w:color w:val="000000"/>
                <w:sz w:val="20"/>
                <w:u w:color="auto"/>
              </w:rPr>
              <w:t xml:space="preserve"> </w:t>
            </w:r>
          </w:p>
        </w:tc>
        <w:tc>
          <w:tcPr>
            <w:tcW w:w="333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90" w:hRule="atLeast"/>
        </w:trPr>
        <w:tc>
          <w:tcPr>
            <w:tcW w:w="1860"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2080506</w:t>
            </w:r>
          </w:p>
        </w:tc>
        <w:tc>
          <w:tcPr>
            <w:tcW w:w="355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机关事业单位职业年金缴费支出</w:t>
            </w:r>
          </w:p>
        </w:tc>
        <w:tc>
          <w:tcPr>
            <w:tcW w:w="332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2.58</w:t>
            </w:r>
            <w:r>
              <w:rPr>
                <w:color w:val="000000"/>
                <w:sz w:val="20"/>
                <w:u w:color="auto"/>
              </w:rPr>
              <w:t xml:space="preserve"> </w:t>
            </w:r>
          </w:p>
        </w:tc>
        <w:tc>
          <w:tcPr>
            <w:tcW w:w="3325"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2.58</w:t>
            </w:r>
            <w:r>
              <w:rPr>
                <w:color w:val="000000"/>
                <w:sz w:val="20"/>
                <w:u w:color="auto"/>
              </w:rPr>
              <w:t xml:space="preserve"> </w:t>
            </w:r>
          </w:p>
        </w:tc>
        <w:tc>
          <w:tcPr>
            <w:tcW w:w="333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90" w:hRule="atLeast"/>
        </w:trPr>
        <w:tc>
          <w:tcPr>
            <w:tcW w:w="1860"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2080599</w:t>
            </w:r>
          </w:p>
        </w:tc>
        <w:tc>
          <w:tcPr>
            <w:tcW w:w="355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其他行政事业单位养老支出</w:t>
            </w:r>
          </w:p>
        </w:tc>
        <w:tc>
          <w:tcPr>
            <w:tcW w:w="332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3.11</w:t>
            </w:r>
            <w:r>
              <w:rPr>
                <w:color w:val="000000"/>
                <w:sz w:val="20"/>
                <w:u w:color="auto"/>
              </w:rPr>
              <w:t xml:space="preserve"> </w:t>
            </w:r>
          </w:p>
        </w:tc>
        <w:tc>
          <w:tcPr>
            <w:tcW w:w="3325"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3.11</w:t>
            </w:r>
            <w:r>
              <w:rPr>
                <w:color w:val="000000"/>
                <w:sz w:val="20"/>
                <w:u w:color="auto"/>
              </w:rPr>
              <w:t xml:space="preserve"> </w:t>
            </w:r>
          </w:p>
        </w:tc>
        <w:tc>
          <w:tcPr>
            <w:tcW w:w="333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90" w:hRule="atLeast"/>
        </w:trPr>
        <w:tc>
          <w:tcPr>
            <w:tcW w:w="1860"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w:t>
            </w:r>
          </w:p>
        </w:tc>
        <w:tc>
          <w:tcPr>
            <w:tcW w:w="355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卫生健康支出</w:t>
            </w:r>
          </w:p>
        </w:tc>
        <w:tc>
          <w:tcPr>
            <w:tcW w:w="332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173.22</w:t>
            </w:r>
            <w:r>
              <w:rPr>
                <w:b/>
                <w:color w:val="000000"/>
                <w:sz w:val="20"/>
                <w:u w:color="auto"/>
              </w:rPr>
              <w:t xml:space="preserve"> </w:t>
            </w:r>
          </w:p>
        </w:tc>
        <w:tc>
          <w:tcPr>
            <w:tcW w:w="3325"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151.75</w:t>
            </w:r>
            <w:r>
              <w:rPr>
                <w:b/>
                <w:color w:val="000000"/>
                <w:sz w:val="20"/>
                <w:u w:color="auto"/>
              </w:rPr>
              <w:t xml:space="preserve"> </w:t>
            </w:r>
          </w:p>
        </w:tc>
        <w:tc>
          <w:tcPr>
            <w:tcW w:w="333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21.47</w:t>
            </w:r>
            <w:r>
              <w:rPr>
                <w:b/>
                <w:color w:val="000000"/>
                <w:sz w:val="20"/>
                <w:u w:color="auto"/>
              </w:rPr>
              <w:t xml:space="preserve"> </w:t>
            </w:r>
          </w:p>
        </w:tc>
      </w:tr>
      <w:tr>
        <w:tblPrEx>
          <w:tblLayout w:type="fixed"/>
          <w:tblCellMar>
            <w:top w:w="0" w:type="dxa"/>
            <w:left w:w="0" w:type="dxa"/>
            <w:bottom w:w="0" w:type="dxa"/>
            <w:right w:w="0" w:type="dxa"/>
          </w:tblCellMar>
        </w:tblPrEx>
        <w:trPr>
          <w:trHeight w:val="90" w:hRule="atLeast"/>
        </w:trPr>
        <w:tc>
          <w:tcPr>
            <w:tcW w:w="1860"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21001</w:t>
            </w:r>
          </w:p>
        </w:tc>
        <w:tc>
          <w:tcPr>
            <w:tcW w:w="355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卫生健康管理事务</w:t>
            </w:r>
          </w:p>
        </w:tc>
        <w:tc>
          <w:tcPr>
            <w:tcW w:w="332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0.30</w:t>
            </w:r>
            <w:r>
              <w:rPr>
                <w:b/>
                <w:color w:val="000000"/>
                <w:sz w:val="20"/>
                <w:u w:color="auto"/>
              </w:rPr>
              <w:t xml:space="preserve"> </w:t>
            </w:r>
          </w:p>
        </w:tc>
        <w:tc>
          <w:tcPr>
            <w:tcW w:w="3325"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0.30</w:t>
            </w:r>
            <w:r>
              <w:rPr>
                <w:b/>
                <w:color w:val="000000"/>
                <w:sz w:val="20"/>
                <w:u w:color="auto"/>
              </w:rPr>
              <w:t xml:space="preserve"> </w:t>
            </w:r>
          </w:p>
        </w:tc>
        <w:tc>
          <w:tcPr>
            <w:tcW w:w="333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90" w:hRule="atLeast"/>
        </w:trPr>
        <w:tc>
          <w:tcPr>
            <w:tcW w:w="1860"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2100199</w:t>
            </w:r>
          </w:p>
        </w:tc>
        <w:tc>
          <w:tcPr>
            <w:tcW w:w="355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其他卫生健康管理事务支出</w:t>
            </w:r>
          </w:p>
        </w:tc>
        <w:tc>
          <w:tcPr>
            <w:tcW w:w="332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0.30</w:t>
            </w:r>
            <w:r>
              <w:rPr>
                <w:color w:val="000000"/>
                <w:sz w:val="20"/>
                <w:u w:color="auto"/>
              </w:rPr>
              <w:t xml:space="preserve"> </w:t>
            </w:r>
          </w:p>
        </w:tc>
        <w:tc>
          <w:tcPr>
            <w:tcW w:w="3325"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0.30</w:t>
            </w:r>
            <w:r>
              <w:rPr>
                <w:color w:val="000000"/>
                <w:sz w:val="20"/>
                <w:u w:color="auto"/>
              </w:rPr>
              <w:t xml:space="preserve"> </w:t>
            </w:r>
          </w:p>
        </w:tc>
        <w:tc>
          <w:tcPr>
            <w:tcW w:w="333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90" w:hRule="atLeast"/>
        </w:trPr>
        <w:tc>
          <w:tcPr>
            <w:tcW w:w="1860"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21003</w:t>
            </w:r>
          </w:p>
        </w:tc>
        <w:tc>
          <w:tcPr>
            <w:tcW w:w="355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基层医疗卫生机构</w:t>
            </w:r>
          </w:p>
        </w:tc>
        <w:tc>
          <w:tcPr>
            <w:tcW w:w="332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84.40</w:t>
            </w:r>
            <w:r>
              <w:rPr>
                <w:b/>
                <w:color w:val="000000"/>
                <w:sz w:val="20"/>
                <w:u w:color="auto"/>
              </w:rPr>
              <w:t xml:space="preserve"> </w:t>
            </w:r>
          </w:p>
        </w:tc>
        <w:tc>
          <w:tcPr>
            <w:tcW w:w="3325"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84.40</w:t>
            </w:r>
            <w:r>
              <w:rPr>
                <w:b/>
                <w:color w:val="000000"/>
                <w:sz w:val="20"/>
                <w:u w:color="auto"/>
              </w:rPr>
              <w:t xml:space="preserve"> </w:t>
            </w:r>
          </w:p>
        </w:tc>
        <w:tc>
          <w:tcPr>
            <w:tcW w:w="333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90" w:hRule="atLeast"/>
        </w:trPr>
        <w:tc>
          <w:tcPr>
            <w:tcW w:w="1860"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2100302</w:t>
            </w:r>
          </w:p>
        </w:tc>
        <w:tc>
          <w:tcPr>
            <w:tcW w:w="355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乡镇卫生院</w:t>
            </w:r>
          </w:p>
        </w:tc>
        <w:tc>
          <w:tcPr>
            <w:tcW w:w="332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84.40</w:t>
            </w:r>
            <w:r>
              <w:rPr>
                <w:color w:val="000000"/>
                <w:sz w:val="20"/>
                <w:u w:color="auto"/>
              </w:rPr>
              <w:t xml:space="preserve"> </w:t>
            </w:r>
          </w:p>
        </w:tc>
        <w:tc>
          <w:tcPr>
            <w:tcW w:w="3325"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84.40</w:t>
            </w:r>
            <w:r>
              <w:rPr>
                <w:color w:val="000000"/>
                <w:sz w:val="20"/>
                <w:u w:color="auto"/>
              </w:rPr>
              <w:t xml:space="preserve"> </w:t>
            </w:r>
          </w:p>
        </w:tc>
        <w:tc>
          <w:tcPr>
            <w:tcW w:w="333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90" w:hRule="atLeast"/>
        </w:trPr>
        <w:tc>
          <w:tcPr>
            <w:tcW w:w="1860"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21004</w:t>
            </w:r>
          </w:p>
        </w:tc>
        <w:tc>
          <w:tcPr>
            <w:tcW w:w="355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公共卫生</w:t>
            </w:r>
          </w:p>
        </w:tc>
        <w:tc>
          <w:tcPr>
            <w:tcW w:w="332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73.77</w:t>
            </w:r>
            <w:r>
              <w:rPr>
                <w:b/>
                <w:color w:val="000000"/>
                <w:sz w:val="20"/>
                <w:u w:color="auto"/>
              </w:rPr>
              <w:t xml:space="preserve"> </w:t>
            </w:r>
          </w:p>
        </w:tc>
        <w:tc>
          <w:tcPr>
            <w:tcW w:w="3325"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63.80</w:t>
            </w:r>
            <w:r>
              <w:rPr>
                <w:b/>
                <w:color w:val="000000"/>
                <w:sz w:val="20"/>
                <w:u w:color="auto"/>
              </w:rPr>
              <w:t xml:space="preserve"> </w:t>
            </w:r>
          </w:p>
        </w:tc>
        <w:tc>
          <w:tcPr>
            <w:tcW w:w="333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9.97</w:t>
            </w:r>
            <w:r>
              <w:rPr>
                <w:b/>
                <w:color w:val="000000"/>
                <w:sz w:val="20"/>
                <w:u w:color="auto"/>
              </w:rPr>
              <w:t xml:space="preserve"> </w:t>
            </w:r>
          </w:p>
        </w:tc>
      </w:tr>
      <w:tr>
        <w:tblPrEx>
          <w:tblLayout w:type="fixed"/>
          <w:tblCellMar>
            <w:top w:w="0" w:type="dxa"/>
            <w:left w:w="0" w:type="dxa"/>
            <w:bottom w:w="0" w:type="dxa"/>
            <w:right w:w="0" w:type="dxa"/>
          </w:tblCellMar>
        </w:tblPrEx>
        <w:trPr>
          <w:trHeight w:val="90" w:hRule="atLeast"/>
        </w:trPr>
        <w:tc>
          <w:tcPr>
            <w:tcW w:w="1860"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2100408</w:t>
            </w:r>
          </w:p>
        </w:tc>
        <w:tc>
          <w:tcPr>
            <w:tcW w:w="355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基本公共卫生服务</w:t>
            </w:r>
          </w:p>
        </w:tc>
        <w:tc>
          <w:tcPr>
            <w:tcW w:w="332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62.88</w:t>
            </w:r>
            <w:r>
              <w:rPr>
                <w:color w:val="000000"/>
                <w:sz w:val="20"/>
                <w:u w:color="auto"/>
              </w:rPr>
              <w:t xml:space="preserve"> </w:t>
            </w:r>
          </w:p>
        </w:tc>
        <w:tc>
          <w:tcPr>
            <w:tcW w:w="3325"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62.88</w:t>
            </w:r>
            <w:r>
              <w:rPr>
                <w:color w:val="000000"/>
                <w:sz w:val="20"/>
                <w:u w:color="auto"/>
              </w:rPr>
              <w:t xml:space="preserve"> </w:t>
            </w:r>
          </w:p>
        </w:tc>
        <w:tc>
          <w:tcPr>
            <w:tcW w:w="333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90" w:hRule="atLeast"/>
        </w:trPr>
        <w:tc>
          <w:tcPr>
            <w:tcW w:w="1860"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2100410</w:t>
            </w:r>
          </w:p>
        </w:tc>
        <w:tc>
          <w:tcPr>
            <w:tcW w:w="355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突发公共卫生事件应急处理</w:t>
            </w:r>
          </w:p>
        </w:tc>
        <w:tc>
          <w:tcPr>
            <w:tcW w:w="332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9.97</w:t>
            </w:r>
            <w:r>
              <w:rPr>
                <w:color w:val="000000"/>
                <w:sz w:val="20"/>
                <w:u w:color="auto"/>
              </w:rPr>
              <w:t xml:space="preserve"> </w:t>
            </w:r>
          </w:p>
        </w:tc>
        <w:tc>
          <w:tcPr>
            <w:tcW w:w="3325"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color w:val="000000"/>
                <w:sz w:val="20"/>
                <w:u w:color="auto"/>
              </w:rPr>
              <w:t xml:space="preserve"> </w:t>
            </w:r>
          </w:p>
        </w:tc>
        <w:tc>
          <w:tcPr>
            <w:tcW w:w="333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9.97</w:t>
            </w:r>
            <w:r>
              <w:rPr>
                <w:color w:val="000000"/>
                <w:sz w:val="20"/>
                <w:u w:color="auto"/>
              </w:rPr>
              <w:t xml:space="preserve"> </w:t>
            </w:r>
          </w:p>
        </w:tc>
      </w:tr>
      <w:tr>
        <w:tblPrEx>
          <w:tblLayout w:type="fixed"/>
          <w:tblCellMar>
            <w:top w:w="0" w:type="dxa"/>
            <w:left w:w="0" w:type="dxa"/>
            <w:bottom w:w="0" w:type="dxa"/>
            <w:right w:w="0" w:type="dxa"/>
          </w:tblCellMar>
        </w:tblPrEx>
        <w:trPr>
          <w:trHeight w:val="90" w:hRule="atLeast"/>
        </w:trPr>
        <w:tc>
          <w:tcPr>
            <w:tcW w:w="1860"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2100499</w:t>
            </w:r>
          </w:p>
        </w:tc>
        <w:tc>
          <w:tcPr>
            <w:tcW w:w="355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其他公共卫生支出</w:t>
            </w:r>
          </w:p>
        </w:tc>
        <w:tc>
          <w:tcPr>
            <w:tcW w:w="332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0.93</w:t>
            </w:r>
            <w:r>
              <w:rPr>
                <w:color w:val="000000"/>
                <w:sz w:val="20"/>
                <w:u w:color="auto"/>
              </w:rPr>
              <w:t xml:space="preserve"> </w:t>
            </w:r>
          </w:p>
        </w:tc>
        <w:tc>
          <w:tcPr>
            <w:tcW w:w="3325"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0.93</w:t>
            </w:r>
            <w:r>
              <w:rPr>
                <w:color w:val="000000"/>
                <w:sz w:val="20"/>
                <w:u w:color="auto"/>
              </w:rPr>
              <w:t xml:space="preserve"> </w:t>
            </w:r>
          </w:p>
        </w:tc>
        <w:tc>
          <w:tcPr>
            <w:tcW w:w="333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90" w:hRule="atLeast"/>
        </w:trPr>
        <w:tc>
          <w:tcPr>
            <w:tcW w:w="1860"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21011</w:t>
            </w:r>
          </w:p>
        </w:tc>
        <w:tc>
          <w:tcPr>
            <w:tcW w:w="355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行政事业单位医疗</w:t>
            </w:r>
          </w:p>
        </w:tc>
        <w:tc>
          <w:tcPr>
            <w:tcW w:w="332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3.25</w:t>
            </w:r>
            <w:r>
              <w:rPr>
                <w:b/>
                <w:color w:val="000000"/>
                <w:sz w:val="20"/>
                <w:u w:color="auto"/>
              </w:rPr>
              <w:t xml:space="preserve"> </w:t>
            </w:r>
          </w:p>
        </w:tc>
        <w:tc>
          <w:tcPr>
            <w:tcW w:w="3325"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3.25</w:t>
            </w:r>
            <w:r>
              <w:rPr>
                <w:b/>
                <w:color w:val="000000"/>
                <w:sz w:val="20"/>
                <w:u w:color="auto"/>
              </w:rPr>
              <w:t xml:space="preserve"> </w:t>
            </w:r>
          </w:p>
        </w:tc>
        <w:tc>
          <w:tcPr>
            <w:tcW w:w="333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90" w:hRule="atLeast"/>
        </w:trPr>
        <w:tc>
          <w:tcPr>
            <w:tcW w:w="1860"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2101102</w:t>
            </w:r>
          </w:p>
        </w:tc>
        <w:tc>
          <w:tcPr>
            <w:tcW w:w="355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事业单位医疗</w:t>
            </w:r>
          </w:p>
        </w:tc>
        <w:tc>
          <w:tcPr>
            <w:tcW w:w="332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3.25</w:t>
            </w:r>
            <w:r>
              <w:rPr>
                <w:color w:val="000000"/>
                <w:sz w:val="20"/>
                <w:u w:color="auto"/>
              </w:rPr>
              <w:t xml:space="preserve"> </w:t>
            </w:r>
          </w:p>
        </w:tc>
        <w:tc>
          <w:tcPr>
            <w:tcW w:w="3325"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3.25</w:t>
            </w:r>
            <w:r>
              <w:rPr>
                <w:color w:val="000000"/>
                <w:sz w:val="20"/>
                <w:u w:color="auto"/>
              </w:rPr>
              <w:t xml:space="preserve"> </w:t>
            </w:r>
          </w:p>
        </w:tc>
        <w:tc>
          <w:tcPr>
            <w:tcW w:w="333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90" w:hRule="atLeast"/>
        </w:trPr>
        <w:tc>
          <w:tcPr>
            <w:tcW w:w="1860"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21099</w:t>
            </w:r>
          </w:p>
        </w:tc>
        <w:tc>
          <w:tcPr>
            <w:tcW w:w="355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其他卫生健康支出</w:t>
            </w:r>
          </w:p>
        </w:tc>
        <w:tc>
          <w:tcPr>
            <w:tcW w:w="332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11.50</w:t>
            </w:r>
            <w:r>
              <w:rPr>
                <w:b/>
                <w:color w:val="000000"/>
                <w:sz w:val="20"/>
                <w:u w:color="auto"/>
              </w:rPr>
              <w:t xml:space="preserve"> </w:t>
            </w:r>
          </w:p>
        </w:tc>
        <w:tc>
          <w:tcPr>
            <w:tcW w:w="3325"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color w:val="000000"/>
                <w:sz w:val="20"/>
                <w:u w:color="auto"/>
              </w:rPr>
              <w:t xml:space="preserve"> </w:t>
            </w:r>
          </w:p>
        </w:tc>
        <w:tc>
          <w:tcPr>
            <w:tcW w:w="333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11.50</w:t>
            </w:r>
            <w:r>
              <w:rPr>
                <w:b/>
                <w:color w:val="000000"/>
                <w:sz w:val="20"/>
                <w:u w:color="auto"/>
              </w:rPr>
              <w:t xml:space="preserve"> </w:t>
            </w:r>
          </w:p>
        </w:tc>
      </w:tr>
      <w:tr>
        <w:tblPrEx>
          <w:tblLayout w:type="fixed"/>
          <w:tblCellMar>
            <w:top w:w="0" w:type="dxa"/>
            <w:left w:w="0" w:type="dxa"/>
            <w:bottom w:w="0" w:type="dxa"/>
            <w:right w:w="0" w:type="dxa"/>
          </w:tblCellMar>
        </w:tblPrEx>
        <w:trPr>
          <w:trHeight w:val="90" w:hRule="atLeast"/>
        </w:trPr>
        <w:tc>
          <w:tcPr>
            <w:tcW w:w="1860"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2109999</w:t>
            </w:r>
          </w:p>
        </w:tc>
        <w:tc>
          <w:tcPr>
            <w:tcW w:w="355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其他卫生健康支出</w:t>
            </w:r>
          </w:p>
        </w:tc>
        <w:tc>
          <w:tcPr>
            <w:tcW w:w="332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11.50</w:t>
            </w:r>
            <w:r>
              <w:rPr>
                <w:color w:val="000000"/>
                <w:sz w:val="20"/>
                <w:u w:color="auto"/>
              </w:rPr>
              <w:t xml:space="preserve"> </w:t>
            </w:r>
          </w:p>
        </w:tc>
        <w:tc>
          <w:tcPr>
            <w:tcW w:w="3325"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color w:val="000000"/>
                <w:sz w:val="20"/>
                <w:u w:color="auto"/>
              </w:rPr>
              <w:t xml:space="preserve"> </w:t>
            </w:r>
          </w:p>
        </w:tc>
        <w:tc>
          <w:tcPr>
            <w:tcW w:w="333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11.50</w:t>
            </w:r>
            <w:r>
              <w:rPr>
                <w:color w:val="000000"/>
                <w:sz w:val="20"/>
                <w:u w:color="auto"/>
              </w:rPr>
              <w:t xml:space="preserve"> </w:t>
            </w:r>
          </w:p>
        </w:tc>
      </w:tr>
      <w:tr>
        <w:tblPrEx>
          <w:tblLayout w:type="fixed"/>
          <w:tblCellMar>
            <w:top w:w="0" w:type="dxa"/>
            <w:left w:w="0" w:type="dxa"/>
            <w:bottom w:w="0" w:type="dxa"/>
            <w:right w:w="0" w:type="dxa"/>
          </w:tblCellMar>
        </w:tblPrEx>
        <w:trPr>
          <w:trHeight w:val="90" w:hRule="atLeast"/>
        </w:trPr>
        <w:tc>
          <w:tcPr>
            <w:tcW w:w="1860"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221</w:t>
            </w:r>
          </w:p>
        </w:tc>
        <w:tc>
          <w:tcPr>
            <w:tcW w:w="355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住房保障支出</w:t>
            </w:r>
          </w:p>
        </w:tc>
        <w:tc>
          <w:tcPr>
            <w:tcW w:w="332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4.26</w:t>
            </w:r>
            <w:r>
              <w:rPr>
                <w:b/>
                <w:color w:val="000000"/>
                <w:sz w:val="20"/>
                <w:u w:color="auto"/>
              </w:rPr>
              <w:t xml:space="preserve"> </w:t>
            </w:r>
          </w:p>
        </w:tc>
        <w:tc>
          <w:tcPr>
            <w:tcW w:w="3325"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4.26</w:t>
            </w:r>
            <w:r>
              <w:rPr>
                <w:b/>
                <w:color w:val="000000"/>
                <w:sz w:val="20"/>
                <w:u w:color="auto"/>
              </w:rPr>
              <w:t xml:space="preserve"> </w:t>
            </w:r>
          </w:p>
        </w:tc>
        <w:tc>
          <w:tcPr>
            <w:tcW w:w="333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90" w:hRule="atLeast"/>
        </w:trPr>
        <w:tc>
          <w:tcPr>
            <w:tcW w:w="1860"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22102</w:t>
            </w:r>
          </w:p>
        </w:tc>
        <w:tc>
          <w:tcPr>
            <w:tcW w:w="355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住房改革支出</w:t>
            </w:r>
          </w:p>
        </w:tc>
        <w:tc>
          <w:tcPr>
            <w:tcW w:w="332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4.26</w:t>
            </w:r>
            <w:r>
              <w:rPr>
                <w:b/>
                <w:color w:val="000000"/>
                <w:sz w:val="20"/>
                <w:u w:color="auto"/>
              </w:rPr>
              <w:t xml:space="preserve"> </w:t>
            </w:r>
          </w:p>
        </w:tc>
        <w:tc>
          <w:tcPr>
            <w:tcW w:w="3325"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4.26</w:t>
            </w:r>
            <w:r>
              <w:rPr>
                <w:b/>
                <w:color w:val="000000"/>
                <w:sz w:val="20"/>
                <w:u w:color="auto"/>
              </w:rPr>
              <w:t xml:space="preserve"> </w:t>
            </w:r>
          </w:p>
        </w:tc>
        <w:tc>
          <w:tcPr>
            <w:tcW w:w="333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90" w:hRule="atLeast"/>
        </w:trPr>
        <w:tc>
          <w:tcPr>
            <w:tcW w:w="1860"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2210201</w:t>
            </w:r>
          </w:p>
        </w:tc>
        <w:tc>
          <w:tcPr>
            <w:tcW w:w="355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住房公积金</w:t>
            </w:r>
          </w:p>
        </w:tc>
        <w:tc>
          <w:tcPr>
            <w:tcW w:w="332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4.26</w:t>
            </w:r>
            <w:r>
              <w:rPr>
                <w:color w:val="000000"/>
                <w:sz w:val="20"/>
                <w:u w:color="auto"/>
              </w:rPr>
              <w:t xml:space="preserve"> </w:t>
            </w:r>
          </w:p>
        </w:tc>
        <w:tc>
          <w:tcPr>
            <w:tcW w:w="3325"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4.26</w:t>
            </w:r>
            <w:r>
              <w:rPr>
                <w:color w:val="000000"/>
                <w:sz w:val="20"/>
                <w:u w:color="auto"/>
              </w:rPr>
              <w:t xml:space="preserve"> </w:t>
            </w:r>
          </w:p>
        </w:tc>
        <w:tc>
          <w:tcPr>
            <w:tcW w:w="333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color w:val="000000"/>
                <w:sz w:val="20"/>
                <w:u w:color="auto"/>
              </w:rPr>
              <w:t xml:space="preserve"> </w:t>
            </w:r>
          </w:p>
        </w:tc>
      </w:tr>
    </w:tbl>
    <w:p>
      <w:pPr>
        <w:rPr>
          <w:rFonts w:hint="default" w:cs="宋体"/>
          <w:sz w:val="21"/>
          <w:szCs w:val="21"/>
        </w:rPr>
      </w:pPr>
      <w:r>
        <w:rPr>
          <w:rFonts w:cs="宋体"/>
          <w:sz w:val="20"/>
          <w:szCs w:val="20"/>
        </w:rPr>
        <w:t>备注：1.本表反映单位本年度一般公共预算财政拨款支出情况。</w:t>
      </w:r>
      <w:r>
        <w:rPr>
          <w:rFonts w:cs="宋体"/>
          <w:sz w:val="20"/>
          <w:szCs w:val="20"/>
        </w:rPr>
        <w:br w:type="textWrapping"/>
      </w:r>
      <w:r>
        <w:rPr>
          <w:rFonts w:cs="宋体"/>
          <w:sz w:val="20"/>
          <w:szCs w:val="20"/>
        </w:rPr>
        <w:t xml:space="preserve">      2.本套报表金额单位转换时可能存在尾数误差。</w:t>
      </w:r>
      <w:r>
        <w:rPr>
          <w:rFonts w:cs="宋体"/>
          <w:sz w:val="20"/>
          <w:szCs w:val="20"/>
        </w:rPr>
        <w:br w:type="textWrapping"/>
      </w:r>
      <w:r>
        <w:rPr>
          <w:rFonts w:cs="宋体"/>
          <w:sz w:val="20"/>
          <w:szCs w:val="20"/>
        </w:rPr>
        <w:br w:type="textWrapping"/>
      </w:r>
    </w:p>
    <w:p>
      <w:pPr>
        <w:ind w:firstLine="630" w:firstLineChars="300"/>
        <w:rPr>
          <w:rFonts w:hint="default" w:cs="宋体"/>
          <w:sz w:val="21"/>
          <w:szCs w:val="21"/>
        </w:rPr>
      </w:pPr>
      <w:r>
        <w:rPr>
          <w:rFonts w:cs="宋体"/>
          <w:sz w:val="21"/>
          <w:szCs w:val="21"/>
        </w:rPr>
        <w:br w:type="page"/>
      </w:r>
    </w:p>
    <w:tbl>
      <w:tblPr>
        <w:tblStyle w:val="12"/>
        <w:tblW w:w="15360" w:type="dxa"/>
        <w:tblInd w:w="0" w:type="dxa"/>
        <w:tblLayout w:type="fixed"/>
        <w:tblCellMar>
          <w:top w:w="0" w:type="dxa"/>
          <w:left w:w="0" w:type="dxa"/>
          <w:bottom w:w="0" w:type="dxa"/>
          <w:right w:w="0" w:type="dxa"/>
        </w:tblCellMar>
      </w:tblPr>
      <w:tblGrid>
        <w:gridCol w:w="605"/>
        <w:gridCol w:w="2740"/>
        <w:gridCol w:w="1376"/>
        <w:gridCol w:w="836"/>
        <w:gridCol w:w="1923"/>
        <w:gridCol w:w="1656"/>
        <w:gridCol w:w="808"/>
        <w:gridCol w:w="3527"/>
        <w:gridCol w:w="1889"/>
      </w:tblGrid>
      <w:tr>
        <w:tblPrEx>
          <w:tblLayout w:type="fixed"/>
          <w:tblCellMar>
            <w:top w:w="0" w:type="dxa"/>
            <w:left w:w="0" w:type="dxa"/>
            <w:bottom w:w="0" w:type="dxa"/>
            <w:right w:w="0" w:type="dxa"/>
          </w:tblCellMar>
        </w:tblPrEx>
        <w:trPr>
          <w:trHeight w:val="90" w:hRule="atLeast"/>
        </w:trPr>
        <w:tc>
          <w:tcPr>
            <w:tcW w:w="15360" w:type="dxa"/>
            <w:gridSpan w:val="9"/>
            <w:tcBorders>
              <w:top w:val="nil"/>
              <w:left w:val="nil"/>
              <w:bottom w:val="nil"/>
              <w:right w:val="nil"/>
            </w:tcBorders>
            <w:shd w:val="clear" w:color="auto" w:fill="auto"/>
            <w:tcMar>
              <w:top w:w="15" w:type="dxa"/>
              <w:left w:w="15" w:type="dxa"/>
              <w:right w:w="15" w:type="dxa"/>
            </w:tcMar>
            <w:vAlign w:val="bottom"/>
          </w:tcPr>
          <w:p>
            <w:pPr>
              <w:spacing w:line="440" w:lineRule="exact"/>
              <w:jc w:val="center"/>
              <w:textAlignment w:val="bottom"/>
              <w:rPr>
                <w:rFonts w:hint="default" w:cs="宋体"/>
                <w:b/>
                <w:color w:val="000000"/>
                <w:sz w:val="32"/>
                <w:szCs w:val="32"/>
              </w:rPr>
            </w:pPr>
            <w:r>
              <w:rPr>
                <w:rFonts w:cs="宋体"/>
                <w:b/>
                <w:color w:val="000000"/>
                <w:sz w:val="32"/>
                <w:szCs w:val="32"/>
              </w:rPr>
              <w:t>一般公共预算财政拨款基本支出决算表</w:t>
            </w:r>
          </w:p>
        </w:tc>
      </w:tr>
      <w:tr>
        <w:tblPrEx>
          <w:tblLayout w:type="fixed"/>
          <w:tblCellMar>
            <w:top w:w="0" w:type="dxa"/>
            <w:left w:w="0" w:type="dxa"/>
            <w:bottom w:w="0" w:type="dxa"/>
            <w:right w:w="0" w:type="dxa"/>
          </w:tblCellMar>
        </w:tblPrEx>
        <w:trPr>
          <w:trHeight w:val="90" w:hRule="atLeast"/>
        </w:trPr>
        <w:tc>
          <w:tcPr>
            <w:tcW w:w="5557" w:type="dxa"/>
            <w:gridSpan w:val="4"/>
            <w:vMerge w:val="restart"/>
            <w:tcBorders>
              <w:top w:val="nil"/>
              <w:left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r>
              <w:rPr>
                <w:rFonts w:cs="宋体"/>
                <w:sz w:val="20"/>
                <w:szCs w:val="20"/>
              </w:rPr>
              <w:t>公开单位</w:t>
            </w:r>
            <w:r>
              <w:rPr>
                <w:rFonts w:cs="宋体"/>
                <w:color w:val="000000"/>
                <w:sz w:val="20"/>
                <w:szCs w:val="20"/>
              </w:rPr>
              <w:t xml:space="preserve">： </w:t>
            </w:r>
            <w:r>
              <w:rPr>
                <w:color w:val="000000"/>
                <w:sz w:val="20"/>
                <w:u w:color="auto"/>
              </w:rPr>
              <w:t>重庆市秀山土家族苗族自治县妙泉镇卫生院</w:t>
            </w:r>
          </w:p>
        </w:tc>
        <w:tc>
          <w:tcPr>
            <w:tcW w:w="1923"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656"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08"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3527"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889"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cs="宋体"/>
                <w:color w:val="000000"/>
                <w:sz w:val="20"/>
                <w:szCs w:val="20"/>
              </w:rPr>
            </w:pPr>
            <w:r>
              <w:rPr>
                <w:rFonts w:cs="宋体"/>
                <w:color w:val="000000"/>
                <w:sz w:val="20"/>
                <w:szCs w:val="20"/>
              </w:rPr>
              <w:t>公开06表</w:t>
            </w:r>
          </w:p>
        </w:tc>
      </w:tr>
      <w:tr>
        <w:tblPrEx>
          <w:tblLayout w:type="fixed"/>
          <w:tblCellMar>
            <w:top w:w="0" w:type="dxa"/>
            <w:left w:w="0" w:type="dxa"/>
            <w:bottom w:w="0" w:type="dxa"/>
            <w:right w:w="0" w:type="dxa"/>
          </w:tblCellMar>
        </w:tblPrEx>
        <w:trPr>
          <w:trHeight w:val="90" w:hRule="atLeast"/>
        </w:trPr>
        <w:tc>
          <w:tcPr>
            <w:tcW w:w="5557" w:type="dxa"/>
            <w:gridSpan w:val="4"/>
            <w:vMerge w:val="continue"/>
            <w:tcBorders>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923"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656"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08"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3527"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889"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90" w:hRule="atLeast"/>
        </w:trPr>
        <w:tc>
          <w:tcPr>
            <w:tcW w:w="4721" w:type="dxa"/>
            <w:gridSpan w:val="3"/>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人员经费</w:t>
            </w:r>
          </w:p>
        </w:tc>
        <w:tc>
          <w:tcPr>
            <w:tcW w:w="10639" w:type="dxa"/>
            <w:gridSpan w:val="6"/>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公用经费</w:t>
            </w:r>
          </w:p>
        </w:tc>
      </w:tr>
      <w:tr>
        <w:tblPrEx>
          <w:tblLayout w:type="fixed"/>
          <w:tblCellMar>
            <w:top w:w="0" w:type="dxa"/>
            <w:left w:w="0" w:type="dxa"/>
            <w:bottom w:w="0" w:type="dxa"/>
            <w:right w:w="0" w:type="dxa"/>
          </w:tblCellMar>
        </w:tblPrEx>
        <w:trPr>
          <w:trHeight w:val="312" w:hRule="atLeast"/>
        </w:trPr>
        <w:tc>
          <w:tcPr>
            <w:tcW w:w="605" w:type="dxa"/>
            <w:vMerge w:val="restart"/>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经济分类科目编码</w:t>
            </w:r>
          </w:p>
        </w:tc>
        <w:tc>
          <w:tcPr>
            <w:tcW w:w="2740"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经济分类科目（按“款”级功能分类科目）</w:t>
            </w:r>
          </w:p>
        </w:tc>
        <w:tc>
          <w:tcPr>
            <w:tcW w:w="1376"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金额</w:t>
            </w:r>
          </w:p>
        </w:tc>
        <w:tc>
          <w:tcPr>
            <w:tcW w:w="836" w:type="dxa"/>
            <w:vMerge w:val="restart"/>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经济分类科目编码</w:t>
            </w:r>
          </w:p>
        </w:tc>
        <w:tc>
          <w:tcPr>
            <w:tcW w:w="1923"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经济分类科目（按“款”级功能分类科目）</w:t>
            </w:r>
          </w:p>
        </w:tc>
        <w:tc>
          <w:tcPr>
            <w:tcW w:w="1656"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金额</w:t>
            </w:r>
          </w:p>
        </w:tc>
        <w:tc>
          <w:tcPr>
            <w:tcW w:w="808" w:type="dxa"/>
            <w:vMerge w:val="restart"/>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经济分类科目编码</w:t>
            </w:r>
          </w:p>
        </w:tc>
        <w:tc>
          <w:tcPr>
            <w:tcW w:w="3527"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经济分类科目（按“款”级功能分类科目）</w:t>
            </w:r>
          </w:p>
        </w:tc>
        <w:tc>
          <w:tcPr>
            <w:tcW w:w="1889"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金额</w:t>
            </w:r>
          </w:p>
        </w:tc>
      </w:tr>
      <w:tr>
        <w:tblPrEx>
          <w:tblLayout w:type="fixed"/>
          <w:tblCellMar>
            <w:top w:w="0" w:type="dxa"/>
            <w:left w:w="0" w:type="dxa"/>
            <w:bottom w:w="0" w:type="dxa"/>
            <w:right w:w="0" w:type="dxa"/>
          </w:tblCellMar>
        </w:tblPrEx>
        <w:trPr>
          <w:trHeight w:val="312" w:hRule="atLeast"/>
        </w:trPr>
        <w:tc>
          <w:tcPr>
            <w:tcW w:w="605"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cs="宋体"/>
                <w:b/>
                <w:color w:val="000000"/>
                <w:sz w:val="18"/>
                <w:szCs w:val="18"/>
              </w:rPr>
            </w:pPr>
          </w:p>
        </w:tc>
        <w:tc>
          <w:tcPr>
            <w:tcW w:w="2740"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cs="宋体"/>
                <w:b/>
                <w:color w:val="000000"/>
                <w:sz w:val="18"/>
                <w:szCs w:val="18"/>
              </w:rPr>
            </w:pPr>
          </w:p>
        </w:tc>
        <w:tc>
          <w:tcPr>
            <w:tcW w:w="1376"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cs="宋体"/>
                <w:b/>
                <w:color w:val="000000"/>
                <w:sz w:val="18"/>
                <w:szCs w:val="18"/>
              </w:rPr>
            </w:pPr>
          </w:p>
        </w:tc>
        <w:tc>
          <w:tcPr>
            <w:tcW w:w="836"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cs="宋体"/>
                <w:b/>
                <w:color w:val="000000"/>
                <w:sz w:val="18"/>
                <w:szCs w:val="18"/>
              </w:rPr>
            </w:pPr>
          </w:p>
        </w:tc>
        <w:tc>
          <w:tcPr>
            <w:tcW w:w="1923"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cs="宋体"/>
                <w:b/>
                <w:color w:val="000000"/>
                <w:sz w:val="18"/>
                <w:szCs w:val="18"/>
              </w:rPr>
            </w:pPr>
          </w:p>
        </w:tc>
        <w:tc>
          <w:tcPr>
            <w:tcW w:w="1656"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cs="宋体"/>
                <w:b/>
                <w:color w:val="000000"/>
                <w:sz w:val="18"/>
                <w:szCs w:val="18"/>
              </w:rPr>
            </w:pPr>
          </w:p>
        </w:tc>
        <w:tc>
          <w:tcPr>
            <w:tcW w:w="808"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cs="宋体"/>
                <w:b/>
                <w:color w:val="000000"/>
                <w:sz w:val="18"/>
                <w:szCs w:val="18"/>
              </w:rPr>
            </w:pPr>
          </w:p>
        </w:tc>
        <w:tc>
          <w:tcPr>
            <w:tcW w:w="3527"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cs="宋体"/>
                <w:b/>
                <w:color w:val="000000"/>
                <w:sz w:val="18"/>
                <w:szCs w:val="18"/>
              </w:rPr>
            </w:pPr>
          </w:p>
        </w:tc>
        <w:tc>
          <w:tcPr>
            <w:tcW w:w="1889"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cs="宋体"/>
                <w:b/>
                <w:color w:val="000000"/>
                <w:sz w:val="18"/>
                <w:szCs w:val="18"/>
              </w:rPr>
            </w:pP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工资福利支出</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163.78</w:t>
            </w: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商品和服务支出</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资本性支出</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30101</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基本工资</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39.20</w:t>
            </w: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30201</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办公费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31001</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房屋建筑物购建</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30102</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津贴补贴</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30.86</w:t>
            </w: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30202</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印刷费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31002</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办公设备购置</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30103</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奖金</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30203</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咨询费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31003</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专用设备购置</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30106</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伙食补助费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20.00</w:t>
            </w: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30204</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手续费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31005</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基础设施建设</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30107</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绩效工资</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57.02</w:t>
            </w: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30205</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水费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31006</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大型修缮</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30108</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机关事业单位基本养老保险缴费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5.19</w:t>
            </w: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30206</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电费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31007</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信息网络及软件购置更新</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30109</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职业年金缴费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2.58</w:t>
            </w: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30207</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邮电费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31008</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物资储备</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30110</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职工基本医疗保险缴费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3.25</w:t>
            </w: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30208</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取暖费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31009</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土地补偿</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30111</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公务员医疗补助缴费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30209</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物业管理费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31010</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安置补助</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30112</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其他社会保障缴费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0.12</w:t>
            </w: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30211</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差旅费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31011</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地上附着物和青苗补偿</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30113</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住房公积金</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4.26</w:t>
            </w: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30212</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因公出国（境）费用</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31012</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拆迁补偿</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30114</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医疗费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1.30</w:t>
            </w: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30213</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维修（护）费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31013</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公务用车购置</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30199</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其他工资福利支出</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30214</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租赁费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31019</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其他交通工具购置</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对个人和家庭的补助</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3.78</w:t>
            </w: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30215</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会议费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31021</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文物和陈列品购置</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30301</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离休费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30216</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培训费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31022</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无形资产购置</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30302</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退休费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30217</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公务接待费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31099</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其他资本性支出</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30303</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退职（役）费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30218</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专用材料费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312</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对企业补助</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30304</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抚恤金</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30224</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被装购置费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31201</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资本金注入</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30305</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生活补助</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3.11</w:t>
            </w: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30225</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专用燃料费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31203</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政府投资基金股权投资</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30306</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救济费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30226</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劳务费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31204</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费用补贴</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30307</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医疗费补助</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0.67</w:t>
            </w: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30227</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委托业务费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31205</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利息补贴</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30308</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助学金</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30228</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工会经费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31299</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其他对企业补助</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30309</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奖励金</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30229</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福利费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399</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其他支出</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30310</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个人农业生产补贴</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30231</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公务用车运行维护费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39907</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国家赔偿费用支出</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30311</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代缴社会保险费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30239</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其他交通费用</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39908</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对民间非营利组织和群众性自治组织补贴</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30399</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其他对个人和家庭的补助</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30240</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税金及附加费用</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39909</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经常性赠与</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30299</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其他商品和服务支出</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39910</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资本性赠与</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307</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债务利息及费用支出</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39999</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其他支出</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30701</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国内债务付息</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30702</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国外债务付息</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30703</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国内债务发行费用</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30704</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国外债务发行费用</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r>
      <w:tr>
        <w:tblPrEx>
          <w:tblLayout w:type="fixed"/>
          <w:tblCellMar>
            <w:top w:w="0" w:type="dxa"/>
            <w:left w:w="0" w:type="dxa"/>
            <w:bottom w:w="0" w:type="dxa"/>
            <w:right w:w="0" w:type="dxa"/>
          </w:tblCellMar>
        </w:tblPrEx>
        <w:trPr>
          <w:trHeight w:val="90" w:hRule="atLeast"/>
        </w:trPr>
        <w:tc>
          <w:tcPr>
            <w:tcW w:w="3345" w:type="dxa"/>
            <w:gridSpan w:val="2"/>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人员经费合计</w:t>
            </w:r>
          </w:p>
        </w:tc>
        <w:tc>
          <w:tcPr>
            <w:tcW w:w="137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wordWrap w:val="0"/>
              <w:spacing w:line="200" w:lineRule="exact"/>
              <w:jc w:val="right"/>
              <w:textAlignment w:val="bottom"/>
              <w:rPr>
                <w:rFonts w:hint="default" w:cs="宋体"/>
                <w:color w:val="000000"/>
                <w:sz w:val="18"/>
                <w:szCs w:val="18"/>
              </w:rPr>
            </w:pPr>
            <w:r>
              <w:rPr>
                <w:rFonts w:cs="宋体"/>
                <w:color w:val="000000"/>
                <w:sz w:val="18"/>
                <w:szCs w:val="18"/>
              </w:rPr>
              <w:t>167.56</w:t>
            </w:r>
            <w:r>
              <w:rPr>
                <w:color w:val="000000"/>
                <w:sz w:val="18"/>
                <w:u w:color="auto"/>
              </w:rPr>
              <w:t xml:space="preserve"> </w:t>
            </w:r>
          </w:p>
        </w:tc>
        <w:tc>
          <w:tcPr>
            <w:tcW w:w="8750" w:type="dxa"/>
            <w:gridSpan w:val="5"/>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公用经费合计</w:t>
            </w:r>
          </w:p>
        </w:tc>
        <w:tc>
          <w:tcPr>
            <w:tcW w:w="188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bl>
    <w:p>
      <w:pPr>
        <w:spacing w:line="280" w:lineRule="exact"/>
        <w:rPr>
          <w:rFonts w:hint="default" w:cs="宋体"/>
          <w:sz w:val="20"/>
          <w:szCs w:val="20"/>
        </w:rPr>
      </w:pPr>
      <w:r>
        <w:rPr>
          <w:rFonts w:cs="宋体"/>
          <w:sz w:val="20"/>
          <w:szCs w:val="20"/>
        </w:rPr>
        <w:t>备注：1.本表反映单位本年度一般公共预算财政拨款基本支出明细情况。</w:t>
      </w:r>
      <w:r>
        <w:rPr>
          <w:rFonts w:cs="宋体"/>
          <w:sz w:val="20"/>
          <w:szCs w:val="20"/>
        </w:rPr>
        <w:br w:type="textWrapping"/>
      </w:r>
      <w:r>
        <w:rPr>
          <w:rFonts w:cs="宋体"/>
          <w:sz w:val="20"/>
          <w:szCs w:val="20"/>
        </w:rPr>
        <w:t xml:space="preserve">      2.本套报表金额单位转换时可能存在尾数误差。</w:t>
      </w:r>
      <w:r>
        <w:rPr>
          <w:rFonts w:cs="宋体"/>
          <w:sz w:val="20"/>
          <w:szCs w:val="20"/>
        </w:rPr>
        <w:br w:type="textWrapping"/>
      </w:r>
      <w:r>
        <w:rPr>
          <w:rFonts w:cs="宋体"/>
          <w:sz w:val="20"/>
          <w:szCs w:val="20"/>
        </w:rPr>
        <w:br w:type="textWrapping"/>
      </w:r>
      <w:r>
        <w:rPr>
          <w:rFonts w:cs="宋体"/>
          <w:sz w:val="21"/>
          <w:szCs w:val="21"/>
        </w:rPr>
        <w:br w:type="page"/>
      </w:r>
    </w:p>
    <w:tbl>
      <w:tblPr>
        <w:tblStyle w:val="12"/>
        <w:tblW w:w="15378" w:type="dxa"/>
        <w:tblInd w:w="0" w:type="dxa"/>
        <w:tblLayout w:type="fixed"/>
        <w:tblCellMar>
          <w:top w:w="0" w:type="dxa"/>
          <w:left w:w="0" w:type="dxa"/>
          <w:bottom w:w="0" w:type="dxa"/>
          <w:right w:w="0" w:type="dxa"/>
        </w:tblCellMar>
      </w:tblPr>
      <w:tblGrid>
        <w:gridCol w:w="1854"/>
        <w:gridCol w:w="3088"/>
        <w:gridCol w:w="1707"/>
        <w:gridCol w:w="1707"/>
        <w:gridCol w:w="1707"/>
        <w:gridCol w:w="1707"/>
        <w:gridCol w:w="1772"/>
        <w:gridCol w:w="1836"/>
      </w:tblGrid>
      <w:tr>
        <w:tblPrEx>
          <w:tblLayout w:type="fixed"/>
          <w:tblCellMar>
            <w:top w:w="0" w:type="dxa"/>
            <w:left w:w="0" w:type="dxa"/>
            <w:bottom w:w="0" w:type="dxa"/>
            <w:right w:w="0" w:type="dxa"/>
          </w:tblCellMar>
        </w:tblPrEx>
        <w:trPr>
          <w:trHeight w:val="644" w:hRule="atLeast"/>
        </w:trPr>
        <w:tc>
          <w:tcPr>
            <w:tcW w:w="15378" w:type="dxa"/>
            <w:gridSpan w:val="8"/>
            <w:tcBorders>
              <w:top w:val="nil"/>
              <w:left w:val="nil"/>
              <w:bottom w:val="nil"/>
              <w:right w:val="nil"/>
            </w:tcBorders>
            <w:shd w:val="clear" w:color="auto" w:fill="auto"/>
            <w:tcMar>
              <w:top w:w="15" w:type="dxa"/>
              <w:left w:w="15" w:type="dxa"/>
              <w:right w:w="15" w:type="dxa"/>
            </w:tcMar>
            <w:vAlign w:val="bottom"/>
          </w:tcPr>
          <w:p>
            <w:pPr>
              <w:jc w:val="center"/>
              <w:textAlignment w:val="bottom"/>
              <w:rPr>
                <w:rFonts w:hint="default" w:cs="宋体"/>
                <w:b/>
                <w:color w:val="000000"/>
                <w:sz w:val="32"/>
                <w:szCs w:val="32"/>
              </w:rPr>
            </w:pPr>
            <w:r>
              <w:rPr>
                <w:rFonts w:cs="宋体"/>
                <w:b/>
                <w:color w:val="000000"/>
                <w:sz w:val="32"/>
                <w:szCs w:val="32"/>
              </w:rPr>
              <w:t>政府性基金预算财政拨款收入支出决算表</w:t>
            </w:r>
          </w:p>
        </w:tc>
      </w:tr>
      <w:tr>
        <w:tblPrEx>
          <w:tblLayout w:type="fixed"/>
          <w:tblCellMar>
            <w:top w:w="0" w:type="dxa"/>
            <w:left w:w="0" w:type="dxa"/>
            <w:bottom w:w="0" w:type="dxa"/>
            <w:right w:w="0" w:type="dxa"/>
          </w:tblCellMar>
        </w:tblPrEx>
        <w:trPr>
          <w:trHeight w:val="329" w:hRule="atLeast"/>
        </w:trPr>
        <w:tc>
          <w:tcPr>
            <w:tcW w:w="6649" w:type="dxa"/>
            <w:gridSpan w:val="3"/>
            <w:vMerge w:val="restart"/>
            <w:tcBorders>
              <w:top w:val="nil"/>
              <w:left w:val="nil"/>
              <w:right w:val="nil"/>
            </w:tcBorders>
            <w:shd w:val="clear" w:color="auto" w:fill="auto"/>
            <w:tcMar>
              <w:top w:w="15" w:type="dxa"/>
              <w:left w:w="15" w:type="dxa"/>
              <w:right w:w="15" w:type="dxa"/>
            </w:tcMar>
            <w:vAlign w:val="bottom"/>
          </w:tcPr>
          <w:p>
            <w:pPr>
              <w:rPr>
                <w:rFonts w:hint="default" w:cs="宋体"/>
                <w:color w:val="000000"/>
                <w:sz w:val="20"/>
                <w:szCs w:val="20"/>
              </w:rPr>
            </w:pPr>
            <w:r>
              <w:rPr>
                <w:rFonts w:cs="宋体"/>
                <w:sz w:val="20"/>
                <w:szCs w:val="20"/>
              </w:rPr>
              <w:t>公开单位</w:t>
            </w:r>
            <w:r>
              <w:rPr>
                <w:rFonts w:cs="宋体"/>
                <w:color w:val="000000"/>
                <w:sz w:val="20"/>
                <w:szCs w:val="20"/>
              </w:rPr>
              <w:t xml:space="preserve">： </w:t>
            </w:r>
            <w:r>
              <w:rPr>
                <w:color w:val="000000"/>
                <w:sz w:val="20"/>
                <w:u w:color="auto"/>
              </w:rPr>
              <w:t>重庆市秀山土家族苗族自治县妙泉镇卫生院</w:t>
            </w:r>
          </w:p>
        </w:tc>
        <w:tc>
          <w:tcPr>
            <w:tcW w:w="1707"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07"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07"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72"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836"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公开07表</w:t>
            </w:r>
          </w:p>
        </w:tc>
      </w:tr>
      <w:tr>
        <w:tblPrEx>
          <w:tblLayout w:type="fixed"/>
          <w:tblCellMar>
            <w:top w:w="0" w:type="dxa"/>
            <w:left w:w="0" w:type="dxa"/>
            <w:bottom w:w="0" w:type="dxa"/>
            <w:right w:w="0" w:type="dxa"/>
          </w:tblCellMar>
        </w:tblPrEx>
        <w:trPr>
          <w:trHeight w:val="329" w:hRule="atLeast"/>
        </w:trPr>
        <w:tc>
          <w:tcPr>
            <w:tcW w:w="6649" w:type="dxa"/>
            <w:gridSpan w:val="3"/>
            <w:vMerge w:val="continue"/>
            <w:tcBorders>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07"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07"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07"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72"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836"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339" w:hRule="atLeast"/>
        </w:trPr>
        <w:tc>
          <w:tcPr>
            <w:tcW w:w="4942"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w:t>
            </w:r>
          </w:p>
        </w:tc>
        <w:tc>
          <w:tcPr>
            <w:tcW w:w="1707" w:type="dxa"/>
            <w:vMerge w:val="restart"/>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年初结转和结余</w:t>
            </w:r>
          </w:p>
        </w:tc>
        <w:tc>
          <w:tcPr>
            <w:tcW w:w="1707"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本年收入</w:t>
            </w:r>
          </w:p>
        </w:tc>
        <w:tc>
          <w:tcPr>
            <w:tcW w:w="5186" w:type="dxa"/>
            <w:gridSpan w:val="3"/>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本年支出</w:t>
            </w:r>
          </w:p>
        </w:tc>
        <w:tc>
          <w:tcPr>
            <w:tcW w:w="1836"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年末结转和结余</w:t>
            </w:r>
          </w:p>
        </w:tc>
      </w:tr>
      <w:tr>
        <w:tblPrEx>
          <w:tblLayout w:type="fixed"/>
          <w:tblCellMar>
            <w:top w:w="0" w:type="dxa"/>
            <w:left w:w="0" w:type="dxa"/>
            <w:bottom w:w="0" w:type="dxa"/>
            <w:right w:w="0" w:type="dxa"/>
          </w:tblCellMar>
        </w:tblPrEx>
        <w:trPr>
          <w:trHeight w:val="335" w:hRule="atLeast"/>
        </w:trPr>
        <w:tc>
          <w:tcPr>
            <w:tcW w:w="1854"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功能分类科目编码</w:t>
            </w:r>
          </w:p>
        </w:tc>
        <w:tc>
          <w:tcPr>
            <w:tcW w:w="3088"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项目（按“项”级功能分类科目）</w:t>
            </w:r>
          </w:p>
        </w:tc>
        <w:tc>
          <w:tcPr>
            <w:tcW w:w="1707" w:type="dxa"/>
            <w:vMerge w:val="continue"/>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07"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07"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1707"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基本支出</w:t>
            </w:r>
          </w:p>
        </w:tc>
        <w:tc>
          <w:tcPr>
            <w:tcW w:w="1772"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项目支出</w:t>
            </w:r>
          </w:p>
        </w:tc>
        <w:tc>
          <w:tcPr>
            <w:tcW w:w="1836"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5" w:hRule="atLeast"/>
        </w:trPr>
        <w:tc>
          <w:tcPr>
            <w:tcW w:w="1854"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088"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07" w:type="dxa"/>
            <w:vMerge w:val="continue"/>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07"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07"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07"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72"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836"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645" w:hRule="atLeast"/>
        </w:trPr>
        <w:tc>
          <w:tcPr>
            <w:tcW w:w="1854"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088"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07" w:type="dxa"/>
            <w:vMerge w:val="continue"/>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07"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07"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07"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72"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836"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9" w:hRule="atLeast"/>
        </w:trPr>
        <w:tc>
          <w:tcPr>
            <w:tcW w:w="4942" w:type="dxa"/>
            <w:gridSpan w:val="2"/>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170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b/>
                <w:color w:val="000000"/>
                <w:sz w:val="20"/>
                <w:u w:color="auto"/>
              </w:rPr>
              <w:t xml:space="preserve"> </w:t>
            </w:r>
          </w:p>
        </w:tc>
        <w:tc>
          <w:tcPr>
            <w:tcW w:w="170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b/>
                <w:color w:val="000000"/>
                <w:sz w:val="20"/>
                <w:u w:color="auto"/>
              </w:rPr>
              <w:t xml:space="preserve"> </w:t>
            </w:r>
          </w:p>
        </w:tc>
        <w:tc>
          <w:tcPr>
            <w:tcW w:w="170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b/>
                <w:color w:val="000000"/>
                <w:sz w:val="20"/>
                <w:u w:color="auto"/>
              </w:rPr>
              <w:t xml:space="preserve"> </w:t>
            </w:r>
          </w:p>
        </w:tc>
        <w:tc>
          <w:tcPr>
            <w:tcW w:w="170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b/>
                <w:color w:val="000000"/>
                <w:sz w:val="20"/>
                <w:u w:color="auto"/>
              </w:rPr>
              <w:t xml:space="preserve"> </w:t>
            </w:r>
          </w:p>
        </w:tc>
        <w:tc>
          <w:tcPr>
            <w:tcW w:w="177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b/>
                <w:color w:val="000000"/>
                <w:sz w:val="20"/>
                <w:u w:color="auto"/>
              </w:rPr>
              <w:t xml:space="preserve"> </w:t>
            </w:r>
          </w:p>
        </w:tc>
        <w:tc>
          <w:tcPr>
            <w:tcW w:w="183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b/>
                <w:color w:val="000000"/>
                <w:sz w:val="20"/>
                <w:u w:color="auto"/>
              </w:rPr>
              <w:t xml:space="preserve"> </w:t>
            </w:r>
          </w:p>
        </w:tc>
      </w:tr>
    </w:tbl>
    <w:p>
      <w:pPr>
        <w:rPr>
          <w:rFonts w:hint="default" w:cs="宋体"/>
          <w:sz w:val="21"/>
          <w:szCs w:val="21"/>
        </w:rPr>
      </w:pPr>
      <w:r>
        <w:rPr>
          <w:rFonts w:cs="宋体"/>
          <w:sz w:val="20"/>
          <w:szCs w:val="20"/>
        </w:rPr>
        <w:t>备注：本表反映单位本年度政府性基金预算财政拨款收入支出及结转和结余情况。本单位无政府性基金收支，故本表无数据。</w:t>
      </w:r>
      <w:r>
        <w:rPr>
          <w:rFonts w:cs="宋体"/>
          <w:sz w:val="20"/>
          <w:szCs w:val="20"/>
        </w:rPr>
        <w:br w:type="textWrapping"/>
      </w:r>
      <w:r>
        <w:rPr>
          <w:rFonts w:cs="宋体"/>
          <w:sz w:val="20"/>
          <w:szCs w:val="20"/>
        </w:rPr>
        <w:br w:type="textWrapping"/>
      </w:r>
    </w:p>
    <w:p>
      <w:pPr>
        <w:rPr>
          <w:rFonts w:hint="default" w:cs="宋体"/>
          <w:sz w:val="21"/>
          <w:szCs w:val="21"/>
        </w:rPr>
      </w:pPr>
      <w:r>
        <w:rPr>
          <w:rFonts w:cs="宋体"/>
          <w:sz w:val="21"/>
          <w:szCs w:val="21"/>
        </w:rPr>
        <w:br w:type="page"/>
      </w:r>
    </w:p>
    <w:tbl>
      <w:tblPr>
        <w:tblStyle w:val="12"/>
        <w:tblW w:w="15378" w:type="dxa"/>
        <w:tblInd w:w="0" w:type="dxa"/>
        <w:tblLayout w:type="fixed"/>
        <w:tblCellMar>
          <w:top w:w="0" w:type="dxa"/>
          <w:left w:w="0" w:type="dxa"/>
          <w:bottom w:w="0" w:type="dxa"/>
          <w:right w:w="0" w:type="dxa"/>
        </w:tblCellMar>
      </w:tblPr>
      <w:tblGrid>
        <w:gridCol w:w="1882"/>
        <w:gridCol w:w="3060"/>
        <w:gridCol w:w="3276"/>
        <w:gridCol w:w="200"/>
        <w:gridCol w:w="3475"/>
        <w:gridCol w:w="77"/>
        <w:gridCol w:w="3408"/>
      </w:tblGrid>
      <w:tr>
        <w:tblPrEx>
          <w:tblLayout w:type="fixed"/>
          <w:tblCellMar>
            <w:top w:w="0" w:type="dxa"/>
            <w:left w:w="0" w:type="dxa"/>
            <w:bottom w:w="0" w:type="dxa"/>
            <w:right w:w="0" w:type="dxa"/>
          </w:tblCellMar>
        </w:tblPrEx>
        <w:trPr>
          <w:trHeight w:val="650" w:hRule="atLeast"/>
        </w:trPr>
        <w:tc>
          <w:tcPr>
            <w:tcW w:w="15378" w:type="dxa"/>
            <w:gridSpan w:val="7"/>
            <w:tcBorders>
              <w:top w:val="nil"/>
              <w:left w:val="nil"/>
              <w:bottom w:val="nil"/>
              <w:right w:val="nil"/>
            </w:tcBorders>
            <w:shd w:val="clear" w:color="auto" w:fill="auto"/>
            <w:tcMar>
              <w:top w:w="15" w:type="dxa"/>
              <w:left w:w="15" w:type="dxa"/>
              <w:right w:w="15" w:type="dxa"/>
            </w:tcMar>
            <w:vAlign w:val="bottom"/>
          </w:tcPr>
          <w:p>
            <w:pPr>
              <w:jc w:val="center"/>
              <w:textAlignment w:val="bottom"/>
              <w:rPr>
                <w:rFonts w:hint="default" w:cs="宋体"/>
                <w:b/>
                <w:color w:val="000000"/>
                <w:sz w:val="32"/>
                <w:szCs w:val="32"/>
              </w:rPr>
            </w:pPr>
            <w:r>
              <w:rPr>
                <w:rFonts w:cs="宋体"/>
                <w:b/>
                <w:color w:val="000000"/>
                <w:sz w:val="32"/>
                <w:szCs w:val="32"/>
              </w:rPr>
              <w:t>国有资本经营预算财政拨款支出决算表</w:t>
            </w:r>
          </w:p>
        </w:tc>
      </w:tr>
      <w:tr>
        <w:tblPrEx>
          <w:tblLayout w:type="fixed"/>
          <w:tblCellMar>
            <w:top w:w="0" w:type="dxa"/>
            <w:left w:w="0" w:type="dxa"/>
            <w:bottom w:w="0" w:type="dxa"/>
            <w:right w:w="0" w:type="dxa"/>
          </w:tblCellMar>
        </w:tblPrEx>
        <w:trPr>
          <w:trHeight w:val="332" w:hRule="atLeast"/>
        </w:trPr>
        <w:tc>
          <w:tcPr>
            <w:tcW w:w="8218" w:type="dxa"/>
            <w:gridSpan w:val="3"/>
            <w:vMerge w:val="restart"/>
            <w:tcBorders>
              <w:top w:val="nil"/>
              <w:left w:val="nil"/>
              <w:right w:val="nil"/>
            </w:tcBorders>
            <w:shd w:val="clear" w:color="auto" w:fill="auto"/>
            <w:tcMar>
              <w:top w:w="15" w:type="dxa"/>
              <w:left w:w="15" w:type="dxa"/>
              <w:right w:w="15" w:type="dxa"/>
            </w:tcMar>
            <w:vAlign w:val="bottom"/>
          </w:tcPr>
          <w:p>
            <w:pPr>
              <w:rPr>
                <w:rFonts w:hint="default" w:cs="宋体"/>
                <w:color w:val="000000"/>
                <w:sz w:val="20"/>
                <w:szCs w:val="20"/>
              </w:rPr>
            </w:pPr>
            <w:r>
              <w:rPr>
                <w:rFonts w:cs="宋体"/>
                <w:sz w:val="20"/>
                <w:szCs w:val="20"/>
              </w:rPr>
              <w:t>公开单位</w:t>
            </w:r>
            <w:r>
              <w:rPr>
                <w:rFonts w:cs="宋体"/>
                <w:color w:val="000000"/>
                <w:sz w:val="20"/>
                <w:szCs w:val="20"/>
              </w:rPr>
              <w:t xml:space="preserve">： </w:t>
            </w:r>
            <w:r>
              <w:rPr>
                <w:color w:val="000000"/>
                <w:sz w:val="20"/>
                <w:u w:color="auto"/>
              </w:rPr>
              <w:t>重庆市秀山土家族苗族自治县妙泉镇卫生院</w:t>
            </w:r>
          </w:p>
        </w:tc>
        <w:tc>
          <w:tcPr>
            <w:tcW w:w="3752" w:type="dxa"/>
            <w:gridSpan w:val="3"/>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408"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公开08表</w:t>
            </w:r>
          </w:p>
        </w:tc>
      </w:tr>
      <w:tr>
        <w:tblPrEx>
          <w:tblLayout w:type="fixed"/>
          <w:tblCellMar>
            <w:top w:w="0" w:type="dxa"/>
            <w:left w:w="0" w:type="dxa"/>
            <w:bottom w:w="0" w:type="dxa"/>
            <w:right w:w="0" w:type="dxa"/>
          </w:tblCellMar>
        </w:tblPrEx>
        <w:trPr>
          <w:trHeight w:val="332" w:hRule="atLeast"/>
        </w:trPr>
        <w:tc>
          <w:tcPr>
            <w:tcW w:w="8218" w:type="dxa"/>
            <w:gridSpan w:val="3"/>
            <w:vMerge w:val="continue"/>
            <w:tcBorders>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752" w:type="dxa"/>
            <w:gridSpan w:val="3"/>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408"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422" w:hRule="atLeast"/>
        </w:trPr>
        <w:tc>
          <w:tcPr>
            <w:tcW w:w="4942" w:type="dxa"/>
            <w:gridSpan w:val="2"/>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bottom"/>
          </w:tcPr>
          <w:p>
            <w:pPr>
              <w:jc w:val="center"/>
              <w:textAlignment w:val="bottom"/>
              <w:rPr>
                <w:rFonts w:hint="default" w:cs="宋体"/>
                <w:b/>
                <w:color w:val="000000"/>
                <w:sz w:val="20"/>
                <w:szCs w:val="20"/>
              </w:rPr>
            </w:pPr>
            <w:r>
              <w:rPr>
                <w:rFonts w:cs="宋体"/>
                <w:b/>
                <w:color w:val="000000"/>
                <w:sz w:val="20"/>
                <w:szCs w:val="20"/>
              </w:rPr>
              <w:t>项目</w:t>
            </w:r>
          </w:p>
        </w:tc>
        <w:tc>
          <w:tcPr>
            <w:tcW w:w="10436" w:type="dxa"/>
            <w:gridSpan w:val="5"/>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bottom"/>
          </w:tcPr>
          <w:p>
            <w:pPr>
              <w:jc w:val="center"/>
              <w:textAlignment w:val="bottom"/>
              <w:rPr>
                <w:rFonts w:hint="default" w:cs="宋体"/>
                <w:b/>
                <w:color w:val="000000"/>
                <w:sz w:val="20"/>
                <w:szCs w:val="20"/>
              </w:rPr>
            </w:pPr>
            <w:r>
              <w:rPr>
                <w:rFonts w:cs="宋体"/>
                <w:b/>
                <w:color w:val="000000"/>
                <w:sz w:val="20"/>
                <w:szCs w:val="20"/>
              </w:rPr>
              <w:t>本年支出</w:t>
            </w:r>
          </w:p>
        </w:tc>
      </w:tr>
      <w:tr>
        <w:tblPrEx>
          <w:tblLayout w:type="fixed"/>
          <w:tblCellMar>
            <w:top w:w="0" w:type="dxa"/>
            <w:left w:w="0" w:type="dxa"/>
            <w:bottom w:w="0" w:type="dxa"/>
            <w:right w:w="0" w:type="dxa"/>
          </w:tblCellMar>
        </w:tblPrEx>
        <w:trPr>
          <w:trHeight w:val="339" w:hRule="atLeast"/>
        </w:trPr>
        <w:tc>
          <w:tcPr>
            <w:tcW w:w="1882" w:type="dxa"/>
            <w:vMerge w:val="restart"/>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功能分类科目编码</w:t>
            </w:r>
          </w:p>
        </w:tc>
        <w:tc>
          <w:tcPr>
            <w:tcW w:w="3060"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科目名称</w:t>
            </w:r>
          </w:p>
        </w:tc>
        <w:tc>
          <w:tcPr>
            <w:tcW w:w="3476" w:type="dxa"/>
            <w:gridSpan w:val="2"/>
            <w:vMerge w:val="restart"/>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3475"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基本支出</w:t>
            </w:r>
          </w:p>
        </w:tc>
        <w:tc>
          <w:tcPr>
            <w:tcW w:w="3485" w:type="dxa"/>
            <w:gridSpan w:val="2"/>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项目支出</w:t>
            </w:r>
          </w:p>
        </w:tc>
      </w:tr>
      <w:tr>
        <w:tblPrEx>
          <w:tblLayout w:type="fixed"/>
          <w:tblCellMar>
            <w:top w:w="0" w:type="dxa"/>
            <w:left w:w="0" w:type="dxa"/>
            <w:bottom w:w="0" w:type="dxa"/>
            <w:right w:w="0" w:type="dxa"/>
          </w:tblCellMar>
        </w:tblPrEx>
        <w:trPr>
          <w:trHeight w:val="339" w:hRule="atLeast"/>
        </w:trPr>
        <w:tc>
          <w:tcPr>
            <w:tcW w:w="1882"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060"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476" w:type="dxa"/>
            <w:gridSpan w:val="2"/>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475"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485" w:type="dxa"/>
            <w:gridSpan w:val="2"/>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9" w:hRule="atLeast"/>
        </w:trPr>
        <w:tc>
          <w:tcPr>
            <w:tcW w:w="1882"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060"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476" w:type="dxa"/>
            <w:gridSpan w:val="2"/>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475"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485" w:type="dxa"/>
            <w:gridSpan w:val="2"/>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26" w:hRule="atLeast"/>
        </w:trPr>
        <w:tc>
          <w:tcPr>
            <w:tcW w:w="1882"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060"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476" w:type="dxa"/>
            <w:gridSpan w:val="2"/>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475"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485" w:type="dxa"/>
            <w:gridSpan w:val="2"/>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611" w:hRule="atLeast"/>
        </w:trPr>
        <w:tc>
          <w:tcPr>
            <w:tcW w:w="4942"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3476"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b/>
                <w:color w:val="000000"/>
                <w:sz w:val="20"/>
                <w:u w:color="auto"/>
              </w:rPr>
              <w:t xml:space="preserve"> </w:t>
            </w:r>
          </w:p>
        </w:tc>
        <w:tc>
          <w:tcPr>
            <w:tcW w:w="34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right"/>
              <w:rPr>
                <w:rFonts w:hint="default" w:cs="宋体"/>
                <w:b/>
                <w:color w:val="000000"/>
                <w:sz w:val="20"/>
                <w:szCs w:val="20"/>
              </w:rPr>
            </w:pPr>
          </w:p>
        </w:tc>
        <w:tc>
          <w:tcPr>
            <w:tcW w:w="3485"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b/>
                <w:color w:val="000000"/>
                <w:sz w:val="20"/>
                <w:u w:color="auto"/>
              </w:rPr>
              <w:t xml:space="preserve"> </w:t>
            </w:r>
          </w:p>
        </w:tc>
      </w:tr>
    </w:tbl>
    <w:p>
      <w:pPr>
        <w:rPr>
          <w:rFonts w:hint="default" w:cs="宋体"/>
          <w:sz w:val="21"/>
          <w:szCs w:val="21"/>
        </w:rPr>
      </w:pPr>
      <w:r>
        <w:rPr>
          <w:rFonts w:cs="宋体"/>
          <w:sz w:val="20"/>
          <w:szCs w:val="20"/>
        </w:rPr>
        <w:t>备注：本表反映单位本年度国有资本经营预算财政拨款支出情况。本单位无国有资本经营收支，故本表无数据。</w:t>
      </w:r>
      <w:r>
        <w:rPr>
          <w:rFonts w:cs="宋体"/>
          <w:sz w:val="20"/>
          <w:szCs w:val="20"/>
        </w:rPr>
        <w:br w:type="textWrapping"/>
      </w:r>
      <w:r>
        <w:rPr>
          <w:rFonts w:cs="宋体"/>
          <w:sz w:val="20"/>
          <w:szCs w:val="20"/>
        </w:rPr>
        <w:br w:type="textWrapping"/>
      </w:r>
      <w:r>
        <w:rPr>
          <w:rFonts w:hint="default" w:cs="宋体"/>
          <w:sz w:val="21"/>
          <w:szCs w:val="21"/>
        </w:rPr>
        <w:br w:type="page"/>
      </w:r>
    </w:p>
    <w:tbl>
      <w:tblPr>
        <w:tblStyle w:val="12"/>
        <w:tblW w:w="15000" w:type="dxa"/>
        <w:tblInd w:w="0" w:type="dxa"/>
        <w:tblLayout w:type="fixed"/>
        <w:tblCellMar>
          <w:top w:w="0" w:type="dxa"/>
          <w:left w:w="170" w:type="dxa"/>
          <w:bottom w:w="0" w:type="dxa"/>
          <w:right w:w="170" w:type="dxa"/>
        </w:tblCellMar>
      </w:tblPr>
      <w:tblGrid>
        <w:gridCol w:w="4041"/>
        <w:gridCol w:w="2166"/>
        <w:gridCol w:w="2115"/>
        <w:gridCol w:w="4524"/>
        <w:gridCol w:w="2154"/>
      </w:tblGrid>
      <w:tr>
        <w:tblPrEx>
          <w:tblLayout w:type="fixed"/>
          <w:tblCellMar>
            <w:top w:w="0" w:type="dxa"/>
            <w:left w:w="170" w:type="dxa"/>
            <w:bottom w:w="0" w:type="dxa"/>
            <w:right w:w="170" w:type="dxa"/>
          </w:tblCellMar>
        </w:tblPrEx>
        <w:trPr>
          <w:trHeight w:val="343" w:hRule="atLeast"/>
        </w:trPr>
        <w:tc>
          <w:tcPr>
            <w:tcW w:w="15000" w:type="dxa"/>
            <w:gridSpan w:val="5"/>
            <w:tcBorders>
              <w:top w:val="nil"/>
              <w:left w:val="nil"/>
              <w:bottom w:val="nil"/>
              <w:right w:val="nil"/>
            </w:tcBorders>
            <w:shd w:val="clear" w:color="auto" w:fill="auto"/>
            <w:tcMar>
              <w:top w:w="15" w:type="dxa"/>
              <w:left w:w="15" w:type="dxa"/>
              <w:right w:w="15" w:type="dxa"/>
            </w:tcMar>
            <w:vAlign w:val="bottom"/>
          </w:tcPr>
          <w:p>
            <w:pPr>
              <w:spacing w:line="400" w:lineRule="exact"/>
              <w:jc w:val="center"/>
              <w:textAlignment w:val="bottom"/>
              <w:rPr>
                <w:rFonts w:hint="default" w:cs="宋体"/>
                <w:b/>
                <w:color w:val="000000"/>
                <w:sz w:val="32"/>
                <w:szCs w:val="32"/>
              </w:rPr>
            </w:pPr>
            <w:r>
              <w:rPr>
                <w:rFonts w:cs="宋体"/>
                <w:b/>
                <w:color w:val="000000"/>
                <w:sz w:val="32"/>
                <w:szCs w:val="32"/>
              </w:rPr>
              <w:t>机构运行信息表</w:t>
            </w:r>
          </w:p>
        </w:tc>
      </w:tr>
      <w:tr>
        <w:tblPrEx>
          <w:tblLayout w:type="fixed"/>
          <w:tblCellMar>
            <w:top w:w="0" w:type="dxa"/>
            <w:left w:w="170" w:type="dxa"/>
            <w:bottom w:w="0" w:type="dxa"/>
            <w:right w:w="170" w:type="dxa"/>
          </w:tblCellMar>
        </w:tblPrEx>
        <w:trPr>
          <w:trHeight w:val="244" w:hRule="atLeast"/>
        </w:trPr>
        <w:tc>
          <w:tcPr>
            <w:tcW w:w="4041" w:type="dxa"/>
            <w:tcBorders>
              <w:top w:val="nil"/>
              <w:left w:val="nil"/>
              <w:bottom w:val="nil"/>
              <w:right w:val="nil"/>
            </w:tcBorders>
            <w:shd w:val="clear" w:color="auto" w:fill="auto"/>
            <w:tcMar>
              <w:top w:w="15" w:type="dxa"/>
              <w:left w:w="15" w:type="dxa"/>
              <w:right w:w="15" w:type="dxa"/>
            </w:tcMar>
            <w:vAlign w:val="bottom"/>
          </w:tcPr>
          <w:p>
            <w:pPr>
              <w:spacing w:line="280" w:lineRule="exact"/>
              <w:rPr>
                <w:rFonts w:hint="default" w:cs="宋体"/>
                <w:color w:val="000000"/>
                <w:sz w:val="20"/>
                <w:szCs w:val="20"/>
              </w:rPr>
            </w:pPr>
          </w:p>
        </w:tc>
        <w:tc>
          <w:tcPr>
            <w:tcW w:w="2166" w:type="dxa"/>
            <w:tcBorders>
              <w:top w:val="nil"/>
              <w:left w:val="nil"/>
              <w:bottom w:val="nil"/>
              <w:right w:val="nil"/>
            </w:tcBorders>
            <w:shd w:val="clear" w:color="auto" w:fill="auto"/>
            <w:tcMar>
              <w:top w:w="15" w:type="dxa"/>
              <w:left w:w="15" w:type="dxa"/>
              <w:right w:w="15" w:type="dxa"/>
            </w:tcMar>
            <w:vAlign w:val="bottom"/>
          </w:tcPr>
          <w:p>
            <w:pPr>
              <w:spacing w:line="280" w:lineRule="exact"/>
              <w:jc w:val="center"/>
              <w:rPr>
                <w:rFonts w:hint="default" w:cs="宋体"/>
                <w:color w:val="000000"/>
                <w:sz w:val="20"/>
                <w:szCs w:val="20"/>
              </w:rPr>
            </w:pPr>
          </w:p>
        </w:tc>
        <w:tc>
          <w:tcPr>
            <w:tcW w:w="2115"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rPr>
                <w:rFonts w:hint="default" w:cs="宋体"/>
                <w:color w:val="000000"/>
                <w:sz w:val="20"/>
                <w:szCs w:val="20"/>
              </w:rPr>
            </w:pPr>
          </w:p>
        </w:tc>
        <w:tc>
          <w:tcPr>
            <w:tcW w:w="4524" w:type="dxa"/>
            <w:tcBorders>
              <w:top w:val="nil"/>
              <w:left w:val="nil"/>
              <w:bottom w:val="nil"/>
              <w:right w:val="nil"/>
            </w:tcBorders>
            <w:shd w:val="clear" w:color="auto" w:fill="auto"/>
            <w:tcMar>
              <w:top w:w="15" w:type="dxa"/>
              <w:left w:w="15" w:type="dxa"/>
              <w:right w:w="15" w:type="dxa"/>
            </w:tcMar>
            <w:vAlign w:val="bottom"/>
          </w:tcPr>
          <w:p>
            <w:pPr>
              <w:spacing w:line="280" w:lineRule="exact"/>
              <w:rPr>
                <w:rFonts w:hint="default" w:cs="宋体"/>
                <w:color w:val="000000"/>
                <w:sz w:val="20"/>
                <w:szCs w:val="20"/>
              </w:rPr>
            </w:pPr>
          </w:p>
        </w:tc>
        <w:tc>
          <w:tcPr>
            <w:tcW w:w="2154"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cs="宋体"/>
                <w:color w:val="000000"/>
                <w:sz w:val="20"/>
                <w:szCs w:val="20"/>
              </w:rPr>
            </w:pPr>
            <w:r>
              <w:rPr>
                <w:rFonts w:cs="宋体"/>
                <w:color w:val="000000"/>
                <w:sz w:val="20"/>
                <w:szCs w:val="20"/>
              </w:rPr>
              <w:t>公开09表</w:t>
            </w:r>
          </w:p>
        </w:tc>
      </w:tr>
      <w:tr>
        <w:tblPrEx>
          <w:tblLayout w:type="fixed"/>
          <w:tblCellMar>
            <w:top w:w="0" w:type="dxa"/>
            <w:left w:w="170" w:type="dxa"/>
            <w:bottom w:w="0" w:type="dxa"/>
            <w:right w:w="170" w:type="dxa"/>
          </w:tblCellMar>
        </w:tblPrEx>
        <w:trPr>
          <w:trHeight w:val="244" w:hRule="atLeast"/>
        </w:trPr>
        <w:tc>
          <w:tcPr>
            <w:tcW w:w="6207" w:type="dxa"/>
            <w:gridSpan w:val="2"/>
            <w:tcBorders>
              <w:top w:val="nil"/>
              <w:left w:val="nil"/>
              <w:bottom w:val="single" w:color="auto" w:sz="4" w:space="0"/>
              <w:right w:val="nil"/>
            </w:tcBorders>
            <w:shd w:val="clear" w:color="auto" w:fill="auto"/>
            <w:tcMar>
              <w:top w:w="15" w:type="dxa"/>
              <w:left w:w="15" w:type="dxa"/>
              <w:right w:w="15" w:type="dxa"/>
            </w:tcMar>
            <w:vAlign w:val="bottom"/>
          </w:tcPr>
          <w:p>
            <w:pPr>
              <w:spacing w:line="280" w:lineRule="exact"/>
              <w:rPr>
                <w:rFonts w:hint="default" w:cs="宋体"/>
                <w:color w:val="000000"/>
                <w:sz w:val="20"/>
                <w:szCs w:val="20"/>
              </w:rPr>
            </w:pPr>
            <w:r>
              <w:rPr>
                <w:rFonts w:cs="宋体"/>
                <w:sz w:val="20"/>
                <w:szCs w:val="20"/>
              </w:rPr>
              <w:t>公开单位</w:t>
            </w:r>
            <w:r>
              <w:rPr>
                <w:rFonts w:cs="宋体"/>
                <w:color w:val="000000"/>
                <w:sz w:val="20"/>
                <w:szCs w:val="20"/>
              </w:rPr>
              <w:t xml:space="preserve">： </w:t>
            </w:r>
            <w:r>
              <w:rPr>
                <w:color w:val="000000"/>
                <w:sz w:val="20"/>
                <w:u w:color="auto"/>
              </w:rPr>
              <w:t>重庆市秀山土家族苗族自治县妙泉镇卫生院</w:t>
            </w:r>
          </w:p>
        </w:tc>
        <w:tc>
          <w:tcPr>
            <w:tcW w:w="2115" w:type="dxa"/>
            <w:tcBorders>
              <w:top w:val="nil"/>
              <w:left w:val="nil"/>
              <w:bottom w:val="single" w:color="auto" w:sz="4" w:space="0"/>
              <w:right w:val="nil"/>
            </w:tcBorders>
            <w:shd w:val="clear" w:color="auto" w:fill="auto"/>
            <w:tcMar>
              <w:top w:w="15" w:type="dxa"/>
              <w:left w:w="15" w:type="dxa"/>
              <w:right w:w="15" w:type="dxa"/>
            </w:tcMar>
            <w:vAlign w:val="bottom"/>
          </w:tcPr>
          <w:p>
            <w:pPr>
              <w:spacing w:line="280" w:lineRule="exact"/>
              <w:jc w:val="right"/>
              <w:rPr>
                <w:rFonts w:hint="default" w:cs="宋体"/>
                <w:color w:val="000000"/>
                <w:sz w:val="20"/>
                <w:szCs w:val="20"/>
              </w:rPr>
            </w:pPr>
          </w:p>
        </w:tc>
        <w:tc>
          <w:tcPr>
            <w:tcW w:w="4524" w:type="dxa"/>
            <w:tcBorders>
              <w:top w:val="nil"/>
              <w:left w:val="nil"/>
              <w:bottom w:val="single" w:color="auto" w:sz="4" w:space="0"/>
              <w:right w:val="nil"/>
            </w:tcBorders>
            <w:shd w:val="clear" w:color="auto" w:fill="auto"/>
            <w:tcMar>
              <w:top w:w="15" w:type="dxa"/>
              <w:left w:w="15" w:type="dxa"/>
              <w:right w:w="15" w:type="dxa"/>
            </w:tcMar>
            <w:vAlign w:val="bottom"/>
          </w:tcPr>
          <w:p>
            <w:pPr>
              <w:spacing w:line="280" w:lineRule="exact"/>
              <w:rPr>
                <w:rFonts w:hint="default" w:cs="宋体"/>
                <w:color w:val="000000"/>
                <w:sz w:val="20"/>
                <w:szCs w:val="20"/>
              </w:rPr>
            </w:pPr>
          </w:p>
        </w:tc>
        <w:tc>
          <w:tcPr>
            <w:tcW w:w="2154" w:type="dxa"/>
            <w:tcBorders>
              <w:top w:val="nil"/>
              <w:left w:val="nil"/>
              <w:bottom w:val="single" w:color="auto" w:sz="4" w:space="0"/>
              <w:right w:val="nil"/>
            </w:tcBorders>
            <w:shd w:val="clear" w:color="auto" w:fill="auto"/>
            <w:tcMar>
              <w:top w:w="15" w:type="dxa"/>
              <w:left w:w="15" w:type="dxa"/>
              <w:right w:w="15" w:type="dxa"/>
            </w:tcMar>
            <w:vAlign w:val="bottom"/>
          </w:tcPr>
          <w:p>
            <w:pPr>
              <w:spacing w:line="280" w:lineRule="exact"/>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170" w:type="dxa"/>
            <w:bottom w:w="0" w:type="dxa"/>
            <w:right w:w="170" w:type="dxa"/>
          </w:tblCellMar>
        </w:tblPrEx>
        <w:trPr>
          <w:trHeight w:val="282" w:hRule="atLeast"/>
        </w:trPr>
        <w:tc>
          <w:tcPr>
            <w:tcW w:w="4041"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6"/>
                <w:szCs w:val="16"/>
              </w:rPr>
            </w:pPr>
            <w:r>
              <w:rPr>
                <w:rFonts w:cs="宋体"/>
                <w:b/>
                <w:color w:val="000000"/>
                <w:sz w:val="16"/>
                <w:szCs w:val="16"/>
              </w:rPr>
              <w:t>项  目</w:t>
            </w:r>
          </w:p>
        </w:tc>
        <w:tc>
          <w:tcPr>
            <w:tcW w:w="2166"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6"/>
                <w:szCs w:val="16"/>
              </w:rPr>
            </w:pPr>
            <w:r>
              <w:rPr>
                <w:rFonts w:cs="宋体"/>
                <w:b/>
                <w:color w:val="000000"/>
                <w:sz w:val="16"/>
                <w:szCs w:val="16"/>
              </w:rPr>
              <w:t>预算数</w:t>
            </w:r>
          </w:p>
        </w:tc>
        <w:tc>
          <w:tcPr>
            <w:tcW w:w="2115"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6"/>
                <w:szCs w:val="16"/>
              </w:rPr>
            </w:pPr>
            <w:r>
              <w:rPr>
                <w:rFonts w:cs="宋体"/>
                <w:b/>
                <w:color w:val="000000"/>
                <w:sz w:val="16"/>
                <w:szCs w:val="16"/>
              </w:rPr>
              <w:t>决算数</w:t>
            </w:r>
          </w:p>
        </w:tc>
        <w:tc>
          <w:tcPr>
            <w:tcW w:w="4524"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6"/>
                <w:szCs w:val="16"/>
              </w:rPr>
            </w:pPr>
            <w:r>
              <w:rPr>
                <w:rFonts w:cs="宋体"/>
                <w:b/>
                <w:color w:val="000000"/>
                <w:sz w:val="16"/>
                <w:szCs w:val="16"/>
              </w:rPr>
              <w:t>项  目</w:t>
            </w:r>
          </w:p>
        </w:tc>
        <w:tc>
          <w:tcPr>
            <w:tcW w:w="2154"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6"/>
                <w:szCs w:val="16"/>
              </w:rPr>
            </w:pPr>
            <w:r>
              <w:rPr>
                <w:rFonts w:cs="宋体"/>
                <w:b/>
                <w:color w:val="000000"/>
                <w:sz w:val="16"/>
                <w:szCs w:val="16"/>
              </w:rPr>
              <w:t>决算数</w:t>
            </w:r>
          </w:p>
        </w:tc>
      </w:tr>
      <w:tr>
        <w:tblPrEx>
          <w:tblLayout w:type="fixed"/>
          <w:tblCellMar>
            <w:top w:w="0" w:type="dxa"/>
            <w:left w:w="170" w:type="dxa"/>
            <w:bottom w:w="0" w:type="dxa"/>
            <w:right w:w="170" w:type="dxa"/>
          </w:tblCellMar>
        </w:tblPrEx>
        <w:trPr>
          <w:trHeight w:val="282" w:hRule="atLeast"/>
        </w:trPr>
        <w:tc>
          <w:tcPr>
            <w:tcW w:w="4041"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6"/>
                <w:szCs w:val="16"/>
              </w:rPr>
            </w:pPr>
            <w:r>
              <w:rPr>
                <w:rFonts w:cs="宋体"/>
                <w:color w:val="000000"/>
                <w:sz w:val="16"/>
                <w:szCs w:val="16"/>
              </w:rPr>
              <w:t>一、“三公”经费支出</w:t>
            </w:r>
          </w:p>
        </w:tc>
        <w:tc>
          <w:tcPr>
            <w:tcW w:w="216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00" w:lineRule="exact"/>
              <w:jc w:val="center"/>
              <w:textAlignment w:val="center"/>
              <w:rPr>
                <w:rFonts w:hint="default" w:cs="宋体"/>
                <w:color w:val="000000"/>
                <w:sz w:val="16"/>
                <w:szCs w:val="16"/>
              </w:rPr>
            </w:pPr>
            <w:r>
              <w:rPr>
                <w:rFonts w:cs="宋体"/>
                <w:color w:val="000000"/>
                <w:sz w:val="16"/>
                <w:szCs w:val="16"/>
              </w:rPr>
              <w:t>—</w:t>
            </w:r>
          </w:p>
        </w:tc>
        <w:tc>
          <w:tcPr>
            <w:tcW w:w="211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00" w:lineRule="exact"/>
              <w:jc w:val="center"/>
              <w:textAlignment w:val="center"/>
              <w:rPr>
                <w:rFonts w:hint="default" w:cs="宋体"/>
                <w:color w:val="000000"/>
                <w:sz w:val="16"/>
                <w:szCs w:val="16"/>
              </w:rPr>
            </w:pPr>
            <w:r>
              <w:rPr>
                <w:rFonts w:cs="宋体"/>
                <w:color w:val="000000"/>
                <w:sz w:val="16"/>
                <w:szCs w:val="16"/>
              </w:rPr>
              <w:t>—</w:t>
            </w:r>
          </w:p>
        </w:tc>
        <w:tc>
          <w:tcPr>
            <w:tcW w:w="4524"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6"/>
                <w:szCs w:val="16"/>
              </w:rPr>
            </w:pPr>
            <w:r>
              <w:rPr>
                <w:rFonts w:cs="宋体"/>
                <w:color w:val="000000"/>
                <w:sz w:val="16"/>
                <w:szCs w:val="16"/>
              </w:rPr>
              <w:t>四、机关运行经费</w:t>
            </w:r>
          </w:p>
        </w:tc>
        <w:tc>
          <w:tcPr>
            <w:tcW w:w="21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cs="宋体"/>
                <w:color w:val="000000"/>
                <w:sz w:val="16"/>
                <w:szCs w:val="16"/>
              </w:rPr>
            </w:pPr>
            <w:r>
              <w:rPr>
                <w:color w:val="000000"/>
                <w:sz w:val="16"/>
                <w:u w:color="auto"/>
              </w:rPr>
              <w:t xml:space="preserve"> </w:t>
            </w:r>
          </w:p>
        </w:tc>
      </w:tr>
      <w:tr>
        <w:tblPrEx>
          <w:tblLayout w:type="fixed"/>
          <w:tblCellMar>
            <w:top w:w="0" w:type="dxa"/>
            <w:left w:w="170" w:type="dxa"/>
            <w:bottom w:w="0" w:type="dxa"/>
            <w:right w:w="170" w:type="dxa"/>
          </w:tblCellMar>
        </w:tblPrEx>
        <w:trPr>
          <w:trHeight w:val="292" w:hRule="atLeast"/>
        </w:trPr>
        <w:tc>
          <w:tcPr>
            <w:tcW w:w="4041"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6"/>
                <w:szCs w:val="16"/>
              </w:rPr>
            </w:pPr>
            <w:r>
              <w:rPr>
                <w:rFonts w:cs="宋体"/>
                <w:color w:val="000000"/>
                <w:sz w:val="16"/>
                <w:szCs w:val="16"/>
              </w:rPr>
              <w:t xml:space="preserve">  （一）支出合计</w:t>
            </w:r>
          </w:p>
        </w:tc>
        <w:tc>
          <w:tcPr>
            <w:tcW w:w="216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cs="宋体"/>
                <w:color w:val="000000"/>
                <w:sz w:val="16"/>
                <w:szCs w:val="16"/>
              </w:rPr>
            </w:pPr>
            <w:r>
              <w:rPr>
                <w:color w:val="000000"/>
                <w:sz w:val="16"/>
                <w:u w:color="auto"/>
              </w:rPr>
              <w:t xml:space="preserve"> </w:t>
            </w:r>
          </w:p>
        </w:tc>
        <w:tc>
          <w:tcPr>
            <w:tcW w:w="211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cs="宋体"/>
                <w:color w:val="000000"/>
                <w:sz w:val="16"/>
                <w:szCs w:val="16"/>
              </w:rPr>
            </w:pPr>
            <w:r>
              <w:rPr>
                <w:color w:val="000000"/>
                <w:sz w:val="16"/>
                <w:u w:color="auto"/>
              </w:rPr>
              <w:t xml:space="preserve"> </w:t>
            </w:r>
          </w:p>
        </w:tc>
        <w:tc>
          <w:tcPr>
            <w:tcW w:w="4524"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6"/>
                <w:szCs w:val="16"/>
              </w:rPr>
            </w:pPr>
            <w:r>
              <w:rPr>
                <w:rFonts w:cs="宋体"/>
                <w:color w:val="000000"/>
                <w:sz w:val="16"/>
                <w:szCs w:val="16"/>
              </w:rPr>
              <w:t xml:space="preserve">  （一）行政单位</w:t>
            </w:r>
          </w:p>
        </w:tc>
        <w:tc>
          <w:tcPr>
            <w:tcW w:w="21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cs="宋体"/>
                <w:color w:val="000000"/>
                <w:sz w:val="16"/>
                <w:szCs w:val="16"/>
              </w:rPr>
            </w:pPr>
            <w:r>
              <w:rPr>
                <w:color w:val="000000"/>
                <w:sz w:val="16"/>
                <w:u w:color="auto"/>
              </w:rPr>
              <w:t xml:space="preserve"> </w:t>
            </w:r>
          </w:p>
        </w:tc>
      </w:tr>
      <w:tr>
        <w:tblPrEx>
          <w:tblLayout w:type="fixed"/>
          <w:tblCellMar>
            <w:top w:w="0" w:type="dxa"/>
            <w:left w:w="170" w:type="dxa"/>
            <w:bottom w:w="0" w:type="dxa"/>
            <w:right w:w="170" w:type="dxa"/>
          </w:tblCellMar>
        </w:tblPrEx>
        <w:trPr>
          <w:trHeight w:val="292" w:hRule="atLeast"/>
        </w:trPr>
        <w:tc>
          <w:tcPr>
            <w:tcW w:w="4041"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6"/>
                <w:szCs w:val="16"/>
              </w:rPr>
            </w:pPr>
            <w:r>
              <w:rPr>
                <w:rFonts w:cs="宋体"/>
                <w:color w:val="000000"/>
                <w:sz w:val="16"/>
                <w:szCs w:val="16"/>
              </w:rPr>
              <w:t xml:space="preserve">     1．因公出国（境）费</w:t>
            </w:r>
          </w:p>
        </w:tc>
        <w:tc>
          <w:tcPr>
            <w:tcW w:w="216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cs="宋体"/>
                <w:color w:val="000000"/>
                <w:sz w:val="16"/>
                <w:szCs w:val="16"/>
              </w:rPr>
            </w:pPr>
            <w:r>
              <w:rPr>
                <w:color w:val="000000"/>
                <w:sz w:val="16"/>
                <w:u w:color="auto"/>
              </w:rPr>
              <w:t xml:space="preserve"> </w:t>
            </w:r>
          </w:p>
        </w:tc>
        <w:tc>
          <w:tcPr>
            <w:tcW w:w="211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cs="宋体"/>
                <w:color w:val="000000"/>
                <w:sz w:val="16"/>
                <w:szCs w:val="16"/>
              </w:rPr>
            </w:pPr>
            <w:r>
              <w:rPr>
                <w:color w:val="000000"/>
                <w:sz w:val="16"/>
                <w:u w:color="auto"/>
              </w:rPr>
              <w:t xml:space="preserve"> </w:t>
            </w:r>
          </w:p>
        </w:tc>
        <w:tc>
          <w:tcPr>
            <w:tcW w:w="4524"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6"/>
                <w:szCs w:val="16"/>
              </w:rPr>
            </w:pPr>
            <w:r>
              <w:rPr>
                <w:rFonts w:cs="宋体"/>
                <w:color w:val="000000"/>
                <w:sz w:val="16"/>
                <w:szCs w:val="16"/>
              </w:rPr>
              <w:t xml:space="preserve">  （二）参照公务员法管理事业单位</w:t>
            </w:r>
          </w:p>
        </w:tc>
        <w:tc>
          <w:tcPr>
            <w:tcW w:w="21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cs="宋体"/>
                <w:color w:val="000000"/>
                <w:sz w:val="16"/>
                <w:szCs w:val="16"/>
              </w:rPr>
            </w:pPr>
            <w:r>
              <w:rPr>
                <w:color w:val="000000"/>
                <w:sz w:val="16"/>
                <w:u w:color="auto"/>
              </w:rPr>
              <w:t xml:space="preserve"> </w:t>
            </w:r>
          </w:p>
        </w:tc>
      </w:tr>
      <w:tr>
        <w:tblPrEx>
          <w:tblLayout w:type="fixed"/>
          <w:tblCellMar>
            <w:top w:w="0" w:type="dxa"/>
            <w:left w:w="170" w:type="dxa"/>
            <w:bottom w:w="0" w:type="dxa"/>
            <w:right w:w="170" w:type="dxa"/>
          </w:tblCellMar>
        </w:tblPrEx>
        <w:trPr>
          <w:trHeight w:val="292" w:hRule="atLeast"/>
        </w:trPr>
        <w:tc>
          <w:tcPr>
            <w:tcW w:w="4041"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6"/>
                <w:szCs w:val="16"/>
              </w:rPr>
            </w:pPr>
            <w:r>
              <w:rPr>
                <w:rFonts w:cs="宋体"/>
                <w:color w:val="000000"/>
                <w:sz w:val="16"/>
                <w:szCs w:val="16"/>
              </w:rPr>
              <w:t xml:space="preserve">     2．公务用车购置及运行维护费</w:t>
            </w:r>
          </w:p>
        </w:tc>
        <w:tc>
          <w:tcPr>
            <w:tcW w:w="216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cs="宋体"/>
                <w:color w:val="000000"/>
                <w:sz w:val="16"/>
                <w:szCs w:val="16"/>
              </w:rPr>
            </w:pPr>
            <w:r>
              <w:rPr>
                <w:color w:val="000000"/>
                <w:sz w:val="16"/>
                <w:u w:color="auto"/>
              </w:rPr>
              <w:t xml:space="preserve"> </w:t>
            </w:r>
          </w:p>
        </w:tc>
        <w:tc>
          <w:tcPr>
            <w:tcW w:w="211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cs="宋体"/>
                <w:color w:val="000000"/>
                <w:sz w:val="16"/>
                <w:szCs w:val="16"/>
              </w:rPr>
            </w:pPr>
            <w:r>
              <w:rPr>
                <w:color w:val="000000"/>
                <w:sz w:val="16"/>
                <w:u w:color="auto"/>
              </w:rPr>
              <w:t xml:space="preserve"> </w:t>
            </w:r>
          </w:p>
        </w:tc>
        <w:tc>
          <w:tcPr>
            <w:tcW w:w="4524"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6"/>
                <w:szCs w:val="16"/>
              </w:rPr>
            </w:pPr>
            <w:r>
              <w:rPr>
                <w:rFonts w:cs="宋体"/>
                <w:color w:val="000000"/>
                <w:sz w:val="16"/>
                <w:szCs w:val="16"/>
              </w:rPr>
              <w:t>五、资产信息</w:t>
            </w:r>
          </w:p>
        </w:tc>
        <w:tc>
          <w:tcPr>
            <w:tcW w:w="21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00" w:lineRule="exact"/>
              <w:jc w:val="center"/>
              <w:textAlignment w:val="center"/>
              <w:rPr>
                <w:rFonts w:hint="default" w:cs="宋体"/>
                <w:color w:val="000000"/>
                <w:sz w:val="16"/>
                <w:szCs w:val="16"/>
              </w:rPr>
            </w:pPr>
            <w:r>
              <w:rPr>
                <w:rFonts w:cs="宋体"/>
                <w:color w:val="000000"/>
                <w:sz w:val="16"/>
                <w:szCs w:val="16"/>
              </w:rPr>
              <w:t>—</w:t>
            </w:r>
          </w:p>
        </w:tc>
      </w:tr>
      <w:tr>
        <w:tblPrEx>
          <w:tblLayout w:type="fixed"/>
          <w:tblCellMar>
            <w:top w:w="0" w:type="dxa"/>
            <w:left w:w="170" w:type="dxa"/>
            <w:bottom w:w="0" w:type="dxa"/>
            <w:right w:w="170" w:type="dxa"/>
          </w:tblCellMar>
        </w:tblPrEx>
        <w:trPr>
          <w:trHeight w:val="292" w:hRule="atLeast"/>
        </w:trPr>
        <w:tc>
          <w:tcPr>
            <w:tcW w:w="4041"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6"/>
                <w:szCs w:val="16"/>
              </w:rPr>
            </w:pPr>
            <w:r>
              <w:rPr>
                <w:rFonts w:cs="宋体"/>
                <w:color w:val="000000"/>
                <w:sz w:val="16"/>
                <w:szCs w:val="16"/>
              </w:rPr>
              <w:t xml:space="preserve">      （1）公务用车购置费</w:t>
            </w:r>
          </w:p>
        </w:tc>
        <w:tc>
          <w:tcPr>
            <w:tcW w:w="216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cs="宋体"/>
                <w:color w:val="000000"/>
                <w:sz w:val="16"/>
                <w:szCs w:val="16"/>
              </w:rPr>
            </w:pPr>
            <w:r>
              <w:rPr>
                <w:color w:val="000000"/>
                <w:sz w:val="16"/>
                <w:u w:color="auto"/>
              </w:rPr>
              <w:t xml:space="preserve"> </w:t>
            </w:r>
          </w:p>
        </w:tc>
        <w:tc>
          <w:tcPr>
            <w:tcW w:w="211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cs="宋体"/>
                <w:color w:val="000000"/>
                <w:sz w:val="16"/>
                <w:szCs w:val="16"/>
              </w:rPr>
            </w:pPr>
            <w:r>
              <w:rPr>
                <w:color w:val="000000"/>
                <w:sz w:val="16"/>
                <w:u w:color="auto"/>
              </w:rPr>
              <w:t xml:space="preserve"> </w:t>
            </w:r>
          </w:p>
        </w:tc>
        <w:tc>
          <w:tcPr>
            <w:tcW w:w="4524"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00" w:lineRule="exact"/>
              <w:textAlignment w:val="center"/>
              <w:rPr>
                <w:rFonts w:hint="default" w:cs="宋体"/>
                <w:color w:val="000000"/>
                <w:sz w:val="16"/>
                <w:szCs w:val="16"/>
              </w:rPr>
            </w:pPr>
            <w:r>
              <w:rPr>
                <w:rFonts w:cs="宋体"/>
                <w:color w:val="000000"/>
                <w:sz w:val="16"/>
                <w:szCs w:val="16"/>
              </w:rPr>
              <w:t xml:space="preserve">  （一）车辆数合计（辆）</w:t>
            </w:r>
          </w:p>
        </w:tc>
        <w:tc>
          <w:tcPr>
            <w:tcW w:w="21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cs="宋体"/>
                <w:color w:val="000000"/>
                <w:sz w:val="16"/>
                <w:szCs w:val="16"/>
              </w:rPr>
            </w:pPr>
            <w:r>
              <w:rPr>
                <w:rFonts w:cs="宋体"/>
                <w:color w:val="000000"/>
                <w:sz w:val="16"/>
                <w:szCs w:val="16"/>
              </w:rPr>
              <w:t xml:space="preserve">2   </w:t>
            </w:r>
          </w:p>
        </w:tc>
      </w:tr>
      <w:tr>
        <w:tblPrEx>
          <w:tblLayout w:type="fixed"/>
          <w:tblCellMar>
            <w:top w:w="0" w:type="dxa"/>
            <w:left w:w="170" w:type="dxa"/>
            <w:bottom w:w="0" w:type="dxa"/>
            <w:right w:w="170" w:type="dxa"/>
          </w:tblCellMar>
        </w:tblPrEx>
        <w:trPr>
          <w:trHeight w:val="292" w:hRule="atLeast"/>
        </w:trPr>
        <w:tc>
          <w:tcPr>
            <w:tcW w:w="4041"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6"/>
                <w:szCs w:val="16"/>
              </w:rPr>
            </w:pPr>
            <w:r>
              <w:rPr>
                <w:rFonts w:cs="宋体"/>
                <w:color w:val="000000"/>
                <w:sz w:val="16"/>
                <w:szCs w:val="16"/>
              </w:rPr>
              <w:t xml:space="preserve">      （2）公务用车运行维护费</w:t>
            </w:r>
          </w:p>
        </w:tc>
        <w:tc>
          <w:tcPr>
            <w:tcW w:w="216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cs="宋体"/>
                <w:color w:val="000000"/>
                <w:sz w:val="16"/>
                <w:szCs w:val="16"/>
              </w:rPr>
            </w:pPr>
            <w:r>
              <w:rPr>
                <w:color w:val="000000"/>
                <w:sz w:val="16"/>
                <w:u w:color="auto"/>
              </w:rPr>
              <w:t xml:space="preserve"> </w:t>
            </w:r>
          </w:p>
        </w:tc>
        <w:tc>
          <w:tcPr>
            <w:tcW w:w="211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cs="宋体"/>
                <w:color w:val="000000"/>
                <w:sz w:val="16"/>
                <w:szCs w:val="16"/>
              </w:rPr>
            </w:pPr>
            <w:r>
              <w:rPr>
                <w:color w:val="000000"/>
                <w:sz w:val="16"/>
                <w:u w:color="auto"/>
              </w:rPr>
              <w:t xml:space="preserve"> </w:t>
            </w:r>
          </w:p>
        </w:tc>
        <w:tc>
          <w:tcPr>
            <w:tcW w:w="4524"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00" w:lineRule="exact"/>
              <w:textAlignment w:val="center"/>
              <w:rPr>
                <w:rFonts w:hint="default" w:cs="宋体"/>
                <w:color w:val="000000"/>
                <w:sz w:val="16"/>
                <w:szCs w:val="16"/>
              </w:rPr>
            </w:pPr>
            <w:r>
              <w:rPr>
                <w:rFonts w:cs="宋体"/>
                <w:color w:val="000000"/>
                <w:sz w:val="16"/>
                <w:szCs w:val="16"/>
              </w:rPr>
              <w:t xml:space="preserve">     1．副部（省）级及以上领导用车</w:t>
            </w:r>
          </w:p>
        </w:tc>
        <w:tc>
          <w:tcPr>
            <w:tcW w:w="21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cs="宋体"/>
                <w:color w:val="000000"/>
                <w:sz w:val="16"/>
                <w:szCs w:val="16"/>
              </w:rPr>
            </w:pPr>
            <w:r>
              <w:rPr>
                <w:color w:val="000000"/>
                <w:sz w:val="16"/>
                <w:u w:color="auto"/>
              </w:rPr>
              <w:t xml:space="preserve"> </w:t>
            </w:r>
          </w:p>
        </w:tc>
      </w:tr>
      <w:tr>
        <w:tblPrEx>
          <w:tblLayout w:type="fixed"/>
          <w:tblCellMar>
            <w:top w:w="0" w:type="dxa"/>
            <w:left w:w="170" w:type="dxa"/>
            <w:bottom w:w="0" w:type="dxa"/>
            <w:right w:w="170" w:type="dxa"/>
          </w:tblCellMar>
        </w:tblPrEx>
        <w:trPr>
          <w:trHeight w:val="292" w:hRule="atLeast"/>
        </w:trPr>
        <w:tc>
          <w:tcPr>
            <w:tcW w:w="4041"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6"/>
                <w:szCs w:val="16"/>
              </w:rPr>
            </w:pPr>
            <w:r>
              <w:rPr>
                <w:rFonts w:cs="宋体"/>
                <w:color w:val="000000"/>
                <w:sz w:val="16"/>
                <w:szCs w:val="16"/>
              </w:rPr>
              <w:t xml:space="preserve">     3．公务接待费</w:t>
            </w:r>
          </w:p>
        </w:tc>
        <w:tc>
          <w:tcPr>
            <w:tcW w:w="216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cs="宋体"/>
                <w:color w:val="000000"/>
                <w:sz w:val="16"/>
                <w:szCs w:val="16"/>
              </w:rPr>
            </w:pPr>
            <w:r>
              <w:rPr>
                <w:color w:val="000000"/>
                <w:sz w:val="16"/>
                <w:u w:color="auto"/>
              </w:rPr>
              <w:t xml:space="preserve"> </w:t>
            </w:r>
          </w:p>
        </w:tc>
        <w:tc>
          <w:tcPr>
            <w:tcW w:w="211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cs="宋体"/>
                <w:color w:val="000000"/>
                <w:sz w:val="16"/>
                <w:szCs w:val="16"/>
              </w:rPr>
            </w:pPr>
            <w:r>
              <w:rPr>
                <w:color w:val="000000"/>
                <w:sz w:val="16"/>
                <w:u w:color="auto"/>
              </w:rPr>
              <w:t xml:space="preserve"> </w:t>
            </w:r>
          </w:p>
        </w:tc>
        <w:tc>
          <w:tcPr>
            <w:tcW w:w="4524"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00" w:lineRule="exact"/>
              <w:textAlignment w:val="center"/>
              <w:rPr>
                <w:rFonts w:hint="default" w:cs="宋体"/>
                <w:color w:val="000000"/>
                <w:sz w:val="16"/>
                <w:szCs w:val="16"/>
              </w:rPr>
            </w:pPr>
            <w:r>
              <w:rPr>
                <w:rFonts w:cs="宋体"/>
                <w:color w:val="000000"/>
                <w:sz w:val="16"/>
                <w:szCs w:val="16"/>
              </w:rPr>
              <w:t xml:space="preserve">     2．主要领导干部用车</w:t>
            </w:r>
          </w:p>
        </w:tc>
        <w:tc>
          <w:tcPr>
            <w:tcW w:w="21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cs="宋体"/>
                <w:color w:val="000000"/>
                <w:sz w:val="16"/>
                <w:szCs w:val="16"/>
              </w:rPr>
            </w:pPr>
            <w:r>
              <w:rPr>
                <w:color w:val="000000"/>
                <w:sz w:val="16"/>
                <w:u w:color="auto"/>
              </w:rPr>
              <w:t xml:space="preserve"> </w:t>
            </w:r>
          </w:p>
        </w:tc>
      </w:tr>
      <w:tr>
        <w:tblPrEx>
          <w:tblLayout w:type="fixed"/>
          <w:tblCellMar>
            <w:top w:w="0" w:type="dxa"/>
            <w:left w:w="170" w:type="dxa"/>
            <w:bottom w:w="0" w:type="dxa"/>
            <w:right w:w="170" w:type="dxa"/>
          </w:tblCellMar>
        </w:tblPrEx>
        <w:trPr>
          <w:trHeight w:val="292" w:hRule="atLeast"/>
        </w:trPr>
        <w:tc>
          <w:tcPr>
            <w:tcW w:w="4041"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6"/>
                <w:szCs w:val="16"/>
              </w:rPr>
            </w:pPr>
            <w:r>
              <w:rPr>
                <w:rFonts w:cs="宋体"/>
                <w:color w:val="000000"/>
                <w:sz w:val="16"/>
                <w:szCs w:val="16"/>
              </w:rPr>
              <w:t xml:space="preserve">      （1）国内接待费</w:t>
            </w:r>
          </w:p>
        </w:tc>
        <w:tc>
          <w:tcPr>
            <w:tcW w:w="216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00" w:lineRule="exact"/>
              <w:jc w:val="center"/>
              <w:textAlignment w:val="center"/>
              <w:rPr>
                <w:rFonts w:hint="default" w:cs="宋体"/>
                <w:color w:val="000000"/>
                <w:sz w:val="16"/>
                <w:szCs w:val="16"/>
              </w:rPr>
            </w:pPr>
            <w:r>
              <w:rPr>
                <w:rFonts w:cs="宋体"/>
                <w:color w:val="000000"/>
                <w:sz w:val="16"/>
                <w:szCs w:val="16"/>
              </w:rPr>
              <w:t>—</w:t>
            </w:r>
          </w:p>
        </w:tc>
        <w:tc>
          <w:tcPr>
            <w:tcW w:w="211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cs="宋体"/>
                <w:color w:val="000000"/>
                <w:sz w:val="16"/>
                <w:szCs w:val="16"/>
              </w:rPr>
            </w:pPr>
            <w:r>
              <w:rPr>
                <w:color w:val="000000"/>
                <w:sz w:val="16"/>
                <w:u w:color="auto"/>
              </w:rPr>
              <w:t xml:space="preserve"> </w:t>
            </w:r>
          </w:p>
        </w:tc>
        <w:tc>
          <w:tcPr>
            <w:tcW w:w="4524"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00" w:lineRule="exact"/>
              <w:textAlignment w:val="center"/>
              <w:rPr>
                <w:rFonts w:hint="default" w:cs="宋体"/>
                <w:color w:val="000000"/>
                <w:sz w:val="16"/>
                <w:szCs w:val="16"/>
              </w:rPr>
            </w:pPr>
            <w:r>
              <w:rPr>
                <w:rFonts w:cs="宋体"/>
                <w:color w:val="000000"/>
                <w:sz w:val="16"/>
                <w:szCs w:val="16"/>
              </w:rPr>
              <w:t xml:space="preserve">     3．机要通信用车</w:t>
            </w:r>
          </w:p>
        </w:tc>
        <w:tc>
          <w:tcPr>
            <w:tcW w:w="21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cs="宋体"/>
                <w:color w:val="000000"/>
                <w:sz w:val="16"/>
                <w:szCs w:val="16"/>
              </w:rPr>
            </w:pPr>
            <w:r>
              <w:rPr>
                <w:color w:val="000000"/>
                <w:sz w:val="16"/>
                <w:u w:color="auto"/>
              </w:rPr>
              <w:t xml:space="preserve"> </w:t>
            </w:r>
          </w:p>
        </w:tc>
      </w:tr>
      <w:tr>
        <w:tblPrEx>
          <w:tblLayout w:type="fixed"/>
          <w:tblCellMar>
            <w:top w:w="0" w:type="dxa"/>
            <w:left w:w="170" w:type="dxa"/>
            <w:bottom w:w="0" w:type="dxa"/>
            <w:right w:w="170" w:type="dxa"/>
          </w:tblCellMar>
        </w:tblPrEx>
        <w:trPr>
          <w:trHeight w:val="292" w:hRule="atLeast"/>
        </w:trPr>
        <w:tc>
          <w:tcPr>
            <w:tcW w:w="4041"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6"/>
                <w:szCs w:val="16"/>
              </w:rPr>
            </w:pPr>
            <w:r>
              <w:rPr>
                <w:rFonts w:cs="宋体"/>
                <w:color w:val="000000"/>
                <w:sz w:val="16"/>
                <w:szCs w:val="16"/>
              </w:rPr>
              <w:t xml:space="preserve">           其中：外事接待费</w:t>
            </w:r>
          </w:p>
        </w:tc>
        <w:tc>
          <w:tcPr>
            <w:tcW w:w="216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00" w:lineRule="exact"/>
              <w:jc w:val="center"/>
              <w:textAlignment w:val="center"/>
              <w:rPr>
                <w:rFonts w:hint="default" w:cs="宋体"/>
                <w:color w:val="000000"/>
                <w:sz w:val="16"/>
                <w:szCs w:val="16"/>
              </w:rPr>
            </w:pPr>
            <w:r>
              <w:rPr>
                <w:rFonts w:cs="宋体"/>
                <w:color w:val="000000"/>
                <w:sz w:val="16"/>
                <w:szCs w:val="16"/>
              </w:rPr>
              <w:t>—</w:t>
            </w:r>
          </w:p>
        </w:tc>
        <w:tc>
          <w:tcPr>
            <w:tcW w:w="211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cs="宋体"/>
                <w:color w:val="000000"/>
                <w:sz w:val="16"/>
                <w:szCs w:val="16"/>
              </w:rPr>
            </w:pPr>
            <w:r>
              <w:rPr>
                <w:color w:val="000000"/>
                <w:sz w:val="16"/>
                <w:u w:color="auto"/>
              </w:rPr>
              <w:t xml:space="preserve"> </w:t>
            </w:r>
          </w:p>
        </w:tc>
        <w:tc>
          <w:tcPr>
            <w:tcW w:w="4524"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00" w:lineRule="exact"/>
              <w:textAlignment w:val="center"/>
              <w:rPr>
                <w:rFonts w:hint="default" w:cs="宋体"/>
                <w:color w:val="000000"/>
                <w:sz w:val="16"/>
                <w:szCs w:val="16"/>
              </w:rPr>
            </w:pPr>
            <w:r>
              <w:rPr>
                <w:rFonts w:cs="宋体"/>
                <w:color w:val="000000"/>
                <w:sz w:val="16"/>
                <w:szCs w:val="16"/>
              </w:rPr>
              <w:t xml:space="preserve">     4．应急保障用车</w:t>
            </w:r>
          </w:p>
        </w:tc>
        <w:tc>
          <w:tcPr>
            <w:tcW w:w="21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cs="宋体"/>
                <w:color w:val="000000"/>
                <w:sz w:val="16"/>
                <w:szCs w:val="16"/>
              </w:rPr>
            </w:pPr>
            <w:r>
              <w:rPr>
                <w:color w:val="000000"/>
                <w:sz w:val="16"/>
                <w:u w:color="auto"/>
              </w:rPr>
              <w:t xml:space="preserve"> </w:t>
            </w:r>
          </w:p>
        </w:tc>
      </w:tr>
      <w:tr>
        <w:tblPrEx>
          <w:tblLayout w:type="fixed"/>
          <w:tblCellMar>
            <w:top w:w="0" w:type="dxa"/>
            <w:left w:w="170" w:type="dxa"/>
            <w:bottom w:w="0" w:type="dxa"/>
            <w:right w:w="170" w:type="dxa"/>
          </w:tblCellMar>
        </w:tblPrEx>
        <w:trPr>
          <w:trHeight w:val="292" w:hRule="atLeast"/>
        </w:trPr>
        <w:tc>
          <w:tcPr>
            <w:tcW w:w="4041"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6"/>
                <w:szCs w:val="16"/>
              </w:rPr>
            </w:pPr>
            <w:r>
              <w:rPr>
                <w:rFonts w:cs="宋体"/>
                <w:color w:val="000000"/>
                <w:sz w:val="16"/>
                <w:szCs w:val="16"/>
              </w:rPr>
              <w:t xml:space="preserve">      （2）国（境）外接待费</w:t>
            </w:r>
          </w:p>
        </w:tc>
        <w:tc>
          <w:tcPr>
            <w:tcW w:w="216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00" w:lineRule="exact"/>
              <w:jc w:val="center"/>
              <w:textAlignment w:val="center"/>
              <w:rPr>
                <w:rFonts w:hint="default" w:cs="宋体"/>
                <w:color w:val="000000"/>
                <w:sz w:val="16"/>
                <w:szCs w:val="16"/>
              </w:rPr>
            </w:pPr>
            <w:r>
              <w:rPr>
                <w:rFonts w:cs="宋体"/>
                <w:color w:val="000000"/>
                <w:sz w:val="16"/>
                <w:szCs w:val="16"/>
              </w:rPr>
              <w:t>—</w:t>
            </w:r>
          </w:p>
        </w:tc>
        <w:tc>
          <w:tcPr>
            <w:tcW w:w="211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cs="宋体"/>
                <w:color w:val="000000"/>
                <w:sz w:val="16"/>
                <w:szCs w:val="16"/>
              </w:rPr>
            </w:pPr>
            <w:r>
              <w:rPr>
                <w:color w:val="000000"/>
                <w:sz w:val="16"/>
                <w:u w:color="auto"/>
              </w:rPr>
              <w:t xml:space="preserve"> </w:t>
            </w:r>
          </w:p>
        </w:tc>
        <w:tc>
          <w:tcPr>
            <w:tcW w:w="4524"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00" w:lineRule="exact"/>
              <w:textAlignment w:val="center"/>
              <w:rPr>
                <w:rFonts w:hint="default" w:cs="宋体"/>
                <w:color w:val="000000"/>
                <w:sz w:val="16"/>
                <w:szCs w:val="16"/>
              </w:rPr>
            </w:pPr>
            <w:r>
              <w:rPr>
                <w:rFonts w:cs="宋体"/>
                <w:color w:val="000000"/>
                <w:sz w:val="16"/>
                <w:szCs w:val="16"/>
              </w:rPr>
              <w:t xml:space="preserve">     5．执法执勤用车</w:t>
            </w:r>
          </w:p>
        </w:tc>
        <w:tc>
          <w:tcPr>
            <w:tcW w:w="21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cs="宋体"/>
                <w:color w:val="000000"/>
                <w:sz w:val="16"/>
                <w:szCs w:val="16"/>
              </w:rPr>
            </w:pPr>
            <w:r>
              <w:rPr>
                <w:color w:val="000000"/>
                <w:sz w:val="16"/>
                <w:u w:color="auto"/>
              </w:rPr>
              <w:t xml:space="preserve"> </w:t>
            </w:r>
          </w:p>
        </w:tc>
      </w:tr>
      <w:tr>
        <w:tblPrEx>
          <w:tblLayout w:type="fixed"/>
          <w:tblCellMar>
            <w:top w:w="0" w:type="dxa"/>
            <w:left w:w="170" w:type="dxa"/>
            <w:bottom w:w="0" w:type="dxa"/>
            <w:right w:w="170" w:type="dxa"/>
          </w:tblCellMar>
        </w:tblPrEx>
        <w:trPr>
          <w:trHeight w:val="292" w:hRule="atLeast"/>
        </w:trPr>
        <w:tc>
          <w:tcPr>
            <w:tcW w:w="4041"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6"/>
                <w:szCs w:val="16"/>
              </w:rPr>
            </w:pPr>
            <w:r>
              <w:rPr>
                <w:rFonts w:cs="宋体"/>
                <w:color w:val="000000"/>
                <w:sz w:val="16"/>
                <w:szCs w:val="16"/>
              </w:rPr>
              <w:t xml:space="preserve">  （二）相关统计数</w:t>
            </w:r>
          </w:p>
        </w:tc>
        <w:tc>
          <w:tcPr>
            <w:tcW w:w="216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00" w:lineRule="exact"/>
              <w:jc w:val="center"/>
              <w:textAlignment w:val="center"/>
              <w:rPr>
                <w:rFonts w:hint="default" w:cs="宋体"/>
                <w:color w:val="000000"/>
                <w:sz w:val="16"/>
                <w:szCs w:val="16"/>
              </w:rPr>
            </w:pPr>
            <w:r>
              <w:rPr>
                <w:rFonts w:cs="宋体"/>
                <w:color w:val="000000"/>
                <w:sz w:val="16"/>
                <w:szCs w:val="16"/>
              </w:rPr>
              <w:t>—</w:t>
            </w:r>
          </w:p>
        </w:tc>
        <w:tc>
          <w:tcPr>
            <w:tcW w:w="211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00" w:lineRule="exact"/>
              <w:jc w:val="center"/>
              <w:textAlignment w:val="center"/>
              <w:rPr>
                <w:rFonts w:hint="default" w:cs="宋体"/>
                <w:color w:val="000000"/>
                <w:sz w:val="16"/>
                <w:szCs w:val="16"/>
              </w:rPr>
            </w:pPr>
            <w:r>
              <w:rPr>
                <w:rFonts w:cs="宋体"/>
                <w:color w:val="000000"/>
                <w:sz w:val="16"/>
                <w:szCs w:val="16"/>
              </w:rPr>
              <w:t>—</w:t>
            </w:r>
          </w:p>
        </w:tc>
        <w:tc>
          <w:tcPr>
            <w:tcW w:w="4524"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00" w:lineRule="exact"/>
              <w:textAlignment w:val="center"/>
              <w:rPr>
                <w:rFonts w:hint="default" w:cs="宋体"/>
                <w:color w:val="000000"/>
                <w:sz w:val="16"/>
                <w:szCs w:val="16"/>
              </w:rPr>
            </w:pPr>
            <w:r>
              <w:rPr>
                <w:rFonts w:cs="宋体"/>
                <w:color w:val="000000"/>
                <w:sz w:val="16"/>
                <w:szCs w:val="16"/>
              </w:rPr>
              <w:t xml:space="preserve">     6．特种专业技术用车</w:t>
            </w:r>
          </w:p>
        </w:tc>
        <w:tc>
          <w:tcPr>
            <w:tcW w:w="21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cs="宋体"/>
                <w:color w:val="000000"/>
                <w:sz w:val="16"/>
                <w:szCs w:val="16"/>
              </w:rPr>
            </w:pPr>
            <w:r>
              <w:rPr>
                <w:rFonts w:cs="宋体"/>
                <w:color w:val="000000"/>
                <w:sz w:val="16"/>
                <w:szCs w:val="16"/>
              </w:rPr>
              <w:t>2</w:t>
            </w:r>
            <w:r>
              <w:rPr>
                <w:color w:val="000000"/>
                <w:sz w:val="16"/>
                <w:u w:color="auto"/>
              </w:rPr>
              <w:t xml:space="preserve"> </w:t>
            </w:r>
          </w:p>
        </w:tc>
      </w:tr>
      <w:tr>
        <w:tblPrEx>
          <w:tblLayout w:type="fixed"/>
          <w:tblCellMar>
            <w:top w:w="0" w:type="dxa"/>
            <w:left w:w="170" w:type="dxa"/>
            <w:bottom w:w="0" w:type="dxa"/>
            <w:right w:w="170" w:type="dxa"/>
          </w:tblCellMar>
        </w:tblPrEx>
        <w:trPr>
          <w:trHeight w:val="292" w:hRule="atLeast"/>
        </w:trPr>
        <w:tc>
          <w:tcPr>
            <w:tcW w:w="4041"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00" w:lineRule="exact"/>
              <w:textAlignment w:val="center"/>
              <w:rPr>
                <w:rFonts w:hint="default" w:cs="宋体"/>
                <w:color w:val="000000"/>
                <w:sz w:val="16"/>
                <w:szCs w:val="16"/>
              </w:rPr>
            </w:pPr>
            <w:r>
              <w:rPr>
                <w:rFonts w:cs="宋体"/>
                <w:color w:val="000000"/>
                <w:sz w:val="16"/>
                <w:szCs w:val="16"/>
              </w:rPr>
              <w:t xml:space="preserve">     1．因公出国（境）团组数（个）</w:t>
            </w:r>
          </w:p>
        </w:tc>
        <w:tc>
          <w:tcPr>
            <w:tcW w:w="216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00" w:lineRule="exact"/>
              <w:jc w:val="center"/>
              <w:textAlignment w:val="center"/>
              <w:rPr>
                <w:rFonts w:hint="default" w:cs="宋体"/>
                <w:color w:val="000000"/>
                <w:sz w:val="16"/>
                <w:szCs w:val="16"/>
              </w:rPr>
            </w:pPr>
            <w:r>
              <w:rPr>
                <w:rFonts w:cs="宋体"/>
                <w:color w:val="000000"/>
                <w:sz w:val="16"/>
                <w:szCs w:val="16"/>
              </w:rPr>
              <w:t>—</w:t>
            </w:r>
          </w:p>
        </w:tc>
        <w:tc>
          <w:tcPr>
            <w:tcW w:w="2115"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spacing w:line="200" w:lineRule="exact"/>
              <w:jc w:val="right"/>
              <w:textAlignment w:val="bottom"/>
              <w:rPr>
                <w:rFonts w:hint="default" w:cs="宋体"/>
                <w:color w:val="000000"/>
                <w:sz w:val="16"/>
                <w:szCs w:val="16"/>
              </w:rPr>
            </w:pPr>
            <w:r>
              <w:rPr>
                <w:color w:val="000000"/>
                <w:sz w:val="16"/>
                <w:u w:color="auto"/>
              </w:rPr>
              <w:t xml:space="preserve"> </w:t>
            </w:r>
          </w:p>
        </w:tc>
        <w:tc>
          <w:tcPr>
            <w:tcW w:w="4524"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00" w:lineRule="exact"/>
              <w:textAlignment w:val="center"/>
              <w:rPr>
                <w:rFonts w:hint="default" w:cs="宋体"/>
                <w:color w:val="000000"/>
                <w:sz w:val="16"/>
                <w:szCs w:val="16"/>
              </w:rPr>
            </w:pPr>
            <w:r>
              <w:rPr>
                <w:rFonts w:cs="宋体"/>
                <w:color w:val="000000"/>
                <w:sz w:val="16"/>
                <w:szCs w:val="16"/>
              </w:rPr>
              <w:t xml:space="preserve">     7．离退休干部用车</w:t>
            </w:r>
          </w:p>
        </w:tc>
        <w:tc>
          <w:tcPr>
            <w:tcW w:w="21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cs="宋体"/>
                <w:color w:val="000000"/>
                <w:sz w:val="16"/>
                <w:szCs w:val="16"/>
              </w:rPr>
            </w:pPr>
            <w:r>
              <w:rPr>
                <w:color w:val="000000"/>
                <w:sz w:val="16"/>
                <w:u w:color="auto"/>
              </w:rPr>
              <w:t xml:space="preserve"> </w:t>
            </w:r>
          </w:p>
        </w:tc>
      </w:tr>
      <w:tr>
        <w:tblPrEx>
          <w:tblLayout w:type="fixed"/>
          <w:tblCellMar>
            <w:top w:w="0" w:type="dxa"/>
            <w:left w:w="170" w:type="dxa"/>
            <w:bottom w:w="0" w:type="dxa"/>
            <w:right w:w="170" w:type="dxa"/>
          </w:tblCellMar>
        </w:tblPrEx>
        <w:trPr>
          <w:trHeight w:val="292" w:hRule="atLeast"/>
        </w:trPr>
        <w:tc>
          <w:tcPr>
            <w:tcW w:w="4041"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00" w:lineRule="exact"/>
              <w:textAlignment w:val="center"/>
              <w:rPr>
                <w:rFonts w:hint="default" w:cs="宋体"/>
                <w:color w:val="000000"/>
                <w:sz w:val="16"/>
                <w:szCs w:val="16"/>
              </w:rPr>
            </w:pPr>
            <w:r>
              <w:rPr>
                <w:rFonts w:cs="宋体"/>
                <w:color w:val="000000"/>
                <w:sz w:val="16"/>
                <w:szCs w:val="16"/>
              </w:rPr>
              <w:t xml:space="preserve">     2．因公出国（境）人次数（人）</w:t>
            </w:r>
          </w:p>
        </w:tc>
        <w:tc>
          <w:tcPr>
            <w:tcW w:w="216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00" w:lineRule="exact"/>
              <w:jc w:val="center"/>
              <w:textAlignment w:val="center"/>
              <w:rPr>
                <w:rFonts w:hint="default" w:cs="宋体"/>
                <w:color w:val="000000"/>
                <w:sz w:val="16"/>
                <w:szCs w:val="16"/>
              </w:rPr>
            </w:pPr>
            <w:r>
              <w:rPr>
                <w:rFonts w:cs="宋体"/>
                <w:color w:val="000000"/>
                <w:sz w:val="16"/>
                <w:szCs w:val="16"/>
              </w:rPr>
              <w:t>—</w:t>
            </w:r>
          </w:p>
        </w:tc>
        <w:tc>
          <w:tcPr>
            <w:tcW w:w="2115"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spacing w:line="200" w:lineRule="exact"/>
              <w:jc w:val="right"/>
              <w:textAlignment w:val="bottom"/>
              <w:rPr>
                <w:rFonts w:hint="default" w:cs="宋体"/>
                <w:color w:val="000000"/>
                <w:sz w:val="16"/>
                <w:szCs w:val="16"/>
              </w:rPr>
            </w:pPr>
            <w:r>
              <w:rPr>
                <w:color w:val="000000"/>
                <w:sz w:val="16"/>
                <w:u w:color="auto"/>
              </w:rPr>
              <w:t xml:space="preserve"> </w:t>
            </w:r>
          </w:p>
        </w:tc>
        <w:tc>
          <w:tcPr>
            <w:tcW w:w="4524"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00" w:lineRule="exact"/>
              <w:textAlignment w:val="center"/>
              <w:rPr>
                <w:rFonts w:hint="default" w:cs="宋体"/>
                <w:color w:val="000000"/>
                <w:sz w:val="16"/>
                <w:szCs w:val="16"/>
              </w:rPr>
            </w:pPr>
            <w:r>
              <w:rPr>
                <w:rFonts w:cs="宋体"/>
                <w:color w:val="000000"/>
                <w:sz w:val="16"/>
                <w:szCs w:val="16"/>
              </w:rPr>
              <w:t xml:space="preserve">     8．其他用车</w:t>
            </w:r>
          </w:p>
        </w:tc>
        <w:tc>
          <w:tcPr>
            <w:tcW w:w="21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cs="宋体"/>
                <w:color w:val="000000"/>
                <w:sz w:val="16"/>
                <w:szCs w:val="16"/>
              </w:rPr>
            </w:pPr>
            <w:r>
              <w:rPr>
                <w:color w:val="000000"/>
                <w:sz w:val="16"/>
                <w:u w:color="auto"/>
              </w:rPr>
              <w:t xml:space="preserve"> </w:t>
            </w:r>
          </w:p>
        </w:tc>
      </w:tr>
      <w:tr>
        <w:tblPrEx>
          <w:tblLayout w:type="fixed"/>
          <w:tblCellMar>
            <w:top w:w="0" w:type="dxa"/>
            <w:left w:w="170" w:type="dxa"/>
            <w:bottom w:w="0" w:type="dxa"/>
            <w:right w:w="170" w:type="dxa"/>
          </w:tblCellMar>
        </w:tblPrEx>
        <w:trPr>
          <w:trHeight w:val="292" w:hRule="atLeast"/>
        </w:trPr>
        <w:tc>
          <w:tcPr>
            <w:tcW w:w="4041"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00" w:lineRule="exact"/>
              <w:textAlignment w:val="center"/>
              <w:rPr>
                <w:rFonts w:hint="default" w:cs="宋体"/>
                <w:color w:val="000000"/>
                <w:sz w:val="16"/>
                <w:szCs w:val="16"/>
              </w:rPr>
            </w:pPr>
            <w:r>
              <w:rPr>
                <w:rFonts w:cs="宋体"/>
                <w:color w:val="000000"/>
                <w:sz w:val="16"/>
                <w:szCs w:val="16"/>
              </w:rPr>
              <w:t xml:space="preserve">     3．公务用车购置数（辆）</w:t>
            </w:r>
          </w:p>
        </w:tc>
        <w:tc>
          <w:tcPr>
            <w:tcW w:w="216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00" w:lineRule="exact"/>
              <w:jc w:val="center"/>
              <w:textAlignment w:val="center"/>
              <w:rPr>
                <w:rFonts w:hint="default" w:cs="宋体"/>
                <w:color w:val="000000"/>
                <w:sz w:val="16"/>
                <w:szCs w:val="16"/>
              </w:rPr>
            </w:pPr>
            <w:r>
              <w:rPr>
                <w:rFonts w:cs="宋体"/>
                <w:color w:val="000000"/>
                <w:sz w:val="16"/>
                <w:szCs w:val="16"/>
              </w:rPr>
              <w:t>—</w:t>
            </w:r>
          </w:p>
        </w:tc>
        <w:tc>
          <w:tcPr>
            <w:tcW w:w="2115"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spacing w:line="200" w:lineRule="exact"/>
              <w:jc w:val="right"/>
              <w:textAlignment w:val="bottom"/>
              <w:rPr>
                <w:rFonts w:hint="default" w:cs="宋体"/>
                <w:color w:val="000000"/>
                <w:sz w:val="16"/>
                <w:szCs w:val="16"/>
              </w:rPr>
            </w:pPr>
            <w:r>
              <w:rPr>
                <w:color w:val="000000"/>
                <w:sz w:val="16"/>
                <w:u w:color="auto"/>
              </w:rPr>
              <w:t xml:space="preserve"> </w:t>
            </w:r>
          </w:p>
        </w:tc>
        <w:tc>
          <w:tcPr>
            <w:tcW w:w="4524"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00" w:lineRule="exact"/>
              <w:textAlignment w:val="center"/>
              <w:rPr>
                <w:rFonts w:hint="default" w:cs="宋体"/>
                <w:color w:val="000000"/>
                <w:sz w:val="16"/>
                <w:szCs w:val="16"/>
              </w:rPr>
            </w:pPr>
            <w:r>
              <w:rPr>
                <w:rFonts w:cs="宋体"/>
                <w:color w:val="000000"/>
                <w:sz w:val="16"/>
                <w:szCs w:val="16"/>
              </w:rPr>
              <w:t xml:space="preserve">  （二）单价100万元（含）以上设备（不含车辆）</w:t>
            </w:r>
          </w:p>
        </w:tc>
        <w:tc>
          <w:tcPr>
            <w:tcW w:w="21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cs="宋体"/>
                <w:color w:val="000000"/>
                <w:sz w:val="16"/>
                <w:szCs w:val="16"/>
              </w:rPr>
            </w:pPr>
            <w:r>
              <w:rPr>
                <w:color w:val="000000"/>
                <w:sz w:val="16"/>
                <w:u w:color="auto"/>
              </w:rPr>
              <w:t xml:space="preserve"> </w:t>
            </w:r>
          </w:p>
        </w:tc>
      </w:tr>
      <w:tr>
        <w:tblPrEx>
          <w:tblLayout w:type="fixed"/>
          <w:tblCellMar>
            <w:top w:w="0" w:type="dxa"/>
            <w:left w:w="170" w:type="dxa"/>
            <w:bottom w:w="0" w:type="dxa"/>
            <w:right w:w="170" w:type="dxa"/>
          </w:tblCellMar>
        </w:tblPrEx>
        <w:trPr>
          <w:trHeight w:val="292" w:hRule="atLeast"/>
        </w:trPr>
        <w:tc>
          <w:tcPr>
            <w:tcW w:w="4041"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00" w:lineRule="exact"/>
              <w:textAlignment w:val="center"/>
              <w:rPr>
                <w:rFonts w:hint="default" w:cs="宋体"/>
                <w:color w:val="000000"/>
                <w:sz w:val="16"/>
                <w:szCs w:val="16"/>
              </w:rPr>
            </w:pPr>
            <w:r>
              <w:rPr>
                <w:rFonts w:cs="宋体"/>
                <w:color w:val="000000"/>
                <w:sz w:val="16"/>
                <w:szCs w:val="16"/>
              </w:rPr>
              <w:t xml:space="preserve">     4．公务用车保有量（辆）</w:t>
            </w:r>
          </w:p>
        </w:tc>
        <w:tc>
          <w:tcPr>
            <w:tcW w:w="216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00" w:lineRule="exact"/>
              <w:jc w:val="center"/>
              <w:textAlignment w:val="center"/>
              <w:rPr>
                <w:rFonts w:hint="default" w:cs="宋体"/>
                <w:color w:val="000000"/>
                <w:sz w:val="16"/>
                <w:szCs w:val="16"/>
              </w:rPr>
            </w:pPr>
            <w:r>
              <w:rPr>
                <w:rFonts w:cs="宋体"/>
                <w:color w:val="000000"/>
                <w:sz w:val="16"/>
                <w:szCs w:val="16"/>
              </w:rPr>
              <w:t>—</w:t>
            </w:r>
          </w:p>
        </w:tc>
        <w:tc>
          <w:tcPr>
            <w:tcW w:w="2115"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spacing w:line="200" w:lineRule="exact"/>
              <w:jc w:val="right"/>
              <w:textAlignment w:val="bottom"/>
              <w:rPr>
                <w:rFonts w:hint="default" w:cs="宋体"/>
                <w:color w:val="000000"/>
                <w:sz w:val="16"/>
                <w:szCs w:val="16"/>
              </w:rPr>
            </w:pPr>
            <w:r>
              <w:rPr>
                <w:color w:val="000000"/>
                <w:sz w:val="16"/>
                <w:u w:color="auto"/>
              </w:rPr>
              <w:t xml:space="preserve"> </w:t>
            </w:r>
          </w:p>
        </w:tc>
        <w:tc>
          <w:tcPr>
            <w:tcW w:w="4524"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6"/>
                <w:szCs w:val="16"/>
              </w:rPr>
            </w:pPr>
            <w:r>
              <w:rPr>
                <w:rFonts w:cs="宋体"/>
                <w:color w:val="000000"/>
                <w:sz w:val="16"/>
                <w:szCs w:val="16"/>
              </w:rPr>
              <w:t>六、政府采购支出信息</w:t>
            </w:r>
          </w:p>
        </w:tc>
        <w:tc>
          <w:tcPr>
            <w:tcW w:w="21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00" w:lineRule="exact"/>
              <w:jc w:val="center"/>
              <w:textAlignment w:val="center"/>
              <w:rPr>
                <w:rFonts w:hint="default" w:cs="宋体"/>
                <w:color w:val="000000"/>
                <w:sz w:val="16"/>
                <w:szCs w:val="16"/>
              </w:rPr>
            </w:pPr>
            <w:r>
              <w:rPr>
                <w:rFonts w:cs="宋体"/>
                <w:color w:val="000000"/>
                <w:sz w:val="16"/>
                <w:szCs w:val="16"/>
              </w:rPr>
              <w:t>—</w:t>
            </w:r>
          </w:p>
        </w:tc>
      </w:tr>
      <w:tr>
        <w:tblPrEx>
          <w:tblLayout w:type="fixed"/>
          <w:tblCellMar>
            <w:top w:w="0" w:type="dxa"/>
            <w:left w:w="170" w:type="dxa"/>
            <w:bottom w:w="0" w:type="dxa"/>
            <w:right w:w="170" w:type="dxa"/>
          </w:tblCellMar>
        </w:tblPrEx>
        <w:trPr>
          <w:trHeight w:val="292" w:hRule="atLeast"/>
        </w:trPr>
        <w:tc>
          <w:tcPr>
            <w:tcW w:w="4041"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00" w:lineRule="exact"/>
              <w:textAlignment w:val="center"/>
              <w:rPr>
                <w:rFonts w:hint="default" w:cs="宋体"/>
                <w:color w:val="000000"/>
                <w:sz w:val="16"/>
                <w:szCs w:val="16"/>
              </w:rPr>
            </w:pPr>
            <w:r>
              <w:rPr>
                <w:rFonts w:cs="宋体"/>
                <w:color w:val="000000"/>
                <w:sz w:val="16"/>
                <w:szCs w:val="16"/>
              </w:rPr>
              <w:t xml:space="preserve">     5．国内公务接待批次（个）</w:t>
            </w:r>
          </w:p>
        </w:tc>
        <w:tc>
          <w:tcPr>
            <w:tcW w:w="216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00" w:lineRule="exact"/>
              <w:jc w:val="center"/>
              <w:textAlignment w:val="center"/>
              <w:rPr>
                <w:rFonts w:hint="default" w:cs="宋体"/>
                <w:color w:val="000000"/>
                <w:sz w:val="16"/>
                <w:szCs w:val="16"/>
              </w:rPr>
            </w:pPr>
            <w:r>
              <w:rPr>
                <w:rFonts w:cs="宋体"/>
                <w:color w:val="000000"/>
                <w:sz w:val="16"/>
                <w:szCs w:val="16"/>
              </w:rPr>
              <w:t>—</w:t>
            </w:r>
          </w:p>
        </w:tc>
        <w:tc>
          <w:tcPr>
            <w:tcW w:w="2115"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spacing w:line="200" w:lineRule="exact"/>
              <w:jc w:val="right"/>
              <w:textAlignment w:val="bottom"/>
              <w:rPr>
                <w:rFonts w:hint="default" w:cs="宋体"/>
                <w:color w:val="000000"/>
                <w:sz w:val="16"/>
                <w:szCs w:val="16"/>
              </w:rPr>
            </w:pPr>
            <w:r>
              <w:rPr>
                <w:color w:val="000000"/>
                <w:sz w:val="16"/>
                <w:u w:color="auto"/>
              </w:rPr>
              <w:t xml:space="preserve"> </w:t>
            </w:r>
          </w:p>
        </w:tc>
        <w:tc>
          <w:tcPr>
            <w:tcW w:w="4524"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6"/>
                <w:szCs w:val="16"/>
              </w:rPr>
            </w:pPr>
            <w:r>
              <w:rPr>
                <w:rFonts w:cs="宋体"/>
                <w:color w:val="000000"/>
                <w:sz w:val="16"/>
                <w:szCs w:val="16"/>
              </w:rPr>
              <w:t xml:space="preserve">  （一）政府采购支出合计</w:t>
            </w:r>
          </w:p>
        </w:tc>
        <w:tc>
          <w:tcPr>
            <w:tcW w:w="21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cs="宋体"/>
                <w:color w:val="000000"/>
                <w:sz w:val="16"/>
                <w:szCs w:val="16"/>
              </w:rPr>
            </w:pPr>
            <w:r>
              <w:rPr>
                <w:color w:val="000000"/>
                <w:sz w:val="16"/>
                <w:u w:color="auto"/>
              </w:rPr>
              <w:t xml:space="preserve"> </w:t>
            </w:r>
          </w:p>
        </w:tc>
      </w:tr>
      <w:tr>
        <w:tblPrEx>
          <w:tblLayout w:type="fixed"/>
          <w:tblCellMar>
            <w:top w:w="0" w:type="dxa"/>
            <w:left w:w="170" w:type="dxa"/>
            <w:bottom w:w="0" w:type="dxa"/>
            <w:right w:w="170" w:type="dxa"/>
          </w:tblCellMar>
        </w:tblPrEx>
        <w:trPr>
          <w:trHeight w:val="292" w:hRule="atLeast"/>
        </w:trPr>
        <w:tc>
          <w:tcPr>
            <w:tcW w:w="4041"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00" w:lineRule="exact"/>
              <w:textAlignment w:val="center"/>
              <w:rPr>
                <w:rFonts w:hint="default" w:cs="宋体"/>
                <w:color w:val="000000"/>
                <w:sz w:val="16"/>
                <w:szCs w:val="16"/>
              </w:rPr>
            </w:pPr>
            <w:r>
              <w:rPr>
                <w:rFonts w:cs="宋体"/>
                <w:color w:val="000000"/>
                <w:sz w:val="16"/>
                <w:szCs w:val="16"/>
              </w:rPr>
              <w:t xml:space="preserve">        其中：外事接待批次（个）</w:t>
            </w:r>
          </w:p>
        </w:tc>
        <w:tc>
          <w:tcPr>
            <w:tcW w:w="216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00" w:lineRule="exact"/>
              <w:jc w:val="center"/>
              <w:textAlignment w:val="center"/>
              <w:rPr>
                <w:rFonts w:hint="default" w:cs="宋体"/>
                <w:color w:val="000000"/>
                <w:sz w:val="16"/>
                <w:szCs w:val="16"/>
              </w:rPr>
            </w:pPr>
            <w:r>
              <w:rPr>
                <w:rFonts w:cs="宋体"/>
                <w:color w:val="000000"/>
                <w:sz w:val="16"/>
                <w:szCs w:val="16"/>
              </w:rPr>
              <w:t>—</w:t>
            </w:r>
          </w:p>
        </w:tc>
        <w:tc>
          <w:tcPr>
            <w:tcW w:w="2115"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spacing w:line="200" w:lineRule="exact"/>
              <w:jc w:val="right"/>
              <w:textAlignment w:val="bottom"/>
              <w:rPr>
                <w:rFonts w:hint="default" w:cs="宋体"/>
                <w:color w:val="000000"/>
                <w:sz w:val="16"/>
                <w:szCs w:val="16"/>
              </w:rPr>
            </w:pPr>
            <w:r>
              <w:rPr>
                <w:color w:val="000000"/>
                <w:sz w:val="16"/>
                <w:u w:color="auto"/>
              </w:rPr>
              <w:t xml:space="preserve"> </w:t>
            </w:r>
          </w:p>
        </w:tc>
        <w:tc>
          <w:tcPr>
            <w:tcW w:w="4524"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6"/>
                <w:szCs w:val="16"/>
              </w:rPr>
            </w:pPr>
            <w:r>
              <w:rPr>
                <w:rFonts w:cs="宋体"/>
                <w:color w:val="000000"/>
                <w:sz w:val="16"/>
                <w:szCs w:val="16"/>
              </w:rPr>
              <w:t xml:space="preserve">     1．政府采购货物支出</w:t>
            </w:r>
          </w:p>
        </w:tc>
        <w:tc>
          <w:tcPr>
            <w:tcW w:w="21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cs="宋体"/>
                <w:color w:val="000000"/>
                <w:sz w:val="16"/>
                <w:szCs w:val="16"/>
              </w:rPr>
            </w:pPr>
            <w:r>
              <w:rPr>
                <w:color w:val="000000"/>
                <w:sz w:val="16"/>
                <w:u w:color="auto"/>
              </w:rPr>
              <w:t xml:space="preserve"> </w:t>
            </w:r>
          </w:p>
        </w:tc>
      </w:tr>
      <w:tr>
        <w:tblPrEx>
          <w:tblLayout w:type="fixed"/>
          <w:tblCellMar>
            <w:top w:w="0" w:type="dxa"/>
            <w:left w:w="170" w:type="dxa"/>
            <w:bottom w:w="0" w:type="dxa"/>
            <w:right w:w="170" w:type="dxa"/>
          </w:tblCellMar>
        </w:tblPrEx>
        <w:trPr>
          <w:trHeight w:val="292" w:hRule="atLeast"/>
        </w:trPr>
        <w:tc>
          <w:tcPr>
            <w:tcW w:w="4041"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00" w:lineRule="exact"/>
              <w:textAlignment w:val="center"/>
              <w:rPr>
                <w:rFonts w:hint="default" w:cs="宋体"/>
                <w:color w:val="000000"/>
                <w:sz w:val="16"/>
                <w:szCs w:val="16"/>
              </w:rPr>
            </w:pPr>
            <w:r>
              <w:rPr>
                <w:rFonts w:cs="宋体"/>
                <w:color w:val="000000"/>
                <w:sz w:val="16"/>
                <w:szCs w:val="16"/>
              </w:rPr>
              <w:t xml:space="preserve">     6．国内公务接待人次（人）</w:t>
            </w:r>
          </w:p>
        </w:tc>
        <w:tc>
          <w:tcPr>
            <w:tcW w:w="216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00" w:lineRule="exact"/>
              <w:jc w:val="center"/>
              <w:textAlignment w:val="center"/>
              <w:rPr>
                <w:rFonts w:hint="default" w:cs="宋体"/>
                <w:color w:val="000000"/>
                <w:sz w:val="16"/>
                <w:szCs w:val="16"/>
              </w:rPr>
            </w:pPr>
            <w:r>
              <w:rPr>
                <w:rFonts w:cs="宋体"/>
                <w:color w:val="000000"/>
                <w:sz w:val="16"/>
                <w:szCs w:val="16"/>
              </w:rPr>
              <w:t>—</w:t>
            </w:r>
          </w:p>
        </w:tc>
        <w:tc>
          <w:tcPr>
            <w:tcW w:w="2115"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spacing w:line="200" w:lineRule="exact"/>
              <w:jc w:val="right"/>
              <w:textAlignment w:val="bottom"/>
              <w:rPr>
                <w:rFonts w:hint="default" w:cs="宋体"/>
                <w:color w:val="000000"/>
                <w:sz w:val="16"/>
                <w:szCs w:val="16"/>
              </w:rPr>
            </w:pPr>
            <w:r>
              <w:rPr>
                <w:color w:val="000000"/>
                <w:sz w:val="16"/>
                <w:u w:color="auto"/>
              </w:rPr>
              <w:t xml:space="preserve"> </w:t>
            </w:r>
          </w:p>
        </w:tc>
        <w:tc>
          <w:tcPr>
            <w:tcW w:w="4524"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6"/>
                <w:szCs w:val="16"/>
              </w:rPr>
            </w:pPr>
            <w:r>
              <w:rPr>
                <w:rFonts w:cs="宋体"/>
                <w:color w:val="000000"/>
                <w:sz w:val="16"/>
                <w:szCs w:val="16"/>
              </w:rPr>
              <w:t xml:space="preserve">     2．政府采购工程支出</w:t>
            </w:r>
          </w:p>
        </w:tc>
        <w:tc>
          <w:tcPr>
            <w:tcW w:w="21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cs="宋体"/>
                <w:color w:val="000000"/>
                <w:sz w:val="16"/>
                <w:szCs w:val="16"/>
              </w:rPr>
            </w:pPr>
            <w:r>
              <w:rPr>
                <w:color w:val="000000"/>
                <w:sz w:val="16"/>
                <w:u w:color="auto"/>
              </w:rPr>
              <w:t xml:space="preserve"> </w:t>
            </w:r>
          </w:p>
        </w:tc>
      </w:tr>
      <w:tr>
        <w:tblPrEx>
          <w:tblLayout w:type="fixed"/>
          <w:tblCellMar>
            <w:top w:w="0" w:type="dxa"/>
            <w:left w:w="170" w:type="dxa"/>
            <w:bottom w:w="0" w:type="dxa"/>
            <w:right w:w="170" w:type="dxa"/>
          </w:tblCellMar>
        </w:tblPrEx>
        <w:trPr>
          <w:trHeight w:val="292" w:hRule="atLeast"/>
        </w:trPr>
        <w:tc>
          <w:tcPr>
            <w:tcW w:w="4041"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00" w:lineRule="exact"/>
              <w:textAlignment w:val="center"/>
              <w:rPr>
                <w:rFonts w:hint="default" w:cs="宋体"/>
                <w:color w:val="000000"/>
                <w:sz w:val="16"/>
                <w:szCs w:val="16"/>
              </w:rPr>
            </w:pPr>
            <w:r>
              <w:rPr>
                <w:rFonts w:cs="宋体"/>
                <w:color w:val="000000"/>
                <w:sz w:val="16"/>
                <w:szCs w:val="16"/>
              </w:rPr>
              <w:t xml:space="preserve">        其中：外事接待人次（人）</w:t>
            </w:r>
          </w:p>
        </w:tc>
        <w:tc>
          <w:tcPr>
            <w:tcW w:w="216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00" w:lineRule="exact"/>
              <w:jc w:val="center"/>
              <w:textAlignment w:val="center"/>
              <w:rPr>
                <w:rFonts w:hint="default" w:cs="宋体"/>
                <w:color w:val="000000"/>
                <w:sz w:val="16"/>
                <w:szCs w:val="16"/>
              </w:rPr>
            </w:pPr>
            <w:r>
              <w:rPr>
                <w:rFonts w:cs="宋体"/>
                <w:color w:val="000000"/>
                <w:sz w:val="16"/>
                <w:szCs w:val="16"/>
              </w:rPr>
              <w:t>—</w:t>
            </w:r>
          </w:p>
        </w:tc>
        <w:tc>
          <w:tcPr>
            <w:tcW w:w="2115"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spacing w:line="200" w:lineRule="exact"/>
              <w:jc w:val="right"/>
              <w:textAlignment w:val="bottom"/>
              <w:rPr>
                <w:rFonts w:hint="default" w:cs="宋体"/>
                <w:color w:val="000000"/>
                <w:sz w:val="16"/>
                <w:szCs w:val="16"/>
              </w:rPr>
            </w:pPr>
            <w:r>
              <w:rPr>
                <w:color w:val="000000"/>
                <w:sz w:val="16"/>
                <w:u w:color="auto"/>
              </w:rPr>
              <w:t xml:space="preserve"> </w:t>
            </w:r>
          </w:p>
        </w:tc>
        <w:tc>
          <w:tcPr>
            <w:tcW w:w="4524"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6"/>
                <w:szCs w:val="16"/>
              </w:rPr>
            </w:pPr>
            <w:r>
              <w:rPr>
                <w:rFonts w:cs="宋体"/>
                <w:color w:val="000000"/>
                <w:sz w:val="16"/>
                <w:szCs w:val="16"/>
              </w:rPr>
              <w:t xml:space="preserve">     3．政府采购服务支出</w:t>
            </w:r>
          </w:p>
        </w:tc>
        <w:tc>
          <w:tcPr>
            <w:tcW w:w="21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cs="宋体"/>
                <w:color w:val="000000"/>
                <w:sz w:val="16"/>
                <w:szCs w:val="16"/>
              </w:rPr>
            </w:pPr>
            <w:r>
              <w:rPr>
                <w:color w:val="000000"/>
                <w:sz w:val="16"/>
                <w:u w:color="auto"/>
              </w:rPr>
              <w:t xml:space="preserve"> </w:t>
            </w:r>
          </w:p>
        </w:tc>
      </w:tr>
      <w:tr>
        <w:tblPrEx>
          <w:tblLayout w:type="fixed"/>
          <w:tblCellMar>
            <w:top w:w="0" w:type="dxa"/>
            <w:left w:w="170" w:type="dxa"/>
            <w:bottom w:w="0" w:type="dxa"/>
            <w:right w:w="170" w:type="dxa"/>
          </w:tblCellMar>
        </w:tblPrEx>
        <w:trPr>
          <w:trHeight w:val="292" w:hRule="atLeast"/>
        </w:trPr>
        <w:tc>
          <w:tcPr>
            <w:tcW w:w="4041"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00" w:lineRule="exact"/>
              <w:textAlignment w:val="center"/>
              <w:rPr>
                <w:rFonts w:hint="default" w:cs="宋体"/>
                <w:color w:val="000000"/>
                <w:sz w:val="16"/>
                <w:szCs w:val="16"/>
              </w:rPr>
            </w:pPr>
            <w:r>
              <w:rPr>
                <w:rFonts w:cs="宋体"/>
                <w:color w:val="000000"/>
                <w:sz w:val="16"/>
                <w:szCs w:val="16"/>
              </w:rPr>
              <w:t xml:space="preserve">     7．国（境）外公务接待批次（个）</w:t>
            </w:r>
          </w:p>
        </w:tc>
        <w:tc>
          <w:tcPr>
            <w:tcW w:w="216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00" w:lineRule="exact"/>
              <w:jc w:val="center"/>
              <w:textAlignment w:val="center"/>
              <w:rPr>
                <w:rFonts w:hint="default" w:cs="宋体"/>
                <w:color w:val="000000"/>
                <w:sz w:val="16"/>
                <w:szCs w:val="16"/>
              </w:rPr>
            </w:pPr>
            <w:r>
              <w:rPr>
                <w:rFonts w:cs="宋体"/>
                <w:color w:val="000000"/>
                <w:sz w:val="16"/>
                <w:szCs w:val="16"/>
              </w:rPr>
              <w:t>—</w:t>
            </w:r>
          </w:p>
        </w:tc>
        <w:tc>
          <w:tcPr>
            <w:tcW w:w="2115"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spacing w:line="200" w:lineRule="exact"/>
              <w:jc w:val="right"/>
              <w:textAlignment w:val="bottom"/>
              <w:rPr>
                <w:rFonts w:hint="default" w:cs="宋体"/>
                <w:color w:val="000000"/>
                <w:sz w:val="16"/>
                <w:szCs w:val="16"/>
              </w:rPr>
            </w:pPr>
            <w:r>
              <w:rPr>
                <w:color w:val="000000"/>
                <w:sz w:val="16"/>
                <w:u w:color="auto"/>
              </w:rPr>
              <w:t xml:space="preserve"> </w:t>
            </w:r>
          </w:p>
        </w:tc>
        <w:tc>
          <w:tcPr>
            <w:tcW w:w="4524"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6"/>
                <w:szCs w:val="16"/>
              </w:rPr>
            </w:pPr>
            <w:r>
              <w:rPr>
                <w:rFonts w:cs="宋体"/>
                <w:color w:val="000000"/>
                <w:sz w:val="16"/>
                <w:szCs w:val="16"/>
              </w:rPr>
              <w:t xml:space="preserve">  （二）政府采购授予中小企业合同金额</w:t>
            </w:r>
          </w:p>
        </w:tc>
        <w:tc>
          <w:tcPr>
            <w:tcW w:w="21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cs="宋体"/>
                <w:color w:val="000000"/>
                <w:sz w:val="16"/>
                <w:szCs w:val="16"/>
              </w:rPr>
            </w:pPr>
            <w:r>
              <w:rPr>
                <w:color w:val="000000"/>
                <w:sz w:val="16"/>
                <w:u w:color="auto"/>
              </w:rPr>
              <w:t xml:space="preserve"> </w:t>
            </w:r>
          </w:p>
        </w:tc>
      </w:tr>
      <w:tr>
        <w:tblPrEx>
          <w:tblLayout w:type="fixed"/>
          <w:tblCellMar>
            <w:top w:w="0" w:type="dxa"/>
            <w:left w:w="170" w:type="dxa"/>
            <w:bottom w:w="0" w:type="dxa"/>
            <w:right w:w="170" w:type="dxa"/>
          </w:tblCellMar>
        </w:tblPrEx>
        <w:trPr>
          <w:trHeight w:val="292" w:hRule="atLeast"/>
        </w:trPr>
        <w:tc>
          <w:tcPr>
            <w:tcW w:w="4041"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00" w:lineRule="exact"/>
              <w:textAlignment w:val="center"/>
              <w:rPr>
                <w:rFonts w:hint="default" w:cs="宋体"/>
                <w:color w:val="000000"/>
                <w:sz w:val="16"/>
                <w:szCs w:val="16"/>
              </w:rPr>
            </w:pPr>
            <w:r>
              <w:rPr>
                <w:rFonts w:cs="宋体"/>
                <w:color w:val="000000"/>
                <w:sz w:val="16"/>
                <w:szCs w:val="16"/>
              </w:rPr>
              <w:t xml:space="preserve">     8．国（境）外公务接待人次（人）</w:t>
            </w:r>
          </w:p>
        </w:tc>
        <w:tc>
          <w:tcPr>
            <w:tcW w:w="216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00" w:lineRule="exact"/>
              <w:jc w:val="center"/>
              <w:textAlignment w:val="center"/>
              <w:rPr>
                <w:rFonts w:hint="default" w:cs="宋体"/>
                <w:color w:val="000000"/>
                <w:sz w:val="16"/>
                <w:szCs w:val="16"/>
              </w:rPr>
            </w:pPr>
            <w:r>
              <w:rPr>
                <w:rFonts w:cs="宋体"/>
                <w:color w:val="000000"/>
                <w:sz w:val="16"/>
                <w:szCs w:val="16"/>
              </w:rPr>
              <w:t>—</w:t>
            </w:r>
          </w:p>
        </w:tc>
        <w:tc>
          <w:tcPr>
            <w:tcW w:w="2115"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spacing w:line="200" w:lineRule="exact"/>
              <w:jc w:val="right"/>
              <w:textAlignment w:val="bottom"/>
              <w:rPr>
                <w:rFonts w:hint="default" w:cs="宋体"/>
                <w:color w:val="000000"/>
                <w:sz w:val="16"/>
                <w:szCs w:val="16"/>
              </w:rPr>
            </w:pPr>
            <w:r>
              <w:rPr>
                <w:color w:val="000000"/>
                <w:sz w:val="16"/>
                <w:u w:color="auto"/>
              </w:rPr>
              <w:t xml:space="preserve"> </w:t>
            </w:r>
          </w:p>
        </w:tc>
        <w:tc>
          <w:tcPr>
            <w:tcW w:w="4524"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6"/>
                <w:szCs w:val="16"/>
              </w:rPr>
            </w:pPr>
            <w:r>
              <w:rPr>
                <w:rFonts w:cs="宋体"/>
                <w:color w:val="000000"/>
                <w:sz w:val="16"/>
                <w:szCs w:val="16"/>
              </w:rPr>
              <w:t xml:space="preserve">        其中：授予小微企业合同金额</w:t>
            </w:r>
          </w:p>
        </w:tc>
        <w:tc>
          <w:tcPr>
            <w:tcW w:w="21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cs="宋体"/>
                <w:color w:val="000000"/>
                <w:sz w:val="16"/>
                <w:szCs w:val="16"/>
              </w:rPr>
            </w:pPr>
            <w:r>
              <w:rPr>
                <w:color w:val="000000"/>
                <w:sz w:val="16"/>
                <w:u w:color="auto"/>
              </w:rPr>
              <w:t xml:space="preserve"> </w:t>
            </w:r>
          </w:p>
        </w:tc>
      </w:tr>
      <w:tr>
        <w:tblPrEx>
          <w:tblLayout w:type="fixed"/>
          <w:tblCellMar>
            <w:top w:w="0" w:type="dxa"/>
            <w:left w:w="170" w:type="dxa"/>
            <w:bottom w:w="0" w:type="dxa"/>
            <w:right w:w="170" w:type="dxa"/>
          </w:tblCellMar>
        </w:tblPrEx>
        <w:trPr>
          <w:trHeight w:val="286" w:hRule="atLeast"/>
        </w:trPr>
        <w:tc>
          <w:tcPr>
            <w:tcW w:w="4041"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6"/>
                <w:szCs w:val="16"/>
              </w:rPr>
            </w:pPr>
            <w:r>
              <w:rPr>
                <w:rFonts w:cs="宋体"/>
                <w:color w:val="000000"/>
                <w:sz w:val="16"/>
                <w:szCs w:val="16"/>
              </w:rPr>
              <w:t>二、会议费</w:t>
            </w:r>
          </w:p>
        </w:tc>
        <w:tc>
          <w:tcPr>
            <w:tcW w:w="216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00" w:lineRule="exact"/>
              <w:jc w:val="center"/>
              <w:textAlignment w:val="center"/>
              <w:rPr>
                <w:rFonts w:hint="default" w:cs="宋体"/>
                <w:color w:val="000000"/>
                <w:sz w:val="16"/>
                <w:szCs w:val="16"/>
              </w:rPr>
            </w:pPr>
            <w:r>
              <w:rPr>
                <w:rFonts w:cs="宋体"/>
                <w:color w:val="000000"/>
                <w:sz w:val="16"/>
                <w:szCs w:val="16"/>
              </w:rPr>
              <w:t>—</w:t>
            </w:r>
          </w:p>
        </w:tc>
        <w:tc>
          <w:tcPr>
            <w:tcW w:w="211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cs="宋体"/>
                <w:color w:val="000000"/>
                <w:sz w:val="16"/>
                <w:szCs w:val="16"/>
              </w:rPr>
            </w:pPr>
            <w:r>
              <w:rPr>
                <w:color w:val="000000"/>
                <w:sz w:val="16"/>
                <w:u w:color="auto"/>
              </w:rPr>
              <w:t xml:space="preserve"> </w:t>
            </w:r>
          </w:p>
        </w:tc>
        <w:tc>
          <w:tcPr>
            <w:tcW w:w="4524"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rPr>
                <w:rFonts w:hint="default" w:cs="宋体"/>
                <w:color w:val="000000"/>
                <w:sz w:val="16"/>
                <w:szCs w:val="16"/>
              </w:rPr>
            </w:pPr>
          </w:p>
        </w:tc>
        <w:tc>
          <w:tcPr>
            <w:tcW w:w="21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rPr>
                <w:rFonts w:hint="default" w:cs="宋体"/>
                <w:color w:val="000000"/>
                <w:sz w:val="16"/>
                <w:szCs w:val="16"/>
              </w:rPr>
            </w:pPr>
          </w:p>
        </w:tc>
      </w:tr>
      <w:tr>
        <w:tblPrEx>
          <w:tblLayout w:type="fixed"/>
          <w:tblCellMar>
            <w:top w:w="0" w:type="dxa"/>
            <w:left w:w="170" w:type="dxa"/>
            <w:bottom w:w="0" w:type="dxa"/>
            <w:right w:w="170" w:type="dxa"/>
          </w:tblCellMar>
        </w:tblPrEx>
        <w:trPr>
          <w:trHeight w:val="389" w:hRule="atLeast"/>
        </w:trPr>
        <w:tc>
          <w:tcPr>
            <w:tcW w:w="4041"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6"/>
                <w:szCs w:val="16"/>
              </w:rPr>
            </w:pPr>
            <w:r>
              <w:rPr>
                <w:rFonts w:cs="宋体"/>
                <w:color w:val="000000"/>
                <w:sz w:val="16"/>
                <w:szCs w:val="16"/>
              </w:rPr>
              <w:t>三、培训费</w:t>
            </w:r>
          </w:p>
        </w:tc>
        <w:tc>
          <w:tcPr>
            <w:tcW w:w="216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00" w:lineRule="exact"/>
              <w:jc w:val="center"/>
              <w:textAlignment w:val="center"/>
              <w:rPr>
                <w:rFonts w:hint="default" w:cs="宋体"/>
                <w:color w:val="000000"/>
                <w:sz w:val="16"/>
                <w:szCs w:val="16"/>
              </w:rPr>
            </w:pPr>
            <w:r>
              <w:rPr>
                <w:rFonts w:cs="宋体"/>
                <w:color w:val="000000"/>
                <w:sz w:val="16"/>
                <w:szCs w:val="16"/>
              </w:rPr>
              <w:t>—</w:t>
            </w:r>
          </w:p>
        </w:tc>
        <w:tc>
          <w:tcPr>
            <w:tcW w:w="211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cs="宋体"/>
                <w:color w:val="000000"/>
                <w:sz w:val="16"/>
                <w:szCs w:val="16"/>
              </w:rPr>
            </w:pPr>
            <w:r>
              <w:rPr>
                <w:color w:val="000000"/>
                <w:sz w:val="16"/>
                <w:u w:color="auto"/>
              </w:rPr>
              <w:t xml:space="preserve"> </w:t>
            </w:r>
          </w:p>
        </w:tc>
        <w:tc>
          <w:tcPr>
            <w:tcW w:w="4524"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rPr>
                <w:rFonts w:hint="default" w:cs="宋体"/>
                <w:color w:val="000000"/>
                <w:sz w:val="16"/>
                <w:szCs w:val="16"/>
              </w:rPr>
            </w:pPr>
          </w:p>
        </w:tc>
        <w:tc>
          <w:tcPr>
            <w:tcW w:w="21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rPr>
                <w:rFonts w:hint="default" w:cs="宋体"/>
                <w:color w:val="000000"/>
                <w:sz w:val="16"/>
                <w:szCs w:val="16"/>
              </w:rPr>
            </w:pPr>
          </w:p>
        </w:tc>
      </w:tr>
    </w:tbl>
    <w:p>
      <w:pPr>
        <w:rPr>
          <w:rFonts w:hint="default" w:cs="宋体"/>
          <w:sz w:val="21"/>
          <w:szCs w:val="21"/>
        </w:rPr>
      </w:pPr>
      <w:r>
        <w:rPr>
          <w:rFonts w:cs="宋体"/>
          <w:sz w:val="20"/>
          <w:szCs w:val="20"/>
        </w:rPr>
        <w:t>备注：1.本表反映单位本年度财政拨款“三公”经费支出预决算情况。其中，预算数为“三公”经费全年预算数，反映按规定程序调整后的预算数；决算数为包括本年度财政拨款和以前年度结转资金安排的实际支出。</w:t>
      </w:r>
      <w:r>
        <w:rPr>
          <w:rFonts w:cs="宋体"/>
          <w:sz w:val="20"/>
          <w:szCs w:val="20"/>
        </w:rPr>
        <w:br w:type="textWrapping"/>
      </w:r>
      <w:r>
        <w:rPr>
          <w:rFonts w:cs="宋体"/>
          <w:sz w:val="20"/>
          <w:szCs w:val="20"/>
        </w:rPr>
        <w:t xml:space="preserve">      2.本套报表金额单位转换时可能存在尾数误差。</w:t>
      </w:r>
      <w:r>
        <w:rPr>
          <w:rFonts w:cs="宋体"/>
          <w:sz w:val="20"/>
          <w:szCs w:val="20"/>
        </w:rPr>
        <w:br w:type="textWrapping"/>
      </w:r>
      <w:r>
        <w:rPr>
          <w:rFonts w:cs="宋体"/>
          <w:sz w:val="20"/>
          <w:szCs w:val="20"/>
        </w:rPr>
        <w:br w:type="textWrapping"/>
      </w:r>
    </w:p>
    <w:sectPr>
      <w:headerReference r:id="rId4" w:type="default"/>
      <w:footerReference r:id="rId5" w:type="default"/>
      <w:pgSz w:w="16839" w:h="11907" w:orient="landscape"/>
      <w:pgMar w:top="567" w:right="454" w:bottom="567" w:left="1037" w:header="0" w:footer="283" w:gutter="0"/>
      <w:pgNumType w:fmt="numberInDash"/>
      <w:cols w:space="720" w:num="1"/>
      <w:docGrid w:type="lines"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sans-serif">
    <w:altName w:val="Segoe Print"/>
    <w:panose1 w:val="00000000000000000000"/>
    <w:charset w:val="00"/>
    <w:family w:val="auto"/>
    <w:pitch w:val="default"/>
    <w:sig w:usb0="00000000" w:usb1="00000000" w:usb2="00000000" w:usb3="00000000" w:csb0="00000000" w:csb1="00000000"/>
  </w:font>
  <w:font w:name="方正小标宋_GBK">
    <w:panose1 w:val="03000509000000000000"/>
    <w:charset w:val="86"/>
    <w:family w:val="script"/>
    <w:pitch w:val="default"/>
    <w:sig w:usb0="00000001" w:usb1="080E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rPr>
        <w:rFonts w:hint="default"/>
      </w:rPr>
    </w:pPr>
    <w:r>
      <w:rPr>
        <w:rFonts w:hint="default"/>
      </w:rPr>
      <mc:AlternateContent>
        <mc:Choice Requires="wps">
          <w:drawing>
            <wp:anchor distT="0" distB="0" distL="114300" distR="114300" simplePos="0" relativeHeight="251661312" behindDoc="0" locked="0" layoutInCell="1" allowOverlap="1">
              <wp:simplePos x="0" y="0"/>
              <wp:positionH relativeFrom="margin">
                <wp:align>outside</wp:align>
              </wp:positionH>
              <wp:positionV relativeFrom="paragraph">
                <wp:posOffset>29845</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6"/>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fldChar w:fldCharType="begin"/>
                          </w:r>
                          <w:r>
                            <w:rPr>
                              <w:rFonts w:hint="eastAsia" w:asciiTheme="majorEastAsia" w:hAnsiTheme="majorEastAsia" w:eastAsiaTheme="majorEastAsia" w:cstheme="majorEastAsia"/>
                              <w:sz w:val="28"/>
                              <w:szCs w:val="28"/>
                            </w:rPr>
                            <w:instrText xml:space="preserve"> PAGE  \* MERGEFORMAT </w:instrText>
                          </w:r>
                          <w:r>
                            <w:rPr>
                              <w:rFonts w:hint="eastAsia" w:asciiTheme="majorEastAsia" w:hAnsiTheme="majorEastAsia" w:eastAsiaTheme="majorEastAsia" w:cstheme="majorEastAsia"/>
                              <w:sz w:val="28"/>
                              <w:szCs w:val="28"/>
                            </w:rPr>
                            <w:fldChar w:fldCharType="separate"/>
                          </w:r>
                          <w:r>
                            <w:rPr>
                              <w:rFonts w:hint="eastAsia" w:asciiTheme="majorEastAsia" w:hAnsiTheme="majorEastAsia" w:eastAsiaTheme="majorEastAsia" w:cstheme="majorEastAsia"/>
                              <w:sz w:val="28"/>
                              <w:szCs w:val="28"/>
                            </w:rPr>
                            <w:t>- 4 -</w:t>
                          </w:r>
                          <w:r>
                            <w:rPr>
                              <w:rFonts w:hint="eastAsia" w:asciiTheme="majorEastAsia" w:hAnsiTheme="majorEastAsia" w:eastAsiaTheme="majorEastAsia" w:cstheme="majorEastAsia"/>
                              <w:sz w:val="28"/>
                              <w:szCs w:val="2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2.35pt;height:144pt;width:144pt;mso-position-horizontal:outside;mso-position-horizontal-relative:margin;mso-wrap-style:none;z-index:251661312;mso-width-relative:page;mso-height-relative:page;" filled="f" stroked="f" coordsize="21600,21600" o:gfxdata="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">
              <v:fill on="f" focussize="0,0"/>
              <v:stroke on="f" weight="0.5pt"/>
              <v:imagedata o:title=""/>
              <o:lock v:ext="edit" aspectratio="f"/>
              <v:textbox inset="0mm,0mm,0mm,0mm" style="mso-fit-shape-to-text:t;">
                <w:txbxContent>
                  <w:p>
                    <w:pPr>
                      <w:pStyle w:val="6"/>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fldChar w:fldCharType="begin"/>
                    </w:r>
                    <w:r>
                      <w:rPr>
                        <w:rFonts w:hint="eastAsia" w:asciiTheme="majorEastAsia" w:hAnsiTheme="majorEastAsia" w:eastAsiaTheme="majorEastAsia" w:cstheme="majorEastAsia"/>
                        <w:sz w:val="28"/>
                        <w:szCs w:val="28"/>
                      </w:rPr>
                      <w:instrText xml:space="preserve"> PAGE  \* MERGEFORMAT </w:instrText>
                    </w:r>
                    <w:r>
                      <w:rPr>
                        <w:rFonts w:hint="eastAsia" w:asciiTheme="majorEastAsia" w:hAnsiTheme="majorEastAsia" w:eastAsiaTheme="majorEastAsia" w:cstheme="majorEastAsia"/>
                        <w:sz w:val="28"/>
                        <w:szCs w:val="28"/>
                      </w:rPr>
                      <w:fldChar w:fldCharType="separate"/>
                    </w:r>
                    <w:r>
                      <w:rPr>
                        <w:rFonts w:hint="eastAsia" w:asciiTheme="majorEastAsia" w:hAnsiTheme="majorEastAsia" w:eastAsiaTheme="majorEastAsia" w:cstheme="majorEastAsia"/>
                        <w:sz w:val="28"/>
                        <w:szCs w:val="28"/>
                      </w:rPr>
                      <w:t>- 4 -</w:t>
                    </w:r>
                    <w:r>
                      <w:rPr>
                        <w:rFonts w:hint="eastAsia" w:asciiTheme="majorEastAsia" w:hAnsiTheme="majorEastAsia" w:eastAsiaTheme="majorEastAsia" w:cstheme="majorEastAsia"/>
                        <w:sz w:val="28"/>
                        <w:szCs w:val="28"/>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both"/>
      <w:rPr>
        <w:rFonts w:hint="default"/>
      </w:rPr>
    </w:pPr>
    <w:r>
      <w:rPr>
        <w:rFonts w:hint="default"/>
      </w:rPr>
      <mc:AlternateContent>
        <mc:Choice Requires="wps">
          <w:drawing>
            <wp:anchor distT="0" distB="0" distL="114300" distR="114300" simplePos="0" relativeHeight="251660288" behindDoc="0" locked="0" layoutInCell="1" allowOverlap="0">
              <wp:simplePos x="0" y="0"/>
              <wp:positionH relativeFrom="margin">
                <wp:align>outside</wp:align>
              </wp:positionH>
              <wp:positionV relativeFrom="paragraph">
                <wp:posOffset>0</wp:posOffset>
              </wp:positionV>
              <wp:extent cx="1828800" cy="1828800"/>
              <wp:effectExtent l="0" t="0" r="0" b="0"/>
              <wp:wrapNone/>
              <wp:docPr id="127" name="文本框 12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6"/>
                            <w:rPr>
                              <w:rFonts w:hint="default"/>
                            </w:rPr>
                          </w:pPr>
                          <w:r>
                            <w:t xml:space="preserve"> </w:t>
                          </w:r>
                          <w:r>
                            <w:fldChar w:fldCharType="begin"/>
                          </w:r>
                          <w:r>
                            <w:instrText xml:space="preserve">PAGE   \* MERGEFORMAT</w:instrText>
                          </w:r>
                          <w:r>
                            <w:fldChar w:fldCharType="separate"/>
                          </w:r>
                          <w:r>
                            <w:rPr>
                              <w:rFonts w:hint="default"/>
                              <w:lang w:val="zh-CN"/>
                            </w:rPr>
                            <w:t>-</w:t>
                          </w:r>
                          <w:r>
                            <w:rPr>
                              <w:rFonts w:hint="default"/>
                            </w:rPr>
                            <w:t xml:space="preserve"> 30 -</w:t>
                          </w:r>
                          <w:r>
                            <w:fldChar w:fldCharType="end"/>
                          </w:r>
                          <w:r>
                            <w:t xml:space="preserve"> </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0288;mso-width-relative:page;mso-height-relative:page;" filled="f" stroked="f" coordsize="21600,21600" o:allowoverlap="f"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AAAAAZHJzL1BLAQIUABQAAAAIAIdO4kCzSVju0AAAAAUBAAAPAAAAAAAAAAEA&#10;IAAAACIAAABkcnMvZG93bnJldi54bWxQSwECFAAUAAAACACHTuJAsPgxiRcCAAAZBAAADgAAAAAA&#10;AAABACAAAAAfAQAAZHJzL2Uyb0RvYy54bWxQSwUGAAAAAAYABgBZAQAAqAUAAAAA&#10;">
              <v:fill on="f" focussize="0,0"/>
              <v:stroke on="f" weight="0.5pt"/>
              <v:imagedata o:title=""/>
              <o:lock v:ext="edit" aspectratio="f"/>
              <v:textbox inset="0mm,0mm,0mm,0mm" style="mso-fit-shape-to-text:t;">
                <w:txbxContent>
                  <w:p>
                    <w:pPr>
                      <w:pStyle w:val="6"/>
                      <w:rPr>
                        <w:rFonts w:hint="default"/>
                      </w:rPr>
                    </w:pPr>
                    <w:r>
                      <w:t xml:space="preserve"> </w:t>
                    </w:r>
                    <w:r>
                      <w:fldChar w:fldCharType="begin"/>
                    </w:r>
                    <w:r>
                      <w:instrText xml:space="preserve">PAGE   \* MERGEFORMAT</w:instrText>
                    </w:r>
                    <w:r>
                      <w:fldChar w:fldCharType="separate"/>
                    </w:r>
                    <w:r>
                      <w:rPr>
                        <w:rFonts w:hint="default"/>
                        <w:lang w:val="zh-CN"/>
                      </w:rPr>
                      <w:t>-</w:t>
                    </w:r>
                    <w:r>
                      <w:rPr>
                        <w:rFonts w:hint="default"/>
                      </w:rPr>
                      <w:t xml:space="preserve"> 30 -</w:t>
                    </w:r>
                    <w:r>
                      <w:fldChar w:fldCharType="end"/>
                    </w:r>
                    <w:r>
                      <w:t xml:space="preserve"> </w:t>
                    </w:r>
                  </w:p>
                </w:txbxContent>
              </v:textbox>
            </v:shape>
          </w:pict>
        </mc:Fallback>
      </mc:AlternateContent>
    </w:r>
    <w:r>
      <w:rPr>
        <w:rFonts w:hint="default"/>
      </w:rPr>
      <mc:AlternateContent>
        <mc:Choice Requires="wps">
          <w:drawing>
            <wp:anchor distT="0" distB="0" distL="114300" distR="114300" simplePos="0" relativeHeight="251659264" behindDoc="0" locked="0" layoutInCell="1" allowOverlap="0">
              <wp:simplePos x="0" y="0"/>
              <wp:positionH relativeFrom="margin">
                <wp:align>center</wp:align>
              </wp:positionH>
              <wp:positionV relativeFrom="page">
                <wp:posOffset>14737080</wp:posOffset>
              </wp:positionV>
              <wp:extent cx="1828800" cy="220980"/>
              <wp:effectExtent l="0" t="0" r="0" b="0"/>
              <wp:wrapNone/>
              <wp:docPr id="126" name="文本框 126"/>
              <wp:cNvGraphicFramePr/>
              <a:graphic xmlns:a="http://schemas.openxmlformats.org/drawingml/2006/main">
                <a:graphicData uri="http://schemas.microsoft.com/office/word/2010/wordprocessingShape">
                  <wps:wsp>
                    <wps:cNvSpPr txBox="1"/>
                    <wps:spPr>
                      <a:xfrm>
                        <a:off x="0" y="0"/>
                        <a:ext cx="1828800" cy="220980"/>
                      </a:xfrm>
                      <a:prstGeom prst="rect">
                        <a:avLst/>
                      </a:prstGeom>
                      <a:noFill/>
                      <a:ln w="6350">
                        <a:noFill/>
                      </a:ln>
                      <a:effectLst/>
                    </wps:spPr>
                    <wps:txbx>
                      <w:txbxContent>
                        <w:p>
                          <w:pPr>
                            <w:pStyle w:val="6"/>
                            <w:jc w:val="both"/>
                            <w:rPr>
                              <w:rFonts w:hint="default" w:cs="宋体"/>
                            </w:rPr>
                          </w:pPr>
                          <w:r>
                            <w:rPr>
                              <w:rFonts w:cs="宋体"/>
                            </w:rPr>
                            <w:t>— 27.1 —</w:t>
                          </w:r>
                        </w:p>
                      </w:txbxContent>
                    </wps:txbx>
                    <wps:bodyPr rot="0" spcFirstLastPara="0" vertOverflow="overflow" horzOverflow="overflow" vert="horz" wrap="none" lIns="0" tIns="0" rIns="0" bIns="0" numCol="1" spcCol="0" rtlCol="0" fromWordArt="0" anchor="t" anchorCtr="0" forceAA="0" compatLnSpc="1">
                      <a:noAutofit/>
                    </wps:bodyPr>
                  </wps:wsp>
                </a:graphicData>
              </a:graphic>
            </wp:anchor>
          </w:drawing>
        </mc:Choice>
        <mc:Fallback>
          <w:pict>
            <v:shape id="_x0000_s1026" o:spid="_x0000_s1026" o:spt="202" type="#_x0000_t202" style="position:absolute;left:0pt;margin-top:1160.4pt;height:17.4pt;width:144pt;mso-position-horizontal:center;mso-position-horizontal-relative:margin;mso-position-vertical-relative:page;mso-wrap-style:none;z-index:251659264;mso-width-relative:page;mso-height-relative:page;" filled="f" stroked="f" coordsize="21600,21600" o:allowoverlap="f" o:gfxdata="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">
              <v:fill on="f" focussize="0,0"/>
              <v:stroke on="f" weight="0.5pt"/>
              <v:imagedata o:title=""/>
              <o:lock v:ext="edit" aspectratio="f"/>
              <v:textbox inset="0mm,0mm,0mm,0mm">
                <w:txbxContent>
                  <w:p>
                    <w:pPr>
                      <w:pStyle w:val="6"/>
                      <w:jc w:val="both"/>
                      <w:rPr>
                        <w:rFonts w:hint="default" w:cs="宋体"/>
                      </w:rPr>
                    </w:pPr>
                    <w:r>
                      <w:rPr>
                        <w:rFonts w:cs="宋体"/>
                      </w:rPr>
                      <w:t>— 27.1 —</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tabs>
        <w:tab w:val="left" w:pos="1758"/>
        <w:tab w:val="clear" w:pos="4153"/>
        <w:tab w:val="clear" w:pos="8306"/>
      </w:tabs>
      <w:rPr>
        <w:rFonts w:hint="default"/>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7"/>
  <w:embedSystemFonts/>
  <w:bordersDoNotSurroundHeader w:val="1"/>
  <w:bordersDoNotSurroundFooter w:val="1"/>
  <w:documentProtection w:enforcement="0"/>
  <w:defaultTabStop w:val="420"/>
  <w:drawingGridHorizontalSpacing w:val="120"/>
  <w:drawingGridVerticalSpacing w:val="163"/>
  <w:displayHorizontalDrawingGridEvery w:val="2"/>
  <w:displayVerticalDrawingGridEvery w:val="2"/>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QwYWQ1YTE0ZDA0NjgxYzlhMjZlMDExNTFmMWI3MmEifQ=="/>
  </w:docVars>
  <w:rsids>
    <w:rsidRoot w:val="00B03CCD"/>
    <w:rsid w:val="001165D7"/>
    <w:rsid w:val="001D3BB7"/>
    <w:rsid w:val="002B254B"/>
    <w:rsid w:val="003827C2"/>
    <w:rsid w:val="00417CD9"/>
    <w:rsid w:val="00466C9B"/>
    <w:rsid w:val="00550ABE"/>
    <w:rsid w:val="00592A42"/>
    <w:rsid w:val="00770383"/>
    <w:rsid w:val="007819D4"/>
    <w:rsid w:val="00787707"/>
    <w:rsid w:val="007B2F2D"/>
    <w:rsid w:val="007B419D"/>
    <w:rsid w:val="007B7C4B"/>
    <w:rsid w:val="007D3D39"/>
    <w:rsid w:val="00994AF7"/>
    <w:rsid w:val="009B67B8"/>
    <w:rsid w:val="009D2B67"/>
    <w:rsid w:val="00A566F9"/>
    <w:rsid w:val="00AF2751"/>
    <w:rsid w:val="00AF2E09"/>
    <w:rsid w:val="00B03CCD"/>
    <w:rsid w:val="00BE2B89"/>
    <w:rsid w:val="00C10E9E"/>
    <w:rsid w:val="00C20C3E"/>
    <w:rsid w:val="00D62D26"/>
    <w:rsid w:val="00DA74D2"/>
    <w:rsid w:val="00F56C55"/>
    <w:rsid w:val="00F73F90"/>
    <w:rsid w:val="011566F2"/>
    <w:rsid w:val="013956E1"/>
    <w:rsid w:val="01474EBF"/>
    <w:rsid w:val="01860E73"/>
    <w:rsid w:val="019467F1"/>
    <w:rsid w:val="019A1415"/>
    <w:rsid w:val="01A54A54"/>
    <w:rsid w:val="01D712A0"/>
    <w:rsid w:val="01E70C6E"/>
    <w:rsid w:val="01EF4370"/>
    <w:rsid w:val="01F3521E"/>
    <w:rsid w:val="0214510A"/>
    <w:rsid w:val="02290AB8"/>
    <w:rsid w:val="0259673C"/>
    <w:rsid w:val="027635FE"/>
    <w:rsid w:val="0293076E"/>
    <w:rsid w:val="02A309D7"/>
    <w:rsid w:val="02C71E9B"/>
    <w:rsid w:val="030E0208"/>
    <w:rsid w:val="03195E07"/>
    <w:rsid w:val="03260094"/>
    <w:rsid w:val="032B5876"/>
    <w:rsid w:val="032F2834"/>
    <w:rsid w:val="03402F52"/>
    <w:rsid w:val="039C67B1"/>
    <w:rsid w:val="03B87EA0"/>
    <w:rsid w:val="03E3214F"/>
    <w:rsid w:val="03E43FE5"/>
    <w:rsid w:val="03E75588"/>
    <w:rsid w:val="03FC1F47"/>
    <w:rsid w:val="03FF60F3"/>
    <w:rsid w:val="0401301A"/>
    <w:rsid w:val="040540A4"/>
    <w:rsid w:val="040958F7"/>
    <w:rsid w:val="040A0F28"/>
    <w:rsid w:val="044C50BA"/>
    <w:rsid w:val="046C5858"/>
    <w:rsid w:val="046E0A08"/>
    <w:rsid w:val="046E3069"/>
    <w:rsid w:val="04723CE9"/>
    <w:rsid w:val="04845420"/>
    <w:rsid w:val="0492620D"/>
    <w:rsid w:val="04957090"/>
    <w:rsid w:val="04BD3302"/>
    <w:rsid w:val="05026C79"/>
    <w:rsid w:val="050C1CB6"/>
    <w:rsid w:val="05102B0B"/>
    <w:rsid w:val="051253B5"/>
    <w:rsid w:val="051F1899"/>
    <w:rsid w:val="053C65BF"/>
    <w:rsid w:val="05443285"/>
    <w:rsid w:val="055D1570"/>
    <w:rsid w:val="055F3858"/>
    <w:rsid w:val="05622BCB"/>
    <w:rsid w:val="057C5E94"/>
    <w:rsid w:val="058C16E5"/>
    <w:rsid w:val="059E4C32"/>
    <w:rsid w:val="05BC6D49"/>
    <w:rsid w:val="05CB05EF"/>
    <w:rsid w:val="05EC28B7"/>
    <w:rsid w:val="06194FF1"/>
    <w:rsid w:val="063B2A7D"/>
    <w:rsid w:val="066916CE"/>
    <w:rsid w:val="067258E7"/>
    <w:rsid w:val="068C6C8F"/>
    <w:rsid w:val="06A2550B"/>
    <w:rsid w:val="06C23984"/>
    <w:rsid w:val="06C55A71"/>
    <w:rsid w:val="06DA261C"/>
    <w:rsid w:val="06E062C6"/>
    <w:rsid w:val="06E80988"/>
    <w:rsid w:val="06F80EE2"/>
    <w:rsid w:val="07001CCA"/>
    <w:rsid w:val="070409A2"/>
    <w:rsid w:val="07250AF7"/>
    <w:rsid w:val="073162FC"/>
    <w:rsid w:val="075678DB"/>
    <w:rsid w:val="07691ABC"/>
    <w:rsid w:val="078F5410"/>
    <w:rsid w:val="079D7CC7"/>
    <w:rsid w:val="07A51163"/>
    <w:rsid w:val="07A64AB3"/>
    <w:rsid w:val="08051BCA"/>
    <w:rsid w:val="080E6E66"/>
    <w:rsid w:val="086C12F4"/>
    <w:rsid w:val="08705944"/>
    <w:rsid w:val="08BA052C"/>
    <w:rsid w:val="08D716C1"/>
    <w:rsid w:val="08DB07BA"/>
    <w:rsid w:val="08E330F9"/>
    <w:rsid w:val="08F77A4C"/>
    <w:rsid w:val="09557729"/>
    <w:rsid w:val="0969353F"/>
    <w:rsid w:val="097C3E21"/>
    <w:rsid w:val="097D5EDA"/>
    <w:rsid w:val="098305D0"/>
    <w:rsid w:val="098B264A"/>
    <w:rsid w:val="09AB1636"/>
    <w:rsid w:val="09CB40A5"/>
    <w:rsid w:val="09F36864"/>
    <w:rsid w:val="0A2023E4"/>
    <w:rsid w:val="0A3317EA"/>
    <w:rsid w:val="0A5724EB"/>
    <w:rsid w:val="0A5C4B69"/>
    <w:rsid w:val="0A5D25D2"/>
    <w:rsid w:val="0A5D3D6B"/>
    <w:rsid w:val="0A5E1110"/>
    <w:rsid w:val="0A637089"/>
    <w:rsid w:val="0A6748AC"/>
    <w:rsid w:val="0A86124A"/>
    <w:rsid w:val="0AAD0371"/>
    <w:rsid w:val="0AB54CC0"/>
    <w:rsid w:val="0AB75BC1"/>
    <w:rsid w:val="0AB85993"/>
    <w:rsid w:val="0ACA6674"/>
    <w:rsid w:val="0AF44480"/>
    <w:rsid w:val="0B131F76"/>
    <w:rsid w:val="0B1A713F"/>
    <w:rsid w:val="0B1D0F37"/>
    <w:rsid w:val="0B79615E"/>
    <w:rsid w:val="0B7D2148"/>
    <w:rsid w:val="0B9335CE"/>
    <w:rsid w:val="0B963C52"/>
    <w:rsid w:val="0B9B6791"/>
    <w:rsid w:val="0BBA2E8C"/>
    <w:rsid w:val="0BF2311A"/>
    <w:rsid w:val="0C0227AA"/>
    <w:rsid w:val="0C041CC9"/>
    <w:rsid w:val="0C0B3DB0"/>
    <w:rsid w:val="0C2E5312"/>
    <w:rsid w:val="0C64735E"/>
    <w:rsid w:val="0C7654CD"/>
    <w:rsid w:val="0C7927C4"/>
    <w:rsid w:val="0C8377EE"/>
    <w:rsid w:val="0C890B71"/>
    <w:rsid w:val="0C90676A"/>
    <w:rsid w:val="0C99668F"/>
    <w:rsid w:val="0C9B098C"/>
    <w:rsid w:val="0CAF6ED8"/>
    <w:rsid w:val="0D080DF9"/>
    <w:rsid w:val="0D446B10"/>
    <w:rsid w:val="0D65252C"/>
    <w:rsid w:val="0D673E11"/>
    <w:rsid w:val="0D7E69B3"/>
    <w:rsid w:val="0D870CF2"/>
    <w:rsid w:val="0DBA4DAB"/>
    <w:rsid w:val="0DC0033C"/>
    <w:rsid w:val="0DCB46CD"/>
    <w:rsid w:val="0DD4370D"/>
    <w:rsid w:val="0DDA54E4"/>
    <w:rsid w:val="0DFD1E57"/>
    <w:rsid w:val="0E061D07"/>
    <w:rsid w:val="0E0A6B4A"/>
    <w:rsid w:val="0E1528CE"/>
    <w:rsid w:val="0E18622F"/>
    <w:rsid w:val="0E250A86"/>
    <w:rsid w:val="0E2D798E"/>
    <w:rsid w:val="0E2E2DB6"/>
    <w:rsid w:val="0E3A5F83"/>
    <w:rsid w:val="0E4553D1"/>
    <w:rsid w:val="0E4A1D3C"/>
    <w:rsid w:val="0E71059B"/>
    <w:rsid w:val="0E7240F7"/>
    <w:rsid w:val="0E902A6F"/>
    <w:rsid w:val="0EE45CD4"/>
    <w:rsid w:val="0EEE213F"/>
    <w:rsid w:val="0F596D9D"/>
    <w:rsid w:val="0F6150F2"/>
    <w:rsid w:val="0F836721"/>
    <w:rsid w:val="0F8D2947"/>
    <w:rsid w:val="0F9F3196"/>
    <w:rsid w:val="0FA25D96"/>
    <w:rsid w:val="0FA42EE0"/>
    <w:rsid w:val="0FB33AF2"/>
    <w:rsid w:val="0FB902E8"/>
    <w:rsid w:val="0FD65D0D"/>
    <w:rsid w:val="0FDD7A9B"/>
    <w:rsid w:val="100F6D0E"/>
    <w:rsid w:val="101002F4"/>
    <w:rsid w:val="10341746"/>
    <w:rsid w:val="106C2EE4"/>
    <w:rsid w:val="106D0150"/>
    <w:rsid w:val="107B59E5"/>
    <w:rsid w:val="108E5172"/>
    <w:rsid w:val="1094217B"/>
    <w:rsid w:val="10D51F5E"/>
    <w:rsid w:val="10D75FBA"/>
    <w:rsid w:val="10DD60E5"/>
    <w:rsid w:val="10E3025E"/>
    <w:rsid w:val="10EC0126"/>
    <w:rsid w:val="10F324DA"/>
    <w:rsid w:val="10F70B9A"/>
    <w:rsid w:val="111445C7"/>
    <w:rsid w:val="111665DE"/>
    <w:rsid w:val="1119566F"/>
    <w:rsid w:val="112C0DFA"/>
    <w:rsid w:val="112C6580"/>
    <w:rsid w:val="114278C6"/>
    <w:rsid w:val="114F3DC6"/>
    <w:rsid w:val="1158083A"/>
    <w:rsid w:val="11643A4B"/>
    <w:rsid w:val="11665C1B"/>
    <w:rsid w:val="11B154CD"/>
    <w:rsid w:val="11B8354B"/>
    <w:rsid w:val="11C44137"/>
    <w:rsid w:val="11ED0F98"/>
    <w:rsid w:val="11EF620D"/>
    <w:rsid w:val="11F03528"/>
    <w:rsid w:val="11F82847"/>
    <w:rsid w:val="12206BE1"/>
    <w:rsid w:val="123B515F"/>
    <w:rsid w:val="12574567"/>
    <w:rsid w:val="12661255"/>
    <w:rsid w:val="12A2159B"/>
    <w:rsid w:val="12C921C4"/>
    <w:rsid w:val="12EB0E09"/>
    <w:rsid w:val="12EC0C11"/>
    <w:rsid w:val="12FD0EE1"/>
    <w:rsid w:val="133439DF"/>
    <w:rsid w:val="13401964"/>
    <w:rsid w:val="13784BB3"/>
    <w:rsid w:val="13826B02"/>
    <w:rsid w:val="13871C70"/>
    <w:rsid w:val="138B78AF"/>
    <w:rsid w:val="13930C00"/>
    <w:rsid w:val="13987489"/>
    <w:rsid w:val="13A71CB4"/>
    <w:rsid w:val="13AF1D43"/>
    <w:rsid w:val="13CB1368"/>
    <w:rsid w:val="13CE1647"/>
    <w:rsid w:val="13FD55AB"/>
    <w:rsid w:val="141D5CE5"/>
    <w:rsid w:val="14200702"/>
    <w:rsid w:val="143348D5"/>
    <w:rsid w:val="144B4FC7"/>
    <w:rsid w:val="1471702F"/>
    <w:rsid w:val="14782730"/>
    <w:rsid w:val="14795460"/>
    <w:rsid w:val="14826733"/>
    <w:rsid w:val="14865BC2"/>
    <w:rsid w:val="14900867"/>
    <w:rsid w:val="14942666"/>
    <w:rsid w:val="14A01B49"/>
    <w:rsid w:val="14B36A49"/>
    <w:rsid w:val="14E37D8F"/>
    <w:rsid w:val="14FA72B3"/>
    <w:rsid w:val="150C2A4D"/>
    <w:rsid w:val="152274F2"/>
    <w:rsid w:val="15456119"/>
    <w:rsid w:val="154D05B5"/>
    <w:rsid w:val="155913A9"/>
    <w:rsid w:val="15A217BC"/>
    <w:rsid w:val="15AE71A6"/>
    <w:rsid w:val="163A6CEE"/>
    <w:rsid w:val="163E1FF9"/>
    <w:rsid w:val="16507CE8"/>
    <w:rsid w:val="167E5B94"/>
    <w:rsid w:val="16D14BF2"/>
    <w:rsid w:val="16E57D6F"/>
    <w:rsid w:val="170B665B"/>
    <w:rsid w:val="170E1FA7"/>
    <w:rsid w:val="173708E3"/>
    <w:rsid w:val="176B5DFF"/>
    <w:rsid w:val="17B0712D"/>
    <w:rsid w:val="17B304B8"/>
    <w:rsid w:val="17C374FC"/>
    <w:rsid w:val="17DA5417"/>
    <w:rsid w:val="18132689"/>
    <w:rsid w:val="18156E59"/>
    <w:rsid w:val="181A07F5"/>
    <w:rsid w:val="182E4AB6"/>
    <w:rsid w:val="18411E9B"/>
    <w:rsid w:val="1851775A"/>
    <w:rsid w:val="185903F7"/>
    <w:rsid w:val="189079DC"/>
    <w:rsid w:val="189B0D0B"/>
    <w:rsid w:val="18B43F7C"/>
    <w:rsid w:val="190A619E"/>
    <w:rsid w:val="190F6FE3"/>
    <w:rsid w:val="1917343D"/>
    <w:rsid w:val="194A1770"/>
    <w:rsid w:val="194A6B48"/>
    <w:rsid w:val="19612CD9"/>
    <w:rsid w:val="19B906A4"/>
    <w:rsid w:val="1A0462CF"/>
    <w:rsid w:val="1A1131B3"/>
    <w:rsid w:val="1A17663B"/>
    <w:rsid w:val="1A215951"/>
    <w:rsid w:val="1A327848"/>
    <w:rsid w:val="1A341148"/>
    <w:rsid w:val="1A53544D"/>
    <w:rsid w:val="1A7E7E79"/>
    <w:rsid w:val="1A9936E3"/>
    <w:rsid w:val="1AB627D4"/>
    <w:rsid w:val="1AC570AD"/>
    <w:rsid w:val="1AE109DE"/>
    <w:rsid w:val="1AFC4028"/>
    <w:rsid w:val="1B0B59A4"/>
    <w:rsid w:val="1B1C7401"/>
    <w:rsid w:val="1B276863"/>
    <w:rsid w:val="1B422884"/>
    <w:rsid w:val="1B542D24"/>
    <w:rsid w:val="1B597F5F"/>
    <w:rsid w:val="1B6B0A81"/>
    <w:rsid w:val="1B6F15B6"/>
    <w:rsid w:val="1B7454AD"/>
    <w:rsid w:val="1B7A4787"/>
    <w:rsid w:val="1BA01554"/>
    <w:rsid w:val="1BAA2EDC"/>
    <w:rsid w:val="1C2B544E"/>
    <w:rsid w:val="1C4F7389"/>
    <w:rsid w:val="1C61254D"/>
    <w:rsid w:val="1C635399"/>
    <w:rsid w:val="1C854DF3"/>
    <w:rsid w:val="1CA50FA1"/>
    <w:rsid w:val="1CA55E64"/>
    <w:rsid w:val="1CCC153A"/>
    <w:rsid w:val="1CEF71DD"/>
    <w:rsid w:val="1CF16BC8"/>
    <w:rsid w:val="1D014A01"/>
    <w:rsid w:val="1D022362"/>
    <w:rsid w:val="1D1B04B0"/>
    <w:rsid w:val="1D284E31"/>
    <w:rsid w:val="1D352917"/>
    <w:rsid w:val="1D406DA7"/>
    <w:rsid w:val="1D706E7B"/>
    <w:rsid w:val="1D7F2EE8"/>
    <w:rsid w:val="1DA52501"/>
    <w:rsid w:val="1DBD6767"/>
    <w:rsid w:val="1DC433B9"/>
    <w:rsid w:val="1DC52125"/>
    <w:rsid w:val="1DC5627A"/>
    <w:rsid w:val="1DD26311"/>
    <w:rsid w:val="1DE16C7D"/>
    <w:rsid w:val="1DEC266E"/>
    <w:rsid w:val="1DF74CC5"/>
    <w:rsid w:val="1DFD41DA"/>
    <w:rsid w:val="1E184908"/>
    <w:rsid w:val="1E2766AF"/>
    <w:rsid w:val="1E374ACB"/>
    <w:rsid w:val="1E4D25F4"/>
    <w:rsid w:val="1E5758E6"/>
    <w:rsid w:val="1E9E435B"/>
    <w:rsid w:val="1ECF0A66"/>
    <w:rsid w:val="1EDA3953"/>
    <w:rsid w:val="1EDA4AF5"/>
    <w:rsid w:val="1EF67CA4"/>
    <w:rsid w:val="1F020D3A"/>
    <w:rsid w:val="1F1B350F"/>
    <w:rsid w:val="1F287737"/>
    <w:rsid w:val="1F2C5189"/>
    <w:rsid w:val="1F39159A"/>
    <w:rsid w:val="1F4B0B02"/>
    <w:rsid w:val="1F58253B"/>
    <w:rsid w:val="1F5D3CBE"/>
    <w:rsid w:val="1F644AAF"/>
    <w:rsid w:val="1F7634ED"/>
    <w:rsid w:val="1F7E0C24"/>
    <w:rsid w:val="1F876B70"/>
    <w:rsid w:val="1F9140A9"/>
    <w:rsid w:val="1FA71EA0"/>
    <w:rsid w:val="1FBB35CD"/>
    <w:rsid w:val="1FCD26AF"/>
    <w:rsid w:val="1FDB122B"/>
    <w:rsid w:val="200F03A1"/>
    <w:rsid w:val="201A4902"/>
    <w:rsid w:val="201B3005"/>
    <w:rsid w:val="202E41C7"/>
    <w:rsid w:val="202F0F47"/>
    <w:rsid w:val="204F5E6B"/>
    <w:rsid w:val="20642787"/>
    <w:rsid w:val="206F41BF"/>
    <w:rsid w:val="20A81CE7"/>
    <w:rsid w:val="20B15BD6"/>
    <w:rsid w:val="20C057D3"/>
    <w:rsid w:val="20C12D69"/>
    <w:rsid w:val="20C5601D"/>
    <w:rsid w:val="21074192"/>
    <w:rsid w:val="21216543"/>
    <w:rsid w:val="21360E13"/>
    <w:rsid w:val="21556F04"/>
    <w:rsid w:val="215750A5"/>
    <w:rsid w:val="21592F05"/>
    <w:rsid w:val="2172701D"/>
    <w:rsid w:val="21F35DD5"/>
    <w:rsid w:val="22086232"/>
    <w:rsid w:val="22403BD3"/>
    <w:rsid w:val="224A63CC"/>
    <w:rsid w:val="2284412D"/>
    <w:rsid w:val="228B656B"/>
    <w:rsid w:val="22EE3417"/>
    <w:rsid w:val="235A59D4"/>
    <w:rsid w:val="238E7E42"/>
    <w:rsid w:val="23BC6FA7"/>
    <w:rsid w:val="23D06C40"/>
    <w:rsid w:val="23EF0C66"/>
    <w:rsid w:val="2407206B"/>
    <w:rsid w:val="240F7578"/>
    <w:rsid w:val="241F7A51"/>
    <w:rsid w:val="24346F3E"/>
    <w:rsid w:val="24443A59"/>
    <w:rsid w:val="24446341"/>
    <w:rsid w:val="247F35BC"/>
    <w:rsid w:val="24896F13"/>
    <w:rsid w:val="24B92327"/>
    <w:rsid w:val="24C14514"/>
    <w:rsid w:val="24CE3B1A"/>
    <w:rsid w:val="24D24B17"/>
    <w:rsid w:val="24E322F4"/>
    <w:rsid w:val="25024C7F"/>
    <w:rsid w:val="2533755C"/>
    <w:rsid w:val="2544653D"/>
    <w:rsid w:val="25791755"/>
    <w:rsid w:val="25841002"/>
    <w:rsid w:val="25AF7552"/>
    <w:rsid w:val="25B272FA"/>
    <w:rsid w:val="25B61688"/>
    <w:rsid w:val="25C072BB"/>
    <w:rsid w:val="25CC454E"/>
    <w:rsid w:val="25D10C99"/>
    <w:rsid w:val="25E37E8B"/>
    <w:rsid w:val="261656D6"/>
    <w:rsid w:val="26396DF4"/>
    <w:rsid w:val="263F6DA4"/>
    <w:rsid w:val="265D31EE"/>
    <w:rsid w:val="266242A1"/>
    <w:rsid w:val="26C6265C"/>
    <w:rsid w:val="26F75807"/>
    <w:rsid w:val="27167136"/>
    <w:rsid w:val="271B442C"/>
    <w:rsid w:val="27264F82"/>
    <w:rsid w:val="274C6C20"/>
    <w:rsid w:val="276020FC"/>
    <w:rsid w:val="277243FE"/>
    <w:rsid w:val="27846BAB"/>
    <w:rsid w:val="279C67AE"/>
    <w:rsid w:val="27A6046A"/>
    <w:rsid w:val="27B23302"/>
    <w:rsid w:val="27BA499B"/>
    <w:rsid w:val="27CE49E4"/>
    <w:rsid w:val="27F265B4"/>
    <w:rsid w:val="27FE3595"/>
    <w:rsid w:val="28035B58"/>
    <w:rsid w:val="281950C1"/>
    <w:rsid w:val="28294D3A"/>
    <w:rsid w:val="28320323"/>
    <w:rsid w:val="287C5A6D"/>
    <w:rsid w:val="291D1D3E"/>
    <w:rsid w:val="29222825"/>
    <w:rsid w:val="292E2638"/>
    <w:rsid w:val="29310A5F"/>
    <w:rsid w:val="29404671"/>
    <w:rsid w:val="294C2C46"/>
    <w:rsid w:val="297C4F23"/>
    <w:rsid w:val="298777A2"/>
    <w:rsid w:val="2990690D"/>
    <w:rsid w:val="29C00FEE"/>
    <w:rsid w:val="29C37A35"/>
    <w:rsid w:val="29D66FEE"/>
    <w:rsid w:val="2A076083"/>
    <w:rsid w:val="2A4E7E51"/>
    <w:rsid w:val="2A611C56"/>
    <w:rsid w:val="2A73162E"/>
    <w:rsid w:val="2A90410E"/>
    <w:rsid w:val="2AAA5879"/>
    <w:rsid w:val="2AAA6C6A"/>
    <w:rsid w:val="2AB1404D"/>
    <w:rsid w:val="2AB95783"/>
    <w:rsid w:val="2ADA5221"/>
    <w:rsid w:val="2AE8066B"/>
    <w:rsid w:val="2B167953"/>
    <w:rsid w:val="2B200583"/>
    <w:rsid w:val="2B320E8D"/>
    <w:rsid w:val="2B434BFA"/>
    <w:rsid w:val="2B8209DE"/>
    <w:rsid w:val="2B8B43F0"/>
    <w:rsid w:val="2BB12F53"/>
    <w:rsid w:val="2BE57101"/>
    <w:rsid w:val="2BED6DA6"/>
    <w:rsid w:val="2C020304"/>
    <w:rsid w:val="2C1050D2"/>
    <w:rsid w:val="2C636760"/>
    <w:rsid w:val="2C6762A3"/>
    <w:rsid w:val="2CB71B10"/>
    <w:rsid w:val="2CC663F7"/>
    <w:rsid w:val="2CE14459"/>
    <w:rsid w:val="2CE2634C"/>
    <w:rsid w:val="2D1D23CA"/>
    <w:rsid w:val="2D2D0CEF"/>
    <w:rsid w:val="2D427E68"/>
    <w:rsid w:val="2D537DC1"/>
    <w:rsid w:val="2DA918BC"/>
    <w:rsid w:val="2DB3670A"/>
    <w:rsid w:val="2DD36392"/>
    <w:rsid w:val="2DD8448A"/>
    <w:rsid w:val="2DE16385"/>
    <w:rsid w:val="2DEE5E9C"/>
    <w:rsid w:val="2DFE0EA8"/>
    <w:rsid w:val="2DFE3A98"/>
    <w:rsid w:val="2E314D98"/>
    <w:rsid w:val="2E83339E"/>
    <w:rsid w:val="2E932904"/>
    <w:rsid w:val="2E9F6092"/>
    <w:rsid w:val="2EB31AE3"/>
    <w:rsid w:val="2EBC0BEE"/>
    <w:rsid w:val="2EF24CC3"/>
    <w:rsid w:val="2EFF5D11"/>
    <w:rsid w:val="2F0C0B63"/>
    <w:rsid w:val="2F1B4513"/>
    <w:rsid w:val="2F210F1B"/>
    <w:rsid w:val="2F637D3B"/>
    <w:rsid w:val="2F6F30E3"/>
    <w:rsid w:val="2F7333E4"/>
    <w:rsid w:val="2F784D39"/>
    <w:rsid w:val="2FCA4B37"/>
    <w:rsid w:val="2FE029D7"/>
    <w:rsid w:val="2FEB1FA2"/>
    <w:rsid w:val="2FF06E00"/>
    <w:rsid w:val="303D4C2C"/>
    <w:rsid w:val="304C525F"/>
    <w:rsid w:val="30586FEC"/>
    <w:rsid w:val="305B5625"/>
    <w:rsid w:val="306D2BB3"/>
    <w:rsid w:val="308F0A47"/>
    <w:rsid w:val="30923FEF"/>
    <w:rsid w:val="309A181B"/>
    <w:rsid w:val="30B419EA"/>
    <w:rsid w:val="30C27500"/>
    <w:rsid w:val="30CD09D5"/>
    <w:rsid w:val="30DD75A5"/>
    <w:rsid w:val="3134505A"/>
    <w:rsid w:val="31511713"/>
    <w:rsid w:val="31597E49"/>
    <w:rsid w:val="315F0B22"/>
    <w:rsid w:val="31685180"/>
    <w:rsid w:val="31763AB1"/>
    <w:rsid w:val="31BE2A10"/>
    <w:rsid w:val="31BE7ED0"/>
    <w:rsid w:val="31D84415"/>
    <w:rsid w:val="31F959A0"/>
    <w:rsid w:val="321B0039"/>
    <w:rsid w:val="32285F6F"/>
    <w:rsid w:val="324F19D0"/>
    <w:rsid w:val="32543DD2"/>
    <w:rsid w:val="325E0D70"/>
    <w:rsid w:val="326D79C9"/>
    <w:rsid w:val="32770556"/>
    <w:rsid w:val="328471BF"/>
    <w:rsid w:val="329C0913"/>
    <w:rsid w:val="32AA0460"/>
    <w:rsid w:val="32B020BA"/>
    <w:rsid w:val="32E161CA"/>
    <w:rsid w:val="330E5968"/>
    <w:rsid w:val="33296E71"/>
    <w:rsid w:val="3337290D"/>
    <w:rsid w:val="3398344C"/>
    <w:rsid w:val="33A9592F"/>
    <w:rsid w:val="33D01DA7"/>
    <w:rsid w:val="33E31118"/>
    <w:rsid w:val="33EF7674"/>
    <w:rsid w:val="342D7BC6"/>
    <w:rsid w:val="34324911"/>
    <w:rsid w:val="344D1C95"/>
    <w:rsid w:val="34620CDD"/>
    <w:rsid w:val="34814937"/>
    <w:rsid w:val="349E4403"/>
    <w:rsid w:val="34F3629B"/>
    <w:rsid w:val="350F5B7C"/>
    <w:rsid w:val="352930DB"/>
    <w:rsid w:val="352C6083"/>
    <w:rsid w:val="35573069"/>
    <w:rsid w:val="355F6038"/>
    <w:rsid w:val="35766113"/>
    <w:rsid w:val="35831110"/>
    <w:rsid w:val="358C217E"/>
    <w:rsid w:val="35A31045"/>
    <w:rsid w:val="35AA4DF5"/>
    <w:rsid w:val="35D048C4"/>
    <w:rsid w:val="35E738F6"/>
    <w:rsid w:val="3610052D"/>
    <w:rsid w:val="361F46AE"/>
    <w:rsid w:val="36391F61"/>
    <w:rsid w:val="366244FF"/>
    <w:rsid w:val="36A74F3B"/>
    <w:rsid w:val="36C330E4"/>
    <w:rsid w:val="36C9128A"/>
    <w:rsid w:val="36EA6070"/>
    <w:rsid w:val="372020DA"/>
    <w:rsid w:val="377D5FD8"/>
    <w:rsid w:val="37841E99"/>
    <w:rsid w:val="379E1C2F"/>
    <w:rsid w:val="37A70C5F"/>
    <w:rsid w:val="37AE220E"/>
    <w:rsid w:val="37B44A52"/>
    <w:rsid w:val="37BF1123"/>
    <w:rsid w:val="37C04F8B"/>
    <w:rsid w:val="37D03163"/>
    <w:rsid w:val="380F1CD4"/>
    <w:rsid w:val="383C3F15"/>
    <w:rsid w:val="383C6D8F"/>
    <w:rsid w:val="386E3E0D"/>
    <w:rsid w:val="38A737CA"/>
    <w:rsid w:val="38BE4696"/>
    <w:rsid w:val="38CF5C74"/>
    <w:rsid w:val="38E33A8B"/>
    <w:rsid w:val="3926629A"/>
    <w:rsid w:val="3939115E"/>
    <w:rsid w:val="394367AE"/>
    <w:rsid w:val="399E54AC"/>
    <w:rsid w:val="39A0678D"/>
    <w:rsid w:val="39B82A39"/>
    <w:rsid w:val="39C42CA8"/>
    <w:rsid w:val="39DC4FD6"/>
    <w:rsid w:val="39F03D7A"/>
    <w:rsid w:val="39F33306"/>
    <w:rsid w:val="3A000011"/>
    <w:rsid w:val="3A0B274E"/>
    <w:rsid w:val="3A150FF4"/>
    <w:rsid w:val="3A2C1C67"/>
    <w:rsid w:val="3A3B28CB"/>
    <w:rsid w:val="3A434C0D"/>
    <w:rsid w:val="3A6C032C"/>
    <w:rsid w:val="3A7C292D"/>
    <w:rsid w:val="3A9A05E8"/>
    <w:rsid w:val="3AB45F27"/>
    <w:rsid w:val="3AD57B11"/>
    <w:rsid w:val="3ADD7F09"/>
    <w:rsid w:val="3AF20842"/>
    <w:rsid w:val="3AF558A7"/>
    <w:rsid w:val="3B1705E5"/>
    <w:rsid w:val="3B18334B"/>
    <w:rsid w:val="3B1D005D"/>
    <w:rsid w:val="3B36794F"/>
    <w:rsid w:val="3B6F6EE0"/>
    <w:rsid w:val="3BBD1417"/>
    <w:rsid w:val="3BC97BE0"/>
    <w:rsid w:val="3BE873AD"/>
    <w:rsid w:val="3C074950"/>
    <w:rsid w:val="3C392F15"/>
    <w:rsid w:val="3C397794"/>
    <w:rsid w:val="3C566AD6"/>
    <w:rsid w:val="3C5740D0"/>
    <w:rsid w:val="3C594871"/>
    <w:rsid w:val="3C6A5B02"/>
    <w:rsid w:val="3C9C7A93"/>
    <w:rsid w:val="3CB4701F"/>
    <w:rsid w:val="3CDD2002"/>
    <w:rsid w:val="3D2757A1"/>
    <w:rsid w:val="3D3D4FC4"/>
    <w:rsid w:val="3D5F5B0B"/>
    <w:rsid w:val="3D857E2A"/>
    <w:rsid w:val="3D94186B"/>
    <w:rsid w:val="3DC13924"/>
    <w:rsid w:val="3DDF3AB1"/>
    <w:rsid w:val="3DE0670F"/>
    <w:rsid w:val="3E1D0952"/>
    <w:rsid w:val="3E2F1F63"/>
    <w:rsid w:val="3E3F5CFC"/>
    <w:rsid w:val="3E42660A"/>
    <w:rsid w:val="3E4A2AF2"/>
    <w:rsid w:val="3E7555B1"/>
    <w:rsid w:val="3E787ED9"/>
    <w:rsid w:val="3E910B19"/>
    <w:rsid w:val="3E920C15"/>
    <w:rsid w:val="3EB70BD5"/>
    <w:rsid w:val="3EC725A0"/>
    <w:rsid w:val="3EDC5C5C"/>
    <w:rsid w:val="3F004D6A"/>
    <w:rsid w:val="3F032E93"/>
    <w:rsid w:val="3F0527E5"/>
    <w:rsid w:val="3F5F4771"/>
    <w:rsid w:val="3F694D83"/>
    <w:rsid w:val="3F7C0FB7"/>
    <w:rsid w:val="3F885DCC"/>
    <w:rsid w:val="3FCD675E"/>
    <w:rsid w:val="3FCE51E2"/>
    <w:rsid w:val="3FD401AD"/>
    <w:rsid w:val="3FDC41FC"/>
    <w:rsid w:val="4004000C"/>
    <w:rsid w:val="4004718A"/>
    <w:rsid w:val="401C13CB"/>
    <w:rsid w:val="40243D05"/>
    <w:rsid w:val="402A6D94"/>
    <w:rsid w:val="404A6C1A"/>
    <w:rsid w:val="40507DA2"/>
    <w:rsid w:val="406A2053"/>
    <w:rsid w:val="408D7D46"/>
    <w:rsid w:val="40BD5482"/>
    <w:rsid w:val="40C3557B"/>
    <w:rsid w:val="40D43C4E"/>
    <w:rsid w:val="40E71D31"/>
    <w:rsid w:val="40E9486F"/>
    <w:rsid w:val="40F61FA0"/>
    <w:rsid w:val="411B6CE5"/>
    <w:rsid w:val="412070D7"/>
    <w:rsid w:val="41207F97"/>
    <w:rsid w:val="41314E40"/>
    <w:rsid w:val="4194579B"/>
    <w:rsid w:val="419C6092"/>
    <w:rsid w:val="41AE4EEA"/>
    <w:rsid w:val="41B70A01"/>
    <w:rsid w:val="41BC2688"/>
    <w:rsid w:val="41C47BA7"/>
    <w:rsid w:val="41E0734B"/>
    <w:rsid w:val="42035BDA"/>
    <w:rsid w:val="42053DB1"/>
    <w:rsid w:val="422B4A0B"/>
    <w:rsid w:val="425342FF"/>
    <w:rsid w:val="426C1EA8"/>
    <w:rsid w:val="42736402"/>
    <w:rsid w:val="42952BAA"/>
    <w:rsid w:val="42D97724"/>
    <w:rsid w:val="42DD2B67"/>
    <w:rsid w:val="42E3389F"/>
    <w:rsid w:val="42E86A87"/>
    <w:rsid w:val="42F8301D"/>
    <w:rsid w:val="43307B09"/>
    <w:rsid w:val="433E7BB3"/>
    <w:rsid w:val="43614DA7"/>
    <w:rsid w:val="43706805"/>
    <w:rsid w:val="43734538"/>
    <w:rsid w:val="437B342A"/>
    <w:rsid w:val="439A3EB9"/>
    <w:rsid w:val="43BB152F"/>
    <w:rsid w:val="43D4378B"/>
    <w:rsid w:val="43EE675D"/>
    <w:rsid w:val="4403178A"/>
    <w:rsid w:val="440A70FF"/>
    <w:rsid w:val="440E2F73"/>
    <w:rsid w:val="441E266E"/>
    <w:rsid w:val="44213BFA"/>
    <w:rsid w:val="443C588C"/>
    <w:rsid w:val="443D71A1"/>
    <w:rsid w:val="448F5518"/>
    <w:rsid w:val="4492672A"/>
    <w:rsid w:val="44C37687"/>
    <w:rsid w:val="44DF38C7"/>
    <w:rsid w:val="45150019"/>
    <w:rsid w:val="45542392"/>
    <w:rsid w:val="458D668C"/>
    <w:rsid w:val="459E058D"/>
    <w:rsid w:val="459E21AF"/>
    <w:rsid w:val="45CB699A"/>
    <w:rsid w:val="45D93094"/>
    <w:rsid w:val="46290BEF"/>
    <w:rsid w:val="46320272"/>
    <w:rsid w:val="46336BD0"/>
    <w:rsid w:val="463E18A0"/>
    <w:rsid w:val="465B470D"/>
    <w:rsid w:val="466E3D4C"/>
    <w:rsid w:val="469D6AD4"/>
    <w:rsid w:val="46A70EB5"/>
    <w:rsid w:val="46C97F35"/>
    <w:rsid w:val="46E263A9"/>
    <w:rsid w:val="46FC6CCE"/>
    <w:rsid w:val="4716400C"/>
    <w:rsid w:val="471E6C84"/>
    <w:rsid w:val="472B3CCE"/>
    <w:rsid w:val="4738526D"/>
    <w:rsid w:val="4748792B"/>
    <w:rsid w:val="474A3F4F"/>
    <w:rsid w:val="475D719D"/>
    <w:rsid w:val="47674801"/>
    <w:rsid w:val="47744AE4"/>
    <w:rsid w:val="47816F6B"/>
    <w:rsid w:val="478D012C"/>
    <w:rsid w:val="47A559F9"/>
    <w:rsid w:val="4804058B"/>
    <w:rsid w:val="480A5497"/>
    <w:rsid w:val="48150C3C"/>
    <w:rsid w:val="48225EF7"/>
    <w:rsid w:val="487E0D09"/>
    <w:rsid w:val="488F422B"/>
    <w:rsid w:val="48A677EA"/>
    <w:rsid w:val="48B34B37"/>
    <w:rsid w:val="48E36915"/>
    <w:rsid w:val="48EB6572"/>
    <w:rsid w:val="49273742"/>
    <w:rsid w:val="49361271"/>
    <w:rsid w:val="494B76DA"/>
    <w:rsid w:val="49533C3C"/>
    <w:rsid w:val="495C4A24"/>
    <w:rsid w:val="49645A54"/>
    <w:rsid w:val="497135DF"/>
    <w:rsid w:val="497A4BF5"/>
    <w:rsid w:val="49E1616A"/>
    <w:rsid w:val="49F9474C"/>
    <w:rsid w:val="4A063A60"/>
    <w:rsid w:val="4A263DF2"/>
    <w:rsid w:val="4A33338D"/>
    <w:rsid w:val="4A395705"/>
    <w:rsid w:val="4A4517E6"/>
    <w:rsid w:val="4A4D51D6"/>
    <w:rsid w:val="4A6001E2"/>
    <w:rsid w:val="4A6F6675"/>
    <w:rsid w:val="4A9B0B63"/>
    <w:rsid w:val="4AC767EE"/>
    <w:rsid w:val="4ACF0922"/>
    <w:rsid w:val="4B135857"/>
    <w:rsid w:val="4B3055DE"/>
    <w:rsid w:val="4B644B50"/>
    <w:rsid w:val="4B691930"/>
    <w:rsid w:val="4B782FCA"/>
    <w:rsid w:val="4B7951CB"/>
    <w:rsid w:val="4B7C315C"/>
    <w:rsid w:val="4B9158DC"/>
    <w:rsid w:val="4BA66FB3"/>
    <w:rsid w:val="4BC80518"/>
    <w:rsid w:val="4BC87822"/>
    <w:rsid w:val="4C633A13"/>
    <w:rsid w:val="4CB51EA4"/>
    <w:rsid w:val="4CD3303B"/>
    <w:rsid w:val="4CD347A5"/>
    <w:rsid w:val="4CE85EAA"/>
    <w:rsid w:val="4CEB1F41"/>
    <w:rsid w:val="4CFC2052"/>
    <w:rsid w:val="4D126708"/>
    <w:rsid w:val="4D141240"/>
    <w:rsid w:val="4D9109E9"/>
    <w:rsid w:val="4D9B1FBD"/>
    <w:rsid w:val="4DA131D8"/>
    <w:rsid w:val="4DAC4ACA"/>
    <w:rsid w:val="4DBE01D2"/>
    <w:rsid w:val="4DE436FD"/>
    <w:rsid w:val="4E16472A"/>
    <w:rsid w:val="4E2025AC"/>
    <w:rsid w:val="4E24680C"/>
    <w:rsid w:val="4E36599D"/>
    <w:rsid w:val="4E5426E1"/>
    <w:rsid w:val="4E641FD6"/>
    <w:rsid w:val="4E674504"/>
    <w:rsid w:val="4E6B2599"/>
    <w:rsid w:val="4EAB65B7"/>
    <w:rsid w:val="4EB91D71"/>
    <w:rsid w:val="4EF33D8E"/>
    <w:rsid w:val="4F0B1AA5"/>
    <w:rsid w:val="4F0C6BA3"/>
    <w:rsid w:val="4F12337D"/>
    <w:rsid w:val="4F186D58"/>
    <w:rsid w:val="4F1C2ED8"/>
    <w:rsid w:val="4F256123"/>
    <w:rsid w:val="4F385A4E"/>
    <w:rsid w:val="4F396AB4"/>
    <w:rsid w:val="4F3A7610"/>
    <w:rsid w:val="4F454840"/>
    <w:rsid w:val="4F8C20CE"/>
    <w:rsid w:val="4FC92D8C"/>
    <w:rsid w:val="50072380"/>
    <w:rsid w:val="5046783C"/>
    <w:rsid w:val="506C59F8"/>
    <w:rsid w:val="508B3690"/>
    <w:rsid w:val="509C4AC7"/>
    <w:rsid w:val="50D767C6"/>
    <w:rsid w:val="50F06B6E"/>
    <w:rsid w:val="513F6FA9"/>
    <w:rsid w:val="51445A2C"/>
    <w:rsid w:val="514849F6"/>
    <w:rsid w:val="51980F4C"/>
    <w:rsid w:val="51B13127"/>
    <w:rsid w:val="51C40A99"/>
    <w:rsid w:val="51D21804"/>
    <w:rsid w:val="51DC6303"/>
    <w:rsid w:val="522023F7"/>
    <w:rsid w:val="52234D33"/>
    <w:rsid w:val="522F6E0C"/>
    <w:rsid w:val="52463BA1"/>
    <w:rsid w:val="525C7820"/>
    <w:rsid w:val="52766A26"/>
    <w:rsid w:val="528122A9"/>
    <w:rsid w:val="528C43E6"/>
    <w:rsid w:val="52F163D4"/>
    <w:rsid w:val="5311308F"/>
    <w:rsid w:val="531A2DB4"/>
    <w:rsid w:val="538E6BF5"/>
    <w:rsid w:val="53B81E28"/>
    <w:rsid w:val="53C0244D"/>
    <w:rsid w:val="53DD4D4E"/>
    <w:rsid w:val="53E578CE"/>
    <w:rsid w:val="53EF3F79"/>
    <w:rsid w:val="541330F0"/>
    <w:rsid w:val="54145B6D"/>
    <w:rsid w:val="541B3049"/>
    <w:rsid w:val="54272666"/>
    <w:rsid w:val="543A2227"/>
    <w:rsid w:val="543B029D"/>
    <w:rsid w:val="54426AA9"/>
    <w:rsid w:val="544D5601"/>
    <w:rsid w:val="54650078"/>
    <w:rsid w:val="546D7862"/>
    <w:rsid w:val="54861779"/>
    <w:rsid w:val="548A4A9F"/>
    <w:rsid w:val="54AF4A45"/>
    <w:rsid w:val="54E903DB"/>
    <w:rsid w:val="5512568C"/>
    <w:rsid w:val="552256E1"/>
    <w:rsid w:val="554E5773"/>
    <w:rsid w:val="555829E0"/>
    <w:rsid w:val="555A3CBC"/>
    <w:rsid w:val="555C2F84"/>
    <w:rsid w:val="555E157E"/>
    <w:rsid w:val="555E3B97"/>
    <w:rsid w:val="5582012B"/>
    <w:rsid w:val="558E4E05"/>
    <w:rsid w:val="55965B5C"/>
    <w:rsid w:val="55BA4A91"/>
    <w:rsid w:val="55BE2E85"/>
    <w:rsid w:val="55C13841"/>
    <w:rsid w:val="55EC32E6"/>
    <w:rsid w:val="55ED511D"/>
    <w:rsid w:val="55F15C5B"/>
    <w:rsid w:val="55FC7141"/>
    <w:rsid w:val="56117B96"/>
    <w:rsid w:val="56201F6D"/>
    <w:rsid w:val="5628199D"/>
    <w:rsid w:val="5630716B"/>
    <w:rsid w:val="56530F5D"/>
    <w:rsid w:val="56572693"/>
    <w:rsid w:val="567700D3"/>
    <w:rsid w:val="56993257"/>
    <w:rsid w:val="569A5BFD"/>
    <w:rsid w:val="56A80CD7"/>
    <w:rsid w:val="56AB5FF3"/>
    <w:rsid w:val="56B10E22"/>
    <w:rsid w:val="56C86600"/>
    <w:rsid w:val="56CB016E"/>
    <w:rsid w:val="56FF7E9E"/>
    <w:rsid w:val="5704608C"/>
    <w:rsid w:val="57127519"/>
    <w:rsid w:val="57266A85"/>
    <w:rsid w:val="577220B5"/>
    <w:rsid w:val="57735917"/>
    <w:rsid w:val="577B118F"/>
    <w:rsid w:val="578867FC"/>
    <w:rsid w:val="57EF081A"/>
    <w:rsid w:val="57FA12A0"/>
    <w:rsid w:val="5842572D"/>
    <w:rsid w:val="584F032B"/>
    <w:rsid w:val="58960884"/>
    <w:rsid w:val="58A54DF8"/>
    <w:rsid w:val="58B665E8"/>
    <w:rsid w:val="5925056A"/>
    <w:rsid w:val="592A5514"/>
    <w:rsid w:val="593072EF"/>
    <w:rsid w:val="59567BB5"/>
    <w:rsid w:val="59640172"/>
    <w:rsid w:val="59712378"/>
    <w:rsid w:val="597D7A40"/>
    <w:rsid w:val="59800001"/>
    <w:rsid w:val="59965D4E"/>
    <w:rsid w:val="599C422E"/>
    <w:rsid w:val="59CA2DBC"/>
    <w:rsid w:val="59D8508D"/>
    <w:rsid w:val="59E6335C"/>
    <w:rsid w:val="59E92DC2"/>
    <w:rsid w:val="59FA3D89"/>
    <w:rsid w:val="5A3B59D6"/>
    <w:rsid w:val="5A443003"/>
    <w:rsid w:val="5A5B3861"/>
    <w:rsid w:val="5A737B76"/>
    <w:rsid w:val="5A857B54"/>
    <w:rsid w:val="5AA80C90"/>
    <w:rsid w:val="5AAE002F"/>
    <w:rsid w:val="5AB1423B"/>
    <w:rsid w:val="5AB402D8"/>
    <w:rsid w:val="5AB4538D"/>
    <w:rsid w:val="5AD134D8"/>
    <w:rsid w:val="5AF0795A"/>
    <w:rsid w:val="5AF6251D"/>
    <w:rsid w:val="5B41093C"/>
    <w:rsid w:val="5B573A92"/>
    <w:rsid w:val="5B5C0C0B"/>
    <w:rsid w:val="5B6E3602"/>
    <w:rsid w:val="5B7B7571"/>
    <w:rsid w:val="5B9025C1"/>
    <w:rsid w:val="5BC404EF"/>
    <w:rsid w:val="5BD44734"/>
    <w:rsid w:val="5C0A70BB"/>
    <w:rsid w:val="5C20137A"/>
    <w:rsid w:val="5C225537"/>
    <w:rsid w:val="5C257CAD"/>
    <w:rsid w:val="5C263CE4"/>
    <w:rsid w:val="5C3121E7"/>
    <w:rsid w:val="5C3B4DFB"/>
    <w:rsid w:val="5C5D2777"/>
    <w:rsid w:val="5C6B3F3E"/>
    <w:rsid w:val="5C8869EF"/>
    <w:rsid w:val="5C8C68DB"/>
    <w:rsid w:val="5C8D79A5"/>
    <w:rsid w:val="5CA35DF6"/>
    <w:rsid w:val="5CF66BF3"/>
    <w:rsid w:val="5D16288E"/>
    <w:rsid w:val="5D290C69"/>
    <w:rsid w:val="5D2B71D1"/>
    <w:rsid w:val="5D4C4254"/>
    <w:rsid w:val="5D6140F6"/>
    <w:rsid w:val="5D8014A7"/>
    <w:rsid w:val="5E1F062B"/>
    <w:rsid w:val="5E24106B"/>
    <w:rsid w:val="5E241BED"/>
    <w:rsid w:val="5E2B5EE4"/>
    <w:rsid w:val="5E2E5D91"/>
    <w:rsid w:val="5E605A73"/>
    <w:rsid w:val="5E73070A"/>
    <w:rsid w:val="5E820A79"/>
    <w:rsid w:val="5EF94112"/>
    <w:rsid w:val="5F1B5147"/>
    <w:rsid w:val="5F2362AD"/>
    <w:rsid w:val="5F2C2F73"/>
    <w:rsid w:val="5F2D4A41"/>
    <w:rsid w:val="5F451C75"/>
    <w:rsid w:val="5F831C2D"/>
    <w:rsid w:val="5FF2020B"/>
    <w:rsid w:val="5FF55D33"/>
    <w:rsid w:val="605A3DA6"/>
    <w:rsid w:val="606172AA"/>
    <w:rsid w:val="606C1611"/>
    <w:rsid w:val="607E5376"/>
    <w:rsid w:val="609C20B3"/>
    <w:rsid w:val="60C74F6C"/>
    <w:rsid w:val="61025A59"/>
    <w:rsid w:val="613D5BBC"/>
    <w:rsid w:val="614411CF"/>
    <w:rsid w:val="61536C39"/>
    <w:rsid w:val="615F56C6"/>
    <w:rsid w:val="61866001"/>
    <w:rsid w:val="61A42AC9"/>
    <w:rsid w:val="61BD6250"/>
    <w:rsid w:val="61BF029B"/>
    <w:rsid w:val="61F10880"/>
    <w:rsid w:val="61F46456"/>
    <w:rsid w:val="6210209D"/>
    <w:rsid w:val="62247FE1"/>
    <w:rsid w:val="62274E07"/>
    <w:rsid w:val="622F41FE"/>
    <w:rsid w:val="62314CED"/>
    <w:rsid w:val="627530E8"/>
    <w:rsid w:val="628449D5"/>
    <w:rsid w:val="62944DD7"/>
    <w:rsid w:val="62A57834"/>
    <w:rsid w:val="62A65FDA"/>
    <w:rsid w:val="62BE3F07"/>
    <w:rsid w:val="62D1222A"/>
    <w:rsid w:val="62D1523B"/>
    <w:rsid w:val="62D53F6B"/>
    <w:rsid w:val="62D7008A"/>
    <w:rsid w:val="62DD09BE"/>
    <w:rsid w:val="62E96176"/>
    <w:rsid w:val="62FD51D7"/>
    <w:rsid w:val="63083751"/>
    <w:rsid w:val="63102B70"/>
    <w:rsid w:val="6319381F"/>
    <w:rsid w:val="632D3C9A"/>
    <w:rsid w:val="63484F32"/>
    <w:rsid w:val="63603B27"/>
    <w:rsid w:val="63992D0D"/>
    <w:rsid w:val="63C25DC5"/>
    <w:rsid w:val="63C62057"/>
    <w:rsid w:val="63D361E7"/>
    <w:rsid w:val="63E341A8"/>
    <w:rsid w:val="63EA2DA9"/>
    <w:rsid w:val="63EE0925"/>
    <w:rsid w:val="64005B98"/>
    <w:rsid w:val="64005C4D"/>
    <w:rsid w:val="642E653F"/>
    <w:rsid w:val="643F474E"/>
    <w:rsid w:val="644D7F0B"/>
    <w:rsid w:val="64500A01"/>
    <w:rsid w:val="64571EF5"/>
    <w:rsid w:val="647C4FD6"/>
    <w:rsid w:val="64971586"/>
    <w:rsid w:val="64A57C31"/>
    <w:rsid w:val="64AA3865"/>
    <w:rsid w:val="64D8222A"/>
    <w:rsid w:val="64FB113D"/>
    <w:rsid w:val="65125C76"/>
    <w:rsid w:val="651511D2"/>
    <w:rsid w:val="653B2429"/>
    <w:rsid w:val="65422316"/>
    <w:rsid w:val="654A5CBA"/>
    <w:rsid w:val="656152C6"/>
    <w:rsid w:val="657C0663"/>
    <w:rsid w:val="657D665C"/>
    <w:rsid w:val="6587477F"/>
    <w:rsid w:val="658C3A08"/>
    <w:rsid w:val="658C6ACF"/>
    <w:rsid w:val="659D57A3"/>
    <w:rsid w:val="65BD499E"/>
    <w:rsid w:val="65BE2C79"/>
    <w:rsid w:val="65C031CA"/>
    <w:rsid w:val="65CE6852"/>
    <w:rsid w:val="65D145C3"/>
    <w:rsid w:val="65D57102"/>
    <w:rsid w:val="66184BF3"/>
    <w:rsid w:val="66267C04"/>
    <w:rsid w:val="662E7F97"/>
    <w:rsid w:val="663F505A"/>
    <w:rsid w:val="66735D0C"/>
    <w:rsid w:val="66817FFC"/>
    <w:rsid w:val="66AF2C69"/>
    <w:rsid w:val="66EE5541"/>
    <w:rsid w:val="670F4CD9"/>
    <w:rsid w:val="67257603"/>
    <w:rsid w:val="672C2BA9"/>
    <w:rsid w:val="67924660"/>
    <w:rsid w:val="679F155A"/>
    <w:rsid w:val="67AD22E4"/>
    <w:rsid w:val="67B550ED"/>
    <w:rsid w:val="67D4684F"/>
    <w:rsid w:val="67E37838"/>
    <w:rsid w:val="67F75E7C"/>
    <w:rsid w:val="68304187"/>
    <w:rsid w:val="6836350B"/>
    <w:rsid w:val="68407834"/>
    <w:rsid w:val="68583C36"/>
    <w:rsid w:val="68600A84"/>
    <w:rsid w:val="6883293E"/>
    <w:rsid w:val="688412AD"/>
    <w:rsid w:val="689D0F87"/>
    <w:rsid w:val="68BC0165"/>
    <w:rsid w:val="68BF10B2"/>
    <w:rsid w:val="68BF4128"/>
    <w:rsid w:val="68EB1B71"/>
    <w:rsid w:val="69005C09"/>
    <w:rsid w:val="692616EA"/>
    <w:rsid w:val="69322BAF"/>
    <w:rsid w:val="69397DA7"/>
    <w:rsid w:val="695B3AEA"/>
    <w:rsid w:val="69771A37"/>
    <w:rsid w:val="69FC58E3"/>
    <w:rsid w:val="6A394A1F"/>
    <w:rsid w:val="6A513AD5"/>
    <w:rsid w:val="6A572490"/>
    <w:rsid w:val="6A6C7940"/>
    <w:rsid w:val="6A7151D5"/>
    <w:rsid w:val="6AAD2300"/>
    <w:rsid w:val="6B2B7D30"/>
    <w:rsid w:val="6B3571F9"/>
    <w:rsid w:val="6B474EF5"/>
    <w:rsid w:val="6B662AF6"/>
    <w:rsid w:val="6B7C2AED"/>
    <w:rsid w:val="6B7D4D94"/>
    <w:rsid w:val="6B866224"/>
    <w:rsid w:val="6BA46DAC"/>
    <w:rsid w:val="6C0A3C4A"/>
    <w:rsid w:val="6C0A5AC5"/>
    <w:rsid w:val="6C201658"/>
    <w:rsid w:val="6C453902"/>
    <w:rsid w:val="6C560CAE"/>
    <w:rsid w:val="6C576495"/>
    <w:rsid w:val="6C6214CF"/>
    <w:rsid w:val="6C6C25DD"/>
    <w:rsid w:val="6C973911"/>
    <w:rsid w:val="6C9839D5"/>
    <w:rsid w:val="6CB02D95"/>
    <w:rsid w:val="6CC51071"/>
    <w:rsid w:val="6CE53102"/>
    <w:rsid w:val="6CEA7B4D"/>
    <w:rsid w:val="6D2D19ED"/>
    <w:rsid w:val="6D323013"/>
    <w:rsid w:val="6D732BD4"/>
    <w:rsid w:val="6D7B2715"/>
    <w:rsid w:val="6D903FF5"/>
    <w:rsid w:val="6DA955B8"/>
    <w:rsid w:val="6DCF4720"/>
    <w:rsid w:val="6DE346AB"/>
    <w:rsid w:val="6DE5391A"/>
    <w:rsid w:val="6DF700AF"/>
    <w:rsid w:val="6E763D2C"/>
    <w:rsid w:val="6E763F29"/>
    <w:rsid w:val="6EBC755D"/>
    <w:rsid w:val="6ED252AC"/>
    <w:rsid w:val="6EEE4CAC"/>
    <w:rsid w:val="6EF60A30"/>
    <w:rsid w:val="6EFB6E49"/>
    <w:rsid w:val="6EFC74AD"/>
    <w:rsid w:val="6EFD1324"/>
    <w:rsid w:val="6F176CC8"/>
    <w:rsid w:val="6F2469D9"/>
    <w:rsid w:val="6F326CC0"/>
    <w:rsid w:val="6F4E7C2F"/>
    <w:rsid w:val="6F5A53AC"/>
    <w:rsid w:val="6F75730F"/>
    <w:rsid w:val="6F7C6303"/>
    <w:rsid w:val="6F851CC2"/>
    <w:rsid w:val="6F9052E5"/>
    <w:rsid w:val="6F9F097E"/>
    <w:rsid w:val="6FA55FFF"/>
    <w:rsid w:val="6FA93F77"/>
    <w:rsid w:val="6FAC003D"/>
    <w:rsid w:val="6FB57769"/>
    <w:rsid w:val="6FD633BD"/>
    <w:rsid w:val="6FD801BF"/>
    <w:rsid w:val="6FE55E12"/>
    <w:rsid w:val="6FFB2E76"/>
    <w:rsid w:val="70357718"/>
    <w:rsid w:val="703D62B1"/>
    <w:rsid w:val="70585707"/>
    <w:rsid w:val="708F6F7F"/>
    <w:rsid w:val="70940AB1"/>
    <w:rsid w:val="70CD506A"/>
    <w:rsid w:val="70D94BD3"/>
    <w:rsid w:val="70F96459"/>
    <w:rsid w:val="711845EC"/>
    <w:rsid w:val="71425B8C"/>
    <w:rsid w:val="71571A79"/>
    <w:rsid w:val="718A2DF2"/>
    <w:rsid w:val="718D4B9B"/>
    <w:rsid w:val="71B102F8"/>
    <w:rsid w:val="71C34D91"/>
    <w:rsid w:val="71C93C35"/>
    <w:rsid w:val="71E67DE0"/>
    <w:rsid w:val="72150B2E"/>
    <w:rsid w:val="722901C3"/>
    <w:rsid w:val="7238241A"/>
    <w:rsid w:val="72600711"/>
    <w:rsid w:val="72622F3F"/>
    <w:rsid w:val="726275F4"/>
    <w:rsid w:val="72743FD1"/>
    <w:rsid w:val="72DB435C"/>
    <w:rsid w:val="72E2613A"/>
    <w:rsid w:val="72F771F4"/>
    <w:rsid w:val="72FA01A7"/>
    <w:rsid w:val="72FE403D"/>
    <w:rsid w:val="731D0382"/>
    <w:rsid w:val="7325690C"/>
    <w:rsid w:val="734C7AA7"/>
    <w:rsid w:val="736C4722"/>
    <w:rsid w:val="737D40A5"/>
    <w:rsid w:val="73934AD2"/>
    <w:rsid w:val="73AE0F36"/>
    <w:rsid w:val="73DE61A0"/>
    <w:rsid w:val="73DE66C2"/>
    <w:rsid w:val="73E47172"/>
    <w:rsid w:val="73FD1E75"/>
    <w:rsid w:val="740F66F5"/>
    <w:rsid w:val="742A7AA7"/>
    <w:rsid w:val="7430197C"/>
    <w:rsid w:val="744838C6"/>
    <w:rsid w:val="745A3747"/>
    <w:rsid w:val="74A72CA5"/>
    <w:rsid w:val="74E205BA"/>
    <w:rsid w:val="750837F0"/>
    <w:rsid w:val="752312CD"/>
    <w:rsid w:val="753D22B0"/>
    <w:rsid w:val="753E74D2"/>
    <w:rsid w:val="754758CF"/>
    <w:rsid w:val="75741D8E"/>
    <w:rsid w:val="75850B5E"/>
    <w:rsid w:val="75C81E28"/>
    <w:rsid w:val="761E5336"/>
    <w:rsid w:val="762F1E52"/>
    <w:rsid w:val="764F62AB"/>
    <w:rsid w:val="765702FC"/>
    <w:rsid w:val="765C45EC"/>
    <w:rsid w:val="766F7C1E"/>
    <w:rsid w:val="768A7619"/>
    <w:rsid w:val="76906C0F"/>
    <w:rsid w:val="76BA0427"/>
    <w:rsid w:val="76EB09E3"/>
    <w:rsid w:val="76FA2F15"/>
    <w:rsid w:val="77110895"/>
    <w:rsid w:val="772D44EF"/>
    <w:rsid w:val="772E1EBA"/>
    <w:rsid w:val="77347123"/>
    <w:rsid w:val="7740729F"/>
    <w:rsid w:val="77591143"/>
    <w:rsid w:val="776D0D14"/>
    <w:rsid w:val="777E70EA"/>
    <w:rsid w:val="77901069"/>
    <w:rsid w:val="77936883"/>
    <w:rsid w:val="77A3500B"/>
    <w:rsid w:val="77BB3031"/>
    <w:rsid w:val="78092383"/>
    <w:rsid w:val="781926BC"/>
    <w:rsid w:val="782A008A"/>
    <w:rsid w:val="78394B0F"/>
    <w:rsid w:val="78A97996"/>
    <w:rsid w:val="78B83171"/>
    <w:rsid w:val="78BA6B5C"/>
    <w:rsid w:val="78DC5239"/>
    <w:rsid w:val="78F53F38"/>
    <w:rsid w:val="79045405"/>
    <w:rsid w:val="790F3914"/>
    <w:rsid w:val="79104541"/>
    <w:rsid w:val="795E6595"/>
    <w:rsid w:val="79644EFF"/>
    <w:rsid w:val="796D60A4"/>
    <w:rsid w:val="79A031D5"/>
    <w:rsid w:val="79A8748A"/>
    <w:rsid w:val="79E84DB5"/>
    <w:rsid w:val="7A1525F7"/>
    <w:rsid w:val="7A18010D"/>
    <w:rsid w:val="7A192D73"/>
    <w:rsid w:val="7A193FC1"/>
    <w:rsid w:val="7A3F3835"/>
    <w:rsid w:val="7A85185B"/>
    <w:rsid w:val="7A9B7CF7"/>
    <w:rsid w:val="7ABB77F5"/>
    <w:rsid w:val="7AE04451"/>
    <w:rsid w:val="7AE93103"/>
    <w:rsid w:val="7AF17E9C"/>
    <w:rsid w:val="7AF67516"/>
    <w:rsid w:val="7AF968F4"/>
    <w:rsid w:val="7B420052"/>
    <w:rsid w:val="7B4409CA"/>
    <w:rsid w:val="7B5662DA"/>
    <w:rsid w:val="7B63512E"/>
    <w:rsid w:val="7B635879"/>
    <w:rsid w:val="7B6D460F"/>
    <w:rsid w:val="7BD06A28"/>
    <w:rsid w:val="7BD4302A"/>
    <w:rsid w:val="7BDE1363"/>
    <w:rsid w:val="7BE030F6"/>
    <w:rsid w:val="7C05539E"/>
    <w:rsid w:val="7C101835"/>
    <w:rsid w:val="7C121AD2"/>
    <w:rsid w:val="7C1D1CB8"/>
    <w:rsid w:val="7C306A1B"/>
    <w:rsid w:val="7C3A7C0B"/>
    <w:rsid w:val="7C5248E4"/>
    <w:rsid w:val="7C566698"/>
    <w:rsid w:val="7C5866A3"/>
    <w:rsid w:val="7C657B92"/>
    <w:rsid w:val="7C804C4C"/>
    <w:rsid w:val="7CDC43BA"/>
    <w:rsid w:val="7D4D5541"/>
    <w:rsid w:val="7D7406BB"/>
    <w:rsid w:val="7DC6614F"/>
    <w:rsid w:val="7DC669EA"/>
    <w:rsid w:val="7DE94331"/>
    <w:rsid w:val="7E5A0A3C"/>
    <w:rsid w:val="7E67338E"/>
    <w:rsid w:val="7E9021DE"/>
    <w:rsid w:val="7E923978"/>
    <w:rsid w:val="7EB75929"/>
    <w:rsid w:val="7EF6055E"/>
    <w:rsid w:val="7F3945BB"/>
    <w:rsid w:val="7F3F741F"/>
    <w:rsid w:val="7F446A19"/>
    <w:rsid w:val="7F645CAD"/>
    <w:rsid w:val="7F7452B9"/>
    <w:rsid w:val="7F8316CD"/>
    <w:rsid w:val="7F876CF0"/>
    <w:rsid w:val="7F9D2232"/>
    <w:rsid w:val="7FA91A96"/>
    <w:rsid w:val="7FBC118A"/>
    <w:rsid w:val="7FCF6B06"/>
    <w:rsid w:val="7FEC39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99"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99"/>
    <w:rPr>
      <w:rFonts w:hint="eastAsia" w:ascii="宋体" w:hAnsi="宋体" w:eastAsia="宋体" w:cs="Times New Roman"/>
      <w:sz w:val="24"/>
      <w:szCs w:val="24"/>
      <w:lang w:val="en-US" w:eastAsia="zh-CN" w:bidi="ar-SA"/>
    </w:rPr>
  </w:style>
  <w:style w:type="character" w:default="1" w:styleId="10">
    <w:name w:val="Default Paragraph Font"/>
    <w:semiHidden/>
    <w:unhideWhenUsed/>
    <w:uiPriority w:val="1"/>
  </w:style>
  <w:style w:type="table" w:default="1" w:styleId="12">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next w:val="3"/>
    <w:qFormat/>
    <w:uiPriority w:val="0"/>
    <w:pPr>
      <w:ind w:left="101" w:firstLine="679"/>
      <w:jc w:val="left"/>
    </w:pPr>
    <w:rPr>
      <w:rFonts w:ascii="sans-serif" w:hAnsi="sans-serif" w:eastAsia="sans-serif" w:cs="Times New Roman"/>
      <w:kern w:val="0"/>
      <w:sz w:val="34"/>
      <w:szCs w:val="34"/>
    </w:rPr>
  </w:style>
  <w:style w:type="paragraph" w:styleId="3">
    <w:name w:val="Date"/>
    <w:basedOn w:val="1"/>
    <w:next w:val="1"/>
    <w:qFormat/>
    <w:uiPriority w:val="0"/>
    <w:pPr>
      <w:ind w:left="100" w:leftChars="2500"/>
    </w:pPr>
  </w:style>
  <w:style w:type="paragraph" w:styleId="4">
    <w:name w:val="Body Text First Indent"/>
    <w:basedOn w:val="2"/>
    <w:qFormat/>
    <w:uiPriority w:val="0"/>
    <w:pPr>
      <w:ind w:firstLine="420" w:firstLineChars="100"/>
    </w:pPr>
  </w:style>
  <w:style w:type="paragraph" w:styleId="5">
    <w:name w:val="Balloon Text"/>
    <w:basedOn w:val="1"/>
    <w:link w:val="18"/>
    <w:qFormat/>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style>
  <w:style w:type="paragraph" w:styleId="9">
    <w:name w:val="Normal (Web)"/>
    <w:basedOn w:val="1"/>
    <w:unhideWhenUsed/>
    <w:qFormat/>
    <w:uiPriority w:val="0"/>
    <w:pPr>
      <w:spacing w:before="100" w:beforeAutospacing="1" w:after="100" w:afterAutospacing="1"/>
    </w:pPr>
  </w:style>
  <w:style w:type="character" w:styleId="11">
    <w:name w:val="Strong"/>
    <w:qFormat/>
    <w:uiPriority w:val="0"/>
    <w:rPr>
      <w:b/>
    </w:rPr>
  </w:style>
  <w:style w:type="table" w:styleId="13">
    <w:name w:val="Table Grid"/>
    <w:basedOn w:val="1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14">
    <w:name w:val="列出段落1"/>
    <w:basedOn w:val="1"/>
    <w:qFormat/>
    <w:uiPriority w:val="99"/>
    <w:pPr>
      <w:ind w:firstLine="420" w:firstLineChars="200"/>
    </w:pPr>
    <w:rPr>
      <w:rFonts w:hint="default"/>
    </w:rPr>
  </w:style>
  <w:style w:type="paragraph" w:customStyle="1" w:styleId="15">
    <w:name w:val="普通(网站) Char"/>
    <w:qFormat/>
    <w:uiPriority w:val="0"/>
    <w:pPr>
      <w:spacing w:before="100" w:beforeAutospacing="1" w:after="100" w:afterAutospacing="1"/>
    </w:pPr>
    <w:rPr>
      <w:rFonts w:ascii="宋体" w:hAnsi="宋体" w:eastAsia="宋体" w:cs="Times New Roman"/>
      <w:sz w:val="24"/>
      <w:szCs w:val="24"/>
      <w:lang w:val="en-US" w:eastAsia="zh-CN" w:bidi="ar-SA"/>
    </w:rPr>
  </w:style>
  <w:style w:type="character" w:customStyle="1" w:styleId="16">
    <w:name w:val="21"/>
    <w:qFormat/>
    <w:uiPriority w:val="0"/>
    <w:rPr>
      <w:rFonts w:hint="default" w:ascii="Wingdings" w:hAnsi="Wingdings" w:cs="Wingdings"/>
      <w:b/>
      <w:bCs/>
    </w:rPr>
  </w:style>
  <w:style w:type="paragraph" w:customStyle="1" w:styleId="17">
    <w:name w:val="列出段落2"/>
    <w:qFormat/>
    <w:uiPriority w:val="99"/>
    <w:pPr>
      <w:ind w:firstLine="420" w:firstLineChars="200"/>
    </w:pPr>
    <w:rPr>
      <w:rFonts w:ascii="宋体" w:hAnsi="宋体" w:eastAsia="宋体" w:cs="Times New Roman"/>
      <w:sz w:val="24"/>
      <w:szCs w:val="24"/>
      <w:lang w:val="en-US" w:eastAsia="zh-CN" w:bidi="ar-SA"/>
    </w:rPr>
  </w:style>
  <w:style w:type="character" w:customStyle="1" w:styleId="18">
    <w:name w:val="批注框文本 Char"/>
    <w:basedOn w:val="10"/>
    <w:link w:val="5"/>
    <w:qFormat/>
    <w:uiPriority w:val="0"/>
    <w:rPr>
      <w:rFonts w:ascii="宋体" w:hAnsi="宋体"/>
      <w:sz w:val="18"/>
      <w:szCs w:val="18"/>
    </w:rPr>
  </w:style>
  <w:style w:type="paragraph" w:styleId="19">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32</Pages>
  <Words>4001</Words>
  <Characters>22811</Characters>
  <Lines>190</Lines>
  <Paragraphs>53</Paragraphs>
  <TotalTime>1</TotalTime>
  <ScaleCrop>false</ScaleCrop>
  <LinksUpToDate>false</LinksUpToDate>
  <CharactersWithSpaces>26759</CharactersWithSpaces>
  <Application>WPS Office_10.8.2.6666_F1E327BC-269C-435d-A152-05C5408002CA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2024-07-11T02:00:00Z</dcterms:created>
  <dc:creator>Administrator</dc:creator>
  <cp:lastModifiedBy>龚盼</cp:lastModifiedBy>
  <dcterms:modified xsi:type="dcterms:W3CDTF">2024-09-30T02:35:50Z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2052-10.8.2.6666</vt:lpwstr>
  </property>
  <property fmtid="{D5CDD505-2E9C-101B-9397-08002B2CF9AE}" pid="3" name="ICV">
    <vt:lpwstr>BB46EABDBB2749749395447164B066B3_12</vt:lpwstr>
  </property>
</Properties>
</file>