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Times New Roman" w:hAnsi="Times New Roman" w:eastAsia="方正小标宋_GBK" w:cs="Times New Roman"/>
          <w:color w:val="auto"/>
          <w:sz w:val="40"/>
          <w:szCs w:val="40"/>
          <w:shd w:val="clear" w:color="auto" w:fill="FFFFFF"/>
        </w:rPr>
      </w:pPr>
      <w:r>
        <w:rPr>
          <w:rFonts w:hint="eastAsia" w:ascii="Times New Roman" w:hAnsi="Times New Roman" w:eastAsia="方正小标宋_GBK" w:cs="Times New Roman"/>
          <w:color w:val="auto"/>
          <w:sz w:val="40"/>
          <w:szCs w:val="40"/>
          <w:lang w:eastAsia="zh-CN"/>
        </w:rPr>
        <w:t>重庆市</w:t>
      </w:r>
      <w:r>
        <w:rPr>
          <w:rFonts w:hint="default" w:ascii="Times New Roman" w:hAnsi="Times New Roman" w:eastAsia="方正小标宋_GBK" w:cs="Times New Roman"/>
          <w:color w:val="auto"/>
          <w:sz w:val="40"/>
          <w:szCs w:val="40"/>
        </w:rPr>
        <w:t>秀山土家族苗族自治县钟灵镇卫生院</w:t>
      </w:r>
      <w:r>
        <w:rPr>
          <w:rFonts w:hint="default" w:ascii="Times New Roman" w:hAnsi="Times New Roman" w:eastAsia="方正小标宋_GBK" w:cs="Times New Roman"/>
          <w:color w:val="auto"/>
          <w:sz w:val="40"/>
          <w:szCs w:val="40"/>
          <w:shd w:val="clear" w:color="auto" w:fill="FFFFFF"/>
        </w:rPr>
        <w:t>2023年度决算公开说明</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Times New Roman" w:hAnsi="Times New Roman" w:eastAsia="方正小标宋_GBK" w:cs="Times New Roman"/>
          <w:color w:val="auto"/>
          <w:sz w:val="44"/>
          <w:szCs w:val="44"/>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黑体_GBK" w:cs="Times New Roman"/>
          <w:b w:val="0"/>
          <w:bCs/>
          <w:color w:val="auto"/>
          <w:sz w:val="32"/>
          <w:szCs w:val="32"/>
        </w:rPr>
      </w:pPr>
      <w:r>
        <w:rPr>
          <w:rStyle w:val="11"/>
          <w:rFonts w:hint="default" w:ascii="Times New Roman" w:hAnsi="Times New Roman" w:eastAsia="方正黑体_GBK" w:cs="Times New Roman"/>
          <w:b w:val="0"/>
          <w:bCs/>
          <w:color w:val="auto"/>
          <w:sz w:val="32"/>
          <w:szCs w:val="32"/>
          <w:shd w:val="clear" w:color="auto" w:fill="FFFFFF"/>
        </w:rPr>
        <w:t>一、单位基本情况</w:t>
      </w:r>
      <w:bookmarkStart w:id="0" w:name="_GoBack"/>
      <w:bookmarkEnd w:id="0"/>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color w:val="auto"/>
          <w:sz w:val="32"/>
          <w:szCs w:val="32"/>
        </w:rPr>
      </w:pPr>
      <w:r>
        <w:rPr>
          <w:rStyle w:val="11"/>
          <w:rFonts w:hint="default" w:ascii="Times New Roman" w:hAnsi="Times New Roman" w:eastAsia="方正楷体_GBK" w:cs="Times New Roman"/>
          <w:b w:val="0"/>
          <w:bCs/>
          <w:color w:val="auto"/>
          <w:sz w:val="32"/>
          <w:szCs w:val="32"/>
          <w:shd w:val="clear" w:color="auto" w:fill="FFFFFF"/>
        </w:rPr>
        <w:t>（一）职能职责</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u w:val="none"/>
        </w:rPr>
        <w:t>本单位为秀山土家族苗族自治县卫生健康委员会所属乡级</w:t>
      </w:r>
      <w:r>
        <w:rPr>
          <w:rFonts w:hint="default" w:ascii="Times New Roman" w:hAnsi="Times New Roman" w:eastAsia="方正仿宋_GBK" w:cs="Times New Roman"/>
          <w:b w:val="0"/>
          <w:bCs/>
          <w:color w:val="auto"/>
          <w:spacing w:val="14"/>
          <w:sz w:val="32"/>
          <w:szCs w:val="32"/>
          <w:u w:val="none"/>
        </w:rPr>
        <w:t>预算单位</w:t>
      </w:r>
      <w:r>
        <w:rPr>
          <w:rFonts w:hint="default" w:ascii="Times New Roman" w:hAnsi="Times New Roman" w:eastAsia="方正仿宋_GBK" w:cs="Times New Roman"/>
          <w:b w:val="0"/>
          <w:bCs/>
          <w:color w:val="auto"/>
          <w:spacing w:val="14"/>
          <w:sz w:val="32"/>
          <w:szCs w:val="32"/>
          <w:u w:val="none"/>
          <w:lang w:eastAsia="zh-CN"/>
        </w:rPr>
        <w:t>，</w:t>
      </w:r>
      <w:r>
        <w:rPr>
          <w:rFonts w:hint="default" w:ascii="Times New Roman" w:hAnsi="Times New Roman" w:eastAsia="方正仿宋_GBK" w:cs="Times New Roman"/>
          <w:b w:val="0"/>
          <w:bCs/>
          <w:color w:val="auto"/>
          <w:spacing w:val="14"/>
          <w:sz w:val="32"/>
          <w:szCs w:val="32"/>
          <w:u w:val="none"/>
        </w:rPr>
        <w:t>单位类型</w:t>
      </w:r>
      <w:r>
        <w:rPr>
          <w:rFonts w:hint="default" w:ascii="Times New Roman" w:hAnsi="Times New Roman" w:eastAsia="方正仿宋_GBK" w:cs="Times New Roman"/>
          <w:b w:val="0"/>
          <w:bCs/>
          <w:color w:val="auto"/>
          <w:sz w:val="32"/>
          <w:szCs w:val="32"/>
          <w:u w:val="none"/>
        </w:rPr>
        <w:t>为公益一类事业单位单位，决算编报类型为公益一类事业单位</w:t>
      </w:r>
      <w:r>
        <w:rPr>
          <w:rFonts w:hint="default" w:ascii="Times New Roman" w:hAnsi="Times New Roman" w:eastAsia="方正仿宋_GBK" w:cs="Times New Roman"/>
          <w:b w:val="0"/>
          <w:bCs/>
          <w:color w:val="auto"/>
          <w:sz w:val="32"/>
          <w:szCs w:val="32"/>
          <w:u w:val="none"/>
          <w:lang w:eastAsia="zh-CN"/>
        </w:rPr>
        <w:t>，</w:t>
      </w:r>
      <w:r>
        <w:rPr>
          <w:rFonts w:hint="default" w:ascii="Times New Roman" w:hAnsi="Times New Roman" w:eastAsia="方正仿宋_GBK" w:cs="Times New Roman"/>
          <w:b w:val="0"/>
          <w:bCs/>
          <w:color w:val="auto"/>
          <w:sz w:val="32"/>
          <w:szCs w:val="32"/>
          <w:lang w:eastAsia="zh-CN"/>
        </w:rPr>
        <w:t>属基层医疗卫生机构，为非盈利性医疗机构，</w:t>
      </w:r>
      <w:r>
        <w:rPr>
          <w:rFonts w:hint="default" w:ascii="Times New Roman" w:hAnsi="Times New Roman" w:eastAsia="方正仿宋_GBK" w:cs="Times New Roman"/>
          <w:b w:val="0"/>
          <w:bCs/>
          <w:color w:val="auto"/>
          <w:sz w:val="32"/>
          <w:szCs w:val="32"/>
          <w:lang w:val="en-US" w:eastAsia="zh-CN"/>
        </w:rPr>
        <w:t>具备以下职能</w:t>
      </w:r>
      <w:r>
        <w:rPr>
          <w:rFonts w:hint="default" w:ascii="Times New Roman" w:hAnsi="Times New Roman" w:eastAsia="方正仿宋_GBK" w:cs="Times New Roman"/>
          <w:b w:val="0"/>
          <w:bCs/>
          <w:color w:val="auto"/>
          <w:sz w:val="32"/>
          <w:szCs w:val="32"/>
          <w:lang w:eastAsia="zh-CN"/>
        </w:rPr>
        <w:t>职责：</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eastAsia="zh-CN"/>
        </w:rPr>
        <w:t>1</w:t>
      </w:r>
      <w:r>
        <w:rPr>
          <w:rFonts w:hint="default" w:ascii="Times New Roman" w:hAnsi="Times New Roman" w:eastAsia="方正仿宋_GBK" w:cs="Times New Roman"/>
          <w:b w:val="0"/>
          <w:bCs/>
          <w:color w:val="auto"/>
          <w:sz w:val="32"/>
          <w:szCs w:val="32"/>
          <w:lang w:val="en-US" w:eastAsia="zh-CN"/>
        </w:rPr>
        <w:t>.负责本乡镇的卫生工作法律、法规、政策的贯彻，卫生事业发展规划和工作计划的制订，社会公共卫生工作的组织和实施；</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2.负责本乡镇的基本医疗服务；</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3.负责本乡镇的基本公共卫生服务及突发公共卫生事件的报告，并依据上级部门要求组织实施处置；</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4.负责本乡镇辖区内的卫生信息统计、分析、上报；</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5.负责对本乡镇辖区内村级卫生组织和乡村医生的业务指导和培训；</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6.负责承办政府卫生行政部门委托的相关业务或事项；</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lang w:val="en-US" w:eastAsia="zh-CN"/>
        </w:rPr>
        <w:t>7.负责上级卫生行政部门下达的其他工作。</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color w:val="auto"/>
          <w:sz w:val="32"/>
          <w:szCs w:val="32"/>
        </w:rPr>
      </w:pPr>
      <w:r>
        <w:rPr>
          <w:rStyle w:val="11"/>
          <w:rFonts w:hint="eastAsia" w:ascii="方正楷体_GBK" w:hAnsi="方正楷体_GBK" w:eastAsia="方正楷体_GBK" w:cs="方正楷体_GBK"/>
          <w:b w:val="0"/>
          <w:bCs/>
          <w:color w:val="auto"/>
          <w:sz w:val="32"/>
          <w:szCs w:val="32"/>
          <w:shd w:val="clear" w:color="auto" w:fill="FFFFFF"/>
        </w:rPr>
        <w:t>（二）机构设置</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lang w:eastAsia="zh-CN"/>
        </w:rPr>
        <w:t>本单位下设</w:t>
      </w:r>
      <w:r>
        <w:rPr>
          <w:rFonts w:hint="default" w:ascii="Times New Roman" w:hAnsi="Times New Roman" w:eastAsia="方正仿宋_GBK" w:cs="Times New Roman"/>
          <w:b w:val="0"/>
          <w:bCs/>
          <w:color w:val="auto"/>
          <w:sz w:val="32"/>
          <w:szCs w:val="32"/>
          <w:lang w:val="en-US" w:eastAsia="zh-CN"/>
        </w:rPr>
        <w:t>院综合</w:t>
      </w:r>
      <w:r>
        <w:rPr>
          <w:rFonts w:hint="default" w:ascii="Times New Roman" w:hAnsi="Times New Roman" w:eastAsia="方正仿宋_GBK" w:cs="Times New Roman"/>
          <w:b w:val="0"/>
          <w:bCs/>
          <w:color w:val="auto"/>
          <w:sz w:val="32"/>
          <w:szCs w:val="32"/>
          <w:lang w:eastAsia="zh-CN"/>
        </w:rPr>
        <w:t>办公室、医务科、</w:t>
      </w:r>
      <w:r>
        <w:rPr>
          <w:rFonts w:hint="default" w:ascii="Times New Roman" w:hAnsi="Times New Roman" w:eastAsia="方正仿宋_GBK" w:cs="Times New Roman"/>
          <w:b w:val="0"/>
          <w:bCs/>
          <w:color w:val="auto"/>
          <w:sz w:val="32"/>
          <w:szCs w:val="32"/>
          <w:lang w:val="en-US" w:eastAsia="zh-CN"/>
        </w:rPr>
        <w:t>公共卫生</w:t>
      </w:r>
      <w:r>
        <w:rPr>
          <w:rFonts w:hint="default" w:ascii="Times New Roman" w:hAnsi="Times New Roman" w:eastAsia="方正仿宋_GBK" w:cs="Times New Roman"/>
          <w:b w:val="0"/>
          <w:bCs/>
          <w:color w:val="auto"/>
          <w:sz w:val="32"/>
          <w:szCs w:val="32"/>
          <w:lang w:eastAsia="zh-CN"/>
        </w:rPr>
        <w:t>科、</w:t>
      </w:r>
      <w:r>
        <w:rPr>
          <w:rFonts w:hint="default" w:ascii="Times New Roman" w:hAnsi="Times New Roman" w:eastAsia="方正仿宋_GBK" w:cs="Times New Roman"/>
          <w:b w:val="0"/>
          <w:bCs/>
          <w:color w:val="auto"/>
          <w:sz w:val="32"/>
          <w:szCs w:val="32"/>
          <w:lang w:val="en-US" w:eastAsia="zh-CN"/>
        </w:rPr>
        <w:t>临床综合科、</w:t>
      </w:r>
      <w:r>
        <w:rPr>
          <w:rFonts w:hint="default" w:ascii="Times New Roman" w:hAnsi="Times New Roman" w:eastAsia="方正仿宋_GBK" w:cs="Times New Roman"/>
          <w:b w:val="0"/>
          <w:bCs/>
          <w:color w:val="auto"/>
          <w:sz w:val="32"/>
          <w:szCs w:val="32"/>
          <w:lang w:eastAsia="zh-CN"/>
        </w:rPr>
        <w:t>中医科、医技科、库房、药房、收费室。</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color w:val="auto"/>
          <w:sz w:val="32"/>
          <w:szCs w:val="32"/>
          <w:shd w:val="clear" w:color="auto" w:fill="FFFFFF"/>
        </w:rPr>
      </w:pPr>
      <w:r>
        <w:rPr>
          <w:rStyle w:val="11"/>
          <w:rFonts w:hint="eastAsia" w:ascii="方正黑体_GBK" w:hAnsi="方正黑体_GBK" w:eastAsia="方正黑体_GBK" w:cs="方正黑体_GBK"/>
          <w:b w:val="0"/>
          <w:bCs/>
          <w:color w:val="auto"/>
          <w:sz w:val="32"/>
          <w:szCs w:val="32"/>
          <w:shd w:val="clear" w:color="auto" w:fill="FFFFFF"/>
        </w:rPr>
        <w:t>二、单位决算情况说明</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color w:val="auto"/>
          <w:sz w:val="32"/>
          <w:szCs w:val="32"/>
          <w:shd w:val="clear" w:color="auto" w:fill="FFFFFF"/>
        </w:rPr>
      </w:pPr>
      <w:r>
        <w:rPr>
          <w:rFonts w:hint="eastAsia" w:ascii="方正楷体_GBK" w:hAnsi="方正楷体_GBK" w:eastAsia="方正楷体_GBK" w:cs="方正楷体_GBK"/>
          <w:b w:val="0"/>
          <w:bCs/>
          <w:color w:val="auto"/>
          <w:sz w:val="32"/>
          <w:szCs w:val="32"/>
          <w:shd w:val="clear" w:color="auto" w:fill="FFFFFF"/>
        </w:rPr>
        <w:t>（一）收入支出决算总体情况说明</w:t>
      </w:r>
    </w:p>
    <w:p>
      <w:pPr>
        <w:keepNext w:val="0"/>
        <w:keepLines w:val="0"/>
        <w:pageBreakBefore w:val="0"/>
        <w:kinsoku/>
        <w:wordWrap/>
        <w:overflowPunct/>
        <w:topLinePunct w:val="0"/>
        <w:autoSpaceDN/>
        <w:bidi w:val="0"/>
        <w:adjustRightInd/>
        <w:snapToGrid w:val="0"/>
        <w:spacing w:beforeAutospacing="0" w:afterAutospacing="0" w:line="560" w:lineRule="exact"/>
        <w:ind w:firstLine="640" w:firstLineChars="200"/>
        <w:jc w:val="both"/>
        <w:rPr>
          <w:rFonts w:hint="default" w:ascii="Times New Roman" w:hAnsi="Times New Roman" w:eastAsia="方正仿宋_GBK" w:cs="Times New Roman"/>
          <w:b w:val="0"/>
          <w:bCs/>
          <w:color w:val="auto"/>
          <w:sz w:val="32"/>
          <w:szCs w:val="32"/>
          <w:lang w:val="en-US" w:eastAsia="zh-CN"/>
        </w:rPr>
      </w:pPr>
      <w:r>
        <w:rPr>
          <w:rStyle w:val="11"/>
          <w:rFonts w:hint="default" w:ascii="Times New Roman" w:hAnsi="Times New Roman" w:eastAsia="方正仿宋_GBK" w:cs="Times New Roman"/>
          <w:b w:val="0"/>
          <w:bCs/>
          <w:color w:val="auto"/>
          <w:sz w:val="32"/>
          <w:szCs w:val="32"/>
          <w:shd w:val="clear" w:color="auto" w:fill="FFFFFF"/>
        </w:rPr>
        <w:t>1.总体情况。</w:t>
      </w:r>
      <w:r>
        <w:rPr>
          <w:rFonts w:hint="default" w:ascii="Times New Roman" w:hAnsi="Times New Roman" w:eastAsia="方正仿宋_GBK" w:cs="Times New Roman"/>
          <w:b w:val="0"/>
          <w:bCs/>
          <w:color w:val="auto"/>
          <w:sz w:val="32"/>
          <w:szCs w:val="32"/>
          <w:shd w:val="clear" w:color="auto" w:fill="FFFFFF"/>
        </w:rPr>
        <w:t>2023年度收入总计783.54万元，支出总计</w:t>
      </w:r>
      <w:r>
        <w:rPr>
          <w:rFonts w:hint="default" w:ascii="Times New Roman" w:hAnsi="Times New Roman" w:eastAsia="方正仿宋_GBK" w:cs="Times New Roman"/>
          <w:b w:val="0"/>
          <w:bCs/>
          <w:color w:val="auto"/>
          <w:sz w:val="32"/>
          <w:szCs w:val="32"/>
          <w:lang w:val="en-US" w:eastAsia="zh-CN"/>
        </w:rPr>
        <w:t>757.80</w:t>
      </w:r>
      <w:r>
        <w:rPr>
          <w:rFonts w:hint="default" w:ascii="Times New Roman" w:hAnsi="Times New Roman" w:eastAsia="方正仿宋_GBK" w:cs="Times New Roman"/>
          <w:b w:val="0"/>
          <w:bCs/>
          <w:color w:val="auto"/>
          <w:sz w:val="32"/>
          <w:szCs w:val="32"/>
          <w:shd w:val="clear" w:color="auto" w:fill="FFFFFF"/>
        </w:rPr>
        <w:t>万元。收支较上年决算数增加135.52万元，增长20.91%，主要原因是</w:t>
      </w:r>
      <w:r>
        <w:rPr>
          <w:rFonts w:hint="default" w:ascii="Times New Roman" w:hAnsi="Times New Roman" w:eastAsia="方正仿宋_GBK" w:cs="Times New Roman"/>
          <w:b w:val="0"/>
          <w:bCs/>
          <w:color w:val="auto"/>
          <w:sz w:val="32"/>
          <w:szCs w:val="32"/>
        </w:rPr>
        <w:t>本年度财政拨款收入及事业收入均增加</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财政拨款收入</w:t>
      </w:r>
      <w:r>
        <w:rPr>
          <w:rFonts w:hint="default" w:ascii="Times New Roman" w:hAnsi="Times New Roman" w:eastAsia="方正仿宋_GBK" w:cs="Times New Roman"/>
          <w:b w:val="0"/>
          <w:bCs/>
          <w:color w:val="auto"/>
          <w:sz w:val="32"/>
          <w:szCs w:val="32"/>
          <w:lang w:val="en-US" w:eastAsia="zh-CN"/>
        </w:rPr>
        <w:t>426.64万元比去年283.79万元增加了142.86万元，</w:t>
      </w:r>
      <w:r>
        <w:rPr>
          <w:rFonts w:hint="default" w:ascii="Times New Roman" w:hAnsi="Times New Roman" w:eastAsia="方正仿宋_GBK" w:cs="Times New Roman"/>
          <w:b w:val="0"/>
          <w:bCs/>
          <w:color w:val="auto"/>
          <w:sz w:val="32"/>
          <w:szCs w:val="32"/>
        </w:rPr>
        <w:t>增加50.34%</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事业收入352.24万元比去年342.83万元增加了9.41万元，增长2.74%；</w:t>
      </w:r>
      <w:r>
        <w:rPr>
          <w:rFonts w:hint="default" w:ascii="Times New Roman" w:hAnsi="Times New Roman" w:eastAsia="方正仿宋_GBK" w:cs="Times New Roman"/>
          <w:b w:val="0"/>
          <w:bCs/>
          <w:color w:val="auto"/>
          <w:sz w:val="32"/>
          <w:szCs w:val="32"/>
          <w:lang w:eastAsia="zh-CN"/>
        </w:rPr>
        <w:t>总支出</w:t>
      </w:r>
      <w:r>
        <w:rPr>
          <w:rFonts w:hint="default" w:ascii="Times New Roman" w:hAnsi="Times New Roman" w:eastAsia="方正仿宋_GBK" w:cs="Times New Roman"/>
          <w:b w:val="0"/>
          <w:bCs/>
          <w:color w:val="auto"/>
          <w:sz w:val="32"/>
          <w:szCs w:val="32"/>
          <w:lang w:val="en-US" w:eastAsia="zh-CN"/>
        </w:rPr>
        <w:t>757.80万元，较</w:t>
      </w:r>
      <w:r>
        <w:rPr>
          <w:rFonts w:hint="default" w:ascii="Times New Roman" w:hAnsi="Times New Roman" w:eastAsia="方正仿宋_GBK" w:cs="Times New Roman"/>
          <w:b w:val="0"/>
          <w:bCs/>
          <w:color w:val="auto"/>
          <w:sz w:val="32"/>
          <w:szCs w:val="32"/>
          <w:lang w:eastAsia="zh-CN"/>
        </w:rPr>
        <w:t>去年</w:t>
      </w:r>
      <w:r>
        <w:rPr>
          <w:rFonts w:hint="default" w:ascii="Times New Roman" w:hAnsi="Times New Roman" w:eastAsia="方正仿宋_GBK" w:cs="Times New Roman"/>
          <w:b w:val="0"/>
          <w:bCs/>
          <w:color w:val="auto"/>
          <w:sz w:val="32"/>
          <w:szCs w:val="32"/>
          <w:lang w:val="en-US" w:eastAsia="zh-CN"/>
        </w:rPr>
        <w:t>增长17.79%，其中人员经费增长33.65%，公用经费降低38.30%，本年度结余25.75万元，其中存在财拨2022年超额绩效清算17.74万元。</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shd w:val="clear" w:color="auto" w:fill="FFFFFF"/>
        </w:rPr>
      </w:pPr>
      <w:r>
        <w:rPr>
          <w:rStyle w:val="11"/>
          <w:rFonts w:hint="default" w:ascii="Times New Roman" w:hAnsi="Times New Roman" w:eastAsia="方正仿宋_GBK" w:cs="Times New Roman"/>
          <w:b w:val="0"/>
          <w:bCs/>
          <w:color w:val="auto"/>
          <w:sz w:val="32"/>
          <w:szCs w:val="32"/>
          <w:shd w:val="clear" w:color="auto" w:fill="FFFFFF"/>
        </w:rPr>
        <w:t>2.收入情况。</w:t>
      </w:r>
      <w:r>
        <w:rPr>
          <w:rFonts w:hint="default" w:ascii="Times New Roman" w:hAnsi="Times New Roman" w:eastAsia="方正仿宋_GBK" w:cs="Times New Roman"/>
          <w:b w:val="0"/>
          <w:bCs/>
          <w:color w:val="auto"/>
          <w:sz w:val="32"/>
          <w:szCs w:val="32"/>
          <w:shd w:val="clear" w:color="auto" w:fill="FFFFFF"/>
        </w:rPr>
        <w:t>2023年度收入合计778.88万元，较上年决算数增加130.86万元，增长20.19%，主要原因是</w:t>
      </w:r>
      <w:r>
        <w:rPr>
          <w:rFonts w:hint="default" w:ascii="Times New Roman" w:hAnsi="Times New Roman" w:eastAsia="方正仿宋_GBK" w:cs="Times New Roman"/>
          <w:b w:val="0"/>
          <w:bCs/>
          <w:color w:val="auto"/>
          <w:sz w:val="32"/>
          <w:szCs w:val="32"/>
        </w:rPr>
        <w:t>财政拨款收入</w:t>
      </w:r>
      <w:r>
        <w:rPr>
          <w:rFonts w:hint="default" w:ascii="Times New Roman" w:hAnsi="Times New Roman" w:eastAsia="方正仿宋_GBK" w:cs="Times New Roman"/>
          <w:b w:val="0"/>
          <w:bCs/>
          <w:color w:val="auto"/>
          <w:sz w:val="32"/>
          <w:szCs w:val="32"/>
          <w:lang w:val="en-US" w:eastAsia="zh-CN"/>
        </w:rPr>
        <w:t>及事业收入增加。</w:t>
      </w:r>
      <w:r>
        <w:rPr>
          <w:rFonts w:hint="default" w:ascii="Times New Roman" w:hAnsi="Times New Roman" w:eastAsia="方正仿宋_GBK" w:cs="Times New Roman"/>
          <w:b w:val="0"/>
          <w:bCs/>
          <w:color w:val="auto"/>
          <w:sz w:val="32"/>
          <w:szCs w:val="32"/>
          <w:shd w:val="clear" w:color="auto" w:fill="FFFFFF"/>
        </w:rPr>
        <w:t>其中：财政拨款收入</w:t>
      </w:r>
      <w:r>
        <w:rPr>
          <w:rFonts w:hint="default" w:ascii="Times New Roman" w:hAnsi="Times New Roman" w:eastAsia="方正仿宋_GBK" w:cs="Times New Roman"/>
          <w:b w:val="0"/>
          <w:bCs/>
          <w:color w:val="auto"/>
          <w:sz w:val="32"/>
          <w:szCs w:val="32"/>
        </w:rPr>
        <w:t>426.64</w:t>
      </w:r>
      <w:r>
        <w:rPr>
          <w:rFonts w:hint="default" w:ascii="Times New Roman" w:hAnsi="Times New Roman" w:eastAsia="方正仿宋_GBK" w:cs="Times New Roman"/>
          <w:b w:val="0"/>
          <w:bCs/>
          <w:color w:val="auto"/>
          <w:sz w:val="32"/>
          <w:szCs w:val="32"/>
          <w:shd w:val="clear" w:color="auto" w:fill="FFFFFF"/>
        </w:rPr>
        <w:t>万元，占</w:t>
      </w:r>
      <w:r>
        <w:rPr>
          <w:rFonts w:hint="default" w:ascii="Times New Roman" w:hAnsi="Times New Roman" w:eastAsia="方正仿宋_GBK" w:cs="Times New Roman"/>
          <w:b w:val="0"/>
          <w:bCs/>
          <w:color w:val="auto"/>
          <w:sz w:val="32"/>
          <w:szCs w:val="32"/>
        </w:rPr>
        <w:t>54.78</w:t>
      </w:r>
      <w:r>
        <w:rPr>
          <w:rFonts w:hint="default" w:ascii="Times New Roman" w:hAnsi="Times New Roman" w:eastAsia="方正仿宋_GBK" w:cs="Times New Roman"/>
          <w:b w:val="0"/>
          <w:bCs/>
          <w:color w:val="auto"/>
          <w:sz w:val="32"/>
          <w:szCs w:val="32"/>
          <w:shd w:val="clear" w:color="auto" w:fill="FFFFFF"/>
        </w:rPr>
        <w:t>%；事业收入</w:t>
      </w:r>
      <w:r>
        <w:rPr>
          <w:rFonts w:hint="default" w:ascii="Times New Roman" w:hAnsi="Times New Roman" w:eastAsia="方正仿宋_GBK" w:cs="Times New Roman"/>
          <w:b w:val="0"/>
          <w:bCs/>
          <w:color w:val="auto"/>
          <w:sz w:val="32"/>
          <w:szCs w:val="32"/>
        </w:rPr>
        <w:t>352.24</w:t>
      </w:r>
      <w:r>
        <w:rPr>
          <w:rFonts w:hint="default" w:ascii="Times New Roman" w:hAnsi="Times New Roman" w:eastAsia="方正仿宋_GBK" w:cs="Times New Roman"/>
          <w:b w:val="0"/>
          <w:bCs/>
          <w:color w:val="auto"/>
          <w:sz w:val="32"/>
          <w:szCs w:val="32"/>
          <w:shd w:val="clear" w:color="auto" w:fill="FFFFFF"/>
        </w:rPr>
        <w:t>万元，占45.22%；经营收入</w:t>
      </w:r>
      <w:r>
        <w:rPr>
          <w:rFonts w:hint="default" w:ascii="Times New Roman" w:hAnsi="Times New Roman" w:eastAsia="方正仿宋_GBK" w:cs="Times New Roman"/>
          <w:b w:val="0"/>
          <w:bCs/>
          <w:color w:val="auto"/>
          <w:sz w:val="32"/>
          <w:szCs w:val="32"/>
        </w:rPr>
        <w:t>0.00</w:t>
      </w:r>
      <w:r>
        <w:rPr>
          <w:rFonts w:hint="default" w:ascii="Times New Roman" w:hAnsi="Times New Roman" w:eastAsia="方正仿宋_GBK" w:cs="Times New Roman"/>
          <w:b w:val="0"/>
          <w:bCs/>
          <w:color w:val="auto"/>
          <w:sz w:val="32"/>
          <w:szCs w:val="32"/>
          <w:shd w:val="clear" w:color="auto" w:fill="FFFFFF"/>
        </w:rPr>
        <w:t>万元，占0.00%；其他收入</w:t>
      </w:r>
      <w:r>
        <w:rPr>
          <w:rFonts w:hint="default" w:ascii="Times New Roman" w:hAnsi="Times New Roman" w:eastAsia="方正仿宋_GBK" w:cs="Times New Roman"/>
          <w:b w:val="0"/>
          <w:bCs/>
          <w:color w:val="auto"/>
          <w:sz w:val="32"/>
          <w:szCs w:val="32"/>
        </w:rPr>
        <w:t>0.00</w:t>
      </w:r>
      <w:r>
        <w:rPr>
          <w:rFonts w:hint="default" w:ascii="Times New Roman" w:hAnsi="Times New Roman" w:eastAsia="方正仿宋_GBK" w:cs="Times New Roman"/>
          <w:b w:val="0"/>
          <w:bCs/>
          <w:color w:val="auto"/>
          <w:sz w:val="32"/>
          <w:szCs w:val="32"/>
          <w:shd w:val="clear" w:color="auto" w:fill="FFFFFF"/>
        </w:rPr>
        <w:t>万元，占0.00%。此外，使用非财政拨款结余和专用结余</w:t>
      </w:r>
      <w:r>
        <w:rPr>
          <w:rFonts w:hint="default" w:ascii="Times New Roman" w:hAnsi="Times New Roman" w:eastAsia="方正仿宋_GBK" w:cs="Times New Roman"/>
          <w:b w:val="0"/>
          <w:bCs/>
          <w:color w:val="auto"/>
          <w:sz w:val="32"/>
          <w:szCs w:val="32"/>
        </w:rPr>
        <w:t>0.00</w:t>
      </w:r>
      <w:r>
        <w:rPr>
          <w:rFonts w:hint="default" w:ascii="Times New Roman" w:hAnsi="Times New Roman" w:eastAsia="方正仿宋_GBK" w:cs="Times New Roman"/>
          <w:b w:val="0"/>
          <w:bCs/>
          <w:color w:val="auto"/>
          <w:sz w:val="32"/>
          <w:szCs w:val="32"/>
          <w:shd w:val="clear" w:color="auto" w:fill="FFFFFF"/>
        </w:rPr>
        <w:t>万元，年初结转和结余</w:t>
      </w:r>
      <w:r>
        <w:rPr>
          <w:rFonts w:hint="default" w:ascii="Times New Roman" w:hAnsi="Times New Roman" w:eastAsia="方正仿宋_GBK" w:cs="Times New Roman"/>
          <w:b w:val="0"/>
          <w:bCs/>
          <w:color w:val="auto"/>
          <w:sz w:val="32"/>
          <w:szCs w:val="32"/>
        </w:rPr>
        <w:t>4.67</w:t>
      </w:r>
      <w:r>
        <w:rPr>
          <w:rFonts w:hint="default" w:ascii="Times New Roman" w:hAnsi="Times New Roman" w:eastAsia="方正仿宋_GBK" w:cs="Times New Roman"/>
          <w:b w:val="0"/>
          <w:bCs/>
          <w:color w:val="auto"/>
          <w:sz w:val="32"/>
          <w:szCs w:val="32"/>
          <w:shd w:val="clear" w:color="auto" w:fill="FFFFFF"/>
        </w:rPr>
        <w:t>万元。</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shd w:val="clear" w:color="auto" w:fill="FFFFFF"/>
        </w:rPr>
      </w:pPr>
      <w:r>
        <w:rPr>
          <w:rStyle w:val="11"/>
          <w:rFonts w:hint="default" w:ascii="Times New Roman" w:hAnsi="Times New Roman" w:eastAsia="方正仿宋_GBK" w:cs="Times New Roman"/>
          <w:b w:val="0"/>
          <w:bCs/>
          <w:color w:val="auto"/>
          <w:sz w:val="32"/>
          <w:szCs w:val="32"/>
          <w:shd w:val="clear" w:color="auto" w:fill="FFFFFF"/>
        </w:rPr>
        <w:t>3.支出情况。</w:t>
      </w:r>
      <w:r>
        <w:rPr>
          <w:rFonts w:hint="default" w:ascii="Times New Roman" w:hAnsi="Times New Roman" w:eastAsia="方正仿宋_GBK" w:cs="Times New Roman"/>
          <w:b w:val="0"/>
          <w:bCs/>
          <w:color w:val="auto"/>
          <w:sz w:val="32"/>
          <w:szCs w:val="32"/>
          <w:shd w:val="clear" w:color="auto" w:fill="FFFFFF"/>
        </w:rPr>
        <w:t>2023年度支出合计</w:t>
      </w:r>
      <w:r>
        <w:rPr>
          <w:rFonts w:hint="default" w:ascii="Times New Roman" w:hAnsi="Times New Roman" w:eastAsia="方正仿宋_GBK" w:cs="Times New Roman"/>
          <w:b w:val="0"/>
          <w:bCs/>
          <w:color w:val="auto"/>
          <w:sz w:val="32"/>
          <w:szCs w:val="32"/>
        </w:rPr>
        <w:t>757.80</w:t>
      </w:r>
      <w:r>
        <w:rPr>
          <w:rFonts w:hint="default" w:ascii="Times New Roman" w:hAnsi="Times New Roman" w:eastAsia="方正仿宋_GBK" w:cs="Times New Roman"/>
          <w:b w:val="0"/>
          <w:bCs/>
          <w:color w:val="auto"/>
          <w:sz w:val="32"/>
          <w:szCs w:val="32"/>
          <w:shd w:val="clear" w:color="auto" w:fill="FFFFFF"/>
        </w:rPr>
        <w:t>万元，较上年决算数增加114.45万元，增长17.79%，主要原因是</w:t>
      </w:r>
      <w:r>
        <w:rPr>
          <w:rFonts w:hint="default" w:ascii="Times New Roman" w:hAnsi="Times New Roman" w:eastAsia="方正仿宋_GBK" w:cs="Times New Roman"/>
          <w:b w:val="0"/>
          <w:bCs/>
          <w:color w:val="auto"/>
          <w:sz w:val="32"/>
          <w:szCs w:val="32"/>
          <w:lang w:val="en-US" w:eastAsia="zh-CN"/>
        </w:rPr>
        <w:t>本单位由于人员增加，职工绩效核算增加，卫生健康支出增加</w:t>
      </w:r>
      <w:r>
        <w:rPr>
          <w:rFonts w:hint="default" w:ascii="Times New Roman" w:hAnsi="Times New Roman" w:eastAsia="方正仿宋_GBK" w:cs="Times New Roman"/>
          <w:b w:val="0"/>
          <w:bCs/>
          <w:color w:val="auto"/>
          <w:sz w:val="32"/>
          <w:szCs w:val="32"/>
          <w:shd w:val="clear" w:color="auto" w:fill="FFFFFF"/>
          <w:lang w:eastAsia="zh-CN"/>
        </w:rPr>
        <w:t>。</w:t>
      </w:r>
      <w:r>
        <w:rPr>
          <w:rFonts w:hint="default" w:ascii="Times New Roman" w:hAnsi="Times New Roman" w:eastAsia="方正仿宋_GBK" w:cs="Times New Roman"/>
          <w:b w:val="0"/>
          <w:bCs/>
          <w:color w:val="auto"/>
          <w:sz w:val="32"/>
          <w:szCs w:val="32"/>
          <w:shd w:val="clear" w:color="auto" w:fill="FFFFFF"/>
        </w:rPr>
        <w:t>其中：基本支出</w:t>
      </w:r>
      <w:r>
        <w:rPr>
          <w:rFonts w:hint="default" w:ascii="Times New Roman" w:hAnsi="Times New Roman" w:eastAsia="方正仿宋_GBK" w:cs="Times New Roman"/>
          <w:b w:val="0"/>
          <w:bCs/>
          <w:color w:val="auto"/>
          <w:sz w:val="32"/>
          <w:szCs w:val="32"/>
        </w:rPr>
        <w:t>733.13</w:t>
      </w:r>
      <w:r>
        <w:rPr>
          <w:rFonts w:hint="default" w:ascii="Times New Roman" w:hAnsi="Times New Roman" w:eastAsia="方正仿宋_GBK" w:cs="Times New Roman"/>
          <w:b w:val="0"/>
          <w:bCs/>
          <w:color w:val="auto"/>
          <w:sz w:val="32"/>
          <w:szCs w:val="32"/>
          <w:shd w:val="clear" w:color="auto" w:fill="FFFFFF"/>
        </w:rPr>
        <w:t>万元，占96.74%；项目支出</w:t>
      </w:r>
      <w:r>
        <w:rPr>
          <w:rFonts w:hint="default" w:ascii="Times New Roman" w:hAnsi="Times New Roman" w:eastAsia="方正仿宋_GBK" w:cs="Times New Roman"/>
          <w:b w:val="0"/>
          <w:bCs/>
          <w:color w:val="auto"/>
          <w:sz w:val="32"/>
          <w:szCs w:val="32"/>
        </w:rPr>
        <w:t>24.67</w:t>
      </w:r>
      <w:r>
        <w:rPr>
          <w:rFonts w:hint="default" w:ascii="Times New Roman" w:hAnsi="Times New Roman" w:eastAsia="方正仿宋_GBK" w:cs="Times New Roman"/>
          <w:b w:val="0"/>
          <w:bCs/>
          <w:color w:val="auto"/>
          <w:sz w:val="32"/>
          <w:szCs w:val="32"/>
          <w:shd w:val="clear" w:color="auto" w:fill="FFFFFF"/>
        </w:rPr>
        <w:t>万元，占3.26%；经营支出</w:t>
      </w:r>
      <w:r>
        <w:rPr>
          <w:rFonts w:hint="default" w:ascii="Times New Roman" w:hAnsi="Times New Roman" w:eastAsia="方正仿宋_GBK" w:cs="Times New Roman"/>
          <w:b w:val="0"/>
          <w:bCs/>
          <w:color w:val="auto"/>
          <w:sz w:val="32"/>
          <w:szCs w:val="32"/>
        </w:rPr>
        <w:t>0.00</w:t>
      </w:r>
      <w:r>
        <w:rPr>
          <w:rFonts w:hint="default" w:ascii="Times New Roman" w:hAnsi="Times New Roman" w:eastAsia="方正仿宋_GBK" w:cs="Times New Roman"/>
          <w:b w:val="0"/>
          <w:bCs/>
          <w:color w:val="auto"/>
          <w:sz w:val="32"/>
          <w:szCs w:val="32"/>
          <w:shd w:val="clear" w:color="auto" w:fill="FFFFFF"/>
        </w:rPr>
        <w:t>万元，占0.00%。此外，结余分配</w:t>
      </w:r>
      <w:r>
        <w:rPr>
          <w:rFonts w:hint="default" w:ascii="Times New Roman" w:hAnsi="Times New Roman" w:eastAsia="方正仿宋_GBK" w:cs="Times New Roman"/>
          <w:b w:val="0"/>
          <w:bCs/>
          <w:color w:val="auto"/>
          <w:sz w:val="32"/>
          <w:szCs w:val="32"/>
        </w:rPr>
        <w:t>0.00</w:t>
      </w:r>
      <w:r>
        <w:rPr>
          <w:rFonts w:hint="default" w:ascii="Times New Roman" w:hAnsi="Times New Roman" w:eastAsia="方正仿宋_GBK" w:cs="Times New Roman"/>
          <w:b w:val="0"/>
          <w:bCs/>
          <w:color w:val="auto"/>
          <w:sz w:val="32"/>
          <w:szCs w:val="32"/>
          <w:shd w:val="clear" w:color="auto" w:fill="FFFFFF"/>
        </w:rPr>
        <w:t>万元。</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lang w:val="en-US" w:eastAsia="zh-CN"/>
        </w:rPr>
      </w:pPr>
      <w:r>
        <w:rPr>
          <w:rStyle w:val="11"/>
          <w:rFonts w:hint="default" w:ascii="Times New Roman" w:hAnsi="Times New Roman" w:eastAsia="方正仿宋_GBK" w:cs="Times New Roman"/>
          <w:b w:val="0"/>
          <w:bCs/>
          <w:color w:val="auto"/>
          <w:sz w:val="32"/>
          <w:szCs w:val="32"/>
          <w:shd w:val="clear" w:color="auto" w:fill="FFFFFF"/>
        </w:rPr>
        <w:t>4.结转结余情况。</w:t>
      </w:r>
      <w:r>
        <w:rPr>
          <w:rFonts w:hint="default" w:ascii="Times New Roman" w:hAnsi="Times New Roman" w:eastAsia="方正仿宋_GBK" w:cs="Times New Roman"/>
          <w:b w:val="0"/>
          <w:bCs/>
          <w:color w:val="auto"/>
          <w:sz w:val="32"/>
          <w:szCs w:val="32"/>
          <w:shd w:val="clear" w:color="auto" w:fill="FFFFFF"/>
        </w:rPr>
        <w:t>2023年度年末结转和结余</w:t>
      </w:r>
      <w:r>
        <w:rPr>
          <w:rFonts w:hint="default" w:ascii="Times New Roman" w:hAnsi="Times New Roman" w:eastAsia="方正仿宋_GBK" w:cs="Times New Roman"/>
          <w:b w:val="0"/>
          <w:bCs/>
          <w:color w:val="auto"/>
          <w:sz w:val="32"/>
          <w:szCs w:val="32"/>
        </w:rPr>
        <w:t>25.75</w:t>
      </w:r>
      <w:r>
        <w:rPr>
          <w:rFonts w:hint="default" w:ascii="Times New Roman" w:hAnsi="Times New Roman" w:eastAsia="方正仿宋_GBK" w:cs="Times New Roman"/>
          <w:b w:val="0"/>
          <w:bCs/>
          <w:color w:val="auto"/>
          <w:sz w:val="32"/>
          <w:szCs w:val="32"/>
          <w:shd w:val="clear" w:color="auto" w:fill="FFFFFF"/>
        </w:rPr>
        <w:t>万元，较上年决算数增加21.08万元，增长451.39%，主要原因是</w:t>
      </w:r>
      <w:r>
        <w:rPr>
          <w:rFonts w:hint="default" w:ascii="Times New Roman" w:hAnsi="Times New Roman" w:eastAsia="方正仿宋_GBK" w:cs="Times New Roman"/>
          <w:b w:val="0"/>
          <w:bCs/>
          <w:color w:val="auto"/>
          <w:sz w:val="32"/>
          <w:szCs w:val="32"/>
          <w:shd w:val="clear" w:color="auto" w:fill="FFFFFF"/>
          <w:lang w:val="en-US" w:eastAsia="zh-CN"/>
        </w:rPr>
        <w:t>存在2022年单位职工超额绩效清算及应付职工薪酬未发放。</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default" w:ascii="方正楷体_GBK" w:hAnsi="方正楷体_GBK" w:eastAsia="方正楷体_GBK" w:cs="方正楷体_GBK"/>
          <w:b w:val="0"/>
          <w:bCs/>
          <w:color w:val="auto"/>
          <w:sz w:val="32"/>
          <w:szCs w:val="32"/>
          <w:shd w:val="clear" w:color="auto" w:fill="FFFFFF"/>
        </w:rPr>
      </w:pPr>
      <w:r>
        <w:rPr>
          <w:rFonts w:hint="default" w:ascii="方正楷体_GBK" w:hAnsi="方正楷体_GBK" w:eastAsia="方正楷体_GBK" w:cs="方正楷体_GBK"/>
          <w:b w:val="0"/>
          <w:bCs/>
          <w:color w:val="auto"/>
          <w:sz w:val="32"/>
          <w:szCs w:val="32"/>
          <w:shd w:val="clear" w:color="auto" w:fill="FFFFFF"/>
        </w:rPr>
        <w:t>（二）财政拨款收入支出决算总体情况说明</w:t>
      </w:r>
    </w:p>
    <w:p>
      <w:pPr>
        <w:keepNext w:val="0"/>
        <w:keepLines w:val="0"/>
        <w:pageBreakBefore w:val="0"/>
        <w:kinsoku/>
        <w:wordWrap/>
        <w:overflowPunct/>
        <w:topLinePunct w:val="0"/>
        <w:autoSpaceDN/>
        <w:bidi w:val="0"/>
        <w:adjustRightInd/>
        <w:spacing w:beforeAutospacing="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shd w:val="clear" w:color="auto" w:fill="FFFFFF"/>
        </w:rPr>
        <w:t>2023年度财政拨款收、支总计426.64万元。与2022年相比，财政拨款收、支总计各增加142.85万元，增长50.34%。主要原因是</w:t>
      </w:r>
      <w:r>
        <w:rPr>
          <w:rFonts w:hint="default" w:ascii="Times New Roman" w:hAnsi="Times New Roman" w:eastAsia="方正仿宋_GBK" w:cs="Times New Roman"/>
          <w:b w:val="0"/>
          <w:bCs/>
          <w:color w:val="auto"/>
          <w:sz w:val="32"/>
          <w:szCs w:val="32"/>
        </w:rPr>
        <w:t>本年度存在医务人员临时性工作补助、一次性增核绩效工资、2022年超额绩效清算、中医馆危房改建及基药补助经费等。</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rPr>
          <w:rFonts w:hint="default" w:ascii="方正楷体_GBK" w:hAnsi="方正楷体_GBK" w:eastAsia="方正楷体_GBK" w:cs="方正楷体_GBK"/>
          <w:b w:val="0"/>
          <w:bCs/>
          <w:color w:val="auto"/>
          <w:sz w:val="32"/>
          <w:szCs w:val="32"/>
          <w:shd w:val="clear" w:color="auto" w:fill="FFFFFF"/>
        </w:rPr>
      </w:pPr>
      <w:r>
        <w:rPr>
          <w:rFonts w:hint="default" w:ascii="方正楷体_GBK" w:hAnsi="方正楷体_GBK" w:eastAsia="方正楷体_GBK" w:cs="方正楷体_GBK"/>
          <w:b w:val="0"/>
          <w:bCs/>
          <w:color w:val="auto"/>
          <w:sz w:val="32"/>
          <w:szCs w:val="32"/>
          <w:shd w:val="clear" w:color="auto" w:fill="FFFFFF"/>
        </w:rPr>
        <w:t>（三）一般公共预算财政拨款收入支出决算情况说明</w:t>
      </w:r>
    </w:p>
    <w:p>
      <w:pPr>
        <w:keepNext w:val="0"/>
        <w:keepLines w:val="0"/>
        <w:pageBreakBefore w:val="0"/>
        <w:kinsoku/>
        <w:wordWrap/>
        <w:overflowPunct/>
        <w:topLinePunct w:val="0"/>
        <w:autoSpaceDN/>
        <w:bidi w:val="0"/>
        <w:adjustRightInd/>
        <w:snapToGrid w:val="0"/>
        <w:spacing w:beforeAutospacing="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Style w:val="11"/>
          <w:rFonts w:hint="default" w:ascii="Times New Roman" w:hAnsi="Times New Roman" w:eastAsia="方正仿宋_GBK" w:cs="Times New Roman"/>
          <w:b w:val="0"/>
          <w:bCs/>
          <w:color w:val="auto"/>
          <w:sz w:val="32"/>
          <w:szCs w:val="32"/>
          <w:shd w:val="clear" w:color="auto" w:fill="FFFFFF"/>
        </w:rPr>
        <w:t>1.收入情况。</w:t>
      </w:r>
      <w:r>
        <w:rPr>
          <w:rFonts w:hint="default" w:ascii="Times New Roman" w:hAnsi="Times New Roman" w:eastAsia="方正仿宋_GBK" w:cs="Times New Roman"/>
          <w:b w:val="0"/>
          <w:bCs/>
          <w:color w:val="auto"/>
          <w:sz w:val="32"/>
          <w:szCs w:val="32"/>
          <w:shd w:val="clear" w:color="auto" w:fill="FFFFFF"/>
        </w:rPr>
        <w:t>2023年度一般公共预算财政拨款收入</w:t>
      </w:r>
      <w:r>
        <w:rPr>
          <w:rFonts w:hint="default" w:ascii="Times New Roman" w:hAnsi="Times New Roman" w:eastAsia="方正仿宋_GBK" w:cs="Times New Roman"/>
          <w:b w:val="0"/>
          <w:bCs/>
          <w:color w:val="auto"/>
          <w:sz w:val="32"/>
          <w:szCs w:val="32"/>
        </w:rPr>
        <w:t>426.64</w:t>
      </w:r>
      <w:r>
        <w:rPr>
          <w:rFonts w:hint="default" w:ascii="Times New Roman" w:hAnsi="Times New Roman" w:eastAsia="方正仿宋_GBK" w:cs="Times New Roman"/>
          <w:b w:val="0"/>
          <w:bCs/>
          <w:color w:val="auto"/>
          <w:sz w:val="32"/>
          <w:szCs w:val="32"/>
          <w:shd w:val="clear" w:color="auto" w:fill="FFFFFF"/>
        </w:rPr>
        <w:t>万元，较上年决算数增加142.85万元，增长50.34%。主要原因是</w:t>
      </w:r>
      <w:r>
        <w:rPr>
          <w:rFonts w:hint="default" w:ascii="Times New Roman" w:hAnsi="Times New Roman" w:eastAsia="方正仿宋_GBK" w:cs="Times New Roman"/>
          <w:b w:val="0"/>
          <w:bCs/>
          <w:color w:val="auto"/>
          <w:sz w:val="32"/>
          <w:szCs w:val="32"/>
          <w:shd w:val="clear" w:color="auto" w:fill="FFFFFF"/>
          <w:lang w:val="en-US" w:eastAsia="zh-CN"/>
        </w:rPr>
        <w:t>人员增加，</w:t>
      </w:r>
      <w:r>
        <w:rPr>
          <w:rFonts w:hint="default" w:ascii="Times New Roman" w:hAnsi="Times New Roman" w:eastAsia="方正仿宋_GBK" w:cs="Times New Roman"/>
          <w:b w:val="0"/>
          <w:bCs/>
          <w:color w:val="auto"/>
          <w:sz w:val="32"/>
          <w:szCs w:val="32"/>
        </w:rPr>
        <w:t>财政拨款增加及事业收入增加</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shd w:val="clear" w:color="auto" w:fill="FFFFFF"/>
        </w:rPr>
        <w:t>较年初预算数增加208.30万元，增长95.40%。主要原因是</w:t>
      </w:r>
      <w:r>
        <w:rPr>
          <w:rFonts w:hint="default" w:ascii="Times New Roman" w:hAnsi="Times New Roman" w:eastAsia="方正仿宋_GBK" w:cs="Times New Roman"/>
          <w:b w:val="0"/>
          <w:bCs/>
          <w:color w:val="auto"/>
          <w:sz w:val="32"/>
          <w:szCs w:val="32"/>
          <w:highlight w:val="none"/>
          <w:lang w:val="en-US" w:eastAsia="zh-CN"/>
        </w:rPr>
        <w:t>本年度在编人员数增加，财政拨款预算收入增加，同时事业收入预算增加。</w:t>
      </w:r>
      <w:r>
        <w:rPr>
          <w:rFonts w:hint="default" w:ascii="Times New Roman" w:hAnsi="Times New Roman" w:eastAsia="方正仿宋_GBK" w:cs="Times New Roman"/>
          <w:b w:val="0"/>
          <w:bCs/>
          <w:color w:val="auto"/>
          <w:sz w:val="32"/>
          <w:szCs w:val="32"/>
          <w:shd w:val="clear" w:color="auto" w:fill="FFFFFF"/>
        </w:rPr>
        <w:t>此外，年初财政拨款结转和结余</w:t>
      </w:r>
      <w:r>
        <w:rPr>
          <w:rFonts w:hint="default" w:ascii="Times New Roman" w:hAnsi="Times New Roman" w:eastAsia="方正仿宋_GBK" w:cs="Times New Roman"/>
          <w:b w:val="0"/>
          <w:bCs/>
          <w:color w:val="auto"/>
          <w:sz w:val="32"/>
          <w:szCs w:val="32"/>
        </w:rPr>
        <w:t>0.00</w:t>
      </w:r>
      <w:r>
        <w:rPr>
          <w:rFonts w:hint="default" w:ascii="Times New Roman" w:hAnsi="Times New Roman" w:eastAsia="方正仿宋_GBK" w:cs="Times New Roman"/>
          <w:b w:val="0"/>
          <w:bCs/>
          <w:color w:val="auto"/>
          <w:sz w:val="32"/>
          <w:szCs w:val="32"/>
          <w:shd w:val="clear" w:color="auto" w:fill="FFFFFF"/>
        </w:rPr>
        <w:t>万元。</w:t>
      </w:r>
    </w:p>
    <w:p>
      <w:pPr>
        <w:keepNext w:val="0"/>
        <w:keepLines w:val="0"/>
        <w:pageBreakBefore w:val="0"/>
        <w:kinsoku/>
        <w:wordWrap/>
        <w:overflowPunct/>
        <w:topLinePunct w:val="0"/>
        <w:autoSpaceDN/>
        <w:bidi w:val="0"/>
        <w:adjustRightInd/>
        <w:snapToGrid w:val="0"/>
        <w:spacing w:beforeAutospacing="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Style w:val="11"/>
          <w:rFonts w:hint="default" w:ascii="Times New Roman" w:hAnsi="Times New Roman" w:eastAsia="方正仿宋_GBK" w:cs="Times New Roman"/>
          <w:b w:val="0"/>
          <w:bCs/>
          <w:color w:val="auto"/>
          <w:sz w:val="32"/>
          <w:szCs w:val="32"/>
          <w:shd w:val="clear" w:color="auto" w:fill="FFFFFF"/>
        </w:rPr>
        <w:t>2.支出情况。</w:t>
      </w:r>
      <w:r>
        <w:rPr>
          <w:rFonts w:hint="default" w:ascii="Times New Roman" w:hAnsi="Times New Roman" w:eastAsia="方正仿宋_GBK" w:cs="Times New Roman"/>
          <w:b w:val="0"/>
          <w:bCs/>
          <w:color w:val="auto"/>
          <w:sz w:val="32"/>
          <w:szCs w:val="32"/>
          <w:shd w:val="clear" w:color="auto" w:fill="FFFFFF"/>
        </w:rPr>
        <w:t>2023年度一般公共预算财政拨款支出</w:t>
      </w:r>
      <w:r>
        <w:rPr>
          <w:rFonts w:hint="default" w:ascii="Times New Roman" w:hAnsi="Times New Roman" w:eastAsia="方正仿宋_GBK" w:cs="Times New Roman"/>
          <w:b w:val="0"/>
          <w:bCs/>
          <w:color w:val="auto"/>
          <w:sz w:val="32"/>
          <w:szCs w:val="32"/>
        </w:rPr>
        <w:t>408.91</w:t>
      </w:r>
      <w:r>
        <w:rPr>
          <w:rFonts w:hint="default" w:ascii="Times New Roman" w:hAnsi="Times New Roman" w:eastAsia="方正仿宋_GBK" w:cs="Times New Roman"/>
          <w:b w:val="0"/>
          <w:bCs/>
          <w:color w:val="auto"/>
          <w:sz w:val="32"/>
          <w:szCs w:val="32"/>
          <w:shd w:val="clear" w:color="auto" w:fill="FFFFFF"/>
        </w:rPr>
        <w:t>万元，较上年决算数增加125.12万元，增长44.09%。主要原因是</w:t>
      </w:r>
      <w:r>
        <w:rPr>
          <w:rFonts w:hint="default" w:ascii="Times New Roman" w:hAnsi="Times New Roman" w:eastAsia="方正仿宋_GBK" w:cs="Times New Roman"/>
          <w:b w:val="0"/>
          <w:bCs/>
          <w:color w:val="auto"/>
          <w:sz w:val="32"/>
          <w:szCs w:val="32"/>
          <w:shd w:val="clear" w:color="auto" w:fill="FFFFFF"/>
          <w:lang w:val="en-US" w:eastAsia="zh-CN"/>
        </w:rPr>
        <w:t>人员增加，人员经增加，卫生健康支出增加。</w:t>
      </w:r>
      <w:r>
        <w:rPr>
          <w:rFonts w:hint="default" w:ascii="Times New Roman" w:hAnsi="Times New Roman" w:eastAsia="方正仿宋_GBK" w:cs="Times New Roman"/>
          <w:b w:val="0"/>
          <w:bCs/>
          <w:color w:val="auto"/>
          <w:sz w:val="32"/>
          <w:szCs w:val="32"/>
          <w:shd w:val="clear" w:color="auto" w:fill="FFFFFF"/>
        </w:rPr>
        <w:t>较年初预算数增加177.57万元，增长76.76%。主要原因是</w:t>
      </w:r>
      <w:r>
        <w:rPr>
          <w:rFonts w:hint="default" w:ascii="Times New Roman" w:hAnsi="Times New Roman" w:eastAsia="方正仿宋_GBK" w:cs="Times New Roman"/>
          <w:b w:val="0"/>
          <w:bCs/>
          <w:color w:val="auto"/>
          <w:sz w:val="32"/>
          <w:szCs w:val="32"/>
        </w:rPr>
        <w:t>本年度存在医务人员临时性工作补助、一次性增核绩效工资、2022年超额绩效清算、中医馆危房改建及基药补助经费等。</w:t>
      </w:r>
    </w:p>
    <w:p>
      <w:pPr>
        <w:keepNext w:val="0"/>
        <w:keepLines w:val="0"/>
        <w:pageBreakBefore w:val="0"/>
        <w:kinsoku/>
        <w:wordWrap/>
        <w:overflowPunct/>
        <w:topLinePunct w:val="0"/>
        <w:autoSpaceDN/>
        <w:bidi w:val="0"/>
        <w:adjustRightInd/>
        <w:snapToGrid w:val="0"/>
        <w:spacing w:beforeAutospacing="0" w:afterAutospacing="0" w:line="560" w:lineRule="exact"/>
        <w:ind w:firstLine="640" w:firstLineChars="200"/>
        <w:jc w:val="both"/>
        <w:rPr>
          <w:rFonts w:hint="default" w:ascii="Times New Roman" w:hAnsi="Times New Roman" w:eastAsia="方正仿宋_GBK" w:cs="Times New Roman"/>
          <w:b w:val="0"/>
          <w:bCs/>
          <w:color w:val="auto"/>
          <w:sz w:val="32"/>
          <w:szCs w:val="32"/>
          <w:lang w:val="en-US" w:eastAsia="zh-CN"/>
        </w:rPr>
      </w:pPr>
      <w:r>
        <w:rPr>
          <w:rStyle w:val="11"/>
          <w:rFonts w:hint="default" w:ascii="Times New Roman" w:hAnsi="Times New Roman" w:eastAsia="方正仿宋_GBK" w:cs="Times New Roman"/>
          <w:b w:val="0"/>
          <w:bCs/>
          <w:color w:val="auto"/>
          <w:sz w:val="32"/>
          <w:szCs w:val="32"/>
          <w:shd w:val="clear" w:color="auto" w:fill="FFFFFF"/>
        </w:rPr>
        <w:t>3.结转结余情况。</w:t>
      </w:r>
      <w:r>
        <w:rPr>
          <w:rFonts w:hint="default" w:ascii="Times New Roman" w:hAnsi="Times New Roman" w:eastAsia="方正仿宋_GBK" w:cs="Times New Roman"/>
          <w:b w:val="0"/>
          <w:bCs/>
          <w:color w:val="auto"/>
          <w:sz w:val="32"/>
          <w:szCs w:val="32"/>
          <w:shd w:val="clear" w:color="auto" w:fill="FFFFFF"/>
        </w:rPr>
        <w:t>2023年度年末一般公共预算财政拨款结转和结余</w:t>
      </w:r>
      <w:r>
        <w:rPr>
          <w:rFonts w:hint="default" w:ascii="Times New Roman" w:hAnsi="Times New Roman" w:eastAsia="方正仿宋_GBK" w:cs="Times New Roman"/>
          <w:b w:val="0"/>
          <w:bCs/>
          <w:color w:val="auto"/>
          <w:sz w:val="32"/>
          <w:szCs w:val="32"/>
        </w:rPr>
        <w:t>17.74</w:t>
      </w:r>
      <w:r>
        <w:rPr>
          <w:rFonts w:hint="default" w:ascii="Times New Roman" w:hAnsi="Times New Roman" w:eastAsia="方正仿宋_GBK" w:cs="Times New Roman"/>
          <w:b w:val="0"/>
          <w:bCs/>
          <w:color w:val="auto"/>
          <w:sz w:val="32"/>
          <w:szCs w:val="32"/>
          <w:shd w:val="clear" w:color="auto" w:fill="FFFFFF"/>
        </w:rPr>
        <w:t>万元，较上年决算数增加17.74万元，增长100.00%，主要原因是</w:t>
      </w:r>
      <w:r>
        <w:rPr>
          <w:rFonts w:hint="default" w:ascii="Times New Roman" w:hAnsi="Times New Roman" w:eastAsia="方正仿宋_GBK" w:cs="Times New Roman"/>
          <w:b w:val="0"/>
          <w:bCs/>
          <w:color w:val="auto"/>
          <w:sz w:val="32"/>
          <w:szCs w:val="32"/>
          <w:lang w:val="en-US" w:eastAsia="zh-CN"/>
        </w:rPr>
        <w:t>存在财拨2022年院内职工超额绩效清算17.74万元未发放。</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highlight w:val="cyan"/>
          <w:shd w:val="clear" w:color="auto" w:fill="FFFFFF"/>
        </w:rPr>
      </w:pPr>
      <w:r>
        <w:rPr>
          <w:rStyle w:val="11"/>
          <w:rFonts w:hint="default" w:ascii="Times New Roman" w:hAnsi="Times New Roman" w:eastAsia="方正仿宋_GBK" w:cs="Times New Roman"/>
          <w:b w:val="0"/>
          <w:bCs/>
          <w:color w:val="auto"/>
          <w:sz w:val="32"/>
          <w:szCs w:val="32"/>
          <w:shd w:val="clear" w:color="auto" w:fill="FFFFFF"/>
        </w:rPr>
        <w:t xml:space="preserve"> 4.比较情况。</w:t>
      </w:r>
      <w:r>
        <w:rPr>
          <w:rFonts w:hint="default" w:ascii="Times New Roman" w:hAnsi="Times New Roman" w:eastAsia="方正仿宋_GBK" w:cs="Times New Roman"/>
          <w:b w:val="0"/>
          <w:bCs/>
          <w:color w:val="auto"/>
          <w:sz w:val="32"/>
          <w:szCs w:val="32"/>
          <w:shd w:val="clear" w:color="auto" w:fill="FFFFFF"/>
        </w:rPr>
        <w:t>本单位2023年度一般公共预算财政拨款支出主要用于以下几个方面：</w:t>
      </w:r>
    </w:p>
    <w:p>
      <w:pPr>
        <w:keepNext w:val="0"/>
        <w:keepLines w:val="0"/>
        <w:pageBreakBefore w:val="0"/>
        <w:kinsoku/>
        <w:wordWrap/>
        <w:overflowPunct/>
        <w:topLinePunct w:val="0"/>
        <w:autoSpaceDN/>
        <w:bidi w:val="0"/>
        <w:adjustRightInd/>
        <w:spacing w:beforeAutospacing="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shd w:val="clear" w:color="auto" w:fill="FFFFFF"/>
        </w:rPr>
        <w:t>（</w:t>
      </w:r>
      <w:r>
        <w:rPr>
          <w:rFonts w:hint="default" w:ascii="Times New Roman" w:hAnsi="Times New Roman" w:eastAsia="方正仿宋_GBK" w:cs="Times New Roman"/>
          <w:b w:val="0"/>
          <w:bCs/>
          <w:color w:val="auto"/>
          <w:sz w:val="32"/>
          <w:szCs w:val="32"/>
          <w:shd w:val="clear" w:color="auto" w:fill="FFFFFF"/>
          <w:lang w:val="en-US" w:eastAsia="zh-CN"/>
        </w:rPr>
        <w:t>1</w:t>
      </w:r>
      <w:r>
        <w:rPr>
          <w:rFonts w:hint="default" w:ascii="Times New Roman" w:hAnsi="Times New Roman" w:eastAsia="方正仿宋_GBK" w:cs="Times New Roman"/>
          <w:b w:val="0"/>
          <w:bCs/>
          <w:color w:val="auto"/>
          <w:sz w:val="32"/>
          <w:szCs w:val="32"/>
          <w:shd w:val="clear" w:color="auto" w:fill="FFFFFF"/>
        </w:rPr>
        <w:t>）社会保障与就业支出</w:t>
      </w:r>
      <w:r>
        <w:rPr>
          <w:rFonts w:hint="default" w:ascii="Times New Roman" w:hAnsi="Times New Roman" w:eastAsia="方正仿宋_GBK" w:cs="Times New Roman"/>
          <w:b w:val="0"/>
          <w:bCs/>
          <w:color w:val="auto"/>
          <w:sz w:val="32"/>
          <w:szCs w:val="32"/>
        </w:rPr>
        <w:t>27.60</w:t>
      </w:r>
      <w:r>
        <w:rPr>
          <w:rFonts w:hint="default" w:ascii="Times New Roman" w:hAnsi="Times New Roman" w:eastAsia="方正仿宋_GBK" w:cs="Times New Roman"/>
          <w:b w:val="0"/>
          <w:bCs/>
          <w:color w:val="auto"/>
          <w:sz w:val="32"/>
          <w:szCs w:val="32"/>
          <w:shd w:val="clear" w:color="auto" w:fill="FFFFFF"/>
        </w:rPr>
        <w:t>万元，占</w:t>
      </w:r>
      <w:r>
        <w:rPr>
          <w:rFonts w:hint="default" w:ascii="Times New Roman" w:hAnsi="Times New Roman" w:eastAsia="方正仿宋_GBK" w:cs="Times New Roman"/>
          <w:b w:val="0"/>
          <w:bCs/>
          <w:color w:val="auto"/>
          <w:sz w:val="32"/>
          <w:szCs w:val="32"/>
        </w:rPr>
        <w:t>6.75</w:t>
      </w:r>
      <w:r>
        <w:rPr>
          <w:rFonts w:hint="default" w:ascii="Times New Roman" w:hAnsi="Times New Roman" w:eastAsia="方正仿宋_GBK" w:cs="Times New Roman"/>
          <w:b w:val="0"/>
          <w:bCs/>
          <w:color w:val="auto"/>
          <w:sz w:val="32"/>
          <w:szCs w:val="32"/>
          <w:shd w:val="clear" w:color="auto" w:fill="FFFFFF"/>
        </w:rPr>
        <w:t>%，较年初预算数减少6.94万元，下降20.09%，主要原因是</w:t>
      </w:r>
      <w:r>
        <w:rPr>
          <w:rFonts w:hint="default" w:ascii="Times New Roman" w:hAnsi="Times New Roman" w:eastAsia="方正仿宋_GBK" w:cs="Times New Roman"/>
          <w:b w:val="0"/>
          <w:bCs/>
          <w:color w:val="auto"/>
          <w:sz w:val="32"/>
          <w:szCs w:val="32"/>
          <w:shd w:val="clear" w:color="auto" w:fill="FFFFFF"/>
          <w:lang w:val="en-US" w:eastAsia="zh-CN"/>
        </w:rPr>
        <w:t>本单位</w:t>
      </w:r>
      <w:r>
        <w:rPr>
          <w:rFonts w:hint="default" w:ascii="Times New Roman" w:hAnsi="Times New Roman" w:eastAsia="方正仿宋_GBK" w:cs="Times New Roman"/>
          <w:b w:val="0"/>
          <w:bCs/>
          <w:color w:val="auto"/>
          <w:sz w:val="32"/>
          <w:szCs w:val="32"/>
        </w:rPr>
        <w:t>加强了公用经费管理，减少了不必要的公用开支。</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shd w:val="clear" w:color="auto" w:fill="FFFFFF"/>
          <w:lang w:val="en-US" w:eastAsia="zh-CN"/>
        </w:rPr>
      </w:pPr>
      <w:r>
        <w:rPr>
          <w:rFonts w:hint="default" w:ascii="Times New Roman" w:hAnsi="Times New Roman" w:eastAsia="方正仿宋_GBK" w:cs="Times New Roman"/>
          <w:b w:val="0"/>
          <w:bCs/>
          <w:color w:val="auto"/>
          <w:sz w:val="32"/>
          <w:szCs w:val="32"/>
          <w:shd w:val="clear" w:color="auto" w:fill="FFFFFF"/>
        </w:rPr>
        <w:t>（</w:t>
      </w:r>
      <w:r>
        <w:rPr>
          <w:rFonts w:hint="default" w:ascii="Times New Roman" w:hAnsi="Times New Roman" w:eastAsia="方正仿宋_GBK" w:cs="Times New Roman"/>
          <w:b w:val="0"/>
          <w:bCs/>
          <w:color w:val="auto"/>
          <w:sz w:val="32"/>
          <w:szCs w:val="32"/>
          <w:shd w:val="clear" w:color="auto" w:fill="FFFFFF"/>
          <w:lang w:val="en-US" w:eastAsia="zh-CN"/>
        </w:rPr>
        <w:t>2</w:t>
      </w:r>
      <w:r>
        <w:rPr>
          <w:rFonts w:hint="default" w:ascii="Times New Roman" w:hAnsi="Times New Roman" w:eastAsia="方正仿宋_GBK" w:cs="Times New Roman"/>
          <w:b w:val="0"/>
          <w:bCs/>
          <w:color w:val="auto"/>
          <w:sz w:val="32"/>
          <w:szCs w:val="32"/>
          <w:shd w:val="clear" w:color="auto" w:fill="FFFFFF"/>
        </w:rPr>
        <w:t>）卫生健康支出</w:t>
      </w:r>
      <w:r>
        <w:rPr>
          <w:rFonts w:hint="default" w:ascii="Times New Roman" w:hAnsi="Times New Roman" w:eastAsia="方正仿宋_GBK" w:cs="Times New Roman"/>
          <w:b w:val="0"/>
          <w:bCs/>
          <w:color w:val="auto"/>
          <w:sz w:val="32"/>
          <w:szCs w:val="32"/>
        </w:rPr>
        <w:t>370.75</w:t>
      </w:r>
      <w:r>
        <w:rPr>
          <w:rFonts w:hint="default" w:ascii="Times New Roman" w:hAnsi="Times New Roman" w:eastAsia="方正仿宋_GBK" w:cs="Times New Roman"/>
          <w:b w:val="0"/>
          <w:bCs/>
          <w:color w:val="auto"/>
          <w:sz w:val="32"/>
          <w:szCs w:val="32"/>
          <w:shd w:val="clear" w:color="auto" w:fill="FFFFFF"/>
        </w:rPr>
        <w:t>万元，占</w:t>
      </w:r>
      <w:r>
        <w:rPr>
          <w:rFonts w:hint="default" w:ascii="Times New Roman" w:hAnsi="Times New Roman" w:eastAsia="方正仿宋_GBK" w:cs="Times New Roman"/>
          <w:b w:val="0"/>
          <w:bCs/>
          <w:color w:val="auto"/>
          <w:sz w:val="32"/>
          <w:szCs w:val="32"/>
        </w:rPr>
        <w:t>90.67</w:t>
      </w:r>
      <w:r>
        <w:rPr>
          <w:rFonts w:hint="default" w:ascii="Times New Roman" w:hAnsi="Times New Roman" w:eastAsia="方正仿宋_GBK" w:cs="Times New Roman"/>
          <w:b w:val="0"/>
          <w:bCs/>
          <w:color w:val="auto"/>
          <w:sz w:val="32"/>
          <w:szCs w:val="32"/>
          <w:shd w:val="clear" w:color="auto" w:fill="FFFFFF"/>
        </w:rPr>
        <w:t>%，较年初预算数增加190.31万元，增长105.47%，主要原因是</w:t>
      </w:r>
      <w:r>
        <w:rPr>
          <w:rFonts w:hint="default" w:ascii="Times New Roman" w:hAnsi="Times New Roman" w:eastAsia="方正仿宋_GBK" w:cs="Times New Roman"/>
          <w:b w:val="0"/>
          <w:bCs/>
          <w:color w:val="auto"/>
          <w:sz w:val="32"/>
          <w:szCs w:val="32"/>
          <w:shd w:val="clear" w:color="auto" w:fill="FFFFFF"/>
          <w:lang w:val="en-US" w:eastAsia="zh-CN"/>
        </w:rPr>
        <w:t>人员增加、人员经费增加，医疗支出增加。</w:t>
      </w:r>
    </w:p>
    <w:p>
      <w:pPr>
        <w:keepNext w:val="0"/>
        <w:keepLines w:val="0"/>
        <w:pageBreakBefore w:val="0"/>
        <w:kinsoku/>
        <w:wordWrap/>
        <w:overflowPunct/>
        <w:topLinePunct w:val="0"/>
        <w:autoSpaceDN/>
        <w:bidi w:val="0"/>
        <w:adjustRightInd/>
        <w:spacing w:beforeAutospacing="0" w:afterAutospacing="0" w:line="560" w:lineRule="exact"/>
        <w:ind w:firstLine="640" w:firstLineChars="200"/>
        <w:jc w:val="both"/>
        <w:rPr>
          <w:rFonts w:hint="default" w:ascii="Times New Roman" w:hAnsi="Times New Roman" w:eastAsia="方正仿宋_GBK" w:cs="Times New Roman"/>
          <w:b w:val="0"/>
          <w:bCs/>
          <w:color w:val="auto"/>
          <w:sz w:val="32"/>
          <w:szCs w:val="32"/>
          <w:shd w:val="clear" w:color="auto" w:fill="FFFFFF"/>
        </w:rPr>
      </w:pPr>
      <w:r>
        <w:rPr>
          <w:rFonts w:hint="default" w:ascii="Times New Roman" w:hAnsi="Times New Roman" w:eastAsia="方正仿宋_GBK" w:cs="Times New Roman"/>
          <w:b w:val="0"/>
          <w:bCs/>
          <w:color w:val="auto"/>
          <w:sz w:val="32"/>
          <w:szCs w:val="32"/>
          <w:shd w:val="clear" w:color="auto" w:fill="FFFFFF"/>
        </w:rPr>
        <w:t>（</w:t>
      </w:r>
      <w:r>
        <w:rPr>
          <w:rFonts w:hint="default" w:ascii="Times New Roman" w:hAnsi="Times New Roman" w:eastAsia="方正仿宋_GBK" w:cs="Times New Roman"/>
          <w:b w:val="0"/>
          <w:bCs/>
          <w:color w:val="auto"/>
          <w:sz w:val="32"/>
          <w:szCs w:val="32"/>
          <w:shd w:val="clear" w:color="auto" w:fill="FFFFFF"/>
          <w:lang w:val="en-US" w:eastAsia="zh-CN"/>
        </w:rPr>
        <w:t>3</w:t>
      </w:r>
      <w:r>
        <w:rPr>
          <w:rFonts w:hint="default" w:ascii="Times New Roman" w:hAnsi="Times New Roman" w:eastAsia="方正仿宋_GBK" w:cs="Times New Roman"/>
          <w:b w:val="0"/>
          <w:bCs/>
          <w:color w:val="auto"/>
          <w:sz w:val="32"/>
          <w:szCs w:val="32"/>
          <w:shd w:val="clear" w:color="auto" w:fill="FFFFFF"/>
        </w:rPr>
        <w:t>）</w:t>
      </w:r>
      <w:r>
        <w:rPr>
          <w:rFonts w:hint="default" w:ascii="Times New Roman" w:hAnsi="Times New Roman" w:eastAsia="方正仿宋_GBK" w:cs="Times New Roman"/>
          <w:b w:val="0"/>
          <w:bCs/>
          <w:color w:val="auto"/>
          <w:sz w:val="32"/>
          <w:szCs w:val="32"/>
        </w:rPr>
        <w:t>住房保障支出10.55</w:t>
      </w:r>
      <w:r>
        <w:rPr>
          <w:rFonts w:hint="default" w:ascii="Times New Roman" w:hAnsi="Times New Roman" w:eastAsia="方正仿宋_GBK" w:cs="Times New Roman"/>
          <w:b w:val="0"/>
          <w:bCs/>
          <w:color w:val="auto"/>
          <w:sz w:val="32"/>
          <w:szCs w:val="32"/>
          <w:shd w:val="clear" w:color="auto" w:fill="FFFFFF"/>
        </w:rPr>
        <w:t>万元，占</w:t>
      </w:r>
      <w:r>
        <w:rPr>
          <w:rFonts w:hint="default" w:ascii="Times New Roman" w:hAnsi="Times New Roman" w:eastAsia="方正仿宋_GBK" w:cs="Times New Roman"/>
          <w:b w:val="0"/>
          <w:bCs/>
          <w:color w:val="auto"/>
          <w:sz w:val="32"/>
          <w:szCs w:val="32"/>
        </w:rPr>
        <w:t>2.58</w:t>
      </w:r>
      <w:r>
        <w:rPr>
          <w:rFonts w:hint="default" w:ascii="Times New Roman" w:hAnsi="Times New Roman" w:eastAsia="方正仿宋_GBK" w:cs="Times New Roman"/>
          <w:b w:val="0"/>
          <w:bCs/>
          <w:color w:val="auto"/>
          <w:sz w:val="32"/>
          <w:szCs w:val="32"/>
          <w:shd w:val="clear" w:color="auto" w:fill="FFFFFF"/>
        </w:rPr>
        <w:t>%，较年初预算数减少5.81万元，下降35.51%，主要原因是</w:t>
      </w:r>
      <w:r>
        <w:rPr>
          <w:rFonts w:hint="default" w:ascii="Times New Roman" w:hAnsi="Times New Roman" w:eastAsia="方正仿宋_GBK" w:cs="Times New Roman"/>
          <w:b w:val="0"/>
          <w:bCs/>
          <w:color w:val="auto"/>
          <w:sz w:val="32"/>
          <w:szCs w:val="32"/>
          <w:shd w:val="clear" w:color="auto" w:fill="FFFFFF"/>
          <w:lang w:val="en-US" w:eastAsia="zh-CN"/>
        </w:rPr>
        <w:t>规范内部管理，</w:t>
      </w:r>
      <w:r>
        <w:rPr>
          <w:rFonts w:hint="default" w:ascii="Times New Roman" w:hAnsi="Times New Roman" w:eastAsia="方正仿宋_GBK" w:cs="Times New Roman"/>
          <w:b w:val="0"/>
          <w:bCs/>
          <w:color w:val="auto"/>
          <w:sz w:val="32"/>
          <w:szCs w:val="32"/>
        </w:rPr>
        <w:t>减少了不必要的公用开支。</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outlineLvl w:val="9"/>
        <w:rPr>
          <w:rFonts w:hint="default" w:ascii="Times New Roman" w:hAnsi="Times New Roman" w:eastAsia="方正仿宋_GBK" w:cs="Times New Roman"/>
          <w:b w:val="0"/>
          <w:bCs/>
          <w:color w:val="auto"/>
          <w:sz w:val="32"/>
          <w:szCs w:val="32"/>
          <w:shd w:val="clear" w:color="auto" w:fill="FFFFFF"/>
        </w:rPr>
      </w:pPr>
      <w:r>
        <w:rPr>
          <w:rFonts w:hint="default" w:ascii="方正楷体_GBK" w:hAnsi="方正楷体_GBK" w:eastAsia="方正楷体_GBK" w:cs="方正楷体_GBK"/>
          <w:b w:val="0"/>
          <w:bCs/>
          <w:color w:val="auto"/>
          <w:sz w:val="32"/>
          <w:szCs w:val="32"/>
          <w:shd w:val="clear" w:color="auto" w:fill="FFFFFF"/>
        </w:rPr>
        <w:t>（四）一般公共预算财政拨款基本支出决算情况说明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lang w:val="en-US"/>
        </w:rPr>
      </w:pPr>
      <w:r>
        <w:rPr>
          <w:rFonts w:hint="default" w:ascii="Times New Roman" w:hAnsi="Times New Roman" w:eastAsia="方正仿宋_GBK" w:cs="Times New Roman"/>
          <w:b w:val="0"/>
          <w:bCs/>
          <w:color w:val="auto"/>
          <w:sz w:val="32"/>
          <w:szCs w:val="32"/>
          <w:shd w:val="clear" w:color="auto" w:fill="FFFFFF"/>
        </w:rPr>
        <w:t> 2023年度一般公共财政拨款基本支出</w:t>
      </w:r>
      <w:r>
        <w:rPr>
          <w:rFonts w:hint="default" w:ascii="Times New Roman" w:hAnsi="Times New Roman" w:eastAsia="方正仿宋_GBK" w:cs="Times New Roman"/>
          <w:b w:val="0"/>
          <w:bCs/>
          <w:color w:val="auto"/>
          <w:sz w:val="32"/>
          <w:szCs w:val="32"/>
        </w:rPr>
        <w:t>384.24</w:t>
      </w:r>
      <w:r>
        <w:rPr>
          <w:rFonts w:hint="default" w:ascii="Times New Roman" w:hAnsi="Times New Roman" w:eastAsia="方正仿宋_GBK" w:cs="Times New Roman"/>
          <w:b w:val="0"/>
          <w:bCs/>
          <w:color w:val="auto"/>
          <w:sz w:val="32"/>
          <w:szCs w:val="32"/>
          <w:shd w:val="clear" w:color="auto" w:fill="FFFFFF"/>
        </w:rPr>
        <w:t>万元。其中：人员经费</w:t>
      </w:r>
      <w:r>
        <w:rPr>
          <w:rFonts w:hint="default" w:ascii="Times New Roman" w:hAnsi="Times New Roman" w:eastAsia="方正仿宋_GBK" w:cs="Times New Roman"/>
          <w:b w:val="0"/>
          <w:bCs/>
          <w:color w:val="auto"/>
          <w:sz w:val="32"/>
          <w:szCs w:val="32"/>
        </w:rPr>
        <w:t>315.77</w:t>
      </w:r>
      <w:r>
        <w:rPr>
          <w:rFonts w:hint="default" w:ascii="Times New Roman" w:hAnsi="Times New Roman" w:eastAsia="方正仿宋_GBK" w:cs="Times New Roman"/>
          <w:b w:val="0"/>
          <w:bCs/>
          <w:color w:val="auto"/>
          <w:sz w:val="32"/>
          <w:szCs w:val="32"/>
          <w:shd w:val="clear" w:color="auto" w:fill="FFFFFF"/>
        </w:rPr>
        <w:t>万元，较上年决算数增加37.54万元，增长13.49%，主要原因是</w:t>
      </w:r>
      <w:r>
        <w:rPr>
          <w:rFonts w:hint="default" w:ascii="Times New Roman" w:hAnsi="Times New Roman" w:eastAsia="方正仿宋_GBK" w:cs="Times New Roman"/>
          <w:b w:val="0"/>
          <w:bCs/>
          <w:color w:val="auto"/>
          <w:sz w:val="32"/>
          <w:szCs w:val="32"/>
          <w:shd w:val="clear" w:color="auto" w:fill="FFFFFF"/>
          <w:lang w:val="en-US" w:eastAsia="zh-CN"/>
        </w:rPr>
        <w:t>在编人员数量增加。</w:t>
      </w:r>
      <w:r>
        <w:rPr>
          <w:rFonts w:hint="default" w:ascii="Times New Roman" w:hAnsi="Times New Roman" w:eastAsia="方正仿宋_GBK" w:cs="Times New Roman"/>
          <w:b w:val="0"/>
          <w:bCs/>
          <w:color w:val="auto"/>
          <w:sz w:val="32"/>
          <w:szCs w:val="32"/>
          <w:shd w:val="clear" w:color="auto" w:fill="FFFFFF"/>
        </w:rPr>
        <w:t>人员经费用途主要包括</w:t>
      </w:r>
      <w:r>
        <w:rPr>
          <w:rFonts w:hint="default" w:ascii="Times New Roman" w:hAnsi="Times New Roman" w:eastAsia="方正仿宋_GBK" w:cs="Times New Roman"/>
          <w:b w:val="0"/>
          <w:bCs/>
          <w:color w:val="auto"/>
          <w:sz w:val="32"/>
          <w:szCs w:val="32"/>
        </w:rPr>
        <w:t>临时性工作补助、一次性增核绩效工资</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基本工资</w:t>
      </w:r>
      <w:r>
        <w:rPr>
          <w:rFonts w:hint="default" w:ascii="Times New Roman" w:hAnsi="Times New Roman" w:eastAsia="方正仿宋_GBK" w:cs="Times New Roman"/>
          <w:b w:val="0"/>
          <w:bCs/>
          <w:color w:val="auto"/>
          <w:sz w:val="32"/>
          <w:szCs w:val="32"/>
        </w:rPr>
        <w:t>等</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shd w:val="clear" w:color="auto" w:fill="FFFFFF"/>
        </w:rPr>
        <w:t>公用经费</w:t>
      </w:r>
      <w:r>
        <w:rPr>
          <w:rFonts w:hint="default" w:ascii="Times New Roman" w:hAnsi="Times New Roman" w:eastAsia="方正仿宋_GBK" w:cs="Times New Roman"/>
          <w:b w:val="0"/>
          <w:bCs/>
          <w:color w:val="auto"/>
          <w:sz w:val="32"/>
          <w:szCs w:val="32"/>
        </w:rPr>
        <w:t>68.47</w:t>
      </w:r>
      <w:r>
        <w:rPr>
          <w:rFonts w:hint="default" w:ascii="Times New Roman" w:hAnsi="Times New Roman" w:eastAsia="方正仿宋_GBK" w:cs="Times New Roman"/>
          <w:b w:val="0"/>
          <w:bCs/>
          <w:color w:val="auto"/>
          <w:sz w:val="32"/>
          <w:szCs w:val="32"/>
          <w:shd w:val="clear" w:color="auto" w:fill="FFFFFF"/>
        </w:rPr>
        <w:t>万元，较上年决算数增加62.91万元，增长1131.47%，主要原因是</w:t>
      </w:r>
      <w:r>
        <w:rPr>
          <w:rFonts w:hint="default" w:ascii="Times New Roman" w:hAnsi="Times New Roman" w:eastAsia="方正仿宋_GBK" w:cs="Times New Roman"/>
          <w:b w:val="0"/>
          <w:bCs/>
          <w:color w:val="auto"/>
          <w:sz w:val="32"/>
          <w:szCs w:val="32"/>
          <w:shd w:val="clear" w:color="auto" w:fill="FFFFFF"/>
          <w:lang w:val="en-US" w:eastAsia="zh-CN"/>
        </w:rPr>
        <w:t>人员数量增加</w:t>
      </w:r>
      <w:r>
        <w:rPr>
          <w:rFonts w:hint="default" w:ascii="Times New Roman" w:hAnsi="Times New Roman" w:eastAsia="方正仿宋_GBK" w:cs="Times New Roman"/>
          <w:b w:val="0"/>
          <w:bCs/>
          <w:color w:val="auto"/>
          <w:sz w:val="32"/>
          <w:szCs w:val="32"/>
          <w:shd w:val="clear" w:color="auto" w:fill="FFFFFF"/>
        </w:rPr>
        <w:t>。公用经费用途主要包括</w:t>
      </w:r>
      <w:r>
        <w:rPr>
          <w:rFonts w:hint="default" w:ascii="Times New Roman" w:hAnsi="Times New Roman" w:eastAsia="方正仿宋_GBK" w:cs="Times New Roman"/>
          <w:b w:val="0"/>
          <w:bCs/>
          <w:color w:val="auto"/>
          <w:sz w:val="32"/>
          <w:szCs w:val="32"/>
          <w:lang w:val="en-US" w:eastAsia="zh-CN"/>
        </w:rPr>
        <w:t>社会保障和就业、</w:t>
      </w:r>
      <w:r>
        <w:rPr>
          <w:rFonts w:hint="default" w:ascii="Times New Roman" w:hAnsi="Times New Roman" w:eastAsia="方正仿宋_GBK" w:cs="Times New Roman"/>
          <w:b w:val="0"/>
          <w:bCs/>
          <w:color w:val="auto"/>
          <w:sz w:val="32"/>
          <w:szCs w:val="32"/>
        </w:rPr>
        <w:t>住房保障</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商品与服务等。</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rPr>
          <w:rFonts w:hint="default" w:ascii="方正楷体_GBK" w:hAnsi="方正楷体_GBK" w:eastAsia="方正楷体_GBK" w:cs="方正楷体_GBK"/>
          <w:b w:val="0"/>
          <w:bCs/>
          <w:color w:val="auto"/>
          <w:sz w:val="32"/>
          <w:szCs w:val="32"/>
          <w:shd w:val="clear" w:color="auto" w:fill="FFFFFF"/>
        </w:rPr>
      </w:pPr>
      <w:r>
        <w:rPr>
          <w:rFonts w:hint="default" w:ascii="方正楷体_GBK" w:hAnsi="方正楷体_GBK" w:eastAsia="方正楷体_GBK" w:cs="方正楷体_GBK"/>
          <w:b w:val="0"/>
          <w:bCs/>
          <w:color w:val="auto"/>
          <w:sz w:val="32"/>
          <w:szCs w:val="32"/>
          <w:shd w:val="clear" w:color="auto" w:fill="FFFFFF"/>
        </w:rPr>
        <w:t>（五）政府性基金预算收支决算情况说明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highlight w:val="none"/>
          <w:shd w:val="clear" w:color="auto" w:fill="auto"/>
        </w:rPr>
      </w:pPr>
      <w:r>
        <w:rPr>
          <w:rStyle w:val="11"/>
          <w:rFonts w:hint="default" w:ascii="Times New Roman" w:hAnsi="Times New Roman" w:eastAsia="方正仿宋_GBK" w:cs="Times New Roman"/>
          <w:b w:val="0"/>
          <w:bCs/>
          <w:color w:val="auto"/>
          <w:sz w:val="32"/>
          <w:szCs w:val="32"/>
          <w:highlight w:val="none"/>
          <w:shd w:val="clear" w:color="auto" w:fill="auto"/>
        </w:rPr>
        <w:t>本单位2023年度无政府性基金预算财政拨款收支。</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rPr>
          <w:rFonts w:hint="default" w:ascii="方正楷体_GBK" w:hAnsi="方正楷体_GBK" w:eastAsia="方正楷体_GBK" w:cs="方正楷体_GBK"/>
          <w:b w:val="0"/>
          <w:bCs/>
          <w:color w:val="auto"/>
          <w:sz w:val="32"/>
          <w:szCs w:val="32"/>
          <w:shd w:val="clear" w:color="auto" w:fill="FFFFFF"/>
        </w:rPr>
      </w:pPr>
      <w:r>
        <w:rPr>
          <w:rFonts w:hint="default" w:ascii="方正楷体_GBK" w:hAnsi="方正楷体_GBK" w:eastAsia="方正楷体_GBK" w:cs="方正楷体_GBK"/>
          <w:b w:val="0"/>
          <w:bCs/>
          <w:color w:val="auto"/>
          <w:sz w:val="32"/>
          <w:szCs w:val="32"/>
          <w:shd w:val="clear" w:color="auto" w:fill="FFFFFF"/>
        </w:rPr>
        <w:t>（六）国有资本经营预算财政拨款支出决算情况说明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Style w:val="11"/>
          <w:rFonts w:hint="eastAsia" w:ascii="Times New Roman" w:hAnsi="Times New Roman" w:eastAsia="方正仿宋_GBK" w:cs="Times New Roman"/>
          <w:b w:val="0"/>
          <w:bCs/>
          <w:color w:val="auto"/>
          <w:sz w:val="32"/>
          <w:szCs w:val="32"/>
          <w:shd w:val="clear" w:color="auto" w:fill="auto"/>
          <w:lang w:eastAsia="zh-CN"/>
        </w:rPr>
      </w:pPr>
      <w:r>
        <w:rPr>
          <w:rFonts w:hint="default" w:ascii="Times New Roman" w:hAnsi="Times New Roman" w:eastAsia="方正仿宋_GBK" w:cs="Times New Roman"/>
          <w:b w:val="0"/>
          <w:bCs/>
          <w:color w:val="auto"/>
          <w:sz w:val="32"/>
          <w:szCs w:val="32"/>
          <w:shd w:val="clear" w:color="auto" w:fill="auto"/>
        </w:rPr>
        <w:t> </w:t>
      </w:r>
      <w:r>
        <w:rPr>
          <w:rStyle w:val="11"/>
          <w:rFonts w:hint="default" w:ascii="Times New Roman" w:hAnsi="Times New Roman" w:eastAsia="方正仿宋_GBK" w:cs="Times New Roman"/>
          <w:b w:val="0"/>
          <w:bCs/>
          <w:color w:val="auto"/>
          <w:sz w:val="32"/>
          <w:szCs w:val="32"/>
          <w:shd w:val="clear" w:color="auto" w:fill="auto"/>
        </w:rPr>
        <w:t>本单位2023年度无国有资本经营预算财政拨款支</w:t>
      </w:r>
      <w:r>
        <w:rPr>
          <w:rStyle w:val="11"/>
          <w:rFonts w:hint="eastAsia" w:ascii="Times New Roman" w:hAnsi="Times New Roman" w:eastAsia="方正仿宋_GBK" w:cs="Times New Roman"/>
          <w:b w:val="0"/>
          <w:bCs/>
          <w:color w:val="auto"/>
          <w:sz w:val="32"/>
          <w:szCs w:val="32"/>
          <w:shd w:val="clear" w:color="auto" w:fill="auto"/>
          <w:lang w:eastAsia="zh-CN"/>
        </w:rPr>
        <w:t>。</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color w:val="auto"/>
          <w:sz w:val="32"/>
          <w:szCs w:val="32"/>
          <w:shd w:val="clear" w:color="auto" w:fill="FFFFFF"/>
        </w:rPr>
      </w:pPr>
      <w:r>
        <w:rPr>
          <w:rStyle w:val="11"/>
          <w:rFonts w:hint="eastAsia" w:ascii="方正黑体_GBK" w:hAnsi="方正黑体_GBK" w:eastAsia="方正黑体_GBK" w:cs="方正黑体_GBK"/>
          <w:b w:val="0"/>
          <w:bCs/>
          <w:color w:val="auto"/>
          <w:sz w:val="32"/>
          <w:szCs w:val="32"/>
          <w:shd w:val="clear" w:color="auto" w:fill="FFFFFF"/>
        </w:rPr>
        <w:t>三、“三公”经费情况说明</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rPr>
          <w:rFonts w:hint="eastAsia" w:ascii="方正楷体_GBK" w:hAnsi="方正楷体_GBK" w:eastAsia="方正楷体_GBK" w:cs="方正楷体_GBK"/>
          <w:b w:val="0"/>
          <w:bCs/>
          <w:color w:val="auto"/>
          <w:sz w:val="32"/>
          <w:szCs w:val="32"/>
          <w:shd w:val="clear" w:color="auto" w:fill="FFFFFF"/>
        </w:rPr>
      </w:pPr>
      <w:r>
        <w:rPr>
          <w:rFonts w:hint="eastAsia" w:ascii="方正楷体_GBK" w:hAnsi="方正楷体_GBK" w:eastAsia="方正楷体_GBK" w:cs="方正楷体_GBK"/>
          <w:b w:val="0"/>
          <w:bCs/>
          <w:color w:val="auto"/>
          <w:sz w:val="32"/>
          <w:szCs w:val="32"/>
          <w:shd w:val="clear" w:color="auto" w:fill="FFFFFF"/>
        </w:rPr>
        <w:t>（一）“三公”经费支出总体情况说明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color w:val="auto"/>
          <w:sz w:val="32"/>
          <w:szCs w:val="32"/>
          <w:shd w:val="clear" w:color="auto" w:fill="auto"/>
        </w:rPr>
      </w:pPr>
      <w:r>
        <w:rPr>
          <w:rFonts w:hint="default" w:ascii="Times New Roman" w:hAnsi="Times New Roman" w:eastAsia="方正仿宋_GBK" w:cs="Times New Roman"/>
          <w:b w:val="0"/>
          <w:bCs/>
          <w:color w:val="auto"/>
          <w:sz w:val="32"/>
          <w:szCs w:val="32"/>
          <w:shd w:val="clear" w:color="auto" w:fill="auto"/>
          <w:lang w:val="en-US" w:eastAsia="zh-CN"/>
        </w:rPr>
        <w:t>本</w:t>
      </w:r>
      <w:r>
        <w:rPr>
          <w:rStyle w:val="11"/>
          <w:rFonts w:hint="default" w:ascii="Times New Roman" w:hAnsi="Times New Roman" w:eastAsia="方正仿宋_GBK" w:cs="Times New Roman"/>
          <w:b w:val="0"/>
          <w:bCs/>
          <w:color w:val="auto"/>
          <w:sz w:val="32"/>
          <w:szCs w:val="32"/>
          <w:shd w:val="clear" w:color="auto" w:fill="auto"/>
        </w:rPr>
        <w:t>单位属于</w:t>
      </w:r>
      <w:r>
        <w:rPr>
          <w:rStyle w:val="11"/>
          <w:rFonts w:hint="default" w:ascii="Times New Roman" w:hAnsi="Times New Roman" w:eastAsia="方正仿宋_GBK" w:cs="Times New Roman"/>
          <w:b w:val="0"/>
          <w:bCs/>
          <w:color w:val="auto"/>
          <w:sz w:val="32"/>
          <w:szCs w:val="32"/>
          <w:shd w:val="clear" w:color="auto" w:fill="auto"/>
          <w:lang w:val="en-US" w:eastAsia="zh-CN"/>
        </w:rPr>
        <w:t>差额拨款单位</w:t>
      </w:r>
      <w:r>
        <w:rPr>
          <w:rStyle w:val="11"/>
          <w:rFonts w:hint="default" w:ascii="Times New Roman" w:hAnsi="Times New Roman" w:eastAsia="方正仿宋_GBK" w:cs="Times New Roman"/>
          <w:b w:val="0"/>
          <w:bCs/>
          <w:color w:val="auto"/>
          <w:sz w:val="32"/>
          <w:szCs w:val="32"/>
          <w:shd w:val="clear" w:color="auto" w:fill="auto"/>
        </w:rPr>
        <w:t>，财政未保障</w:t>
      </w:r>
      <w:r>
        <w:rPr>
          <w:rStyle w:val="11"/>
          <w:rFonts w:hint="eastAsia" w:ascii="Times New Roman" w:hAnsi="Times New Roman" w:eastAsia="方正仿宋_GBK" w:cs="Times New Roman"/>
          <w:b w:val="0"/>
          <w:bCs/>
          <w:color w:val="auto"/>
          <w:sz w:val="32"/>
          <w:szCs w:val="32"/>
          <w:shd w:val="clear" w:color="auto" w:fill="auto"/>
          <w:lang w:eastAsia="zh-CN"/>
        </w:rPr>
        <w:t>本</w:t>
      </w:r>
      <w:r>
        <w:rPr>
          <w:rStyle w:val="11"/>
          <w:rFonts w:hint="default" w:ascii="Times New Roman" w:hAnsi="Times New Roman" w:eastAsia="方正仿宋_GBK" w:cs="Times New Roman"/>
          <w:b w:val="0"/>
          <w:bCs/>
          <w:color w:val="auto"/>
          <w:sz w:val="32"/>
          <w:szCs w:val="32"/>
          <w:shd w:val="clear" w:color="auto" w:fill="auto"/>
        </w:rPr>
        <w:t>单位“三公”经费。</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rPr>
          <w:rFonts w:hint="default" w:ascii="方正楷体_GBK" w:hAnsi="方正楷体_GBK" w:eastAsia="方正楷体_GBK" w:cs="方正楷体_GBK"/>
          <w:b w:val="0"/>
          <w:bCs/>
          <w:color w:val="auto"/>
          <w:sz w:val="32"/>
          <w:szCs w:val="32"/>
          <w:shd w:val="clear" w:color="auto" w:fill="FFFFFF"/>
        </w:rPr>
      </w:pPr>
      <w:r>
        <w:rPr>
          <w:rFonts w:hint="default" w:ascii="方正楷体_GBK" w:hAnsi="方正楷体_GBK" w:eastAsia="方正楷体_GBK" w:cs="方正楷体_GBK"/>
          <w:b w:val="0"/>
          <w:bCs/>
          <w:color w:val="auto"/>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color w:val="auto"/>
          <w:sz w:val="32"/>
          <w:szCs w:val="32"/>
          <w:shd w:val="clear" w:color="auto" w:fill="FFFFFF"/>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rPr>
          <w:rFonts w:hint="default" w:ascii="方正楷体_GBK" w:hAnsi="方正楷体_GBK" w:eastAsia="方正楷体_GBK" w:cs="方正楷体_GBK"/>
          <w:b w:val="0"/>
          <w:bCs/>
          <w:color w:val="auto"/>
          <w:sz w:val="32"/>
          <w:szCs w:val="32"/>
          <w:shd w:val="clear" w:color="auto" w:fill="FFFFFF"/>
        </w:rPr>
      </w:pPr>
      <w:r>
        <w:rPr>
          <w:rFonts w:hint="default" w:ascii="方正楷体_GBK" w:hAnsi="方正楷体_GBK" w:eastAsia="方正楷体_GBK" w:cs="方正楷体_GBK"/>
          <w:b w:val="0"/>
          <w:bCs/>
          <w:color w:val="auto"/>
          <w:sz w:val="32"/>
          <w:szCs w:val="32"/>
          <w:shd w:val="clear" w:color="auto" w:fill="FFFFFF"/>
        </w:rPr>
        <w:t>（三）“三公”经费实物量情况</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shd w:val="clear" w:color="auto" w:fill="FFFFFF"/>
        </w:rPr>
        <w:t xml:space="preserve"> 2023年度本单位因公出国（境）共计</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个团组，</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人；公务用车购置</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辆，公务车保有量为</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辆；国内公务接待</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批次</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人，其中：国内外事接待</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批次，</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人；国（境）外公务接待</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批次，</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人。2023年本单位人均接待费</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元，车均购置费</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万元，车均维护费</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color w:val="auto"/>
          <w:sz w:val="32"/>
          <w:szCs w:val="32"/>
          <w:shd w:val="clear" w:color="auto" w:fill="FFFFFF"/>
        </w:rPr>
      </w:pPr>
      <w:r>
        <w:rPr>
          <w:rStyle w:val="11"/>
          <w:rFonts w:hint="eastAsia" w:ascii="方正黑体_GBK" w:hAnsi="方正黑体_GBK" w:eastAsia="方正黑体_GBK" w:cs="方正黑体_GBK"/>
          <w:b w:val="0"/>
          <w:bCs/>
          <w:color w:val="auto"/>
          <w:sz w:val="32"/>
          <w:szCs w:val="32"/>
          <w:shd w:val="clear" w:color="auto" w:fill="FFFFFF"/>
        </w:rPr>
        <w:t>四、其他需要说明的事项</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3"/>
        <w:jc w:val="both"/>
        <w:textAlignment w:val="auto"/>
        <w:rPr>
          <w:rFonts w:hint="default" w:ascii="方正楷体_GBK" w:hAnsi="方正楷体_GBK" w:eastAsia="方正楷体_GBK" w:cs="方正楷体_GBK"/>
          <w:b w:val="0"/>
          <w:bCs/>
          <w:color w:val="auto"/>
          <w:sz w:val="32"/>
          <w:szCs w:val="32"/>
          <w:shd w:val="clear" w:color="auto" w:fill="FFFFFF"/>
        </w:rPr>
      </w:pPr>
      <w:r>
        <w:rPr>
          <w:rFonts w:hint="default" w:ascii="方正楷体_GBK" w:hAnsi="方正楷体_GBK" w:eastAsia="方正楷体_GBK" w:cs="方正楷体_GBK"/>
          <w:b w:val="0"/>
          <w:bCs/>
          <w:color w:val="auto"/>
          <w:sz w:val="32"/>
          <w:szCs w:val="32"/>
          <w:shd w:val="clear" w:color="auto" w:fill="FFFFFF"/>
        </w:rPr>
        <w:t>（一）财政拨款会议费和培训费情况说明</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3"/>
        <w:jc w:val="both"/>
        <w:textAlignment w:val="auto"/>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lang w:val="en-US" w:eastAsia="zh-CN"/>
        </w:rPr>
        <w:t>本</w:t>
      </w:r>
      <w:r>
        <w:rPr>
          <w:rFonts w:hint="default" w:ascii="Times New Roman" w:hAnsi="Times New Roman" w:eastAsia="方正仿宋_GBK" w:cs="Times New Roman"/>
          <w:b w:val="0"/>
          <w:bCs/>
          <w:color w:val="auto"/>
          <w:sz w:val="32"/>
          <w:szCs w:val="32"/>
          <w:lang w:eastAsia="zh-CN"/>
        </w:rPr>
        <w:t>单位为差额拨款事业单位，财政未保障</w:t>
      </w:r>
      <w:r>
        <w:rPr>
          <w:rFonts w:hint="eastAsia" w:ascii="Times New Roman" w:hAnsi="Times New Roman" w:eastAsia="方正仿宋_GBK" w:cs="Times New Roman"/>
          <w:b w:val="0"/>
          <w:bCs/>
          <w:color w:val="auto"/>
          <w:sz w:val="32"/>
          <w:szCs w:val="32"/>
          <w:lang w:eastAsia="zh-CN"/>
        </w:rPr>
        <w:t>本</w:t>
      </w:r>
      <w:r>
        <w:rPr>
          <w:rFonts w:hint="default" w:ascii="Times New Roman" w:hAnsi="Times New Roman" w:eastAsia="方正仿宋_GBK" w:cs="Times New Roman"/>
          <w:b w:val="0"/>
          <w:bCs/>
          <w:color w:val="auto"/>
          <w:sz w:val="32"/>
          <w:szCs w:val="32"/>
          <w:lang w:eastAsia="zh-CN"/>
        </w:rPr>
        <w:t>单位</w:t>
      </w:r>
      <w:r>
        <w:rPr>
          <w:rFonts w:hint="default" w:ascii="Times New Roman" w:hAnsi="Times New Roman" w:eastAsia="方正仿宋_GBK" w:cs="Times New Roman"/>
          <w:b w:val="0"/>
          <w:bCs/>
          <w:color w:val="auto"/>
          <w:sz w:val="32"/>
          <w:szCs w:val="32"/>
          <w:lang w:val="en-US" w:eastAsia="zh-CN"/>
        </w:rPr>
        <w:t>会议费和培训费</w:t>
      </w:r>
      <w:r>
        <w:rPr>
          <w:rFonts w:hint="eastAsia" w:ascii="Times New Roman" w:hAnsi="Times New Roman" w:eastAsia="方正仿宋_GBK" w:cs="Times New Roman"/>
          <w:b w:val="0"/>
          <w:bCs/>
          <w:color w:val="auto"/>
          <w:sz w:val="32"/>
          <w:szCs w:val="32"/>
          <w:lang w:val="en-US" w:eastAsia="zh-CN"/>
        </w:rPr>
        <w:t>。</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rPr>
          <w:rFonts w:hint="default" w:ascii="方正楷体_GBK" w:hAnsi="方正楷体_GBK" w:eastAsia="方正楷体_GBK" w:cs="方正楷体_GBK"/>
          <w:b w:val="0"/>
          <w:bCs/>
          <w:color w:val="auto"/>
          <w:sz w:val="32"/>
          <w:szCs w:val="32"/>
          <w:shd w:val="clear" w:color="auto" w:fill="FFFFFF"/>
        </w:rPr>
      </w:pPr>
      <w:r>
        <w:rPr>
          <w:rFonts w:hint="default" w:ascii="方正楷体_GBK" w:hAnsi="方正楷体_GBK" w:eastAsia="方正楷体_GBK" w:cs="方正楷体_GBK"/>
          <w:b w:val="0"/>
          <w:bCs/>
          <w:color w:val="auto"/>
          <w:sz w:val="32"/>
          <w:szCs w:val="32"/>
          <w:shd w:val="clear" w:color="auto" w:fill="FFFFFF"/>
        </w:rPr>
        <w:t>（二）机关运行经费情况说明</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lang w:eastAsia="zh-CN"/>
        </w:rPr>
        <w:t>按照部门决算列报口径，因</w:t>
      </w:r>
      <w:r>
        <w:rPr>
          <w:rFonts w:hint="eastAsia" w:ascii="Times New Roman" w:hAnsi="Times New Roman" w:eastAsia="方正仿宋_GBK" w:cs="Times New Roman"/>
          <w:b w:val="0"/>
          <w:bCs/>
          <w:color w:val="auto"/>
          <w:sz w:val="32"/>
          <w:szCs w:val="32"/>
          <w:lang w:eastAsia="zh-CN"/>
        </w:rPr>
        <w:t>本</w:t>
      </w:r>
      <w:r>
        <w:rPr>
          <w:rFonts w:hint="default" w:ascii="Times New Roman" w:hAnsi="Times New Roman" w:eastAsia="方正仿宋_GBK" w:cs="Times New Roman"/>
          <w:b w:val="0"/>
          <w:bCs/>
          <w:color w:val="auto"/>
          <w:sz w:val="32"/>
          <w:szCs w:val="32"/>
          <w:lang w:eastAsia="zh-CN"/>
        </w:rPr>
        <w:t>单位为差额拨款事业单位不在机关运行经费统计范围之内。</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rPr>
          <w:rFonts w:hint="default" w:ascii="方正楷体_GBK" w:hAnsi="方正楷体_GBK" w:eastAsia="方正楷体_GBK" w:cs="方正楷体_GBK"/>
          <w:b w:val="0"/>
          <w:bCs/>
          <w:color w:val="auto"/>
          <w:sz w:val="32"/>
          <w:szCs w:val="32"/>
          <w:shd w:val="clear" w:color="auto" w:fill="FFFFFF"/>
        </w:rPr>
      </w:pPr>
      <w:r>
        <w:rPr>
          <w:rFonts w:hint="default" w:ascii="方正楷体_GBK" w:hAnsi="方正楷体_GBK" w:eastAsia="方正楷体_GBK" w:cs="方正楷体_GBK"/>
          <w:b w:val="0"/>
          <w:bCs/>
          <w:color w:val="auto"/>
          <w:sz w:val="32"/>
          <w:szCs w:val="32"/>
          <w:shd w:val="clear" w:color="auto" w:fill="FFFFFF"/>
        </w:rPr>
        <w:t>（三）国有资产占用情况说明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shd w:val="clear" w:color="auto" w:fill="FFFFFF"/>
        </w:rPr>
        <w:t>  截至2023年12月31日，本单位共有车辆</w:t>
      </w:r>
      <w:r>
        <w:rPr>
          <w:rFonts w:hint="default" w:ascii="Times New Roman" w:hAnsi="Times New Roman" w:eastAsia="方正仿宋_GBK" w:cs="Times New Roman"/>
          <w:b w:val="0"/>
          <w:bCs/>
          <w:color w:val="auto"/>
          <w:sz w:val="32"/>
          <w:szCs w:val="32"/>
        </w:rPr>
        <w:t>2</w:t>
      </w:r>
      <w:r>
        <w:rPr>
          <w:rFonts w:hint="default" w:ascii="Times New Roman" w:hAnsi="Times New Roman" w:eastAsia="方正仿宋_GBK" w:cs="Times New Roman"/>
          <w:b w:val="0"/>
          <w:bCs/>
          <w:color w:val="auto"/>
          <w:sz w:val="32"/>
          <w:szCs w:val="32"/>
          <w:shd w:val="clear" w:color="auto" w:fill="FFFFFF"/>
        </w:rPr>
        <w:t>辆，其中，副部（省）级及以上领导用车</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辆、主要负责人用车</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辆、机要通信用车</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辆、应急保障用车</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辆、执法执勤用车</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辆，特种专业技术用车</w:t>
      </w:r>
      <w:r>
        <w:rPr>
          <w:rFonts w:hint="default" w:ascii="Times New Roman" w:hAnsi="Times New Roman" w:eastAsia="方正仿宋_GBK" w:cs="Times New Roman"/>
          <w:b w:val="0"/>
          <w:bCs/>
          <w:color w:val="auto"/>
          <w:sz w:val="32"/>
          <w:szCs w:val="32"/>
        </w:rPr>
        <w:t>2</w:t>
      </w:r>
      <w:r>
        <w:rPr>
          <w:rFonts w:hint="default" w:ascii="Times New Roman" w:hAnsi="Times New Roman" w:eastAsia="方正仿宋_GBK" w:cs="Times New Roman"/>
          <w:b w:val="0"/>
          <w:bCs/>
          <w:color w:val="auto"/>
          <w:sz w:val="32"/>
          <w:szCs w:val="32"/>
          <w:shd w:val="clear" w:color="auto" w:fill="FFFFFF"/>
        </w:rPr>
        <w:t>辆，离退休干部用车</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辆。单价100万元（含）以上专用设备</w:t>
      </w:r>
      <w:r>
        <w:rPr>
          <w:rFonts w:hint="default" w:ascii="Times New Roman" w:hAnsi="Times New Roman" w:eastAsia="方正仿宋_GBK" w:cs="Times New Roman"/>
          <w:b w:val="0"/>
          <w:bCs/>
          <w:color w:val="auto"/>
          <w:sz w:val="32"/>
          <w:szCs w:val="32"/>
        </w:rPr>
        <w:t>0</w:t>
      </w:r>
      <w:r>
        <w:rPr>
          <w:rFonts w:hint="default" w:ascii="Times New Roman" w:hAnsi="Times New Roman" w:eastAsia="方正仿宋_GBK" w:cs="Times New Roman"/>
          <w:b w:val="0"/>
          <w:bCs/>
          <w:color w:val="auto"/>
          <w:sz w:val="32"/>
          <w:szCs w:val="32"/>
          <w:shd w:val="clear" w:color="auto" w:fill="FFFFFF"/>
        </w:rPr>
        <w:t>台（套）。</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rPr>
          <w:rFonts w:hint="default" w:ascii="方正楷体_GBK" w:hAnsi="方正楷体_GBK" w:eastAsia="方正楷体_GBK" w:cs="方正楷体_GBK"/>
          <w:b w:val="0"/>
          <w:bCs/>
          <w:color w:val="auto"/>
          <w:sz w:val="32"/>
          <w:szCs w:val="32"/>
          <w:shd w:val="clear" w:color="auto" w:fill="FFFFFF"/>
        </w:rPr>
      </w:pPr>
      <w:r>
        <w:rPr>
          <w:rFonts w:hint="default" w:ascii="方正楷体_GBK" w:hAnsi="方正楷体_GBK" w:eastAsia="方正楷体_GBK" w:cs="方正楷体_GBK"/>
          <w:b w:val="0"/>
          <w:bCs/>
          <w:color w:val="auto"/>
          <w:sz w:val="32"/>
          <w:szCs w:val="32"/>
          <w:shd w:val="clear" w:color="auto" w:fill="FFFFFF"/>
        </w:rPr>
        <w:t>（四）政府采购支出情况说明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color w:val="auto"/>
          <w:sz w:val="32"/>
          <w:szCs w:val="32"/>
          <w:shd w:val="clear" w:color="auto" w:fill="FFFFFF"/>
        </w:rPr>
      </w:pPr>
      <w:r>
        <w:rPr>
          <w:rFonts w:hint="default" w:ascii="Times New Roman" w:hAnsi="Times New Roman" w:eastAsia="方正仿宋_GBK" w:cs="Times New Roman"/>
          <w:b w:val="0"/>
          <w:bCs/>
          <w:color w:val="auto"/>
          <w:sz w:val="32"/>
          <w:szCs w:val="32"/>
          <w:shd w:val="clear" w:color="auto" w:fill="FFFFFF"/>
        </w:rPr>
        <w:t>2023年度</w:t>
      </w:r>
      <w:r>
        <w:rPr>
          <w:rFonts w:hint="eastAsia" w:ascii="Times New Roman" w:hAnsi="Times New Roman" w:eastAsia="方正仿宋_GBK" w:cs="Times New Roman"/>
          <w:b w:val="0"/>
          <w:bCs/>
          <w:color w:val="auto"/>
          <w:sz w:val="32"/>
          <w:szCs w:val="32"/>
          <w:shd w:val="clear" w:color="auto" w:fill="FFFFFF"/>
          <w:lang w:eastAsia="zh-CN"/>
        </w:rPr>
        <w:t>本</w:t>
      </w:r>
      <w:r>
        <w:rPr>
          <w:rFonts w:hint="default" w:ascii="Times New Roman" w:hAnsi="Times New Roman" w:eastAsia="方正仿宋_GBK" w:cs="Times New Roman"/>
          <w:b w:val="0"/>
          <w:bCs/>
          <w:color w:val="auto"/>
          <w:kern w:val="0"/>
          <w:sz w:val="32"/>
          <w:szCs w:val="32"/>
          <w:shd w:val="clear" w:color="auto" w:fill="FFFFFF"/>
          <w:lang w:val="en-US" w:eastAsia="zh-CN" w:bidi="ar"/>
        </w:rPr>
        <w:t>单位未发生政府采购事项，无相关经费支出。</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color w:val="auto"/>
          <w:sz w:val="32"/>
          <w:szCs w:val="32"/>
          <w:shd w:val="clear" w:color="auto" w:fill="FFFFFF"/>
        </w:rPr>
      </w:pPr>
      <w:r>
        <w:rPr>
          <w:rStyle w:val="11"/>
          <w:rFonts w:hint="eastAsia" w:ascii="方正黑体_GBK" w:hAnsi="方正黑体_GBK" w:eastAsia="方正黑体_GBK" w:cs="方正黑体_GBK"/>
          <w:b w:val="0"/>
          <w:bCs/>
          <w:color w:val="auto"/>
          <w:sz w:val="32"/>
          <w:szCs w:val="32"/>
          <w:shd w:val="clear" w:color="auto" w:fill="FFFFFF"/>
          <w:lang w:val="en-US" w:eastAsia="zh-CN"/>
        </w:rPr>
        <w:t>五、</w:t>
      </w:r>
      <w:r>
        <w:rPr>
          <w:rStyle w:val="11"/>
          <w:rFonts w:hint="eastAsia" w:ascii="方正黑体_GBK" w:hAnsi="方正黑体_GBK" w:eastAsia="方正黑体_GBK" w:cs="方正黑体_GBK"/>
          <w:b w:val="0"/>
          <w:bCs/>
          <w:color w:val="auto"/>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tbl>
      <w:tblPr>
        <w:tblStyle w:val="12"/>
        <w:tblpPr w:leftFromText="180" w:rightFromText="180" w:vertAnchor="text" w:horzAnchor="page" w:tblpX="1858" w:tblpY="7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0" w:firstLineChars="400"/>
              <w:jc w:val="both"/>
              <w:textAlignment w:val="cente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2023年度项目支出绩效自评情况表（二级项目）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color w:val="auto"/>
          <w:sz w:val="32"/>
          <w:szCs w:val="32"/>
          <w:shd w:val="clear" w:color="auto" w:fill="FFFFFF"/>
        </w:rPr>
      </w:pPr>
      <w:r>
        <w:rPr>
          <w:rStyle w:val="11"/>
          <w:rFonts w:hint="eastAsia" w:ascii="方正黑体_GBK" w:hAnsi="方正黑体_GBK" w:eastAsia="方正黑体_GBK" w:cs="方正黑体_GBK"/>
          <w:b w:val="0"/>
          <w:bCs/>
          <w:color w:val="auto"/>
          <w:sz w:val="32"/>
          <w:szCs w:val="32"/>
          <w:shd w:val="clear" w:color="auto" w:fill="FFFFFF"/>
        </w:rPr>
        <w:t>  六、专业名词解释</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Fonts w:hint="default" w:ascii="方正楷体_GBK" w:hAnsi="方正楷体_GBK" w:eastAsia="方正楷体_GBK" w:cs="方正楷体_GBK"/>
          <w:b w:val="0"/>
          <w:bCs/>
          <w:color w:val="auto"/>
          <w:sz w:val="32"/>
          <w:szCs w:val="32"/>
          <w:shd w:val="clear" w:color="auto" w:fill="FFFFFF"/>
          <w:lang w:val="en-US" w:eastAsia="zh-CN" w:bidi="ar-SA"/>
        </w:rPr>
        <w:t> （一）财政拨款收入：</w:t>
      </w:r>
      <w:r>
        <w:rPr>
          <w:rFonts w:hint="default" w:ascii="Times New Roman" w:hAnsi="Times New Roman" w:eastAsia="方正仿宋_GBK" w:cs="Times New Roman"/>
          <w:b w:val="0"/>
          <w:bCs/>
          <w:color w:val="auto"/>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Style w:val="11"/>
          <w:rFonts w:hint="default" w:ascii="Times New Roman" w:hAnsi="Times New Roman" w:eastAsia="方正仿宋_GBK" w:cs="Times New Roman"/>
          <w:b w:val="0"/>
          <w:bCs/>
          <w:color w:val="auto"/>
          <w:sz w:val="32"/>
          <w:szCs w:val="32"/>
          <w:shd w:val="clear" w:color="auto" w:fill="FFFFFF"/>
        </w:rPr>
        <w:t> </w:t>
      </w:r>
      <w:r>
        <w:rPr>
          <w:rFonts w:hint="default" w:ascii="方正楷体_GBK" w:hAnsi="方正楷体_GBK" w:eastAsia="方正楷体_GBK" w:cs="方正楷体_GBK"/>
          <w:b w:val="0"/>
          <w:bCs/>
          <w:color w:val="auto"/>
          <w:sz w:val="32"/>
          <w:szCs w:val="32"/>
          <w:shd w:val="clear" w:color="auto" w:fill="FFFFFF"/>
          <w:lang w:val="en-US" w:eastAsia="zh-CN" w:bidi="ar-SA"/>
        </w:rPr>
        <w:t>（二）事业收入：</w:t>
      </w:r>
      <w:r>
        <w:rPr>
          <w:rFonts w:hint="default" w:ascii="Times New Roman" w:hAnsi="Times New Roman" w:eastAsia="方正仿宋_GBK" w:cs="Times New Roman"/>
          <w:b w:val="0"/>
          <w:bCs/>
          <w:color w:val="auto"/>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Style w:val="11"/>
          <w:rFonts w:hint="default" w:ascii="Times New Roman" w:hAnsi="Times New Roman" w:eastAsia="方正仿宋_GBK" w:cs="Times New Roman"/>
          <w:b w:val="0"/>
          <w:bCs/>
          <w:color w:val="auto"/>
          <w:sz w:val="32"/>
          <w:szCs w:val="32"/>
          <w:shd w:val="clear" w:color="auto" w:fill="FFFFFF"/>
        </w:rPr>
        <w:t> </w:t>
      </w:r>
      <w:r>
        <w:rPr>
          <w:rFonts w:hint="default" w:ascii="方正楷体_GBK" w:hAnsi="方正楷体_GBK" w:eastAsia="方正楷体_GBK" w:cs="方正楷体_GBK"/>
          <w:b w:val="0"/>
          <w:bCs/>
          <w:color w:val="auto"/>
          <w:sz w:val="32"/>
          <w:szCs w:val="32"/>
          <w:shd w:val="clear" w:color="auto" w:fill="FFFFFF"/>
          <w:lang w:val="en-US" w:eastAsia="zh-CN" w:bidi="ar-SA"/>
        </w:rPr>
        <w:t>（三）经营收入：</w:t>
      </w:r>
      <w:r>
        <w:rPr>
          <w:rFonts w:hint="default" w:ascii="Times New Roman" w:hAnsi="Times New Roman" w:eastAsia="方正仿宋_GBK" w:cs="Times New Roman"/>
          <w:b w:val="0"/>
          <w:bCs/>
          <w:color w:val="auto"/>
          <w:sz w:val="32"/>
          <w:szCs w:val="32"/>
          <w:shd w:val="clear" w:color="auto" w:fill="FFFFFF"/>
        </w:rPr>
        <w:t>指事业单位在专业业务活动及其辅助活动之外开展非独立核算经营活动取得的现金流入。</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Style w:val="11"/>
          <w:rFonts w:hint="default" w:ascii="Times New Roman" w:hAnsi="Times New Roman" w:eastAsia="方正仿宋_GBK" w:cs="Times New Roman"/>
          <w:b w:val="0"/>
          <w:bCs/>
          <w:color w:val="auto"/>
          <w:sz w:val="32"/>
          <w:szCs w:val="32"/>
          <w:shd w:val="clear" w:color="auto" w:fill="FFFFFF"/>
        </w:rPr>
        <w:t> </w:t>
      </w:r>
      <w:r>
        <w:rPr>
          <w:rFonts w:hint="default" w:ascii="方正楷体_GBK" w:hAnsi="方正楷体_GBK" w:eastAsia="方正楷体_GBK" w:cs="方正楷体_GBK"/>
          <w:b w:val="0"/>
          <w:bCs/>
          <w:color w:val="auto"/>
          <w:sz w:val="32"/>
          <w:szCs w:val="32"/>
          <w:shd w:val="clear" w:color="auto" w:fill="FFFFFF"/>
          <w:lang w:val="en-US" w:eastAsia="zh-CN" w:bidi="ar-SA"/>
        </w:rPr>
        <w:t>（四）其他收入：</w:t>
      </w:r>
      <w:r>
        <w:rPr>
          <w:rFonts w:hint="default" w:ascii="Times New Roman" w:hAnsi="Times New Roman" w:eastAsia="方正仿宋_GBK" w:cs="Times New Roman"/>
          <w:b w:val="0"/>
          <w:bCs/>
          <w:color w:val="auto"/>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Fonts w:hint="default" w:ascii="方正楷体_GBK" w:hAnsi="方正楷体_GBK" w:eastAsia="方正楷体_GBK" w:cs="方正楷体_GBK"/>
          <w:b w:val="0"/>
          <w:bCs/>
          <w:color w:val="auto"/>
          <w:sz w:val="32"/>
          <w:szCs w:val="32"/>
          <w:shd w:val="clear" w:color="auto" w:fill="FFFFFF"/>
          <w:lang w:val="en-US" w:eastAsia="zh-CN" w:bidi="ar-SA"/>
        </w:rPr>
        <w:t>（五）使用非财政拨款结余：</w:t>
      </w:r>
      <w:r>
        <w:rPr>
          <w:rFonts w:hint="default" w:ascii="Times New Roman" w:hAnsi="Times New Roman" w:eastAsia="方正仿宋_GBK" w:cs="Times New Roman"/>
          <w:b w:val="0"/>
          <w:bCs/>
          <w:color w:val="auto"/>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Fonts w:hint="default" w:ascii="方正楷体_GBK" w:hAnsi="方正楷体_GBK" w:eastAsia="方正楷体_GBK" w:cs="方正楷体_GBK"/>
          <w:b w:val="0"/>
          <w:bCs/>
          <w:color w:val="auto"/>
          <w:sz w:val="32"/>
          <w:szCs w:val="32"/>
          <w:shd w:val="clear" w:color="auto" w:fill="FFFFFF"/>
          <w:lang w:val="en-US" w:eastAsia="zh-CN" w:bidi="ar-SA"/>
        </w:rPr>
        <w:t> （六）年初结转和结余：</w:t>
      </w:r>
      <w:r>
        <w:rPr>
          <w:rFonts w:hint="default" w:ascii="Times New Roman" w:hAnsi="Times New Roman" w:eastAsia="方正仿宋_GBK" w:cs="Times New Roman"/>
          <w:b w:val="0"/>
          <w:bCs/>
          <w:color w:val="auto"/>
          <w:sz w:val="32"/>
          <w:szCs w:val="32"/>
          <w:shd w:val="clear" w:color="auto" w:fill="FFFFFF"/>
        </w:rPr>
        <w:t>指单位上年结转本年使用的基本支出结转、项目支出结转和结余、经营结余。</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3"/>
        <w:jc w:val="both"/>
        <w:rPr>
          <w:rFonts w:hint="default" w:ascii="Times New Roman" w:hAnsi="Times New Roman" w:eastAsia="方正仿宋_GBK" w:cs="Times New Roman"/>
          <w:b w:val="0"/>
          <w:bCs/>
          <w:color w:val="auto"/>
          <w:sz w:val="32"/>
          <w:szCs w:val="32"/>
        </w:rPr>
      </w:pPr>
      <w:r>
        <w:rPr>
          <w:rFonts w:hint="default" w:ascii="方正楷体_GBK" w:hAnsi="方正楷体_GBK" w:eastAsia="方正楷体_GBK" w:cs="方正楷体_GBK"/>
          <w:b w:val="0"/>
          <w:bCs/>
          <w:color w:val="auto"/>
          <w:sz w:val="32"/>
          <w:szCs w:val="32"/>
          <w:shd w:val="clear" w:color="auto" w:fill="FFFFFF"/>
        </w:rPr>
        <w:t> （</w:t>
      </w:r>
      <w:r>
        <w:rPr>
          <w:rFonts w:hint="default" w:ascii="方正楷体_GBK" w:hAnsi="方正楷体_GBK" w:eastAsia="方正楷体_GBK" w:cs="方正楷体_GBK"/>
          <w:b w:val="0"/>
          <w:bCs/>
          <w:color w:val="auto"/>
          <w:sz w:val="32"/>
          <w:szCs w:val="32"/>
          <w:shd w:val="clear" w:color="auto" w:fill="FFFFFF"/>
          <w:lang w:val="en-US" w:eastAsia="zh-CN" w:bidi="ar-SA"/>
        </w:rPr>
        <w:t>七）结余分配：</w:t>
      </w:r>
      <w:r>
        <w:rPr>
          <w:rFonts w:hint="default" w:ascii="Times New Roman" w:hAnsi="Times New Roman" w:eastAsia="方正仿宋_GBK" w:cs="Times New Roman"/>
          <w:b w:val="0"/>
          <w:bCs/>
          <w:color w:val="auto"/>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Fonts w:hint="default" w:ascii="方正楷体_GBK" w:hAnsi="方正楷体_GBK" w:eastAsia="方正楷体_GBK" w:cs="方正楷体_GBK"/>
          <w:b w:val="0"/>
          <w:bCs/>
          <w:color w:val="auto"/>
          <w:sz w:val="32"/>
          <w:szCs w:val="32"/>
          <w:shd w:val="clear" w:color="auto" w:fill="FFFFFF"/>
          <w:lang w:val="en-US" w:eastAsia="zh-CN" w:bidi="ar-SA"/>
        </w:rPr>
        <w:t> （八）年末结转和结余：</w:t>
      </w:r>
      <w:r>
        <w:rPr>
          <w:rFonts w:hint="default" w:ascii="Times New Roman" w:hAnsi="Times New Roman" w:eastAsia="方正仿宋_GBK" w:cs="Times New Roman"/>
          <w:b w:val="0"/>
          <w:bCs/>
          <w:color w:val="auto"/>
          <w:sz w:val="32"/>
          <w:szCs w:val="32"/>
          <w:shd w:val="clear" w:color="auto" w:fill="FFFFFF"/>
        </w:rPr>
        <w:t>指单位结转下年的基本支出结转、项目支出结转和结余、经营结余。</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Style w:val="11"/>
          <w:rFonts w:hint="default" w:ascii="Times New Roman" w:hAnsi="Times New Roman" w:eastAsia="方正仿宋_GBK" w:cs="Times New Roman"/>
          <w:b w:val="0"/>
          <w:bCs/>
          <w:color w:val="auto"/>
          <w:sz w:val="32"/>
          <w:szCs w:val="32"/>
          <w:shd w:val="clear" w:color="auto" w:fill="FFFFFF"/>
        </w:rPr>
        <w:t> </w:t>
      </w:r>
      <w:r>
        <w:rPr>
          <w:rFonts w:hint="default" w:ascii="方正楷体_GBK" w:hAnsi="方正楷体_GBK" w:eastAsia="方正楷体_GBK" w:cs="方正楷体_GBK"/>
          <w:b w:val="0"/>
          <w:bCs/>
          <w:color w:val="auto"/>
          <w:sz w:val="32"/>
          <w:szCs w:val="32"/>
          <w:shd w:val="clear" w:color="auto" w:fill="FFFFFF"/>
          <w:lang w:val="en-US" w:eastAsia="zh-CN" w:bidi="ar-SA"/>
        </w:rPr>
        <w:t>（九）基本支出：</w:t>
      </w:r>
      <w:r>
        <w:rPr>
          <w:rFonts w:hint="default" w:ascii="Times New Roman" w:hAnsi="Times New Roman" w:eastAsia="方正仿宋_GBK" w:cs="Times New Roman"/>
          <w:b w:val="0"/>
          <w:bCs/>
          <w:color w:val="auto"/>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Fonts w:hint="default" w:ascii="方正楷体_GBK" w:hAnsi="方正楷体_GBK" w:eastAsia="方正楷体_GBK" w:cs="方正楷体_GBK"/>
          <w:b w:val="0"/>
          <w:bCs/>
          <w:color w:val="auto"/>
          <w:sz w:val="32"/>
          <w:szCs w:val="32"/>
          <w:shd w:val="clear" w:color="auto" w:fill="FFFFFF"/>
          <w:lang w:val="en-US" w:eastAsia="zh-CN" w:bidi="ar-SA"/>
        </w:rPr>
        <w:t> （十）项目支出：</w:t>
      </w:r>
      <w:r>
        <w:rPr>
          <w:rFonts w:hint="default" w:ascii="Times New Roman" w:hAnsi="Times New Roman" w:eastAsia="方正仿宋_GBK" w:cs="Times New Roman"/>
          <w:b w:val="0"/>
          <w:bCs/>
          <w:color w:val="auto"/>
          <w:sz w:val="32"/>
          <w:szCs w:val="32"/>
          <w:shd w:val="clear" w:color="auto" w:fill="FFFFFF"/>
        </w:rPr>
        <w:t>指在基本支出之外为完成特定行政任务和事业发展目标所发生的支出。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shd w:val="clear" w:color="auto" w:fill="FFFFFF"/>
        </w:rPr>
      </w:pPr>
      <w:r>
        <w:rPr>
          <w:rFonts w:hint="default" w:ascii="方正楷体_GBK" w:hAnsi="方正楷体_GBK" w:eastAsia="方正楷体_GBK" w:cs="方正楷体_GBK"/>
          <w:b w:val="0"/>
          <w:bCs/>
          <w:color w:val="auto"/>
          <w:sz w:val="32"/>
          <w:szCs w:val="32"/>
          <w:shd w:val="clear" w:color="auto" w:fill="FFFFFF"/>
          <w:lang w:val="en-US" w:eastAsia="zh-CN" w:bidi="ar-SA"/>
        </w:rPr>
        <w:t> （十一）经营支出：</w:t>
      </w:r>
      <w:r>
        <w:rPr>
          <w:rFonts w:hint="default" w:ascii="Times New Roman" w:hAnsi="Times New Roman" w:eastAsia="方正仿宋_GBK" w:cs="Times New Roman"/>
          <w:b w:val="0"/>
          <w:bCs/>
          <w:color w:val="auto"/>
          <w:sz w:val="32"/>
          <w:szCs w:val="32"/>
          <w:shd w:val="clear" w:color="auto" w:fill="FFFFFF"/>
        </w:rPr>
        <w:t>指事业单位在专业业务活动及其辅助活动之外开展非独立核算经营活动发生的支出。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Fonts w:hint="default" w:ascii="方正楷体_GBK" w:hAnsi="方正楷体_GBK" w:eastAsia="方正楷体_GBK" w:cs="方正楷体_GBK"/>
          <w:b w:val="0"/>
          <w:bCs/>
          <w:color w:val="auto"/>
          <w:sz w:val="32"/>
          <w:szCs w:val="32"/>
          <w:shd w:val="clear" w:color="auto" w:fill="FFFFFF"/>
          <w:lang w:val="en-US" w:eastAsia="zh-CN" w:bidi="ar-SA"/>
        </w:rPr>
        <w:t>（十二）“三公”经费：</w:t>
      </w:r>
      <w:r>
        <w:rPr>
          <w:rFonts w:hint="default" w:ascii="Times New Roman" w:hAnsi="Times New Roman" w:eastAsia="方正仿宋_GBK" w:cs="Times New Roman"/>
          <w:b w:val="0"/>
          <w:bCs/>
          <w:color w:val="auto"/>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Fonts w:hint="default" w:ascii="方正楷体_GBK" w:hAnsi="方正楷体_GBK" w:eastAsia="方正楷体_GBK" w:cs="方正楷体_GBK"/>
          <w:b w:val="0"/>
          <w:bCs/>
          <w:color w:val="auto"/>
          <w:sz w:val="32"/>
          <w:szCs w:val="32"/>
          <w:shd w:val="clear" w:color="auto" w:fill="FFFFFF"/>
          <w:lang w:val="en-US" w:eastAsia="zh-CN" w:bidi="ar-SA"/>
        </w:rPr>
        <w:t> （十三）机关运行经费：</w:t>
      </w:r>
      <w:r>
        <w:rPr>
          <w:rFonts w:hint="default" w:ascii="Times New Roman" w:hAnsi="Times New Roman" w:eastAsia="方正仿宋_GBK" w:cs="Times New Roman"/>
          <w:b w:val="0"/>
          <w:bCs/>
          <w:color w:val="auto"/>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rPr>
      </w:pPr>
      <w:r>
        <w:rPr>
          <w:rStyle w:val="11"/>
          <w:rFonts w:hint="default" w:ascii="Times New Roman" w:hAnsi="Times New Roman" w:eastAsia="方正仿宋_GBK" w:cs="Times New Roman"/>
          <w:b w:val="0"/>
          <w:bCs/>
          <w:color w:val="auto"/>
          <w:sz w:val="32"/>
          <w:szCs w:val="32"/>
          <w:shd w:val="clear" w:color="auto" w:fill="FFFFFF"/>
        </w:rPr>
        <w:t> </w:t>
      </w:r>
      <w:r>
        <w:rPr>
          <w:rFonts w:hint="default" w:ascii="方正楷体_GBK" w:hAnsi="方正楷体_GBK" w:eastAsia="方正楷体_GBK" w:cs="方正楷体_GBK"/>
          <w:b w:val="0"/>
          <w:bCs/>
          <w:color w:val="auto"/>
          <w:sz w:val="32"/>
          <w:szCs w:val="32"/>
          <w:shd w:val="clear" w:color="auto" w:fill="FFFFFF"/>
          <w:lang w:val="en-US" w:eastAsia="zh-CN" w:bidi="ar-SA"/>
        </w:rPr>
        <w:t>（十四）工资福利支出（支出经济分类科目类级）：</w:t>
      </w:r>
      <w:r>
        <w:rPr>
          <w:rFonts w:hint="default" w:ascii="Times New Roman" w:hAnsi="Times New Roman" w:eastAsia="方正仿宋_GBK" w:cs="Times New Roman"/>
          <w:b w:val="0"/>
          <w:bCs/>
          <w:color w:val="auto"/>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color w:val="auto"/>
          <w:sz w:val="32"/>
          <w:szCs w:val="32"/>
        </w:rPr>
      </w:pPr>
      <w:r>
        <w:rPr>
          <w:rStyle w:val="11"/>
          <w:rFonts w:hint="default" w:ascii="Times New Roman" w:hAnsi="Times New Roman" w:eastAsia="方正仿宋_GBK" w:cs="Times New Roman"/>
          <w:b w:val="0"/>
          <w:bCs/>
          <w:color w:val="auto"/>
          <w:sz w:val="32"/>
          <w:szCs w:val="32"/>
          <w:shd w:val="clear" w:color="auto" w:fill="FFFFFF"/>
        </w:rPr>
        <w:t> </w:t>
      </w:r>
      <w:r>
        <w:rPr>
          <w:rFonts w:hint="default" w:ascii="方正楷体_GBK" w:hAnsi="方正楷体_GBK" w:eastAsia="方正楷体_GBK" w:cs="方正楷体_GBK"/>
          <w:b w:val="0"/>
          <w:bCs/>
          <w:color w:val="auto"/>
          <w:sz w:val="32"/>
          <w:szCs w:val="32"/>
          <w:shd w:val="clear" w:color="auto" w:fill="FFFFFF"/>
          <w:lang w:val="en-US" w:eastAsia="zh-CN" w:bidi="ar-SA"/>
        </w:rPr>
        <w:t>（十五）商品和服务支出（支出经济分类科目类级）：</w:t>
      </w:r>
      <w:r>
        <w:rPr>
          <w:rFonts w:hint="default" w:ascii="Times New Roman" w:hAnsi="Times New Roman" w:eastAsia="方正仿宋_GBK" w:cs="Times New Roman"/>
          <w:b w:val="0"/>
          <w:bCs/>
          <w:color w:val="auto"/>
          <w:sz w:val="32"/>
          <w:szCs w:val="32"/>
          <w:shd w:val="clear" w:color="auto" w:fill="FFFFFF"/>
        </w:rPr>
        <w:t>反映单位购买商品和服务的支出（不包括用于购置固定资产的支出、战略性和应急储备支出）。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shd w:val="clear" w:color="auto" w:fill="FFFFFF"/>
        </w:rPr>
      </w:pPr>
      <w:r>
        <w:rPr>
          <w:rFonts w:hint="default" w:ascii="方正楷体_GBK" w:hAnsi="方正楷体_GBK" w:eastAsia="方正楷体_GBK" w:cs="方正楷体_GBK"/>
          <w:b w:val="0"/>
          <w:bCs/>
          <w:color w:val="auto"/>
          <w:sz w:val="32"/>
          <w:szCs w:val="32"/>
          <w:shd w:val="clear" w:color="auto" w:fill="FFFFFF"/>
          <w:lang w:val="en-US" w:eastAsia="zh-CN" w:bidi="ar-SA"/>
        </w:rPr>
        <w:t> （十六）对个人和家庭的补助（支出经济分类科目类级）：</w:t>
      </w:r>
      <w:r>
        <w:rPr>
          <w:rFonts w:hint="default" w:ascii="Times New Roman" w:hAnsi="Times New Roman" w:eastAsia="方正仿宋_GBK" w:cs="Times New Roman"/>
          <w:b w:val="0"/>
          <w:bCs/>
          <w:color w:val="auto"/>
          <w:sz w:val="32"/>
          <w:szCs w:val="32"/>
          <w:shd w:val="clear" w:color="auto" w:fill="FFFFFF"/>
        </w:rPr>
        <w:t>反映用于对个人和家庭的补助支出。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shd w:val="clear" w:color="auto" w:fill="FFFFFF"/>
        </w:rPr>
      </w:pPr>
      <w:r>
        <w:rPr>
          <w:rFonts w:hint="default" w:ascii="方正楷体_GBK" w:hAnsi="方正楷体_GBK" w:eastAsia="方正楷体_GBK" w:cs="方正楷体_GBK"/>
          <w:b w:val="0"/>
          <w:bCs/>
          <w:color w:val="auto"/>
          <w:sz w:val="32"/>
          <w:szCs w:val="32"/>
          <w:shd w:val="clear" w:color="auto" w:fill="FFFFFF"/>
          <w:lang w:val="en-US" w:eastAsia="zh-CN" w:bidi="ar-SA"/>
        </w:rPr>
        <w:t>（十七）其他资本性支出（支出经济分类科目类级）：</w:t>
      </w:r>
      <w:r>
        <w:rPr>
          <w:rFonts w:hint="default" w:ascii="Times New Roman" w:hAnsi="Times New Roman" w:eastAsia="方正仿宋_GBK" w:cs="Times New Roman"/>
          <w:b w:val="0"/>
          <w:bCs/>
          <w:color w:val="auto"/>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黑体_GBK" w:cs="Times New Roman"/>
          <w:b w:val="0"/>
          <w:bCs/>
          <w:color w:val="auto"/>
          <w:sz w:val="32"/>
          <w:szCs w:val="32"/>
          <w:shd w:val="clear" w:color="auto" w:fill="FFFFFF"/>
          <w:lang w:val="en-US" w:eastAsia="zh-CN" w:bidi="ar-SA"/>
        </w:rPr>
      </w:pPr>
      <w:r>
        <w:rPr>
          <w:rFonts w:hint="default" w:ascii="Times New Roman" w:hAnsi="Times New Roman" w:eastAsia="方正黑体_GBK" w:cs="Times New Roman"/>
          <w:b w:val="0"/>
          <w:bCs/>
          <w:color w:val="auto"/>
          <w:sz w:val="32"/>
          <w:szCs w:val="32"/>
          <w:shd w:val="clear" w:color="auto" w:fill="FFFFFF"/>
          <w:lang w:val="en-US" w:eastAsia="zh-CN" w:bidi="ar-SA"/>
        </w:rPr>
        <w:t>七、决算公开联系方式及信息反馈渠道</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本单位决算公开信息反馈和联系方式：</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Style w:val="11"/>
          <w:rFonts w:hint="default" w:ascii="Times New Roman" w:hAnsi="Times New Roman" w:eastAsia="方正仿宋_GBK" w:cs="Times New Roman"/>
          <w:b w:val="0"/>
          <w:bCs/>
          <w:color w:val="auto"/>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b w:val="0"/>
          <w:bCs/>
          <w:color w:val="auto"/>
          <w:sz w:val="32"/>
          <w:szCs w:val="32"/>
          <w:shd w:val="clear" w:color="auto" w:fill="FFFFFF"/>
          <w:lang w:val="en-US" w:eastAsia="zh-CN"/>
        </w:rPr>
        <w:t>白书琴</w:t>
      </w:r>
      <w:r>
        <w:rPr>
          <w:rFonts w:hint="eastAsia" w:ascii="Times New Roman" w:hAnsi="Times New Roman" w:eastAsia="方正仿宋_GBK" w:cs="Times New Roman"/>
          <w:b w:val="0"/>
          <w:bCs/>
          <w:color w:val="auto"/>
          <w:sz w:val="32"/>
          <w:szCs w:val="32"/>
          <w:shd w:val="clear" w:color="auto" w:fill="FFFFFF"/>
          <w:lang w:val="en-US" w:eastAsia="zh-CN"/>
        </w:rPr>
        <w:t xml:space="preserve"> </w:t>
      </w:r>
      <w:r>
        <w:rPr>
          <w:rFonts w:hint="default" w:ascii="Times New Roman" w:hAnsi="Times New Roman" w:eastAsia="方正仿宋_GBK" w:cs="Times New Roman"/>
          <w:b w:val="0"/>
          <w:bCs/>
          <w:color w:val="auto"/>
          <w:sz w:val="32"/>
          <w:szCs w:val="32"/>
          <w:shd w:val="clear" w:color="auto" w:fill="FFFFFF"/>
          <w:lang w:val="en-US" w:eastAsia="zh-CN"/>
        </w:rPr>
        <w:t xml:space="preserve"> 023-76628266</w:t>
      </w:r>
    </w:p>
    <w:p>
      <w:pPr>
        <w:rPr>
          <w:rFonts w:hint="default" w:cs="宋体"/>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sz w:val="20"/>
                <w:u w:color="auto"/>
              </w:rPr>
              <w:t>重庆市秀山土家族苗族自治县钟灵镇卫生院</w:t>
            </w: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426.64</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352.24</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76.74</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645.34</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35.71</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778.88</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757.80</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4.67</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25.75</w:t>
            </w: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783.54</w:t>
            </w:r>
            <w:r>
              <w:rPr>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783.54</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重庆市秀山土家族苗族自治县钟灵镇卫生院</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778.88</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426.64</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352.24</w:t>
            </w:r>
            <w:r>
              <w:rPr>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76.74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27.60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49.13</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76.74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27.60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49.13</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9.87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6.19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3.68</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55.90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14.32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41.58</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10.96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7.09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3.87</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666.43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388.49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277.94</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0.45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0.45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0.45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0.45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410.27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213.48</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196.79</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410.27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213.48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196.79</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230.77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154.35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76.43</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216.68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140.25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76.43</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13.17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13.17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0.93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0.93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13.44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8.71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4.72</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13.44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8.71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4.72</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35.71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10.55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25.16</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35.71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10.55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25.16</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35.71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10.55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25.16</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2"/>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158"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重庆市秀山土家族苗族自治县钟灵镇卫生院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58"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757.80</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733.13</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24.67</w:t>
            </w: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76.74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76.74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76.74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76.74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9.87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9.87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55.90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55.90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10.96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10.96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645.34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620.67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24.67</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0.45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0.45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0.45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0.45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388.52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388.52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388.52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388.52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231.44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218.27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13.17</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217.34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217.34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13.17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13.17</w:t>
            </w: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0.93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0.93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13.44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13.44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13.44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13.44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35.71</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35.71</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35.71</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35.71</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35.71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35.71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50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重庆市秀山土家族苗族自治县钟灵镇卫生院</w:t>
            </w: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450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426.64</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27.60</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27.60</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370.75</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370.75</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10.55</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10.55</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426.64</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408.91</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408.91</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17.74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17.74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426.64</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426.64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426.64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60" w:type="dxa"/>
        <w:tblInd w:w="0" w:type="dxa"/>
        <w:tblLayout w:type="fixed"/>
        <w:tblCellMar>
          <w:top w:w="0" w:type="dxa"/>
          <w:left w:w="0" w:type="dxa"/>
          <w:bottom w:w="0" w:type="dxa"/>
          <w:right w:w="0" w:type="dxa"/>
        </w:tblCellMar>
      </w:tblPr>
      <w:tblGrid>
        <w:gridCol w:w="1855"/>
        <w:gridCol w:w="3545"/>
        <w:gridCol w:w="3315"/>
        <w:gridCol w:w="3315"/>
        <w:gridCol w:w="3330"/>
      </w:tblGrid>
      <w:tr>
        <w:tblPrEx>
          <w:tblLayout w:type="fixed"/>
          <w:tblCellMar>
            <w:top w:w="0" w:type="dxa"/>
            <w:left w:w="0" w:type="dxa"/>
            <w:bottom w:w="0" w:type="dxa"/>
            <w:right w:w="0" w:type="dxa"/>
          </w:tblCellMar>
        </w:tblPrEx>
        <w:trPr>
          <w:trHeight w:val="90" w:hRule="atLeast"/>
        </w:trPr>
        <w:tc>
          <w:tcPr>
            <w:tcW w:w="15360"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90" w:hRule="atLeast"/>
        </w:trPr>
        <w:tc>
          <w:tcPr>
            <w:tcW w:w="540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重庆市秀山土家族苗族自治县钟灵镇卫生院</w:t>
            </w:r>
          </w:p>
        </w:tc>
        <w:tc>
          <w:tcPr>
            <w:tcW w:w="331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0"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90" w:hRule="atLeast"/>
        </w:trPr>
        <w:tc>
          <w:tcPr>
            <w:tcW w:w="540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0"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540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60"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12" w:hRule="atLeast"/>
        </w:trPr>
        <w:tc>
          <w:tcPr>
            <w:tcW w:w="185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4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1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12" w:hRule="atLeast"/>
        </w:trPr>
        <w:tc>
          <w:tcPr>
            <w:tcW w:w="185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85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90" w:hRule="atLeast"/>
        </w:trPr>
        <w:tc>
          <w:tcPr>
            <w:tcW w:w="540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408.91</w:t>
            </w:r>
            <w:r>
              <w:rPr>
                <w:b/>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384.24</w:t>
            </w:r>
            <w:r>
              <w:rPr>
                <w:b/>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24.67</w:t>
            </w:r>
            <w:r>
              <w:rPr>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27.60</w:t>
            </w:r>
            <w:r>
              <w:rPr>
                <w:b/>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27.60</w:t>
            </w:r>
            <w:r>
              <w:rPr>
                <w:b/>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27.60</w:t>
            </w:r>
            <w:r>
              <w:rPr>
                <w:b/>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27.60</w:t>
            </w:r>
            <w:r>
              <w:rPr>
                <w:b/>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6.19</w:t>
            </w:r>
            <w:r>
              <w:rPr>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6.19</w:t>
            </w:r>
            <w:r>
              <w:rPr>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14.32</w:t>
            </w:r>
            <w:r>
              <w:rPr>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14.32</w:t>
            </w:r>
            <w:r>
              <w:rPr>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7.09</w:t>
            </w:r>
            <w:r>
              <w:rPr>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7.09</w:t>
            </w:r>
            <w:r>
              <w:rPr>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370.75</w:t>
            </w:r>
            <w:r>
              <w:rPr>
                <w:b/>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346.08</w:t>
            </w:r>
            <w:r>
              <w:rPr>
                <w:b/>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24.67</w:t>
            </w:r>
            <w:r>
              <w:rPr>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0.45</w:t>
            </w:r>
            <w:r>
              <w:rPr>
                <w:b/>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0.45</w:t>
            </w:r>
            <w:r>
              <w:rPr>
                <w:b/>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0.45</w:t>
            </w:r>
            <w:r>
              <w:rPr>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0.45</w:t>
            </w:r>
            <w:r>
              <w:rPr>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195.74</w:t>
            </w:r>
            <w:r>
              <w:rPr>
                <w:b/>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195.74</w:t>
            </w:r>
            <w:r>
              <w:rPr>
                <w:b/>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195.74</w:t>
            </w:r>
            <w:r>
              <w:rPr>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195.74</w:t>
            </w:r>
            <w:r>
              <w:rPr>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154.35</w:t>
            </w:r>
            <w:r>
              <w:rPr>
                <w:b/>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141.18</w:t>
            </w:r>
            <w:r>
              <w:rPr>
                <w:b/>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13.17</w:t>
            </w:r>
            <w:r>
              <w:rPr>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140.25</w:t>
            </w:r>
            <w:r>
              <w:rPr>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140.25</w:t>
            </w:r>
            <w:r>
              <w:rPr>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13.17</w:t>
            </w:r>
            <w:r>
              <w:rPr>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13.17</w:t>
            </w: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0.93</w:t>
            </w:r>
            <w:r>
              <w:rPr>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0.93</w:t>
            </w:r>
            <w:r>
              <w:rPr>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8.71</w:t>
            </w:r>
            <w:r>
              <w:rPr>
                <w:b/>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8.71</w:t>
            </w:r>
            <w:r>
              <w:rPr>
                <w:b/>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8.71</w:t>
            </w:r>
            <w:r>
              <w:rPr>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8.71</w:t>
            </w:r>
            <w:r>
              <w:rPr>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11.50</w:t>
            </w:r>
            <w:r>
              <w:rPr>
                <w:b/>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11.50</w:t>
            </w:r>
            <w:r>
              <w:rPr>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11.50</w:t>
            </w:r>
            <w:r>
              <w:rPr>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11.50</w:t>
            </w: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10.55</w:t>
            </w:r>
            <w:r>
              <w:rPr>
                <w:b/>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10.55</w:t>
            </w:r>
            <w:r>
              <w:rPr>
                <w:b/>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10.55</w:t>
            </w:r>
            <w:r>
              <w:rPr>
                <w:b/>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10.55</w:t>
            </w:r>
            <w:r>
              <w:rPr>
                <w:b/>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10.55</w:t>
            </w:r>
            <w:r>
              <w:rPr>
                <w:color w:val="000000"/>
                <w:sz w:val="20"/>
                <w:u w:color="auto"/>
              </w:rPr>
              <w:t xml:space="preserve"> </w:t>
            </w:r>
          </w:p>
        </w:tc>
        <w:tc>
          <w:tcPr>
            <w:tcW w:w="33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10.55</w:t>
            </w:r>
            <w:r>
              <w:rPr>
                <w:color w:val="000000"/>
                <w:sz w:val="20"/>
                <w:u w:color="auto"/>
              </w:rPr>
              <w:t xml:space="preserve"> </w:t>
            </w:r>
          </w:p>
        </w:tc>
        <w:tc>
          <w:tcPr>
            <w:tcW w:w="33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重庆市秀山土家族苗族自治县钟灵镇卫生院</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309.57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68.47</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65.58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5.00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48.14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6.00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140.08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0.18</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14.32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3.60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7.09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3.60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8.71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3.30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0.26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0.10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10.55</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2.88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0.78</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11.96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6.19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45.91</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5.52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0.67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315.77</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68.47</w:t>
            </w: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重庆市秀山土家族苗族自治县钟灵镇卫生院</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重庆市秀山土家族苗族自治县钟灵镇卫生院</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重庆市秀山土家族苗族自治县钟灵镇卫生院</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bl>
    <w:p>
      <w:pPr>
        <w:rPr>
          <w:rFonts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hZGJjYzg2Zjc5ZTI2NjNjYzRkODA2MmEzODRlYzcifQ=="/>
  </w:docVars>
  <w:rsids>
    <w:rsidRoot w:val="00B03CCD"/>
    <w:rsid w:val="002B254B"/>
    <w:rsid w:val="00550ABE"/>
    <w:rsid w:val="00770383"/>
    <w:rsid w:val="007819D4"/>
    <w:rsid w:val="007B419D"/>
    <w:rsid w:val="009B67B8"/>
    <w:rsid w:val="009D2B67"/>
    <w:rsid w:val="00B03CCD"/>
    <w:rsid w:val="00C20C3E"/>
    <w:rsid w:val="00F73F90"/>
    <w:rsid w:val="01474EBF"/>
    <w:rsid w:val="01F3521E"/>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9335CE"/>
    <w:rsid w:val="0BF2311A"/>
    <w:rsid w:val="0C7927C4"/>
    <w:rsid w:val="0C9B098C"/>
    <w:rsid w:val="0CA768A6"/>
    <w:rsid w:val="0D673E11"/>
    <w:rsid w:val="0DDA54E4"/>
    <w:rsid w:val="0E3A5F83"/>
    <w:rsid w:val="0F836721"/>
    <w:rsid w:val="0FA25D96"/>
    <w:rsid w:val="1033478A"/>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63A6CEE"/>
    <w:rsid w:val="173708E3"/>
    <w:rsid w:val="17C374FC"/>
    <w:rsid w:val="182E4AB6"/>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791755"/>
    <w:rsid w:val="26396DF4"/>
    <w:rsid w:val="27167136"/>
    <w:rsid w:val="271B442C"/>
    <w:rsid w:val="27B23302"/>
    <w:rsid w:val="29310A5F"/>
    <w:rsid w:val="29C37A35"/>
    <w:rsid w:val="29F45713"/>
    <w:rsid w:val="2A076083"/>
    <w:rsid w:val="2A73162E"/>
    <w:rsid w:val="2B167953"/>
    <w:rsid w:val="2B200583"/>
    <w:rsid w:val="2B8209DE"/>
    <w:rsid w:val="2C636760"/>
    <w:rsid w:val="2C6762A3"/>
    <w:rsid w:val="2DD97BC5"/>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9A3EB9"/>
    <w:rsid w:val="43BB152F"/>
    <w:rsid w:val="44C37687"/>
    <w:rsid w:val="45CB699A"/>
    <w:rsid w:val="465B470D"/>
    <w:rsid w:val="469D6AD4"/>
    <w:rsid w:val="471E6C84"/>
    <w:rsid w:val="4748792B"/>
    <w:rsid w:val="475D719D"/>
    <w:rsid w:val="47674801"/>
    <w:rsid w:val="48225EF7"/>
    <w:rsid w:val="488F422B"/>
    <w:rsid w:val="48E36915"/>
    <w:rsid w:val="48EB6572"/>
    <w:rsid w:val="495C4A24"/>
    <w:rsid w:val="497135DF"/>
    <w:rsid w:val="4A263DF2"/>
    <w:rsid w:val="4A40340A"/>
    <w:rsid w:val="4A6F6675"/>
    <w:rsid w:val="4B135857"/>
    <w:rsid w:val="4B7951CB"/>
    <w:rsid w:val="4B7C315C"/>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6530F5D"/>
    <w:rsid w:val="567700D3"/>
    <w:rsid w:val="56FF7E9E"/>
    <w:rsid w:val="578867FC"/>
    <w:rsid w:val="5842572D"/>
    <w:rsid w:val="5A3B59D6"/>
    <w:rsid w:val="5AD134D8"/>
    <w:rsid w:val="5C263CE4"/>
    <w:rsid w:val="5C5D2777"/>
    <w:rsid w:val="5CF66BF3"/>
    <w:rsid w:val="5D290C69"/>
    <w:rsid w:val="5F2D4A41"/>
    <w:rsid w:val="60C74F6C"/>
    <w:rsid w:val="61025A59"/>
    <w:rsid w:val="613D5BBC"/>
    <w:rsid w:val="61536C39"/>
    <w:rsid w:val="62944DD7"/>
    <w:rsid w:val="6319381F"/>
    <w:rsid w:val="63C25DC5"/>
    <w:rsid w:val="63C62057"/>
    <w:rsid w:val="64571EF5"/>
    <w:rsid w:val="647940FD"/>
    <w:rsid w:val="64FB113D"/>
    <w:rsid w:val="656152C6"/>
    <w:rsid w:val="6587477F"/>
    <w:rsid w:val="658C3A08"/>
    <w:rsid w:val="65980698"/>
    <w:rsid w:val="65C031CA"/>
    <w:rsid w:val="65CE6852"/>
    <w:rsid w:val="66267C04"/>
    <w:rsid w:val="663F505A"/>
    <w:rsid w:val="66EE5541"/>
    <w:rsid w:val="67924660"/>
    <w:rsid w:val="683447C7"/>
    <w:rsid w:val="68407834"/>
    <w:rsid w:val="6883293E"/>
    <w:rsid w:val="688412AD"/>
    <w:rsid w:val="68EB1B71"/>
    <w:rsid w:val="6A6C7940"/>
    <w:rsid w:val="6AAD2300"/>
    <w:rsid w:val="6B474EF5"/>
    <w:rsid w:val="6C0A5AC5"/>
    <w:rsid w:val="6C560CAE"/>
    <w:rsid w:val="6C576495"/>
    <w:rsid w:val="6D903FF5"/>
    <w:rsid w:val="6DA955B8"/>
    <w:rsid w:val="6DE346AB"/>
    <w:rsid w:val="6DE5391A"/>
    <w:rsid w:val="6EFD1324"/>
    <w:rsid w:val="6F5A53AC"/>
    <w:rsid w:val="6FAC003D"/>
    <w:rsid w:val="6FE55E12"/>
    <w:rsid w:val="6FFB2E76"/>
    <w:rsid w:val="708F6F7F"/>
    <w:rsid w:val="70D94BD3"/>
    <w:rsid w:val="71C34D91"/>
    <w:rsid w:val="72DB435C"/>
    <w:rsid w:val="72E2613A"/>
    <w:rsid w:val="72F771F4"/>
    <w:rsid w:val="73934AD2"/>
    <w:rsid w:val="750837F0"/>
    <w:rsid w:val="754758CF"/>
    <w:rsid w:val="764F62AB"/>
    <w:rsid w:val="765C45EC"/>
    <w:rsid w:val="768A7619"/>
    <w:rsid w:val="772E1EBA"/>
    <w:rsid w:val="77BD4E93"/>
    <w:rsid w:val="781926BC"/>
    <w:rsid w:val="796D60A4"/>
    <w:rsid w:val="79A031D5"/>
    <w:rsid w:val="7A147AEF"/>
    <w:rsid w:val="7A1525F7"/>
    <w:rsid w:val="7AB962D7"/>
    <w:rsid w:val="7B420052"/>
    <w:rsid w:val="7BD06A28"/>
    <w:rsid w:val="7C3A7C0B"/>
    <w:rsid w:val="7C5248E4"/>
    <w:rsid w:val="7C566698"/>
    <w:rsid w:val="7C5866A3"/>
    <w:rsid w:val="7D7406BB"/>
    <w:rsid w:val="7DE94331"/>
    <w:rsid w:val="7EC90224"/>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unhideWhenUsed/>
    <w:qFormat/>
    <w:uiPriority w:val="1"/>
    <w:pPr>
      <w:widowControl w:val="0"/>
      <w:ind w:left="101" w:firstLine="679"/>
    </w:pPr>
    <w:rPr>
      <w:rFonts w:ascii="Arial" w:hAnsi="Arial" w:cs="Times New Roman"/>
      <w:sz w:val="34"/>
      <w:szCs w:val="34"/>
      <w:lang w:eastAsia="en-US"/>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8425</Words>
  <Characters>10497</Characters>
  <Lines>190</Lines>
  <Paragraphs>53</Paragraphs>
  <TotalTime>1</TotalTime>
  <ScaleCrop>false</ScaleCrop>
  <LinksUpToDate>false</LinksUpToDate>
  <CharactersWithSpaces>11631</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2024-10-05T04:41:25Z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