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重庆市秀山土家族苗族自治县红十字会</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2023年度决算公开说明</w:t>
      </w:r>
    </w:p>
    <w:p>
      <w:pPr>
        <w:pStyle w:val="8"/>
        <w:keepNext w:val="0"/>
        <w:keepLines w:val="0"/>
        <w:pageBreakBefore w:val="0"/>
        <w:widowControl/>
        <w:kinsoku/>
        <w:wordWrap/>
        <w:overflowPunct/>
        <w:topLinePunct w:val="0"/>
        <w:autoSpaceDE/>
        <w:autoSpaceDN/>
        <w:bidi w:val="0"/>
        <w:adjustRightInd/>
        <w:snapToGrid/>
        <w:spacing w:before="0" w:beforeAutospacing="0" w:line="560" w:lineRule="exact"/>
        <w:jc w:val="both"/>
        <w:textAlignment w:val="auto"/>
        <w:outlineLvl w:val="9"/>
        <w:rPr>
          <w:rFonts w:hint="default" w:ascii="Times New Roman" w:hAnsi="Times New Roman" w:eastAsia="方正小标宋_GBK" w:cs="Times New Roman"/>
          <w:b w:val="0"/>
          <w:bCs w:val="0"/>
          <w:sz w:val="44"/>
          <w:szCs w:val="44"/>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val="0"/>
          <w:sz w:val="32"/>
          <w:szCs w:val="32"/>
          <w:shd w:val="clear" w:color="auto" w:fill="FFFFFF"/>
        </w:rPr>
      </w:pPr>
      <w:r>
        <w:rPr>
          <w:rStyle w:val="10"/>
          <w:rFonts w:hint="default" w:ascii="Times New Roman" w:hAnsi="Times New Roman" w:eastAsia="方正黑体_GBK" w:cs="Times New Roman"/>
          <w:b w:val="0"/>
          <w:bCs w:val="0"/>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楷体_GBK" w:cs="Times New Roman"/>
          <w:b w:val="0"/>
          <w:bCs w:val="0"/>
          <w:sz w:val="32"/>
          <w:szCs w:val="32"/>
          <w:shd w:val="clear" w:color="auto" w:fill="FFFFFF"/>
        </w:rPr>
      </w:pPr>
      <w:r>
        <w:rPr>
          <w:rStyle w:val="10"/>
          <w:rFonts w:hint="default" w:ascii="Times New Roman" w:hAnsi="Times New Roman" w:eastAsia="方正楷体_GBK" w:cs="Times New Roman"/>
          <w:b w:val="0"/>
          <w:bCs w:val="0"/>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开展救援、救灾的相关工作，建立红十字应急救援体系，在突发事件中对伤病人员和其他受害者提供紧急救援和人道救助；开展应急救护培训，普及应急救护、防灾避险和卫生健康知识，组织志愿者参加现场救护；参与、推动无偿献血、遗体和人体器官捐献工作，参与开展造血干细胞的相关工作；组织开展红十字志愿服务、红十字青少年工作；参加国际人道主义救援工作；宣传国际红十字和红新月运动的基本原则和日内瓦公约及其附加议定书；依照国际红十字和红新月运动的基本原则，完成县人民政府委托事宜；依照日内瓦公约及其附加议定书的有关规定开展工作；协助县政府开展与其职责相关的其他人道主义服务活动；指导全县各级红十字会工作开展。</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楷体_GBK" w:cs="Times New Roman"/>
          <w:b w:val="0"/>
          <w:bCs w:val="0"/>
          <w:sz w:val="32"/>
          <w:szCs w:val="32"/>
          <w:shd w:val="clear" w:color="auto" w:fill="FFFFFF"/>
        </w:rPr>
      </w:pPr>
      <w:r>
        <w:rPr>
          <w:rStyle w:val="10"/>
          <w:rFonts w:hint="default" w:ascii="Times New Roman" w:hAnsi="Times New Roman" w:eastAsia="方正楷体_GBK" w:cs="Times New Roman"/>
          <w:b w:val="0"/>
          <w:bCs w:val="0"/>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val="0"/>
          <w:sz w:val="32"/>
          <w:szCs w:val="32"/>
          <w:shd w:val="clear" w:color="auto" w:fill="FFFFFF"/>
          <w:lang w:eastAsia="zh-CN"/>
        </w:rPr>
      </w:pPr>
      <w:r>
        <w:rPr>
          <w:rStyle w:val="10"/>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val="0"/>
          <w:sz w:val="32"/>
          <w:szCs w:val="32"/>
          <w:shd w:val="clear" w:color="auto" w:fill="FFFFFF"/>
        </w:rPr>
      </w:pPr>
      <w:r>
        <w:rPr>
          <w:rStyle w:val="10"/>
          <w:rFonts w:hint="default" w:ascii="Times New Roman" w:hAnsi="Times New Roman" w:eastAsia="方正黑体_GBK" w:cs="Times New Roman"/>
          <w:b w:val="0"/>
          <w:bCs w:val="0"/>
          <w:sz w:val="32"/>
          <w:szCs w:val="32"/>
          <w:shd w:val="clear" w:color="auto" w:fill="FFFFFF"/>
        </w:rPr>
        <w:t>二、单位决算情况说明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楷体_GBK" w:cs="Times New Roman"/>
          <w:b w:val="0"/>
          <w:bCs w:val="0"/>
          <w:sz w:val="32"/>
          <w:szCs w:val="32"/>
          <w:shd w:val="clear" w:color="auto" w:fill="FFFFFF"/>
        </w:rPr>
      </w:pPr>
      <w:r>
        <w:rPr>
          <w:rStyle w:val="10"/>
          <w:rFonts w:hint="default" w:ascii="Times New Roman" w:hAnsi="Times New Roman" w:eastAsia="方正楷体_GBK" w:cs="Times New Roman"/>
          <w:b w:val="0"/>
          <w:bCs w:val="0"/>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1.总体情况。2023年度收入总计28.89万元，支出总计28.89万元。收支较上年决算数增加28.89万元，增长100.00%，主要原因是</w:t>
      </w:r>
      <w:r>
        <w:rPr>
          <w:rStyle w:val="10"/>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8"/>
        <w:keepNext w:val="0"/>
        <w:keepLines w:val="0"/>
        <w:pageBreakBefore w:val="0"/>
        <w:widowControl/>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2.收入情况。2023年度收入合计28.89万元，较上年决算数增加28.89万元，增长100.00%，主要原因是</w:t>
      </w:r>
      <w:r>
        <w:rPr>
          <w:rStyle w:val="10"/>
          <w:rFonts w:hint="default" w:ascii="Times New Roman" w:hAnsi="Times New Roman" w:eastAsia="方正仿宋_GBK" w:cs="Times New Roman"/>
          <w:b w:val="0"/>
          <w:bCs/>
          <w:sz w:val="32"/>
          <w:szCs w:val="32"/>
          <w:shd w:val="clear" w:color="auto" w:fill="FFFFFF"/>
          <w:lang w:eastAsia="zh-CN"/>
        </w:rPr>
        <w:t>本单位为新增单位，无上年数据对比。</w:t>
      </w:r>
      <w:r>
        <w:rPr>
          <w:rStyle w:val="10"/>
          <w:rFonts w:hint="default" w:ascii="Times New Roman" w:hAnsi="Times New Roman" w:eastAsia="方正仿宋_GBK" w:cs="Times New Roman"/>
          <w:b w:val="0"/>
          <w:bCs/>
          <w:sz w:val="32"/>
          <w:szCs w:val="32"/>
          <w:shd w:val="clear" w:color="auto" w:fill="FFFFFF"/>
        </w:rPr>
        <w:t>其中：财政拨款收入28.89万元，占100.00%；事业收入0.00万元，占0.00%；经营收入0.00万元，占0.00%；其他收入0.00万元，占0.00%。此外，使用非财政拨款结余和专用结余0.00万元，年初结转和结余0.00万元。</w:t>
      </w:r>
    </w:p>
    <w:p>
      <w:pPr>
        <w:pStyle w:val="8"/>
        <w:keepNext w:val="0"/>
        <w:keepLines w:val="0"/>
        <w:pageBreakBefore w:val="0"/>
        <w:widowControl/>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3.支出情况。2023年度支出合计28.89万元，较上年决算数增加28.89万元，增长100.00%，主要原因是</w:t>
      </w:r>
      <w:r>
        <w:rPr>
          <w:rStyle w:val="10"/>
          <w:rFonts w:hint="default" w:ascii="Times New Roman" w:hAnsi="Times New Roman" w:eastAsia="方正仿宋_GBK" w:cs="Times New Roman"/>
          <w:b w:val="0"/>
          <w:bCs/>
          <w:sz w:val="32"/>
          <w:szCs w:val="32"/>
          <w:shd w:val="clear" w:color="auto" w:fill="FFFFFF"/>
          <w:lang w:eastAsia="zh-CN"/>
        </w:rPr>
        <w:t>本单位为新增单位，无上年数据对比。</w:t>
      </w:r>
      <w:r>
        <w:rPr>
          <w:rStyle w:val="10"/>
          <w:rFonts w:hint="default" w:ascii="Times New Roman" w:hAnsi="Times New Roman" w:eastAsia="方正仿宋_GBK" w:cs="Times New Roman"/>
          <w:b w:val="0"/>
          <w:bCs/>
          <w:sz w:val="32"/>
          <w:szCs w:val="32"/>
          <w:shd w:val="clear" w:color="auto" w:fill="FFFFFF"/>
        </w:rPr>
        <w:t>其中：基本支出28.89万元，占100.00%；项目支出0.00万元，占0.00%；经营支出0.00万元，占0.00%。此外，结余分配0.00万元。</w:t>
      </w:r>
    </w:p>
    <w:p>
      <w:pPr>
        <w:pStyle w:val="8"/>
        <w:keepNext w:val="0"/>
        <w:keepLines w:val="0"/>
        <w:pageBreakBefore w:val="0"/>
        <w:widowControl/>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4.结转结余情况。2023年度年末结转和结余0.00万元，较上年决算数无增减，主要原因是</w:t>
      </w:r>
      <w:r>
        <w:rPr>
          <w:rStyle w:val="10"/>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（二）财政拨款收入支出决算总体情况说明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val="en-US"/>
        </w:rPr>
      </w:pPr>
      <w:r>
        <w:rPr>
          <w:rStyle w:val="10"/>
          <w:rFonts w:hint="default" w:ascii="Times New Roman" w:hAnsi="Times New Roman" w:eastAsia="方正仿宋_GBK" w:cs="Times New Roman"/>
          <w:b w:val="0"/>
          <w:bCs/>
          <w:sz w:val="32"/>
          <w:szCs w:val="32"/>
          <w:shd w:val="clear" w:color="auto" w:fill="FFFFFF"/>
        </w:rPr>
        <w:t>2023年度财政拨款收、支总计28.89万元。与2022年相比，财政拨款收、支总计各增加28.89万元，增长100.00%。主要原因是</w:t>
      </w:r>
      <w:r>
        <w:rPr>
          <w:rStyle w:val="10"/>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1.收入情况。2023年度一般公共预算财政拨款收入28.89万元，较上年决算数增加28.89万元，增长100.00%。主要原因是</w:t>
      </w:r>
      <w:r>
        <w:rPr>
          <w:rStyle w:val="10"/>
          <w:rFonts w:hint="default" w:ascii="Times New Roman" w:hAnsi="Times New Roman" w:eastAsia="方正仿宋_GBK" w:cs="Times New Roman"/>
          <w:b w:val="0"/>
          <w:bCs/>
          <w:sz w:val="32"/>
          <w:szCs w:val="32"/>
          <w:shd w:val="clear" w:color="auto" w:fill="FFFFFF"/>
          <w:lang w:eastAsia="zh-CN"/>
        </w:rPr>
        <w:t>本单位为新增单位，无上年数据对比。</w:t>
      </w:r>
      <w:r>
        <w:rPr>
          <w:rStyle w:val="10"/>
          <w:rFonts w:hint="default" w:ascii="Times New Roman" w:hAnsi="Times New Roman" w:eastAsia="方正仿宋_GBK" w:cs="Times New Roman"/>
          <w:b w:val="0"/>
          <w:bCs/>
          <w:sz w:val="32"/>
          <w:szCs w:val="32"/>
          <w:shd w:val="clear" w:color="auto" w:fill="FFFFFF"/>
        </w:rPr>
        <w:t>较年初预算数减少12.33万元，下降29.91%。主要原因是</w:t>
      </w:r>
      <w:r>
        <w:rPr>
          <w:rStyle w:val="10"/>
          <w:rFonts w:hint="default" w:ascii="Times New Roman" w:hAnsi="Times New Roman" w:eastAsia="方正仿宋_GBK" w:cs="Times New Roman"/>
          <w:b w:val="0"/>
          <w:bCs/>
          <w:sz w:val="32"/>
          <w:szCs w:val="32"/>
          <w:shd w:val="clear" w:color="auto" w:fill="FFFFFF"/>
          <w:lang w:eastAsia="zh-CN"/>
        </w:rPr>
        <w:t>本单位收入来源于财政实际拨款。</w:t>
      </w:r>
      <w:r>
        <w:rPr>
          <w:rStyle w:val="10"/>
          <w:rFonts w:hint="default" w:ascii="Times New Roman" w:hAnsi="Times New Roman" w:eastAsia="方正仿宋_GBK" w:cs="Times New Roman"/>
          <w:b w:val="0"/>
          <w:bCs/>
          <w:sz w:val="32"/>
          <w:szCs w:val="32"/>
          <w:shd w:val="clear" w:color="auto" w:fill="FFFFFF"/>
        </w:rPr>
        <w:t>此外，年初财政拨款结转和结余0.00万元。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Style w:val="10"/>
          <w:rFonts w:hint="default" w:ascii="Times New Roman" w:hAnsi="Times New Roman" w:eastAsia="方正仿宋_GBK" w:cs="Times New Roman"/>
          <w:b w:val="0"/>
          <w:bCs/>
          <w:sz w:val="32"/>
          <w:szCs w:val="32"/>
          <w:shd w:val="clear" w:color="auto" w:fill="FFFFFF"/>
        </w:rPr>
        <w:t>2.支出情况。2023年度一般公共预算财政拨款支出28.89万元，较上年决算数增加28.89万元，增长100.00%。主要原因是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r>
        <w:rPr>
          <w:rStyle w:val="10"/>
          <w:rFonts w:hint="default" w:ascii="Times New Roman" w:hAnsi="Times New Roman" w:eastAsia="方正仿宋_GBK" w:cs="Times New Roman"/>
          <w:b w:val="0"/>
          <w:bCs/>
          <w:sz w:val="32"/>
          <w:szCs w:val="32"/>
          <w:shd w:val="clear" w:color="auto" w:fill="FFFFFF"/>
        </w:rPr>
        <w:t>较年初预算数减少12.33万元，下降29.91%。主要原因是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3.结转结余情况。2023年度年末一般公共预算财政拨款结转和结余0.00万元，较上年决算数无增减，主要原因是</w:t>
      </w:r>
      <w:r>
        <w:rPr>
          <w:rStyle w:val="10"/>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4.比较情况。本单位2023年度一般公共预算财政拨款支出主要用于以下几个方面：</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Style w:val="10"/>
          <w:rFonts w:hint="default" w:ascii="Times New Roman" w:hAnsi="Times New Roman" w:eastAsia="方正仿宋_GBK" w:cs="Times New Roman"/>
          <w:b w:val="0"/>
          <w:bCs/>
          <w:sz w:val="32"/>
          <w:szCs w:val="32"/>
          <w:shd w:val="clear" w:color="auto" w:fill="FFFFFF"/>
        </w:rPr>
        <w:t>（</w:t>
      </w:r>
      <w:r>
        <w:rPr>
          <w:rStyle w:val="10"/>
          <w:rFonts w:hint="default" w:ascii="Times New Roman" w:hAnsi="Times New Roman" w:eastAsia="方正仿宋_GBK" w:cs="Times New Roman"/>
          <w:b w:val="0"/>
          <w:bCs/>
          <w:sz w:val="32"/>
          <w:szCs w:val="32"/>
          <w:shd w:val="clear" w:color="auto" w:fill="FFFFFF"/>
          <w:lang w:val="en-US" w:eastAsia="zh-CN"/>
        </w:rPr>
        <w:t>1</w:t>
      </w:r>
      <w:r>
        <w:rPr>
          <w:rStyle w:val="10"/>
          <w:rFonts w:hint="default" w:ascii="Times New Roman" w:hAnsi="Times New Roman" w:eastAsia="方正仿宋_GBK" w:cs="Times New Roman"/>
          <w:b w:val="0"/>
          <w:bCs/>
          <w:sz w:val="32"/>
          <w:szCs w:val="32"/>
          <w:shd w:val="clear" w:color="auto" w:fill="FFFFFF"/>
        </w:rPr>
        <w:t>）社会保障与就业支出5.62万元，占19.45%，较年初预算数减少0.01万元，下降0.18%，主要原因是</w:t>
      </w:r>
      <w:r>
        <w:rPr>
          <w:rStyle w:val="10"/>
          <w:rFonts w:hint="default" w:ascii="Times New Roman" w:hAnsi="Times New Roman" w:eastAsia="方正仿宋_GBK" w:cs="Times New Roman"/>
          <w:b w:val="0"/>
          <w:bCs/>
          <w:sz w:val="32"/>
          <w:szCs w:val="32"/>
          <w:shd w:val="clear" w:color="auto" w:fill="FFFFFF"/>
          <w:lang w:eastAsia="zh-CN"/>
        </w:rPr>
        <w:t>社保基数每年有调整，本单位支出来源于财政实际拨款。</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w:t>
      </w:r>
      <w:r>
        <w:rPr>
          <w:rStyle w:val="10"/>
          <w:rFonts w:hint="default" w:ascii="Times New Roman" w:hAnsi="Times New Roman" w:eastAsia="方正仿宋_GBK" w:cs="Times New Roman"/>
          <w:b w:val="0"/>
          <w:bCs/>
          <w:sz w:val="32"/>
          <w:szCs w:val="32"/>
          <w:shd w:val="clear" w:color="auto" w:fill="FFFFFF"/>
          <w:lang w:val="en-US" w:eastAsia="zh-CN"/>
        </w:rPr>
        <w:t>2</w:t>
      </w:r>
      <w:r>
        <w:rPr>
          <w:rStyle w:val="10"/>
          <w:rFonts w:hint="default" w:ascii="Times New Roman" w:hAnsi="Times New Roman" w:eastAsia="方正仿宋_GBK" w:cs="Times New Roman"/>
          <w:b w:val="0"/>
          <w:bCs/>
          <w:sz w:val="32"/>
          <w:szCs w:val="32"/>
          <w:shd w:val="clear" w:color="auto" w:fill="FFFFFF"/>
        </w:rPr>
        <w:t>）卫生健康支出20.91万元，占72.39%，较年初预算数减少11.46万元，下降35.40%，主要原因是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Style w:val="10"/>
          <w:rFonts w:hint="default" w:ascii="Times New Roman" w:hAnsi="Times New Roman" w:eastAsia="方正仿宋_GBK" w:cs="Times New Roman"/>
          <w:b w:val="0"/>
          <w:bCs/>
          <w:sz w:val="32"/>
          <w:szCs w:val="32"/>
          <w:shd w:val="clear" w:color="auto" w:fill="FFFFFF"/>
        </w:rPr>
        <w:t>（</w:t>
      </w:r>
      <w:r>
        <w:rPr>
          <w:rStyle w:val="10"/>
          <w:rFonts w:hint="default" w:ascii="Times New Roman" w:hAnsi="Times New Roman" w:eastAsia="方正仿宋_GBK" w:cs="Times New Roman"/>
          <w:b w:val="0"/>
          <w:bCs/>
          <w:sz w:val="32"/>
          <w:szCs w:val="32"/>
          <w:shd w:val="clear" w:color="auto" w:fill="FFFFFF"/>
          <w:lang w:val="en-US" w:eastAsia="zh-CN"/>
        </w:rPr>
        <w:t>3</w:t>
      </w:r>
      <w:r>
        <w:rPr>
          <w:rStyle w:val="10"/>
          <w:rFonts w:hint="default" w:ascii="Times New Roman" w:hAnsi="Times New Roman" w:eastAsia="方正仿宋_GBK" w:cs="Times New Roman"/>
          <w:b w:val="0"/>
          <w:bCs/>
          <w:sz w:val="32"/>
          <w:szCs w:val="32"/>
          <w:shd w:val="clear" w:color="auto" w:fill="FFFFFF"/>
        </w:rPr>
        <w:t>）住房保障支出2.36万元，占8.16%，较年初预算数减少0.86万元，下降26.71%，主要原因是</w:t>
      </w:r>
      <w:r>
        <w:rPr>
          <w:rStyle w:val="10"/>
          <w:rFonts w:hint="default" w:ascii="Times New Roman" w:hAnsi="Times New Roman" w:eastAsia="方正仿宋_GBK" w:cs="Times New Roman"/>
          <w:b w:val="0"/>
          <w:bCs/>
          <w:sz w:val="32"/>
          <w:szCs w:val="32"/>
          <w:shd w:val="clear" w:color="auto" w:fill="FFFFFF"/>
          <w:lang w:eastAsia="zh-CN"/>
        </w:rPr>
        <w:t>人员减少，实际支出减少。</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楷体" w:cs="Times New Roman"/>
          <w:b w:val="0"/>
          <w:bCs w:val="0"/>
          <w:sz w:val="32"/>
          <w:szCs w:val="32"/>
          <w:shd w:val="clear" w:color="auto" w:fill="FFFFFF"/>
        </w:rPr>
      </w:pPr>
      <w:r>
        <w:rPr>
          <w:rFonts w:hint="default" w:ascii="Times New Roman" w:hAnsi="Times New Roman" w:eastAsia="楷体" w:cs="Times New Roman"/>
          <w:b w:val="0"/>
          <w:bCs w:val="0"/>
          <w:sz w:val="32"/>
          <w:szCs w:val="32"/>
          <w:shd w:val="clear" w:color="auto" w:fill="FFFFFF"/>
        </w:rPr>
        <w:t>（四）一般公共预算财政拨款基本支出决算情况说明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2023年度一般公共财政拨款基本支出</w:t>
      </w:r>
      <w:r>
        <w:rPr>
          <w:rFonts w:hint="default" w:ascii="Times New Roman" w:hAnsi="Times New Roman" w:eastAsia="方正仿宋_GBK" w:cs="Times New Roman"/>
          <w:b w:val="0"/>
          <w:bCs w:val="0"/>
          <w:sz w:val="32"/>
          <w:szCs w:val="32"/>
        </w:rPr>
        <w:t>28.89</w:t>
      </w:r>
      <w:r>
        <w:rPr>
          <w:rFonts w:hint="default" w:ascii="Times New Roman" w:hAnsi="Times New Roman" w:eastAsia="方正仿宋_GBK" w:cs="Times New Roman"/>
          <w:b w:val="0"/>
          <w:bCs w:val="0"/>
          <w:sz w:val="32"/>
          <w:szCs w:val="32"/>
          <w:shd w:val="clear" w:color="auto" w:fill="FFFFFF"/>
        </w:rPr>
        <w:t>万元。其中：人员经费</w:t>
      </w:r>
      <w:r>
        <w:rPr>
          <w:rFonts w:hint="default" w:ascii="Times New Roman" w:hAnsi="Times New Roman" w:eastAsia="方正仿宋_GBK" w:cs="Times New Roman"/>
          <w:b w:val="0"/>
          <w:bCs w:val="0"/>
          <w:sz w:val="32"/>
          <w:szCs w:val="32"/>
        </w:rPr>
        <w:t>25.93</w:t>
      </w:r>
      <w:r>
        <w:rPr>
          <w:rFonts w:hint="default" w:ascii="Times New Roman" w:hAnsi="Times New Roman" w:eastAsia="方正仿宋_GBK" w:cs="Times New Roman"/>
          <w:b w:val="0"/>
          <w:bCs w:val="0"/>
          <w:sz w:val="32"/>
          <w:szCs w:val="32"/>
          <w:shd w:val="clear" w:color="auto" w:fill="FFFFFF"/>
        </w:rPr>
        <w:t>万元，较上年决算数增加25.93万元，增长100.00%，主要原因是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r>
        <w:rPr>
          <w:rFonts w:hint="default" w:ascii="Times New Roman" w:hAnsi="Times New Roman" w:eastAsia="方正仿宋_GBK" w:cs="Times New Roman"/>
          <w:b w:val="0"/>
          <w:bCs w:val="0"/>
          <w:sz w:val="32"/>
          <w:szCs w:val="32"/>
          <w:shd w:val="clear" w:color="auto" w:fill="FFFFFF"/>
        </w:rPr>
        <w:t>人员经费用途主要包括</w:t>
      </w:r>
      <w:r>
        <w:rPr>
          <w:rFonts w:hint="default" w:ascii="Times New Roman" w:hAnsi="Times New Roman" w:eastAsia="方正仿宋_GBK" w:cs="Times New Roman"/>
          <w:sz w:val="32"/>
          <w:szCs w:val="32"/>
          <w:shd w:val="clear" w:color="auto" w:fill="FFFFFF"/>
          <w:lang w:eastAsia="zh-CN"/>
        </w:rPr>
        <w:t>社会保障、基本工资、绩效工资等。</w:t>
      </w:r>
      <w:r>
        <w:rPr>
          <w:rFonts w:hint="default" w:ascii="Times New Roman" w:hAnsi="Times New Roman" w:eastAsia="方正仿宋_GBK" w:cs="Times New Roman"/>
          <w:b w:val="0"/>
          <w:bCs w:val="0"/>
          <w:sz w:val="32"/>
          <w:szCs w:val="32"/>
          <w:shd w:val="clear" w:color="auto" w:fill="FFFFFF"/>
        </w:rPr>
        <w:t>公用经费</w:t>
      </w:r>
      <w:r>
        <w:rPr>
          <w:rFonts w:hint="default" w:ascii="Times New Roman" w:hAnsi="Times New Roman" w:eastAsia="方正仿宋_GBK" w:cs="Times New Roman"/>
          <w:b w:val="0"/>
          <w:bCs w:val="0"/>
          <w:sz w:val="32"/>
          <w:szCs w:val="32"/>
        </w:rPr>
        <w:t>2.96</w:t>
      </w:r>
      <w:r>
        <w:rPr>
          <w:rFonts w:hint="default" w:ascii="Times New Roman" w:hAnsi="Times New Roman" w:eastAsia="方正仿宋_GBK" w:cs="Times New Roman"/>
          <w:b w:val="0"/>
          <w:bCs w:val="0"/>
          <w:sz w:val="32"/>
          <w:szCs w:val="32"/>
          <w:shd w:val="clear" w:color="auto" w:fill="FFFFFF"/>
        </w:rPr>
        <w:t>万元，较上年决算数增加2.96万元，增长100.00%，主要原因是</w:t>
      </w:r>
      <w:r>
        <w:rPr>
          <w:rFonts w:hint="default" w:ascii="Times New Roman" w:hAnsi="Times New Roman" w:eastAsia="方正仿宋_GBK" w:cs="Times New Roman"/>
          <w:sz w:val="32"/>
          <w:szCs w:val="32"/>
          <w:shd w:val="clear" w:color="auto" w:fill="FFFFFF"/>
          <w:lang w:eastAsia="zh-CN"/>
        </w:rPr>
        <w:t>本单位为新增单位，无上年数据对比。</w:t>
      </w:r>
      <w:r>
        <w:rPr>
          <w:rFonts w:hint="default" w:ascii="Times New Roman" w:hAnsi="Times New Roman" w:eastAsia="方正仿宋_GBK" w:cs="Times New Roman"/>
          <w:b w:val="0"/>
          <w:bCs w:val="0"/>
          <w:sz w:val="32"/>
          <w:szCs w:val="32"/>
          <w:shd w:val="clear" w:color="auto" w:fill="FFFFFF"/>
        </w:rPr>
        <w:t>公用经费用途主要包括</w:t>
      </w:r>
      <w:r>
        <w:rPr>
          <w:rFonts w:hint="default" w:ascii="Times New Roman" w:hAnsi="Times New Roman" w:eastAsia="方正仿宋_GBK" w:cs="Times New Roman"/>
          <w:sz w:val="32"/>
          <w:szCs w:val="32"/>
          <w:shd w:val="clear" w:color="auto" w:fill="FFFFFF"/>
          <w:lang w:eastAsia="zh-CN"/>
        </w:rPr>
        <w:t>办公费、水费、电费等。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本单位2023年度无政府性基金预算财政拨款收支。</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default" w:ascii="Times New Roman" w:hAnsi="Times New Roman" w:eastAsia="楷体"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本单位2023年度无国有资本经营预算财政拨款支出。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三、“三公”经费情况说明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lang w:eastAsia="zh-CN"/>
        </w:rPr>
        <w:t>本单位为委属代管单位，财政未保障“三公”经费。</w:t>
      </w:r>
    </w:p>
    <w:p>
      <w:pPr>
        <w:pStyle w:val="13"/>
        <w:autoSpaceDE w:val="0"/>
        <w:ind w:firstLine="643"/>
        <w:rPr>
          <w:rFonts w:hint="default" w:ascii="Times New Roman" w:hAnsi="Times New Roman" w:eastAsia="楷体" w:cs="Times New Roman"/>
          <w:b w:val="0"/>
          <w:bCs w:val="0"/>
          <w:sz w:val="32"/>
          <w:szCs w:val="32"/>
          <w:shd w:val="clear" w:color="auto" w:fill="FFFFFF"/>
        </w:rPr>
      </w:pPr>
      <w:r>
        <w:rPr>
          <w:rFonts w:hint="default" w:ascii="Times New Roman" w:hAnsi="Times New Roman" w:eastAsia="楷体" w:cs="Times New Roman"/>
          <w:b w:val="0"/>
          <w:bCs w:val="0"/>
          <w:sz w:val="32"/>
          <w:szCs w:val="32"/>
          <w:shd w:val="clear" w:color="auto" w:fill="FFFFFF"/>
        </w:rPr>
        <w:t>（二）“三公”经费分项支出情况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四、其他需要说明的事项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（一）财政拨款会议费和培训费情况说明</w:t>
      </w:r>
    </w:p>
    <w:p>
      <w:pPr>
        <w:pStyle w:val="13"/>
        <w:autoSpaceDE w:val="0"/>
        <w:ind w:firstLine="643"/>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因本单位为委属代管单位，财政未保障本单位会议费和培训费</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b w:val="0"/>
          <w:bCs/>
          <w:sz w:val="32"/>
          <w:szCs w:val="32"/>
          <w:shd w:val="clear" w:color="auto" w:fill="FFFFFF"/>
        </w:rPr>
        <w:t>按照部门决算列报口径，我单位不在机关运行经费统计范围之内。</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截至2023年12月31日，本单位共有车辆0辆，其中，副部（省）级及以上领导用车0辆、主要负责人用车0辆、机要通信用车0辆、应急保障用车0辆、执法执勤用车0辆，特种专业技术用车0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楷体" w:cs="Times New Roman"/>
          <w:b/>
          <w:bCs/>
          <w:sz w:val="32"/>
          <w:szCs w:val="32"/>
          <w:shd w:val="clear" w:color="auto" w:fill="FFFFFF"/>
        </w:rPr>
      </w:pPr>
      <w:r>
        <w:rPr>
          <w:rFonts w:hint="default" w:ascii="Times New Roman" w:hAnsi="Times New Roman" w:eastAsia="方正仿宋_GBK" w:cs="Times New Roman"/>
          <w:sz w:val="32"/>
          <w:szCs w:val="32"/>
          <w:shd w:val="clear" w:color="auto" w:fill="FFFFFF"/>
        </w:rPr>
        <w:t>2023年度</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单位未发生政府采购事项，无相关经费支出。</w:t>
      </w:r>
    </w:p>
    <w:p>
      <w:pPr>
        <w:pStyle w:val="8"/>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黑体" w:cs="Times New Roman"/>
          <w:b w:val="0"/>
          <w:bCs/>
          <w:sz w:val="32"/>
          <w:szCs w:val="32"/>
          <w:shd w:val="clear" w:color="auto" w:fill="FFFFFF"/>
        </w:rPr>
      </w:pPr>
      <w:r>
        <w:rPr>
          <w:rStyle w:val="10"/>
          <w:rFonts w:hint="default" w:ascii="Times New Roman" w:hAnsi="Times New Roman" w:eastAsia="黑体" w:cs="Times New Roman"/>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lang w:eastAsia="zh-CN"/>
        </w:rPr>
        <w:t>本</w:t>
      </w:r>
      <w:r>
        <w:rPr>
          <w:rFonts w:hint="default" w:ascii="Times New Roman" w:hAnsi="Times New Roman" w:eastAsia="方正仿宋_GBK" w:cs="Times New Roman"/>
          <w:b w:val="0"/>
          <w:bCs w:val="0"/>
          <w:sz w:val="32"/>
          <w:szCs w:val="32"/>
          <w:shd w:val="clear" w:color="auto" w:fill="FFFFFF"/>
        </w:rPr>
        <w:t>单位</w:t>
      </w:r>
      <w:r>
        <w:rPr>
          <w:rFonts w:hint="default" w:ascii="Times New Roman" w:hAnsi="Times New Roman" w:eastAsia="方正仿宋_GBK" w:cs="Times New Roman"/>
          <w:b w:val="0"/>
          <w:bCs w:val="0"/>
          <w:sz w:val="32"/>
          <w:szCs w:val="32"/>
          <w:shd w:val="clear" w:color="auto" w:fill="FFFFFF"/>
          <w:lang w:eastAsia="zh-CN"/>
        </w:rPr>
        <w:t>未组织开展绩效评价。</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（三）财政绩效评价情况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lang w:eastAsia="zh-CN"/>
        </w:rPr>
        <w:t>县</w:t>
      </w:r>
      <w:r>
        <w:rPr>
          <w:rFonts w:hint="default" w:ascii="Times New Roman" w:hAnsi="Times New Roman" w:eastAsia="方正仿宋_GBK" w:cs="Times New Roman"/>
          <w:sz w:val="32"/>
          <w:szCs w:val="32"/>
          <w:shd w:val="clear" w:color="auto" w:fill="FFFFFF"/>
        </w:rPr>
        <w:t>财政局</w:t>
      </w:r>
      <w:r>
        <w:rPr>
          <w:rFonts w:hint="default" w:ascii="Times New Roman" w:hAnsi="Times New Roman" w:eastAsia="方正仿宋_GBK" w:cs="Times New Roman"/>
          <w:sz w:val="32"/>
          <w:szCs w:val="32"/>
          <w:shd w:val="clear" w:color="auto" w:fill="FFFFFF"/>
          <w:lang w:eastAsia="zh-CN"/>
        </w:rPr>
        <w:t>未</w:t>
      </w:r>
      <w:r>
        <w:rPr>
          <w:rFonts w:hint="default" w:ascii="Times New Roman" w:hAnsi="Times New Roman" w:eastAsia="方正仿宋_GBK" w:cs="Times New Roman"/>
          <w:sz w:val="32"/>
          <w:szCs w:val="32"/>
          <w:shd w:val="clear" w:color="auto" w:fill="FFFFFF"/>
        </w:rPr>
        <w:t>委托第三方对</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w:t>
      </w:r>
      <w:r>
        <w:rPr>
          <w:rFonts w:hint="default" w:ascii="Times New Roman" w:hAnsi="Times New Roman" w:eastAsia="方正仿宋_GBK" w:cs="Times New Roman"/>
          <w:sz w:val="32"/>
          <w:szCs w:val="32"/>
          <w:shd w:val="clear" w:color="auto" w:fill="FFFFFF"/>
          <w:lang w:eastAsia="zh-CN"/>
        </w:rPr>
        <w:t>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七、决算公开联系方式及信息反馈渠道</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龚盼</w:t>
      </w:r>
      <w:r>
        <w:rPr>
          <w:rFonts w:hint="default" w:ascii="Times New Roman" w:hAnsi="Times New Roman" w:eastAsia="方正仿宋_GBK" w:cs="Times New Roman"/>
          <w:sz w:val="32"/>
          <w:szCs w:val="32"/>
          <w:shd w:val="clear" w:color="auto" w:fill="FFFFFF"/>
          <w:lang w:val="en-US" w:eastAsia="zh-CN"/>
        </w:rPr>
        <w:t xml:space="preserve">   023-76662083</w:t>
      </w:r>
      <w:bookmarkStart w:id="0" w:name="_GoBack"/>
      <w:bookmarkEnd w:id="0"/>
    </w:p>
    <w:p>
      <w:pPr>
        <w:rPr>
          <w:rFonts w:hint="default" w:ascii="Times New Roman" w:hAnsi="Times New Roman" w:cs="Times New Roman"/>
          <w:b w:val="0"/>
          <w:bCs w:val="0"/>
          <w:sz w:val="21"/>
          <w:szCs w:val="21"/>
        </w:rPr>
      </w:pPr>
    </w:p>
    <w:tbl>
      <w:tblPr>
        <w:tblStyle w:val="11"/>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公开单位：重庆市秀山土家族苗族自治县红十字会</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20.91</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b w:val="0"/>
                <w:bCs w:val="0"/>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b w:val="0"/>
                <w:bCs w:val="0"/>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r>
    </w:tbl>
    <w:p>
      <w:pPr>
        <w:spacing w:line="240" w:lineRule="exac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备注：1.本表反映单位本年度的总收支和年末结转结余情况。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tbl>
      <w:tblPr>
        <w:tblStyle w:val="11"/>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公开单位：重庆市秀山土家族苗族自治县红十字会</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3.74</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3.74</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1.88</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1.88</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20.91</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20.91</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ind w:left="600" w:hanging="600" w:hangingChars="300"/>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备注：1.本表反映单位本年度取得的各项收入情况。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br w:type="page"/>
      </w:r>
    </w:p>
    <w:tbl>
      <w:tblPr>
        <w:tblStyle w:val="11"/>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 xml:space="preserve">重庆市秀山土家族苗族自治县红十字会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3.74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3.74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1.88</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1.88</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20.91</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20.91</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备注：1.本表反映单位本年度各项支出情况。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p>
      <w:pPr>
        <w:rPr>
          <w:rFonts w:hint="default" w:ascii="Times New Roman" w:hAnsi="Times New Roman" w:cs="Times New Roman"/>
          <w:b w:val="0"/>
          <w:bCs w:val="0"/>
          <w:sz w:val="21"/>
          <w:szCs w:val="21"/>
        </w:rPr>
      </w:pPr>
    </w:p>
    <w:tbl>
      <w:tblPr>
        <w:tblStyle w:val="11"/>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cs="Times New Roman"/>
                <w:b w:val="0"/>
                <w:bCs w:val="0"/>
                <w:color w:val="000000"/>
                <w:sz w:val="18"/>
                <w:szCs w:val="18"/>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重庆市秀山土家族苗族自治县红十字会</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28.89</w:t>
            </w: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5.62</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5.62</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20.91</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20.91</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2.36</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2.36</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28.89</w:t>
            </w: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28.89</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28.89</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28.89</w:t>
            </w:r>
            <w:r>
              <w:rPr>
                <w:rFonts w:hint="default" w:ascii="Times New Roman" w:hAnsi="Times New Roman" w:cs="Times New Roman"/>
                <w:b w:val="0"/>
                <w:bCs w:val="0"/>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28.89</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28.89</w:t>
            </w:r>
            <w:r>
              <w:rPr>
                <w:rFonts w:hint="default" w:ascii="Times New Roman" w:hAnsi="Times New Roman" w:cs="Times New Roman"/>
                <w:b w:val="0"/>
                <w:bCs w:val="0"/>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bl>
    <w:p>
      <w:pPr>
        <w:spacing w:line="240" w:lineRule="exac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1"/>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重庆市秀山土家族苗族自治县红十字会</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28.89</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5.62</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3.74</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3.74</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1.88</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1.88</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20.91</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20.91</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19.24</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1.67</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2.36</w:t>
            </w:r>
            <w:r>
              <w:rPr>
                <w:rFonts w:hint="default" w:ascii="Times New Roman" w:hAnsi="Times New Roman" w:cs="Times New Roman"/>
                <w:b w:val="0"/>
                <w:bCs w:val="0"/>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备注：1.本表反映单位本年度一般公共预算财政拨款支出情况。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ind w:firstLine="630" w:firstLineChars="3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1"/>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cs="Times New Roman"/>
                <w:b w:val="0"/>
                <w:bCs w:val="0"/>
                <w:color w:val="000000"/>
                <w:sz w:val="18"/>
                <w:szCs w:val="18"/>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重庆市秀山土家族苗族自治县红十字会</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25.93</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2.96</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5.64</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1.48</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0.79</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9.31</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0.26</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3.74</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0.01</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1.88</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0.64</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1.67</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0.05</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0.50</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2.36</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0.48</w:t>
            </w: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0.07</w:t>
            </w: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val="0"/>
                <w:bCs w:val="0"/>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25.93</w:t>
            </w:r>
            <w:r>
              <w:rPr>
                <w:rFonts w:hint="default" w:ascii="Times New Roman" w:hAnsi="Times New Roman" w:cs="Times New Roman"/>
                <w:b w:val="0"/>
                <w:bCs w:val="0"/>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b w:val="0"/>
                <w:bCs w:val="0"/>
                <w:color w:val="000000"/>
                <w:sz w:val="18"/>
                <w:szCs w:val="18"/>
              </w:rPr>
            </w:pPr>
            <w:r>
              <w:rPr>
                <w:rFonts w:hint="default" w:ascii="Times New Roman" w:hAnsi="Times New Roman" w:cs="Times New Roman"/>
                <w:b w:val="0"/>
                <w:bCs w:val="0"/>
                <w:color w:val="000000"/>
                <w:sz w:val="18"/>
                <w:szCs w:val="18"/>
              </w:rPr>
              <w:t>2.96</w:t>
            </w:r>
            <w:r>
              <w:rPr>
                <w:rFonts w:hint="default" w:ascii="Times New Roman" w:hAnsi="Times New Roman" w:cs="Times New Roman"/>
                <w:b w:val="0"/>
                <w:bCs w:val="0"/>
                <w:color w:val="000000"/>
                <w:sz w:val="18"/>
                <w:u w:color="auto"/>
              </w:rPr>
              <w:t xml:space="preserve"> </w:t>
            </w:r>
          </w:p>
        </w:tc>
      </w:tr>
    </w:tbl>
    <w:p>
      <w:pPr>
        <w:spacing w:line="280" w:lineRule="exact"/>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备注：1.本表反映单位本年度一般公共预算财政拨款基本支出明细情况。</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1"/>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重庆市秀山土家族苗族自治县红十字会</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p>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br w:type="page"/>
      </w:r>
    </w:p>
    <w:tbl>
      <w:tblPr>
        <w:tblStyle w:val="11"/>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重庆市秀山土家族苗族自治县红十字会</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b w:val="0"/>
                <w:bCs w:val="0"/>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val="0"/>
                <w:bCs w:val="0"/>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u w:color="auto"/>
              </w:rPr>
              <w:t xml:space="preserve"> </w:t>
            </w: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备注：本表反映单位本年度国有资本经营预算财政拨款支出情况。本单位无国有资本经营收支，故本表无数据。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1"/>
          <w:szCs w:val="21"/>
        </w:rPr>
        <w:br w:type="page"/>
      </w:r>
    </w:p>
    <w:tbl>
      <w:tblPr>
        <w:tblStyle w:val="11"/>
        <w:tblW w:w="15000" w:type="dxa"/>
        <w:tblInd w:w="0" w:type="dxa"/>
        <w:tblLayout w:type="fixed"/>
        <w:tblCellMar>
          <w:top w:w="0" w:type="dxa"/>
          <w:left w:w="170" w:type="dxa"/>
          <w:bottom w:w="0" w:type="dxa"/>
          <w:right w:w="170" w:type="dxa"/>
        </w:tblCellMar>
      </w:tblPr>
      <w:tblGrid>
        <w:gridCol w:w="4041"/>
        <w:gridCol w:w="2166"/>
        <w:gridCol w:w="2115"/>
        <w:gridCol w:w="4524"/>
        <w:gridCol w:w="2154"/>
      </w:tblGrid>
      <w:tr>
        <w:tblPrEx>
          <w:tblLayout w:type="fixed"/>
          <w:tblCellMar>
            <w:top w:w="0" w:type="dxa"/>
            <w:left w:w="170" w:type="dxa"/>
            <w:bottom w:w="0" w:type="dxa"/>
            <w:right w:w="170" w:type="dxa"/>
          </w:tblCellMar>
        </w:tblPrEx>
        <w:trPr>
          <w:trHeight w:val="343" w:hRule="atLeast"/>
        </w:trPr>
        <w:tc>
          <w:tcPr>
            <w:tcW w:w="15000"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val="0"/>
                <w:bCs w:val="0"/>
                <w:color w:val="000000"/>
                <w:sz w:val="32"/>
                <w:szCs w:val="32"/>
              </w:rPr>
            </w:pPr>
            <w:r>
              <w:rPr>
                <w:rFonts w:hint="default" w:ascii="Times New Roman" w:hAnsi="Times New Roman" w:cs="Times New Roman"/>
                <w:b w:val="0"/>
                <w:bCs w:val="0"/>
                <w:color w:val="000000"/>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b w:val="0"/>
                <w:bCs w:val="0"/>
                <w:color w:val="000000"/>
                <w:sz w:val="20"/>
                <w:szCs w:val="20"/>
              </w:rPr>
            </w:pPr>
          </w:p>
        </w:tc>
        <w:tc>
          <w:tcPr>
            <w:tcW w:w="216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b w:val="0"/>
                <w:bCs w:val="0"/>
                <w:color w:val="000000"/>
                <w:sz w:val="20"/>
                <w:szCs w:val="20"/>
              </w:rPr>
            </w:pPr>
          </w:p>
        </w:tc>
        <w:tc>
          <w:tcPr>
            <w:tcW w:w="2115"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b w:val="0"/>
                <w:bCs w:val="0"/>
                <w:color w:val="000000"/>
                <w:sz w:val="20"/>
                <w:szCs w:val="20"/>
              </w:rPr>
            </w:pPr>
          </w:p>
        </w:tc>
        <w:tc>
          <w:tcPr>
            <w:tcW w:w="4524"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b w:val="0"/>
                <w:bCs w:val="0"/>
                <w:color w:val="000000"/>
                <w:sz w:val="20"/>
                <w:szCs w:val="20"/>
              </w:rPr>
            </w:pPr>
          </w:p>
        </w:tc>
        <w:tc>
          <w:tcPr>
            <w:tcW w:w="215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公开09表</w:t>
            </w:r>
          </w:p>
        </w:tc>
      </w:tr>
      <w:tr>
        <w:tblPrEx>
          <w:tblLayout w:type="fixed"/>
          <w:tblCellMar>
            <w:top w:w="0" w:type="dxa"/>
            <w:left w:w="170" w:type="dxa"/>
            <w:bottom w:w="0" w:type="dxa"/>
            <w:right w:w="170" w:type="dxa"/>
          </w:tblCellMar>
        </w:tblPrEx>
        <w:trPr>
          <w:trHeight w:val="244" w:hRule="atLeast"/>
        </w:trPr>
        <w:tc>
          <w:tcPr>
            <w:tcW w:w="404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sz w:val="20"/>
                <w:szCs w:val="20"/>
              </w:rPr>
              <w:t>公开单位</w:t>
            </w:r>
            <w:r>
              <w:rPr>
                <w:rFonts w:hint="default" w:ascii="Times New Roman" w:hAnsi="Times New Roman" w:cs="Times New Roman"/>
                <w:b w:val="0"/>
                <w:bCs w:val="0"/>
                <w:color w:val="000000"/>
                <w:sz w:val="20"/>
                <w:szCs w:val="20"/>
              </w:rPr>
              <w:t xml:space="preserve">： </w:t>
            </w:r>
            <w:r>
              <w:rPr>
                <w:rFonts w:hint="default" w:ascii="Times New Roman" w:hAnsi="Times New Roman" w:cs="Times New Roman"/>
                <w:b w:val="0"/>
                <w:bCs w:val="0"/>
                <w:color w:val="000000"/>
                <w:sz w:val="20"/>
                <w:u w:color="auto"/>
              </w:rPr>
              <w:t>重庆市秀山土家族苗族自治县红十字会</w:t>
            </w:r>
          </w:p>
        </w:tc>
        <w:tc>
          <w:tcPr>
            <w:tcW w:w="216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b w:val="0"/>
                <w:bCs w:val="0"/>
                <w:color w:val="000000"/>
                <w:sz w:val="20"/>
                <w:szCs w:val="20"/>
              </w:rPr>
            </w:pPr>
          </w:p>
        </w:tc>
        <w:tc>
          <w:tcPr>
            <w:tcW w:w="211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b w:val="0"/>
                <w:bCs w:val="0"/>
                <w:color w:val="000000"/>
                <w:sz w:val="20"/>
                <w:szCs w:val="20"/>
              </w:rPr>
            </w:pPr>
          </w:p>
        </w:tc>
        <w:tc>
          <w:tcPr>
            <w:tcW w:w="452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b w:val="0"/>
                <w:bCs w:val="0"/>
                <w:color w:val="000000"/>
                <w:sz w:val="20"/>
                <w:szCs w:val="20"/>
              </w:rPr>
            </w:pPr>
          </w:p>
        </w:tc>
        <w:tc>
          <w:tcPr>
            <w:tcW w:w="215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b w:val="0"/>
                <w:bCs w:val="0"/>
                <w:color w:val="000000"/>
                <w:sz w:val="20"/>
                <w:szCs w:val="20"/>
              </w:rPr>
            </w:pPr>
            <w:r>
              <w:rPr>
                <w:rFonts w:hint="default" w:ascii="Times New Roman" w:hAnsi="Times New Roman" w:cs="Times New Roman"/>
                <w:b w:val="0"/>
                <w:bCs w:val="0"/>
                <w:color w:val="000000"/>
                <w:sz w:val="20"/>
                <w:szCs w:val="20"/>
              </w:rPr>
              <w:t>单位：</w:t>
            </w:r>
            <w:r>
              <w:rPr>
                <w:rFonts w:hint="default" w:ascii="Times New Roman" w:hAnsi="Times New Roman" w:cs="Times New Roman"/>
                <w:b w:val="0"/>
                <w:bCs w:val="0"/>
                <w:sz w:val="20"/>
                <w:szCs w:val="20"/>
              </w:rPr>
              <w:t>万元</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项  目</w:t>
            </w:r>
          </w:p>
        </w:tc>
        <w:tc>
          <w:tcPr>
            <w:tcW w:w="21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预算数</w:t>
            </w:r>
          </w:p>
        </w:tc>
        <w:tc>
          <w:tcPr>
            <w:tcW w:w="2115"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决算数</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项  目</w:t>
            </w:r>
          </w:p>
        </w:tc>
        <w:tc>
          <w:tcPr>
            <w:tcW w:w="215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决算数</w:t>
            </w:r>
          </w:p>
        </w:tc>
      </w:tr>
      <w:tr>
        <w:tblPrEx>
          <w:tblLayout w:type="fixed"/>
          <w:tblCellMar>
            <w:top w:w="0" w:type="dxa"/>
            <w:left w:w="170" w:type="dxa"/>
            <w:bottom w:w="0" w:type="dxa"/>
            <w:right w:w="170" w:type="dxa"/>
          </w:tblCellMar>
        </w:tblPrEx>
        <w:trPr>
          <w:trHeight w:val="28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一、“三公”经费支出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四、机关运行经费</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（一）支出合计</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（一）行政单位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1．因公出国（境）费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（二）参照公务员法管理事业单位</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2．公务用车购置及运行维护费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五、资产信息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（1）公务用车购置费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（一）车辆数合计（辆）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（2）公务用车运行维护费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1．副部（省）级及以上领导用车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3．公务接待费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2．主要领导干部用车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（1）国内接待费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3．机要通信用车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其中：外事接待费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4．应急保障用车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（2）国（境）外接待费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5．执法执勤用车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（二）相关统计数</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6．特种专业技术用车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1．因公出国（境）团组数（个）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7．离退休干部用车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2．因公出国（境）人次数（人）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8．其他用车</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3．公务用车购置数（辆）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（二）单价100万元（含）以上设备（不含车辆）</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4．公务用车保有量（辆）</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六、政府采购支出信息</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5．国内公务接待批次（个）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（一）政府采购支出合计</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其中：外事接待批次（个）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1．政府采购货物支出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6．国内公务接待人次（人）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2．政府采购工程支出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其中：外事接待人次（人）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3．政府采购服务支出</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7．国（境）外公务接待批次（个）</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（二）政府采购授予中小企业合同金额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41"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8．国（境）外公务接待人次（人）</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 xml:space="preserve">        其中：授予小微企业合同金额</w:t>
            </w: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二、会议费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16"/>
                <w:szCs w:val="16"/>
              </w:rPr>
            </w:pPr>
          </w:p>
        </w:tc>
      </w:tr>
      <w:tr>
        <w:tblPrEx>
          <w:tblLayout w:type="fixed"/>
          <w:tblCellMar>
            <w:top w:w="0" w:type="dxa"/>
            <w:left w:w="170" w:type="dxa"/>
            <w:bottom w:w="0" w:type="dxa"/>
            <w:right w:w="170" w:type="dxa"/>
          </w:tblCellMar>
        </w:tblPrEx>
        <w:trPr>
          <w:trHeight w:val="389" w:hRule="atLeast"/>
        </w:trPr>
        <w:tc>
          <w:tcPr>
            <w:tcW w:w="40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三、培训费</w:t>
            </w:r>
          </w:p>
        </w:tc>
        <w:tc>
          <w:tcPr>
            <w:tcW w:w="21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szCs w:val="16"/>
              </w:rPr>
              <w:t>—</w:t>
            </w:r>
          </w:p>
        </w:tc>
        <w:tc>
          <w:tcPr>
            <w:tcW w:w="21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b w:val="0"/>
                <w:bCs w:val="0"/>
                <w:color w:val="000000"/>
                <w:sz w:val="16"/>
                <w:szCs w:val="16"/>
              </w:rPr>
            </w:pPr>
            <w:r>
              <w:rPr>
                <w:rFonts w:hint="default" w:ascii="Times New Roman" w:hAnsi="Times New Roman" w:cs="Times New Roman"/>
                <w:b w:val="0"/>
                <w:bCs w:val="0"/>
                <w:color w:val="000000"/>
                <w:sz w:val="16"/>
                <w:u w:color="auto"/>
              </w:rPr>
              <w:t xml:space="preserve"> </w:t>
            </w:r>
          </w:p>
        </w:tc>
        <w:tc>
          <w:tcPr>
            <w:tcW w:w="452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b w:val="0"/>
                <w:bCs w:val="0"/>
                <w:color w:val="000000"/>
                <w:sz w:val="16"/>
                <w:szCs w:val="16"/>
              </w:rPr>
            </w:pPr>
          </w:p>
        </w:tc>
        <w:tc>
          <w:tcPr>
            <w:tcW w:w="21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b w:val="0"/>
                <w:bCs w:val="0"/>
                <w:color w:val="000000"/>
                <w:sz w:val="16"/>
                <w:szCs w:val="16"/>
              </w:rPr>
            </w:pPr>
          </w:p>
        </w:tc>
      </w:tr>
    </w:tbl>
    <w:p>
      <w:pPr>
        <w:rPr>
          <w:rFonts w:hint="default" w:ascii="Times New Roman" w:hAnsi="Times New Roman" w:cs="Times New Roman"/>
          <w:b w:val="0"/>
          <w:bCs w:val="0"/>
          <w:sz w:val="21"/>
          <w:szCs w:val="21"/>
        </w:rPr>
      </w:pPr>
      <w:r>
        <w:rPr>
          <w:rFonts w:hint="default" w:ascii="Times New Roman" w:hAnsi="Times New Roman" w:cs="Times New Roman"/>
          <w:b w:val="0"/>
          <w:bCs w:val="0"/>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t xml:space="preserve">      2.本套报表金额单位转换时可能存在尾数误差。</w:t>
      </w:r>
      <w:r>
        <w:rPr>
          <w:rFonts w:hint="default" w:ascii="Times New Roman" w:hAnsi="Times New Roman" w:cs="Times New Roman"/>
          <w:b w:val="0"/>
          <w:bCs w:val="0"/>
          <w:sz w:val="20"/>
          <w:szCs w:val="20"/>
        </w:rPr>
        <w:br w:type="textWrapping"/>
      </w:r>
      <w:r>
        <w:rPr>
          <w:rFonts w:hint="default" w:ascii="Times New Roman" w:hAnsi="Times New Roman" w:cs="Times New Roman"/>
          <w:b w:val="0"/>
          <w:bCs w:val="0"/>
          <w:sz w:val="20"/>
          <w:szCs w:val="20"/>
        </w:rPr>
        <w:br w:type="textWrapping"/>
      </w:r>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32 -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32 -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1D3BB7"/>
    <w:rsid w:val="002B254B"/>
    <w:rsid w:val="00550ABE"/>
    <w:rsid w:val="00770383"/>
    <w:rsid w:val="007819D4"/>
    <w:rsid w:val="007B419D"/>
    <w:rsid w:val="007B7C4B"/>
    <w:rsid w:val="007D3D39"/>
    <w:rsid w:val="00994AF7"/>
    <w:rsid w:val="009B67B8"/>
    <w:rsid w:val="009D2B67"/>
    <w:rsid w:val="00B03CCD"/>
    <w:rsid w:val="00C10E9E"/>
    <w:rsid w:val="00C20C3E"/>
    <w:rsid w:val="00F73F9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052628"/>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9B554E"/>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0B46BC"/>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062EFB"/>
    <w:rsid w:val="48225EF7"/>
    <w:rsid w:val="488F422B"/>
    <w:rsid w:val="48E36915"/>
    <w:rsid w:val="48EB6572"/>
    <w:rsid w:val="495C4A24"/>
    <w:rsid w:val="497135DF"/>
    <w:rsid w:val="4987654E"/>
    <w:rsid w:val="4A263DF2"/>
    <w:rsid w:val="4A6F6675"/>
    <w:rsid w:val="4A712548"/>
    <w:rsid w:val="4B135857"/>
    <w:rsid w:val="4B7951CB"/>
    <w:rsid w:val="4B7C315C"/>
    <w:rsid w:val="4DAC4ACA"/>
    <w:rsid w:val="4DBE01D2"/>
    <w:rsid w:val="4F0C6BA3"/>
    <w:rsid w:val="4F186D58"/>
    <w:rsid w:val="50501BF0"/>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21C0465"/>
    <w:rsid w:val="62944DD7"/>
    <w:rsid w:val="6319381F"/>
    <w:rsid w:val="63C25DC5"/>
    <w:rsid w:val="63C62057"/>
    <w:rsid w:val="64571EF5"/>
    <w:rsid w:val="64FB113D"/>
    <w:rsid w:val="656152C6"/>
    <w:rsid w:val="6587477F"/>
    <w:rsid w:val="658C3A08"/>
    <w:rsid w:val="65C031CA"/>
    <w:rsid w:val="65CE6852"/>
    <w:rsid w:val="66093166"/>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3B6BFB"/>
    <w:rsid w:val="73934AD2"/>
    <w:rsid w:val="750837F0"/>
    <w:rsid w:val="754758CF"/>
    <w:rsid w:val="764F62AB"/>
    <w:rsid w:val="765C45EC"/>
    <w:rsid w:val="768A7619"/>
    <w:rsid w:val="772E1EBA"/>
    <w:rsid w:val="780230F0"/>
    <w:rsid w:val="781926BC"/>
    <w:rsid w:val="796D60A4"/>
    <w:rsid w:val="79A031D5"/>
    <w:rsid w:val="7A1525F7"/>
    <w:rsid w:val="7B420052"/>
    <w:rsid w:val="7BD06A28"/>
    <w:rsid w:val="7C3A7C0B"/>
    <w:rsid w:val="7C5248E4"/>
    <w:rsid w:val="7C566698"/>
    <w:rsid w:val="7C5866A3"/>
    <w:rsid w:val="7C661FA0"/>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22826</Characters>
  <Lines>190</Lines>
  <Paragraphs>53</Paragraphs>
  <TotalTime>1</TotalTime>
  <ScaleCrop>false</ScaleCrop>
  <LinksUpToDate>false</LinksUpToDate>
  <CharactersWithSpaces>26777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2024-09-23T04:48:50Z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