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重庆市秀山土家族苗族自治县中平乡卫生院</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2023年度决算公开说明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一、单位基本情况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rPr>
        <w:t>（一）职能职责</w:t>
      </w:r>
      <w:r>
        <w:rPr>
          <w:rFonts w:hint="eastAsia" w:ascii="方正楷体_GBK" w:hAnsi="方正楷体_GBK" w:eastAsia="方正楷体_GBK" w:cs="方正楷体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属基层医疗卫生机构，为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1.根据国家和本市规定收集、报送辖区内卫生健康信息，建立和管理居民健康档案，提出改进辖区公共卫生状况的建议；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2.开展健康教育，普及健康知识；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3.协助开展传染病以及地方病、寄生虫病的预防控制， 配合开展爱国卫生工作；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4.做好高危人群、重点慢性病患者的筛查和病例管理；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5.提供心理健康指导服务，实施精神病社区管理；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6.为妇女、儿童、老年人、残疾人等重点人群提供保健和康复服务；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7.提供计划生育技术服务，协助处置辖区内突发公共卫生事件等；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8.按要求提供其他公共卫生服务</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rPr>
        <w:t>（二）机构设置</w:t>
      </w:r>
      <w:r>
        <w:rPr>
          <w:rFonts w:hint="eastAsia" w:ascii="方正楷体_GBK" w:hAnsi="方正楷体_GBK" w:eastAsia="方正楷体_GBK" w:cs="方正楷体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本单位下设</w:t>
      </w:r>
      <w:r>
        <w:rPr>
          <w:rFonts w:hint="default" w:ascii="Times New Roman" w:hAnsi="Times New Roman" w:eastAsia="方正仿宋_GBK" w:cs="Times New Roman"/>
          <w:sz w:val="32"/>
          <w:szCs w:val="32"/>
          <w:lang w:eastAsia="zh-CN"/>
        </w:rPr>
        <w:t>有</w:t>
      </w:r>
      <w:r>
        <w:rPr>
          <w:rFonts w:hint="default" w:ascii="Times New Roman" w:hAnsi="Times New Roman" w:eastAsia="方正仿宋_GBK" w:cs="Times New Roman"/>
          <w:sz w:val="32"/>
          <w:szCs w:val="32"/>
        </w:rPr>
        <w:t>临床综合科、中医理疗科、公共卫生科、医技科、办公室、财务室、医保科、医务科、综合住院部等科室。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二、</w:t>
      </w:r>
      <w:r>
        <w:rPr>
          <w:rFonts w:hint="eastAsia" w:ascii="方正黑体_GBK" w:hAnsi="方正黑体_GBK" w:eastAsia="方正黑体_GBK" w:cs="方正黑体_GBK"/>
          <w:sz w:val="32"/>
          <w:szCs w:val="32"/>
        </w:rPr>
        <w:t>单位决算情况说明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rPr>
        <w:t>（一）收入支出决算总体情况说明</w:t>
      </w:r>
      <w:r>
        <w:rPr>
          <w:rFonts w:hint="eastAsia" w:ascii="方正楷体_GBK" w:hAnsi="方正楷体_GBK" w:eastAsia="方正楷体_GBK" w:cs="方正楷体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1.总体情况。2023年度收入总计427.70万元，支出总计427.70万元。收支较上年决算数增加53.73万元，增长14.37%，主要原因</w:t>
      </w:r>
      <w:r>
        <w:rPr>
          <w:rFonts w:hint="default" w:ascii="Times New Roman" w:hAnsi="Times New Roman" w:eastAsia="方正仿宋_GBK" w:cs="Times New Roman"/>
          <w:sz w:val="32"/>
          <w:szCs w:val="32"/>
          <w:lang w:eastAsia="zh-CN"/>
        </w:rPr>
        <w:t>是业务收入增加，财政拨款增加。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2.收入情况。2023年度收入合计418.72万元，较上年决算数增加44.75万元，增长11.97%，主要原因</w:t>
      </w:r>
      <w:r>
        <w:rPr>
          <w:rFonts w:hint="default" w:ascii="Times New Roman" w:hAnsi="Times New Roman" w:eastAsia="方正仿宋_GBK" w:cs="Times New Roman"/>
          <w:sz w:val="32"/>
          <w:szCs w:val="32"/>
          <w:lang w:eastAsia="zh-CN"/>
        </w:rPr>
        <w:t>：一是人员工资调标、调薪及增加疫情期间医务人员临时性工作补助；二是事业收入比上年度增加收入；三是增加对基层医疗机构基础设备、医疗服务与保障能力提升的投入。</w:t>
      </w:r>
      <w:r>
        <w:rPr>
          <w:rFonts w:hint="default" w:ascii="Times New Roman" w:hAnsi="Times New Roman" w:eastAsia="方正仿宋_GBK" w:cs="Times New Roman"/>
          <w:sz w:val="32"/>
          <w:szCs w:val="32"/>
        </w:rPr>
        <w:t>其中：财政拨款收入236.62万元，占56.51%；事业收入176.03万元，占42.04%；经营收入0.00万元，占0.00%；其他收入6.07万元，占1.45%。此外，使用非财政拨款结余和专用结余0.00万元，年初结转和结余8.98万元。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3.支出情况。2023年度支出合计413.26万元，较上年决算数增加48.27万元，增长13.23%，主要原因</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一是人员工资调标、调薪及增加疫情期间医务人员临时性工作补助、中医馆建设、医疗设备采购等项目支出</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其中：基本支出372.94万元，占90.24%；项目支出40.32万元，占9.76%；经营支出0.00万元，占0.00%。此外，结余分配0.00万元。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4.结转结余情况。2023年度年末结转和结余14.44万元，较上年决算数增加5.46万元，增长60.80%，主要原因是</w:t>
      </w:r>
      <w:r>
        <w:rPr>
          <w:rFonts w:hint="default" w:ascii="Times New Roman" w:hAnsi="Times New Roman" w:eastAsia="方正仿宋_GBK" w:cs="Times New Roman"/>
          <w:sz w:val="32"/>
          <w:szCs w:val="32"/>
          <w:lang w:eastAsia="zh-CN"/>
        </w:rPr>
        <w:t>职工2022年超额绩效清算</w:t>
      </w:r>
      <w:r>
        <w:rPr>
          <w:rFonts w:hint="default" w:ascii="Times New Roman" w:hAnsi="Times New Roman" w:eastAsia="方正仿宋_GBK" w:cs="Times New Roman"/>
          <w:sz w:val="32"/>
          <w:szCs w:val="32"/>
          <w:lang w:val="en-US" w:eastAsia="zh-CN"/>
        </w:rPr>
        <w:t>2023</w:t>
      </w:r>
      <w:r>
        <w:rPr>
          <w:rFonts w:hint="default" w:ascii="Times New Roman" w:hAnsi="Times New Roman" w:eastAsia="方正仿宋_GBK" w:cs="Times New Roman"/>
          <w:sz w:val="32"/>
          <w:szCs w:val="32"/>
          <w:lang w:eastAsia="zh-CN"/>
        </w:rPr>
        <w:t>年度未及时发放。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rPr>
        <w:t>（二）财政拨款收入支出决算总体情况说明</w:t>
      </w:r>
      <w:r>
        <w:rPr>
          <w:rFonts w:hint="eastAsia" w:ascii="方正楷体_GBK" w:hAnsi="方正楷体_GBK" w:eastAsia="方正楷体_GBK" w:cs="方正楷体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2023年度财政拨款收、支总计236.62万元。与2022年相比，财政拨款收、支总计各增加42.59万元，增长21.95%。主要原因是人员工资调标、调薪及增加疫情期间医务人员临时性工作补助、中医馆建设、医疗设备采购等项目</w:t>
      </w:r>
      <w:r>
        <w:rPr>
          <w:rFonts w:hint="default" w:ascii="Times New Roman" w:hAnsi="Times New Roman" w:eastAsia="方正仿宋_GBK" w:cs="Times New Roman"/>
          <w:sz w:val="32"/>
          <w:szCs w:val="32"/>
          <w:lang w:eastAsia="zh-CN"/>
        </w:rPr>
        <w:t>收</w:t>
      </w:r>
      <w:r>
        <w:rPr>
          <w:rFonts w:hint="default" w:ascii="Times New Roman" w:hAnsi="Times New Roman" w:eastAsia="方正仿宋_GBK" w:cs="Times New Roman"/>
          <w:sz w:val="32"/>
          <w:szCs w:val="32"/>
        </w:rPr>
        <w:t>支</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rPr>
        <w:t>（三）一般公共预算财政拨款收入支出决算情况说明</w:t>
      </w:r>
      <w:r>
        <w:rPr>
          <w:rFonts w:hint="eastAsia" w:ascii="方正楷体_GBK" w:hAnsi="方正楷体_GBK" w:eastAsia="方正楷体_GBK" w:cs="方正楷体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1.收入情况。2023年度一般公共预算财政拨款收入236.62万元，较上年决算数增加42.59万元，增长21.95%。主要原因是人员工资调标、调薪及增加疫情期间医务人员临时性工作补助</w:t>
      </w:r>
      <w:r>
        <w:rPr>
          <w:rFonts w:hint="default" w:ascii="Times New Roman" w:hAnsi="Times New Roman" w:eastAsia="方正仿宋_GBK" w:cs="Times New Roman"/>
          <w:sz w:val="32"/>
          <w:szCs w:val="32"/>
          <w:lang w:eastAsia="zh-CN"/>
        </w:rPr>
        <w:t>收入</w:t>
      </w:r>
      <w:r>
        <w:rPr>
          <w:rFonts w:hint="default" w:ascii="Times New Roman" w:hAnsi="Times New Roman" w:eastAsia="方正仿宋_GBK" w:cs="Times New Roman"/>
          <w:sz w:val="32"/>
          <w:szCs w:val="32"/>
        </w:rPr>
        <w:t>。较年初预算数增加114.57万元，增长93.87%。主要原因是年初预算</w:t>
      </w:r>
      <w:r>
        <w:rPr>
          <w:rFonts w:hint="default" w:ascii="Times New Roman" w:hAnsi="Times New Roman" w:eastAsia="方正仿宋_GBK" w:cs="Times New Roman"/>
          <w:sz w:val="32"/>
          <w:szCs w:val="32"/>
          <w:lang w:eastAsia="zh-CN"/>
        </w:rPr>
        <w:t>只做人员工资及住房公积金等财政配套经费，</w:t>
      </w:r>
      <w:r>
        <w:rPr>
          <w:rFonts w:hint="default" w:ascii="Times New Roman" w:hAnsi="Times New Roman" w:eastAsia="方正仿宋_GBK" w:cs="Times New Roman"/>
          <w:sz w:val="32"/>
          <w:szCs w:val="32"/>
        </w:rPr>
        <w:t>没有核算基本公共卫生服务财政拨款</w:t>
      </w:r>
      <w:r>
        <w:rPr>
          <w:rFonts w:hint="default" w:ascii="Times New Roman" w:hAnsi="Times New Roman" w:eastAsia="方正仿宋_GBK" w:cs="Times New Roman"/>
          <w:sz w:val="32"/>
          <w:szCs w:val="32"/>
          <w:lang w:eastAsia="zh-CN"/>
        </w:rPr>
        <w:t>及</w:t>
      </w:r>
      <w:r>
        <w:rPr>
          <w:rFonts w:hint="default" w:ascii="Times New Roman" w:hAnsi="Times New Roman" w:eastAsia="方正仿宋_GBK" w:cs="Times New Roman"/>
          <w:sz w:val="32"/>
          <w:szCs w:val="32"/>
        </w:rPr>
        <w:t>中医馆建设、医疗设备采购等项目。此外，年初财政拨款结转和结余0.00万元。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2.支出情况。2023年度一般公共预算财政拨款支出227.93万元，较上年决算数增加33.90万元，增长17.47%。主要原因是人员工资调标、调薪及增加疫情期间医务人员临时性工作补助</w:t>
      </w:r>
      <w:r>
        <w:rPr>
          <w:rFonts w:hint="default" w:ascii="Times New Roman" w:hAnsi="Times New Roman" w:eastAsia="方正仿宋_GBK" w:cs="Times New Roman"/>
          <w:sz w:val="32"/>
          <w:szCs w:val="32"/>
          <w:lang w:eastAsia="zh-CN"/>
        </w:rPr>
        <w:t>支出</w:t>
      </w:r>
      <w:r>
        <w:rPr>
          <w:rFonts w:hint="default" w:ascii="Times New Roman" w:hAnsi="Times New Roman" w:eastAsia="方正仿宋_GBK" w:cs="Times New Roman"/>
          <w:sz w:val="32"/>
          <w:szCs w:val="32"/>
        </w:rPr>
        <w:t>。较年初预算数增加105.88万元，增长86.75%。主要原因是基本公共卫生服务财政拨款及中医馆建设、医疗设备采购等项目</w:t>
      </w:r>
      <w:r>
        <w:rPr>
          <w:rFonts w:hint="default" w:ascii="Times New Roman" w:hAnsi="Times New Roman" w:eastAsia="方正仿宋_GBK" w:cs="Times New Roman"/>
          <w:sz w:val="32"/>
          <w:szCs w:val="32"/>
          <w:lang w:eastAsia="zh-CN"/>
        </w:rPr>
        <w:t>支出</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3.结转结余情况。2023年度年末一般公共预算财政拨款结转和结余8.69万元，较上年决算数增加8.69万元，增长100.00%，主要原因是职工2022年超额绩效清算2023年度未及时发放。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4.比较情况。本单位2023年度一般公共预算财政拨款支出主要用于以下几个方面：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）社会保障与就业支出13.69万元，占6.01%，较年初预算数减少3.76万元，下降21.55%，主要原因是人员减少。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卫生健康支出208.96万元，占91.68%，较年初预算数增加112.74万元，增长117.17%，主要原因是是年初预算主要是根据基本情况预估核算，实际财政收入由财政根据资金分配情况统一安排拨款，因此财政拨款支出与年初预算有相应差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w:t>
      </w:r>
      <w:r>
        <w:rPr>
          <w:rFonts w:hint="default" w:ascii="Times New Roman" w:hAnsi="Times New Roman" w:eastAsia="方正仿宋_GBK" w:cs="Times New Roman"/>
          <w:color w:val="000000" w:themeColor="text1"/>
          <w:sz w:val="32"/>
          <w:szCs w:val="32"/>
          <w:lang w:val="en-US" w:eastAsia="zh-CN"/>
        </w:rPr>
        <w:t>3</w:t>
      </w:r>
      <w:r>
        <w:rPr>
          <w:rFonts w:hint="default" w:ascii="Times New Roman" w:hAnsi="Times New Roman" w:eastAsia="方正仿宋_GBK" w:cs="Times New Roman"/>
          <w:color w:val="000000" w:themeColor="text1"/>
          <w:sz w:val="32"/>
          <w:szCs w:val="32"/>
        </w:rPr>
        <w:t>）住房保障支出5.28万元，占2.31%，较年初预算数减少3.10万元，下降36.99%，主要原因是人员减少。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color w:val="000000" w:themeColor="text1"/>
          <w:sz w:val="32"/>
          <w:szCs w:val="32"/>
          <w:lang w:eastAsia="zh-CN"/>
        </w:rPr>
      </w:pPr>
      <w:r>
        <w:rPr>
          <w:rFonts w:hint="eastAsia" w:ascii="方正楷体_GBK" w:hAnsi="方正楷体_GBK" w:eastAsia="方正楷体_GBK" w:cs="方正楷体_GBK"/>
          <w:color w:val="000000" w:themeColor="text1"/>
          <w:sz w:val="32"/>
          <w:szCs w:val="32"/>
        </w:rPr>
        <w:t>（四）一般公共预算财政拨款基本支出决算情况说明</w:t>
      </w:r>
      <w:r>
        <w:rPr>
          <w:rFonts w:hint="eastAsia" w:ascii="方正楷体_GBK" w:hAnsi="方正楷体_GBK" w:eastAsia="方正楷体_GBK" w:cs="方正楷体_GBK"/>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rPr>
      </w:pPr>
      <w:r>
        <w:rPr>
          <w:rFonts w:hint="default" w:ascii="Times New Roman" w:hAnsi="Times New Roman" w:eastAsia="方正仿宋_GBK" w:cs="Times New Roman"/>
          <w:color w:val="000000" w:themeColor="text1"/>
          <w:sz w:val="32"/>
          <w:szCs w:val="32"/>
        </w:rPr>
        <w:t>2023年度一般公共财政拨款基本支出187.61万元。其中：人员经费187.61万元，较上年决算数减少1.94万元，下降1.02%，主要原因是</w:t>
      </w:r>
      <w:r>
        <w:rPr>
          <w:rFonts w:hint="default" w:ascii="Times New Roman" w:hAnsi="Times New Roman" w:eastAsia="方正仿宋_GBK" w:cs="Times New Roman"/>
          <w:color w:val="000000" w:themeColor="text1"/>
          <w:sz w:val="32"/>
          <w:szCs w:val="32"/>
          <w:lang w:eastAsia="zh-CN"/>
        </w:rPr>
        <w:t>人员</w:t>
      </w:r>
      <w:r>
        <w:rPr>
          <w:rFonts w:hint="eastAsia" w:ascii="Times New Roman" w:hAnsi="Times New Roman" w:eastAsia="方正仿宋_GBK" w:cs="Times New Roman"/>
          <w:color w:val="000000" w:themeColor="text1"/>
          <w:sz w:val="32"/>
          <w:szCs w:val="32"/>
          <w:lang w:eastAsia="zh-CN"/>
        </w:rPr>
        <w:t>调动</w:t>
      </w:r>
      <w:r>
        <w:rPr>
          <w:rFonts w:hint="default" w:ascii="Times New Roman" w:hAnsi="Times New Roman" w:eastAsia="方正仿宋_GBK" w:cs="Times New Roman"/>
          <w:color w:val="000000" w:themeColor="text1"/>
          <w:sz w:val="32"/>
          <w:szCs w:val="32"/>
        </w:rPr>
        <w:t>。人员经费用途主要包括人员社会保障、工资、绩效、津补贴支出等。公用经费0.00万元，较上年决算数减少4.47万元，下降100.00%，主要原因是本单位属于差额拨款单位，财政未保障本单位“</w:t>
      </w:r>
      <w:r>
        <w:rPr>
          <w:rFonts w:hint="eastAsia" w:ascii="Times New Roman" w:hAnsi="Times New Roman" w:eastAsia="方正仿宋_GBK" w:cs="Times New Roman"/>
          <w:color w:val="000000" w:themeColor="text1"/>
          <w:sz w:val="32"/>
          <w:szCs w:val="32"/>
          <w:lang w:eastAsia="zh-CN"/>
        </w:rPr>
        <w:t>公用</w:t>
      </w:r>
      <w:r>
        <w:rPr>
          <w:rFonts w:hint="default" w:ascii="Times New Roman" w:hAnsi="Times New Roman" w:eastAsia="方正仿宋_GBK" w:cs="Times New Roman"/>
          <w:color w:val="000000" w:themeColor="text1"/>
          <w:sz w:val="32"/>
          <w:szCs w:val="32"/>
        </w:rPr>
        <w:t>”经费。公用经费用途主要包括培训支出、差旅支出、水电支出等。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rPr>
        <w:t>（五）政府性基金预算收支决算情况说明</w:t>
      </w:r>
      <w:r>
        <w:rPr>
          <w:rFonts w:hint="eastAsia" w:ascii="方正楷体_GBK" w:hAnsi="方正楷体_GBK" w:eastAsia="方正楷体_GBK" w:cs="方正楷体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本单位202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年度无政府性基金预算财政拨款收支</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rPr>
        <w:t>（六）国有资本经营预算财政拨款支出决算情况说明</w:t>
      </w:r>
      <w:r>
        <w:rPr>
          <w:rFonts w:hint="eastAsia" w:ascii="方正楷体_GBK" w:hAnsi="方正楷体_GBK" w:eastAsia="方正楷体_GBK" w:cs="方正楷体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年度无国有资本经营预算财政拨款支出。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三、“三公”经费情况说明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rPr>
        <w:t>（一）“三公”经费支出总体情况说明</w:t>
      </w:r>
      <w:r>
        <w:rPr>
          <w:rFonts w:hint="eastAsia" w:ascii="方正楷体_GBK" w:hAnsi="方正楷体_GBK" w:eastAsia="方正楷体_GBK" w:cs="方正楷体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本单位属于差额拨款单位，财政未保障本单位“三公”经费。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rPr>
        <w:t>（二）“三公”经费分项支出情况</w:t>
      </w:r>
      <w:r>
        <w:rPr>
          <w:rFonts w:hint="eastAsia" w:ascii="方正楷体_GBK" w:hAnsi="方正楷体_GBK" w:eastAsia="方正楷体_GBK" w:cs="方正楷体_GBK"/>
          <w:sz w:val="32"/>
          <w:szCs w:val="32"/>
          <w:lang w:eastAsia="zh-CN"/>
        </w:rPr>
        <w:t>。</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rPr>
        <w:t>（三）“三公”经费实物量情况</w:t>
      </w:r>
      <w:r>
        <w:rPr>
          <w:rFonts w:hint="eastAsia" w:ascii="方正楷体_GBK" w:hAnsi="方正楷体_GBK" w:eastAsia="方正楷体_GBK" w:cs="方正楷体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2023年度本单位因公出国（境）共计0个团组，0人；公务用车购置0辆，公务车保有量为0辆；国内公务接待0批次0人，其中：国内外事接待0批次，0人；国（境）外公务接待0批次，0人。2023年本单位人均接待费0元，车均购置费0万元，车均维护费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四、其他需要说明的事项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rPr>
        <w:t>（一）财政拨款会议费和培训费情况说明</w:t>
      </w:r>
      <w:r>
        <w:rPr>
          <w:rFonts w:hint="eastAsia" w:ascii="方正楷体_GBK" w:hAnsi="方正楷体_GBK" w:eastAsia="方正楷体_GBK" w:cs="方正楷体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因本单位为差额拨款单位，财政未保障</w:t>
      </w:r>
      <w:r>
        <w:rPr>
          <w:rFonts w:hint="eastAsia" w:ascii="Times New Roman" w:hAnsi="Times New Roman" w:eastAsia="方正仿宋_GBK" w:cs="Times New Roman"/>
          <w:sz w:val="32"/>
          <w:szCs w:val="32"/>
          <w:lang w:eastAsia="zh-CN"/>
        </w:rPr>
        <w:t>本单位</w:t>
      </w:r>
      <w:r>
        <w:rPr>
          <w:rFonts w:hint="default" w:ascii="Times New Roman" w:hAnsi="Times New Roman" w:eastAsia="方正仿宋_GBK" w:cs="Times New Roman"/>
          <w:sz w:val="32"/>
          <w:szCs w:val="32"/>
        </w:rPr>
        <w:t>会议费和培训费。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rPr>
        <w:t>（二）机关运行经费情况说明</w:t>
      </w:r>
      <w:r>
        <w:rPr>
          <w:rFonts w:hint="eastAsia" w:ascii="方正楷体_GBK" w:hAnsi="方正楷体_GBK" w:eastAsia="方正楷体_GBK" w:cs="方正楷体_GBK"/>
          <w:sz w:val="32"/>
          <w:szCs w:val="32"/>
          <w:lang w:eastAsia="zh-CN"/>
        </w:rPr>
        <w:t>。</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按照部门决算列报口径，因</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为差额拨款事业单位不在机关运行经费统计范围之内。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rPr>
        <w:t>三）国有资产占用情况说明</w:t>
      </w:r>
      <w:r>
        <w:rPr>
          <w:rFonts w:hint="eastAsia" w:ascii="方正楷体_GBK" w:hAnsi="方正楷体_GBK" w:eastAsia="方正楷体_GBK" w:cs="方正楷体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截至2023年12月31日，本单位共有车辆2辆，其中，副部（省）级及以上领导用车0辆、主要负责人用车0辆、机要通信用车0辆、应急保障用车0辆、执法执勤用车0辆，特种专业技术用车2辆，离退休干部用车0辆。单价100万元（含）以上专用设备0台（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rPr>
        <w:t>（四）政府采购支出情况说明</w:t>
      </w:r>
      <w:r>
        <w:rPr>
          <w:rFonts w:hint="eastAsia" w:ascii="方正楷体_GBK" w:hAnsi="方正楷体_GBK" w:eastAsia="方正楷体_GBK" w:cs="方正楷体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2023年度</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rPr>
        <w:t>单位未发生政府采购事项，无相关经费支出。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lang w:eastAsia="zh-CN"/>
        </w:rPr>
        <w:t>五、</w:t>
      </w:r>
      <w:r>
        <w:rPr>
          <w:rFonts w:hint="eastAsia" w:ascii="方正黑体_GBK" w:hAnsi="方正黑体_GBK" w:eastAsia="方正黑体_GBK" w:cs="方正黑体_GBK"/>
          <w:color w:val="auto"/>
          <w:sz w:val="32"/>
          <w:szCs w:val="32"/>
        </w:rPr>
        <w:t>预算绩效管理情况说明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color w:val="auto"/>
          <w:sz w:val="32"/>
          <w:szCs w:val="32"/>
          <w:lang w:eastAsia="zh-CN"/>
        </w:rPr>
      </w:pPr>
      <w:r>
        <w:rPr>
          <w:rFonts w:hint="eastAsia" w:ascii="方正楷体_GBK" w:hAnsi="方正楷体_GBK" w:eastAsia="方正楷体_GBK" w:cs="方正楷体_GBK"/>
          <w:color w:val="auto"/>
          <w:sz w:val="32"/>
          <w:szCs w:val="32"/>
        </w:rPr>
        <w:t>（一）单位自评情况</w:t>
      </w:r>
      <w:r>
        <w:rPr>
          <w:rFonts w:hint="eastAsia" w:ascii="方正楷体_GBK" w:hAnsi="方正楷体_GBK" w:eastAsia="方正楷体_GBK" w:cs="方正楷体_GBK"/>
          <w:color w:val="auto"/>
          <w:sz w:val="32"/>
          <w:szCs w:val="32"/>
          <w:lang w:eastAsia="zh-CN"/>
        </w:rPr>
        <w:t>。</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tbl>
      <w:tblPr>
        <w:tblStyle w:val="12"/>
        <w:tblpPr w:leftFromText="180" w:rightFromText="180" w:vertAnchor="text" w:horzAnchor="page" w:tblpX="1978" w:tblpY="-94"/>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1490" w:hRule="atLeast"/>
        </w:trPr>
        <w:tc>
          <w:tcPr>
            <w:tcW w:w="8400" w:type="dxa"/>
            <w:gridSpan w:val="11"/>
            <w:shd w:val="clear" w:color="auto" w:fill="auto"/>
            <w:vAlign w:val="center"/>
          </w:tcPr>
          <w:p>
            <w:pPr>
              <w:keepNext w:val="0"/>
              <w:keepLines w:val="0"/>
              <w:widowControl/>
              <w:suppressLineNumbers w:val="0"/>
              <w:ind w:firstLine="1280" w:firstLineChars="400"/>
              <w:jc w:val="both"/>
              <w:textAlignment w:val="cente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2023年度项目支出绩效自评情况表（二级项目）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eastAsia"/>
          <w:lang w:eastAsia="zh-CN"/>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六、专业名词解释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（一）财政拨款收入：</w:t>
      </w:r>
      <w:r>
        <w:rPr>
          <w:rFonts w:hint="default" w:ascii="Times New Roman" w:hAnsi="Times New Roman" w:eastAsia="方正仿宋_GBK" w:cs="Times New Roman"/>
          <w:sz w:val="32"/>
          <w:szCs w:val="32"/>
        </w:rPr>
        <w:t>指本年度从本级财政部门取得的财政拨款，包括一般公共预算财政拨款和政府性基金预算财政拨款。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（二）事业收入：</w:t>
      </w:r>
      <w:r>
        <w:rPr>
          <w:rFonts w:hint="default" w:ascii="Times New Roman" w:hAnsi="Times New Roman" w:eastAsia="方正仿宋_GBK" w:cs="Times New Roman"/>
          <w:sz w:val="32"/>
          <w:szCs w:val="32"/>
        </w:rPr>
        <w:t>指事业单位开展专业业务活动及其辅助活动取得的现金流入；事业单位收到的财政专户实际核拨的教育收费等资金在此反映。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（三）经营收入：</w:t>
      </w:r>
      <w:r>
        <w:rPr>
          <w:rFonts w:hint="default" w:ascii="Times New Roman" w:hAnsi="Times New Roman" w:eastAsia="方正仿宋_GBK" w:cs="Times New Roman"/>
          <w:sz w:val="32"/>
          <w:szCs w:val="32"/>
        </w:rPr>
        <w:t>指事业单位在专业业务活动及其辅助活动之外开展非独立核算经营活动取得的现金流入。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（四）其他收入：</w:t>
      </w:r>
      <w:r>
        <w:rPr>
          <w:rFonts w:hint="default" w:ascii="Times New Roman" w:hAnsi="Times New Roman" w:eastAsia="方正仿宋_GBK" w:cs="Times New Roman"/>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（五）使用非财政拨款结余：</w:t>
      </w:r>
      <w:r>
        <w:rPr>
          <w:rFonts w:hint="default" w:ascii="Times New Roman" w:hAnsi="Times New Roman" w:eastAsia="方正仿宋_GBK" w:cs="Times New Roman"/>
          <w:sz w:val="32"/>
          <w:szCs w:val="32"/>
        </w:rPr>
        <w:t>指单位在当年的“财政拨款收入”、“事业收入”、“经营收入”、“其他收入”等不足以安排当年支出的情况下，使用以前年度积累的非财政拨款结余弥补本年度收支缺口的资金。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（六）年初结转和结余：</w:t>
      </w:r>
      <w:r>
        <w:rPr>
          <w:rFonts w:hint="default" w:ascii="Times New Roman" w:hAnsi="Times New Roman" w:eastAsia="方正仿宋_GBK" w:cs="Times New Roman"/>
          <w:sz w:val="32"/>
          <w:szCs w:val="32"/>
        </w:rPr>
        <w:t>指单位上年结转本年使用的基本支出结转、项目支出结转和结余、经营结余。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（七）结余分配：</w:t>
      </w:r>
      <w:r>
        <w:rPr>
          <w:rFonts w:hint="default" w:ascii="Times New Roman" w:hAnsi="Times New Roman" w:eastAsia="方正仿宋_GBK" w:cs="Times New Roman"/>
          <w:sz w:val="32"/>
          <w:szCs w:val="32"/>
        </w:rPr>
        <w:t>指单位按照国家有关规定，缴纳所得税、提取专用基金、转入非财政拨款结余等当年结余的分配情况。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（八）年末结转和结余：</w:t>
      </w:r>
      <w:r>
        <w:rPr>
          <w:rFonts w:hint="default" w:ascii="Times New Roman" w:hAnsi="Times New Roman" w:eastAsia="方正仿宋_GBK" w:cs="Times New Roman"/>
          <w:sz w:val="32"/>
          <w:szCs w:val="32"/>
        </w:rPr>
        <w:t>指单位结转下年的基本支出结转、项目支出结转和结余、经营结余。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（九）基本支出：</w:t>
      </w:r>
      <w:r>
        <w:rPr>
          <w:rFonts w:hint="default" w:ascii="Times New Roman" w:hAnsi="Times New Roman" w:eastAsia="方正仿宋_GBK" w:cs="Times New Roman"/>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（十）项目支出：</w:t>
      </w:r>
      <w:r>
        <w:rPr>
          <w:rFonts w:hint="default" w:ascii="Times New Roman" w:hAnsi="Times New Roman" w:eastAsia="方正仿宋_GBK" w:cs="Times New Roman"/>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（十一）经营支出：</w:t>
      </w:r>
      <w:r>
        <w:rPr>
          <w:rFonts w:hint="default" w:ascii="Times New Roman" w:hAnsi="Times New Roman" w:eastAsia="方正仿宋_GBK" w:cs="Times New Roman"/>
          <w:sz w:val="32"/>
          <w:szCs w:val="32"/>
        </w:rPr>
        <w:t>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（十二）“三公”经费：</w:t>
      </w:r>
      <w:r>
        <w:rPr>
          <w:rFonts w:hint="default" w:ascii="Times New Roman" w:hAnsi="Times New Roman" w:eastAsia="方正仿宋_GBK" w:cs="Times New Roman"/>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（十三）机关运行经费：</w:t>
      </w:r>
      <w:r>
        <w:rPr>
          <w:rFonts w:hint="default" w:ascii="Times New Roman" w:hAnsi="Times New Roman" w:eastAsia="方正仿宋_GBK" w:cs="Times New Roman"/>
          <w:sz w:val="32"/>
          <w:szCs w:val="32"/>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（十四）工资福利支出（支出经济分类科目类级）：</w:t>
      </w:r>
      <w:r>
        <w:rPr>
          <w:rFonts w:hint="default" w:ascii="Times New Roman" w:hAnsi="Times New Roman" w:eastAsia="方正仿宋_GBK" w:cs="Times New Roman"/>
          <w:sz w:val="32"/>
          <w:szCs w:val="32"/>
        </w:rPr>
        <w:t>反映单位开支的在职职工和编制外长期聘用人员的各类劳动报酬，以及为上述人员缴纳的各项社会保险费等。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（十五）商品和服务支出（支出经济分类科目类级）：</w:t>
      </w:r>
      <w:r>
        <w:rPr>
          <w:rFonts w:hint="default" w:ascii="Times New Roman" w:hAnsi="Times New Roman" w:eastAsia="方正仿宋_GBK" w:cs="Times New Roman"/>
          <w:sz w:val="32"/>
          <w:szCs w:val="32"/>
        </w:rPr>
        <w:t>反映单位购买商品和服务的支出（不包括用于购置固定资产的支出、战略性和应急储备支出）。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（十六）对个人和家庭的补助（支出经济分类科目类级）：</w:t>
      </w:r>
      <w:r>
        <w:rPr>
          <w:rFonts w:hint="default" w:ascii="Times New Roman" w:hAnsi="Times New Roman" w:eastAsia="方正仿宋_GBK" w:cs="Times New Roman"/>
          <w:sz w:val="32"/>
          <w:szCs w:val="32"/>
        </w:rPr>
        <w:t>反映用于对个人和家庭的补助支出。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（十七）其他资本性支出（支出经济分类科目类级）：</w:t>
      </w:r>
      <w:r>
        <w:rPr>
          <w:rFonts w:hint="default" w:ascii="Times New Roman" w:hAnsi="Times New Roman" w:eastAsia="方正仿宋_GBK" w:cs="Times New Roman"/>
          <w:sz w:val="32"/>
          <w:szCs w:val="32"/>
        </w:rPr>
        <w:t>反映非各级发展与改革部门集中安排的用于购置固定资产、战略性和应急性储备、土地和无形资产，以及构建基础设施、大型修缮和财政支持企业更新改造所发生的支出。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七、决算公开联系方式及信息反馈渠道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本单位决算公开信息反馈和联系方式：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1"/>
          <w:rFonts w:ascii="方正仿宋_GBK" w:hAnsi="方正仿宋_GBK" w:eastAsia="方正仿宋_GBK" w:cs="方正仿宋_GBK"/>
          <w:sz w:val="32"/>
          <w:szCs w:val="32"/>
          <w:shd w:val="clear" w:color="auto" w:fill="FFFF00"/>
          <w:lang w:val="en-US"/>
        </w:rPr>
        <w:sectPr>
          <w:footerReference r:id="rId3" w:type="default"/>
          <w:pgSz w:w="11915" w:h="16840"/>
          <w:pgMar w:top="2098" w:right="1474" w:bottom="1984" w:left="1587" w:header="851" w:footer="992" w:gutter="0"/>
          <w:pgNumType w:fmt="numberInDash"/>
          <w:cols w:space="0" w:num="1"/>
          <w:rtlGutter w:val="0"/>
          <w:docGrid w:type="lines" w:linePitch="327" w:charSpace="0"/>
        </w:sectPr>
      </w:pPr>
      <w:r>
        <w:rPr>
          <w:rFonts w:hint="eastAsia" w:ascii="Times New Roman" w:hAnsi="Times New Roman" w:eastAsia="方正仿宋_GBK" w:cs="Times New Roman"/>
          <w:sz w:val="32"/>
          <w:szCs w:val="32"/>
          <w:lang w:eastAsia="zh-CN"/>
        </w:rPr>
        <w:t>张洪奎</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023-</w:t>
      </w:r>
      <w:r>
        <w:rPr>
          <w:rFonts w:hint="default" w:ascii="Times New Roman" w:hAnsi="Times New Roman" w:eastAsia="方正仿宋_GBK" w:cs="Times New Roman"/>
          <w:sz w:val="32"/>
          <w:szCs w:val="32"/>
          <w:lang w:val="en-US" w:eastAsia="zh-CN"/>
        </w:rPr>
        <w:t>76624442</w:t>
      </w:r>
      <w:r>
        <w:rPr>
          <w:rFonts w:hint="eastAsia" w:ascii="Times New Roman" w:hAnsi="Times New Roman" w:eastAsia="方正仿宋_GBK" w:cs="Times New Roman"/>
          <w:sz w:val="32"/>
          <w:szCs w:val="32"/>
          <w:lang w:val="en-US" w:eastAsia="zh-CN"/>
        </w:rPr>
        <w:t xml:space="preserve"> </w:t>
      </w:r>
    </w:p>
    <w:p>
      <w:pPr>
        <w:rPr>
          <w:rFonts w:hint="default" w:cs="宋体"/>
          <w:sz w:val="21"/>
          <w:szCs w:val="21"/>
        </w:rPr>
      </w:pPr>
    </w:p>
    <w:tbl>
      <w:tblPr>
        <w:tblStyle w:val="12"/>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714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公开单位：</w:t>
            </w:r>
            <w:r>
              <w:rPr>
                <w:sz w:val="20"/>
                <w:u w:color="auto"/>
              </w:rPr>
              <w:t>重庆市秀山土家族苗族自治县中平乡卫生院</w:t>
            </w: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236.62</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176.03</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6.07</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13.69</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394.29</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5.28</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418.72</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413.26</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8.98</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14.44</w:t>
            </w: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427.70</w:t>
            </w:r>
            <w:r>
              <w:rPr>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427.70</w:t>
            </w:r>
            <w:r>
              <w:rPr>
                <w:color w:val="000000"/>
                <w:sz w:val="20"/>
                <w:u w:color="auto"/>
              </w:rPr>
              <w:t xml:space="preserve"> </w:t>
            </w:r>
          </w:p>
        </w:tc>
      </w:tr>
    </w:tbl>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tbl>
      <w:tblPr>
        <w:tblStyle w:val="12"/>
        <w:tblW w:w="15400" w:type="dxa"/>
        <w:tblInd w:w="0" w:type="dxa"/>
        <w:tblLayout w:type="fixed"/>
        <w:tblCellMar>
          <w:top w:w="0" w:type="dxa"/>
          <w:left w:w="0" w:type="dxa"/>
          <w:bottom w:w="0" w:type="dxa"/>
          <w:right w:w="0" w:type="dxa"/>
        </w:tblCellMar>
      </w:tblPr>
      <w:tblGrid>
        <w:gridCol w:w="1704"/>
        <w:gridCol w:w="3309"/>
        <w:gridCol w:w="1102"/>
        <w:gridCol w:w="1235"/>
        <w:gridCol w:w="1234"/>
        <w:gridCol w:w="1235"/>
        <w:gridCol w:w="1"/>
        <w:gridCol w:w="1368"/>
        <w:gridCol w:w="1307"/>
        <w:gridCol w:w="1441"/>
        <w:gridCol w:w="1464"/>
      </w:tblGrid>
      <w:tr>
        <w:tblPrEx>
          <w:tblLayout w:type="fixed"/>
          <w:tblCellMar>
            <w:top w:w="0" w:type="dxa"/>
            <w:left w:w="0" w:type="dxa"/>
            <w:bottom w:w="0" w:type="dxa"/>
            <w:right w:w="0" w:type="dxa"/>
          </w:tblCellMar>
        </w:tblPrEx>
        <w:trPr>
          <w:trHeight w:val="841" w:hRule="atLeast"/>
        </w:trPr>
        <w:tc>
          <w:tcPr>
            <w:tcW w:w="15400" w:type="dxa"/>
            <w:gridSpan w:val="11"/>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452" w:hRule="atLeast"/>
        </w:trPr>
        <w:tc>
          <w:tcPr>
            <w:tcW w:w="6115"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u w:color="auto"/>
              </w:rPr>
              <w:t>重庆市秀山土家族苗族自治县中平乡卫生院</w:t>
            </w:r>
          </w:p>
        </w:tc>
        <w:tc>
          <w:tcPr>
            <w:tcW w:w="123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6"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4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452" w:hRule="atLeast"/>
        </w:trPr>
        <w:tc>
          <w:tcPr>
            <w:tcW w:w="6115"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6"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4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531" w:hRule="atLeast"/>
        </w:trPr>
        <w:tc>
          <w:tcPr>
            <w:tcW w:w="501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10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3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3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604" w:type="dxa"/>
            <w:gridSpan w:val="3"/>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4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480" w:hRule="atLeast"/>
        </w:trPr>
        <w:tc>
          <w:tcPr>
            <w:tcW w:w="1704"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09"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1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9" w:type="dxa"/>
            <w:gridSpan w:val="2"/>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480" w:hRule="atLeast"/>
        </w:trPr>
        <w:tc>
          <w:tcPr>
            <w:tcW w:w="1704"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9"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9" w:type="dxa"/>
            <w:gridSpan w:val="2"/>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480" w:hRule="atLeast"/>
        </w:trPr>
        <w:tc>
          <w:tcPr>
            <w:tcW w:w="1704"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9"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9" w:type="dxa"/>
            <w:gridSpan w:val="2"/>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480" w:hRule="atLeast"/>
        </w:trPr>
        <w:tc>
          <w:tcPr>
            <w:tcW w:w="1704"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9"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9" w:type="dxa"/>
            <w:gridSpan w:val="2"/>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260" w:hRule="exact"/>
        </w:trPr>
        <w:tc>
          <w:tcPr>
            <w:tcW w:w="501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1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418.72</w:t>
            </w:r>
            <w:r>
              <w:rPr>
                <w:b/>
                <w:color w:val="000000"/>
                <w:sz w:val="20"/>
                <w:u w:color="auto"/>
              </w:rPr>
              <w:t xml:space="preserve"> </w:t>
            </w:r>
          </w:p>
        </w:tc>
        <w:tc>
          <w:tcPr>
            <w:tcW w:w="12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236.62</w:t>
            </w:r>
            <w:r>
              <w:rPr>
                <w:b/>
                <w:color w:val="000000"/>
                <w:sz w:val="20"/>
                <w:u w:color="auto"/>
              </w:rPr>
              <w:t xml:space="preserve"> </w:t>
            </w:r>
          </w:p>
        </w:tc>
        <w:tc>
          <w:tcPr>
            <w:tcW w:w="12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176.03</w:t>
            </w:r>
            <w:r>
              <w:rPr>
                <w:b/>
                <w:color w:val="000000"/>
                <w:sz w:val="20"/>
                <w:u w:color="auto"/>
              </w:rPr>
              <w:t xml:space="preserve"> </w:t>
            </w:r>
          </w:p>
        </w:tc>
        <w:tc>
          <w:tcPr>
            <w:tcW w:w="136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6.07</w:t>
            </w:r>
            <w:r>
              <w:rPr>
                <w:b/>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13.69</w:t>
            </w:r>
            <w:r>
              <w:rPr>
                <w:b/>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13.69</w:t>
            </w:r>
            <w:r>
              <w:rPr>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13.69</w:t>
            </w:r>
            <w:r>
              <w:rPr>
                <w:b/>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13.69</w:t>
            </w:r>
            <w:r>
              <w:rPr>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0.34</w:t>
            </w: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0.34</w:t>
            </w:r>
            <w:r>
              <w:rPr>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7.07</w:t>
            </w: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7.07</w:t>
            </w:r>
            <w:r>
              <w:rPr>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3.52</w:t>
            </w: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3.52</w:t>
            </w:r>
            <w:r>
              <w:rPr>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2.76</w:t>
            </w: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2.76</w:t>
            </w:r>
            <w:r>
              <w:rPr>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399.75</w:t>
            </w:r>
            <w:r>
              <w:rPr>
                <w:b/>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217.65</w:t>
            </w:r>
            <w:r>
              <w:rPr>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176.03</w:t>
            </w:r>
            <w:r>
              <w:rPr>
                <w:b/>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6.07</w:t>
            </w:r>
            <w:r>
              <w:rPr>
                <w:b/>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0.45</w:t>
            </w:r>
            <w:r>
              <w:rPr>
                <w:b/>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0.45</w:t>
            </w:r>
            <w:r>
              <w:rPr>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0.45</w:t>
            </w: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0.45</w:t>
            </w:r>
            <w:r>
              <w:rPr>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300.09</w:t>
            </w:r>
            <w:r>
              <w:rPr>
                <w:b/>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117.99</w:t>
            </w:r>
            <w:r>
              <w:rPr>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176.03</w:t>
            </w:r>
            <w:r>
              <w:rPr>
                <w:b/>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6.07</w:t>
            </w:r>
            <w:r>
              <w:rPr>
                <w:b/>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300.09</w:t>
            </w: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117.99</w:t>
            </w:r>
            <w:r>
              <w:rPr>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176.03</w:t>
            </w: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6.07</w:t>
            </w: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63.36</w:t>
            </w:r>
            <w:r>
              <w:rPr>
                <w:b/>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63.36</w:t>
            </w:r>
            <w:r>
              <w:rPr>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53.29</w:t>
            </w: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53.29</w:t>
            </w:r>
            <w:r>
              <w:rPr>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8.82</w:t>
            </w: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8.82</w:t>
            </w:r>
            <w:r>
              <w:rPr>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2100499</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其他公共卫生支出</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1.25</w:t>
            </w: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1.25</w:t>
            </w:r>
            <w:r>
              <w:rPr>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4.36</w:t>
            </w:r>
            <w:r>
              <w:rPr>
                <w:b/>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4.36</w:t>
            </w:r>
            <w:r>
              <w:rPr>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4.36</w:t>
            </w: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4.36</w:t>
            </w:r>
            <w:r>
              <w:rPr>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31.50</w:t>
            </w:r>
            <w:r>
              <w:rPr>
                <w:b/>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31.50</w:t>
            </w:r>
            <w:r>
              <w:rPr>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31.50</w:t>
            </w: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31.50</w:t>
            </w:r>
            <w:r>
              <w:rPr>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5.28</w:t>
            </w:r>
            <w:r>
              <w:rPr>
                <w:b/>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5.28</w:t>
            </w:r>
            <w:r>
              <w:rPr>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0"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5.28</w:t>
            </w:r>
            <w:r>
              <w:rPr>
                <w:b/>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5.28</w:t>
            </w:r>
            <w:r>
              <w:rPr>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13" w:hRule="exac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5.28</w:t>
            </w: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5.28</w:t>
            </w:r>
            <w:r>
              <w:rPr>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ind w:left="600" w:hanging="600" w:hangingChars="300"/>
        <w:rPr>
          <w:rFonts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p>
    <w:p>
      <w:pPr>
        <w:ind w:left="600" w:hanging="600" w:hangingChars="300"/>
        <w:rPr>
          <w:rFonts w:cs="宋体"/>
          <w:sz w:val="20"/>
          <w:szCs w:val="20"/>
        </w:rPr>
      </w:pPr>
    </w:p>
    <w:p>
      <w:pPr>
        <w:ind w:left="600" w:hanging="600" w:hangingChars="300"/>
        <w:rPr>
          <w:rFonts w:cs="宋体"/>
          <w:sz w:val="20"/>
          <w:szCs w:val="20"/>
        </w:rPr>
      </w:pPr>
    </w:p>
    <w:tbl>
      <w:tblPr>
        <w:tblStyle w:val="12"/>
        <w:tblpPr w:leftFromText="180" w:rightFromText="180" w:vertAnchor="text" w:horzAnchor="page" w:tblpX="891" w:tblpY="5"/>
        <w:tblOverlap w:val="never"/>
        <w:tblW w:w="15378" w:type="dxa"/>
        <w:tblInd w:w="0" w:type="dxa"/>
        <w:tblLayout w:type="fixed"/>
        <w:tblCellMar>
          <w:top w:w="0" w:type="dxa"/>
          <w:left w:w="0" w:type="dxa"/>
          <w:bottom w:w="0" w:type="dxa"/>
          <w:right w:w="0" w:type="dxa"/>
        </w:tblCellMar>
      </w:tblPr>
      <w:tblGrid>
        <w:gridCol w:w="1796"/>
        <w:gridCol w:w="3355"/>
        <w:gridCol w:w="1701"/>
        <w:gridCol w:w="1701"/>
        <w:gridCol w:w="1701"/>
        <w:gridCol w:w="1679"/>
        <w:gridCol w:w="1679"/>
        <w:gridCol w:w="1766"/>
      </w:tblGrid>
      <w:tr>
        <w:tblPrEx>
          <w:tblLayout w:type="fixed"/>
          <w:tblCellMar>
            <w:top w:w="0" w:type="dxa"/>
            <w:left w:w="0" w:type="dxa"/>
            <w:bottom w:w="0" w:type="dxa"/>
            <w:right w:w="0" w:type="dxa"/>
          </w:tblCellMar>
        </w:tblPrEx>
        <w:trPr>
          <w:trHeight w:val="567" w:hRule="exac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265" w:hRule="exact"/>
        </w:trPr>
        <w:tc>
          <w:tcPr>
            <w:tcW w:w="685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重庆市秀山土家族苗族自治县中平乡卫生院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277" w:hRule="exact"/>
        </w:trPr>
        <w:tc>
          <w:tcPr>
            <w:tcW w:w="685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119" w:hRule="atLeast"/>
        </w:trPr>
        <w:tc>
          <w:tcPr>
            <w:tcW w:w="5151"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7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12" w:hRule="atLeast"/>
        </w:trPr>
        <w:tc>
          <w:tcPr>
            <w:tcW w:w="179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79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79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79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283" w:hRule="exact"/>
        </w:trPr>
        <w:tc>
          <w:tcPr>
            <w:tcW w:w="515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413.26</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372.94</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40.32</w:t>
            </w:r>
            <w:r>
              <w:rPr>
                <w:b/>
                <w:color w:val="000000"/>
                <w:sz w:val="20"/>
                <w:u w:color="auto"/>
              </w:rPr>
              <w:t xml:space="preserve"> </w:t>
            </w:r>
          </w:p>
        </w:tc>
        <w:tc>
          <w:tcPr>
            <w:tcW w:w="1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13.69</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13.69</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13.69</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13.69</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0.34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0.34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7.07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7.07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2.76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2.76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394.29</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353.97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40.32</w:t>
            </w:r>
            <w:r>
              <w:rPr>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0.45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0.45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0.45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0.45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294.63</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294.63</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294.63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294.63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63.36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54.54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8.82</w:t>
            </w:r>
            <w:r>
              <w:rPr>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53.29</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53.29</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8.82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8.82</w:t>
            </w: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其他公共卫生支出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4.36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4.36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4.36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4.36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31.50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31.50</w:t>
            </w:r>
            <w:r>
              <w:rPr>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31.50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31.50</w:t>
            </w: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5.28</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5.28</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5.28</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5.28</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5.28</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5.28</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default"/>
        </w:rPr>
      </w:pPr>
      <w:r>
        <w:rPr>
          <w:rFonts w:cs="宋体"/>
          <w:sz w:val="20"/>
          <w:szCs w:val="20"/>
        </w:rPr>
        <w:br w:type="textWrapping"/>
      </w: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p>
    <w:p>
      <w:pPr>
        <w:rPr>
          <w:rFonts w:hint="default" w:cs="宋体"/>
          <w:sz w:val="21"/>
          <w:szCs w:val="21"/>
        </w:rPr>
      </w:pPr>
    </w:p>
    <w:tbl>
      <w:tblPr>
        <w:tblStyle w:val="12"/>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96"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重庆市秀山土家族苗族自治县中平乡卫生院</w:t>
            </w: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7696"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236.62</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13.69</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13.69</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208.96</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208.96</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5.28</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5.28</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236.62</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227.93</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227.93</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8.69</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8.69</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236.62</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236.62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236.62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725"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重庆市秀山土家族苗族自治县中平乡卫生院</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8725"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283" w:hRule="exac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227.93</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187.61</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40.32</w:t>
            </w:r>
            <w:r>
              <w:rPr>
                <w:b/>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13.69</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13.69</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13.69</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13.69</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0.34</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0.34</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7.07</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7.07</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3.52</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3.52</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2.76</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2.76</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208.96</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168.64</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40.32</w:t>
            </w:r>
            <w:r>
              <w:rPr>
                <w:b/>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0.45</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0.45</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0.45</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0.45</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109.30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109.30</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109.30</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109.30</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63.36</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54.54</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8.82</w:t>
            </w:r>
            <w:r>
              <w:rPr>
                <w:b/>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53.29</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53.29</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8.82</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8.82</w:t>
            </w: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其他公共卫生支出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1.25</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1.25</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4.36</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4.36</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4.36</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4.36</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31.50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31.50</w:t>
            </w:r>
            <w:r>
              <w:rPr>
                <w:b/>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31.50</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31.50</w:t>
            </w: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5.28</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5.28</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5.28</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5.28</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5.28</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5.28</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ind w:firstLine="600" w:firstLineChars="300"/>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w:t>
      </w:r>
      <w:r>
        <w:rPr>
          <w:rFonts w:hint="eastAsia" w:cs="宋体"/>
          <w:sz w:val="20"/>
          <w:szCs w:val="20"/>
          <w:lang w:val="en-US" w:eastAsia="zh-CN"/>
        </w:rPr>
        <w:t xml:space="preserve">      </w:t>
      </w:r>
      <w:r>
        <w:rPr>
          <w:rFonts w:cs="宋体"/>
          <w:sz w:val="20"/>
          <w:szCs w:val="20"/>
        </w:rPr>
        <w:t xml:space="preserve"> 2.本套报表金额单位转换时可能存在尾数误差。</w:t>
      </w:r>
      <w:r>
        <w:rPr>
          <w:rFonts w:cs="宋体"/>
          <w:sz w:val="20"/>
          <w:szCs w:val="20"/>
        </w:rPr>
        <w:br w:type="textWrapping"/>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5557" w:type="dxa"/>
            <w:gridSpan w:val="4"/>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重庆市秀山土家族苗族自治县中平乡卫生院</w:t>
            </w: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5557" w:type="dxa"/>
            <w:gridSpan w:val="4"/>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184.51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71.29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30.76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62.23</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7.07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3.52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4.36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5.28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3.10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2.76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0.34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187.61</w:t>
            </w:r>
            <w:r>
              <w:rPr>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bookmarkStart w:id="0" w:name="_GoBack"/>
      <w:bookmarkEnd w:id="0"/>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4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重庆市秀山土家族苗族自治县中平乡卫生院</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664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218"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重庆市秀山土家族苗族自治县中平乡卫生院</w:t>
            </w: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8218"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r>
        <w:rPr>
          <w:rFonts w:hint="default" w:cs="宋体"/>
          <w:sz w:val="21"/>
          <w:szCs w:val="21"/>
        </w:rPr>
        <w:br w:type="page"/>
      </w:r>
    </w:p>
    <w:tbl>
      <w:tblPr>
        <w:tblStyle w:val="12"/>
        <w:tblW w:w="15000" w:type="dxa"/>
        <w:tblInd w:w="0" w:type="dxa"/>
        <w:tblLayout w:type="fixed"/>
        <w:tblCellMar>
          <w:top w:w="0" w:type="dxa"/>
          <w:left w:w="170" w:type="dxa"/>
          <w:bottom w:w="0" w:type="dxa"/>
          <w:right w:w="170" w:type="dxa"/>
        </w:tblCellMar>
      </w:tblPr>
      <w:tblGrid>
        <w:gridCol w:w="4041"/>
        <w:gridCol w:w="2166"/>
        <w:gridCol w:w="2115"/>
        <w:gridCol w:w="4524"/>
        <w:gridCol w:w="2154"/>
      </w:tblGrid>
      <w:tr>
        <w:tblPrEx>
          <w:tblLayout w:type="fixed"/>
          <w:tblCellMar>
            <w:top w:w="0" w:type="dxa"/>
            <w:left w:w="170" w:type="dxa"/>
            <w:bottom w:w="0" w:type="dxa"/>
            <w:right w:w="170" w:type="dxa"/>
          </w:tblCellMar>
        </w:tblPrEx>
        <w:trPr>
          <w:trHeight w:val="343" w:hRule="atLeast"/>
        </w:trPr>
        <w:tc>
          <w:tcPr>
            <w:tcW w:w="1500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4041"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6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15"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524"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5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170" w:type="dxa"/>
            <w:bottom w:w="0" w:type="dxa"/>
            <w:right w:w="170" w:type="dxa"/>
          </w:tblCellMar>
        </w:tblPrEx>
        <w:trPr>
          <w:trHeight w:val="244" w:hRule="atLeast"/>
        </w:trPr>
        <w:tc>
          <w:tcPr>
            <w:tcW w:w="6207"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重庆市秀山土家族苗族自治县中平乡卫生院</w:t>
            </w:r>
          </w:p>
        </w:tc>
        <w:tc>
          <w:tcPr>
            <w:tcW w:w="211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52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5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项  目</w:t>
            </w:r>
          </w:p>
        </w:tc>
        <w:tc>
          <w:tcPr>
            <w:tcW w:w="21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预算数</w:t>
            </w:r>
          </w:p>
        </w:tc>
        <w:tc>
          <w:tcPr>
            <w:tcW w:w="211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决算数</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项  目</w:t>
            </w:r>
          </w:p>
        </w:tc>
        <w:tc>
          <w:tcPr>
            <w:tcW w:w="215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决算数</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一、“三公”经费支出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四、机关运行经费</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（一）支出合计</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（一）行政单位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1．因公出国（境）费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（二）参照公务员法管理事业单位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2．公务用车购置及运行维护费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五、资产信息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（1）公务用车购置费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（一）车辆数合计（辆）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 xml:space="preserve">2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（2）公务用车运行维护费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1．副部（省）级及以上领导用车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3．公务接待费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2．主要领导干部用车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（1）国内接待费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3．机要通信用车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4．应急保障用车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（2）国（境）外接待费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5．执法执勤用车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（二）相关统计数</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6．特种专业技术用车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2</w:t>
            </w: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1．因公出国（境）团组数（个）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7．离退休干部用车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2．因公出国（境）人次数（人）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8．其他用车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3．公务用车购置数（辆）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（二）单价100万元（含）以上设备（不含车辆）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4．公务用车保有量（辆）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六、政府采购支出信息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5．国内公务接待批次（个）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（一）政府采购支出合计</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1．政府采购货物支出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6．国内公务接待人次（人）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2．政府采购工程支出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3．政府采购服务支出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7．国（境）外公务接待批次（个）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（二）政府采购授予中小企业合同金额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8．国（境）外公务接待人次（人）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其中：授予小微企业合同金额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86"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二、会议费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color w:val="000000"/>
                <w:sz w:val="16"/>
                <w:szCs w:val="16"/>
              </w:rPr>
            </w:pPr>
          </w:p>
        </w:tc>
      </w:tr>
      <w:tr>
        <w:tblPrEx>
          <w:tblLayout w:type="fixed"/>
          <w:tblCellMar>
            <w:top w:w="0" w:type="dxa"/>
            <w:left w:w="170" w:type="dxa"/>
            <w:bottom w:w="0" w:type="dxa"/>
            <w:right w:w="170" w:type="dxa"/>
          </w:tblCellMar>
        </w:tblPrEx>
        <w:trPr>
          <w:trHeight w:val="389"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三、培训费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color w:val="000000"/>
                <w:sz w:val="16"/>
                <w:szCs w:val="16"/>
              </w:rPr>
            </w:pPr>
          </w:p>
        </w:tc>
      </w:tr>
    </w:tbl>
    <w:p>
      <w:pPr>
        <w:rPr>
          <w:rFonts w:hint="default" w:cs="宋体"/>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- 4 -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20"/>
  <w:drawingGridVerticalSpacing w:val="164"/>
  <w:displayHorizontalDrawingGridEvery w:val="2"/>
  <w:displayVerticalDrawingGridEvery w:val="2"/>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172A27"/>
    <w:rsid w:val="001D3BB7"/>
    <w:rsid w:val="002B254B"/>
    <w:rsid w:val="00466C9B"/>
    <w:rsid w:val="00550ABE"/>
    <w:rsid w:val="00770383"/>
    <w:rsid w:val="007819D4"/>
    <w:rsid w:val="007B419D"/>
    <w:rsid w:val="007B7C4B"/>
    <w:rsid w:val="007D3D39"/>
    <w:rsid w:val="00802FEA"/>
    <w:rsid w:val="00994AF7"/>
    <w:rsid w:val="009B67B8"/>
    <w:rsid w:val="009D2B67"/>
    <w:rsid w:val="00A566F9"/>
    <w:rsid w:val="00AF2751"/>
    <w:rsid w:val="00B03CCD"/>
    <w:rsid w:val="00BE2B89"/>
    <w:rsid w:val="00C10E9E"/>
    <w:rsid w:val="00C20C3E"/>
    <w:rsid w:val="00F73F90"/>
    <w:rsid w:val="01474EBF"/>
    <w:rsid w:val="01F3521E"/>
    <w:rsid w:val="031B1A5D"/>
    <w:rsid w:val="03423C7B"/>
    <w:rsid w:val="03B87EA0"/>
    <w:rsid w:val="03DA6181"/>
    <w:rsid w:val="03E3214F"/>
    <w:rsid w:val="044C50BA"/>
    <w:rsid w:val="05597069"/>
    <w:rsid w:val="05BC6D49"/>
    <w:rsid w:val="06194FF1"/>
    <w:rsid w:val="06A2550B"/>
    <w:rsid w:val="06F80EE2"/>
    <w:rsid w:val="07001CCA"/>
    <w:rsid w:val="07514923"/>
    <w:rsid w:val="075678DB"/>
    <w:rsid w:val="077A75A8"/>
    <w:rsid w:val="079D7CC7"/>
    <w:rsid w:val="07B45325"/>
    <w:rsid w:val="08051BCA"/>
    <w:rsid w:val="086C12F4"/>
    <w:rsid w:val="08705944"/>
    <w:rsid w:val="089233A6"/>
    <w:rsid w:val="08BA052C"/>
    <w:rsid w:val="08DB07BA"/>
    <w:rsid w:val="0969353F"/>
    <w:rsid w:val="098305D0"/>
    <w:rsid w:val="09A8516E"/>
    <w:rsid w:val="0A3317EA"/>
    <w:rsid w:val="0A5C4B69"/>
    <w:rsid w:val="0A86124A"/>
    <w:rsid w:val="0AB54CC0"/>
    <w:rsid w:val="0B9335CE"/>
    <w:rsid w:val="0BF2311A"/>
    <w:rsid w:val="0C7927C4"/>
    <w:rsid w:val="0C9B098C"/>
    <w:rsid w:val="0D027F21"/>
    <w:rsid w:val="0D673E11"/>
    <w:rsid w:val="0D7B3F41"/>
    <w:rsid w:val="0DDA54E4"/>
    <w:rsid w:val="0E3A5F83"/>
    <w:rsid w:val="0EA66477"/>
    <w:rsid w:val="0EEA27CC"/>
    <w:rsid w:val="0F836721"/>
    <w:rsid w:val="0FA25D96"/>
    <w:rsid w:val="100600CC"/>
    <w:rsid w:val="10644177"/>
    <w:rsid w:val="107B59E5"/>
    <w:rsid w:val="10EC0126"/>
    <w:rsid w:val="10F70B9A"/>
    <w:rsid w:val="111445C7"/>
    <w:rsid w:val="114278C6"/>
    <w:rsid w:val="1158083A"/>
    <w:rsid w:val="11643A4B"/>
    <w:rsid w:val="11ED0F98"/>
    <w:rsid w:val="11F03528"/>
    <w:rsid w:val="12C921C4"/>
    <w:rsid w:val="12DA5528"/>
    <w:rsid w:val="13871C70"/>
    <w:rsid w:val="13A71CB4"/>
    <w:rsid w:val="13AF1D43"/>
    <w:rsid w:val="13CE1647"/>
    <w:rsid w:val="13FD55AB"/>
    <w:rsid w:val="14200702"/>
    <w:rsid w:val="14B111C2"/>
    <w:rsid w:val="156B0E27"/>
    <w:rsid w:val="163A6CEE"/>
    <w:rsid w:val="173708E3"/>
    <w:rsid w:val="17C374FC"/>
    <w:rsid w:val="182E4AB6"/>
    <w:rsid w:val="189079DC"/>
    <w:rsid w:val="189B0D0B"/>
    <w:rsid w:val="18B43F7C"/>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5C60A2"/>
    <w:rsid w:val="1FBB35CD"/>
    <w:rsid w:val="1FCD26AF"/>
    <w:rsid w:val="204A305F"/>
    <w:rsid w:val="20642787"/>
    <w:rsid w:val="21556F04"/>
    <w:rsid w:val="21CB0B25"/>
    <w:rsid w:val="21F4210B"/>
    <w:rsid w:val="22403BD3"/>
    <w:rsid w:val="22550089"/>
    <w:rsid w:val="231E7655"/>
    <w:rsid w:val="24B92327"/>
    <w:rsid w:val="24C14514"/>
    <w:rsid w:val="24D31C9A"/>
    <w:rsid w:val="2533755C"/>
    <w:rsid w:val="25791755"/>
    <w:rsid w:val="25C512EE"/>
    <w:rsid w:val="26396DF4"/>
    <w:rsid w:val="27167136"/>
    <w:rsid w:val="271B442C"/>
    <w:rsid w:val="2782519F"/>
    <w:rsid w:val="27B23302"/>
    <w:rsid w:val="280E42CB"/>
    <w:rsid w:val="29310A5F"/>
    <w:rsid w:val="29C37A35"/>
    <w:rsid w:val="2A076083"/>
    <w:rsid w:val="2A73162E"/>
    <w:rsid w:val="2B167953"/>
    <w:rsid w:val="2B200583"/>
    <w:rsid w:val="2B8209DE"/>
    <w:rsid w:val="2C636760"/>
    <w:rsid w:val="2C6762A3"/>
    <w:rsid w:val="2D837918"/>
    <w:rsid w:val="2FCA4B37"/>
    <w:rsid w:val="2FE029D7"/>
    <w:rsid w:val="2FF06E00"/>
    <w:rsid w:val="30586FEC"/>
    <w:rsid w:val="315F0B22"/>
    <w:rsid w:val="31D84415"/>
    <w:rsid w:val="32285F6F"/>
    <w:rsid w:val="32770556"/>
    <w:rsid w:val="329C0913"/>
    <w:rsid w:val="32AA0460"/>
    <w:rsid w:val="3337290D"/>
    <w:rsid w:val="33E31118"/>
    <w:rsid w:val="33EF7674"/>
    <w:rsid w:val="342D7BC6"/>
    <w:rsid w:val="34CC159F"/>
    <w:rsid w:val="352930DB"/>
    <w:rsid w:val="35573069"/>
    <w:rsid w:val="355F6038"/>
    <w:rsid w:val="358C217E"/>
    <w:rsid w:val="36C9128A"/>
    <w:rsid w:val="36EE600A"/>
    <w:rsid w:val="37841E99"/>
    <w:rsid w:val="37BF1123"/>
    <w:rsid w:val="38237DA5"/>
    <w:rsid w:val="383C3F15"/>
    <w:rsid w:val="38BE4696"/>
    <w:rsid w:val="39093841"/>
    <w:rsid w:val="391B5C1F"/>
    <w:rsid w:val="391F0CC7"/>
    <w:rsid w:val="3939115E"/>
    <w:rsid w:val="39B82A39"/>
    <w:rsid w:val="39C42CA8"/>
    <w:rsid w:val="39DC4FD6"/>
    <w:rsid w:val="39F03D7A"/>
    <w:rsid w:val="39F33306"/>
    <w:rsid w:val="3A2C1C67"/>
    <w:rsid w:val="3ADD7F09"/>
    <w:rsid w:val="3B1705E5"/>
    <w:rsid w:val="3B18334B"/>
    <w:rsid w:val="3B36794F"/>
    <w:rsid w:val="3B6F6EE0"/>
    <w:rsid w:val="3BDD5577"/>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11B6CE5"/>
    <w:rsid w:val="412070D7"/>
    <w:rsid w:val="41314E40"/>
    <w:rsid w:val="41332A28"/>
    <w:rsid w:val="41E0734B"/>
    <w:rsid w:val="426C1EA8"/>
    <w:rsid w:val="42736402"/>
    <w:rsid w:val="42E86A87"/>
    <w:rsid w:val="43307B09"/>
    <w:rsid w:val="439A3EB9"/>
    <w:rsid w:val="43BB152F"/>
    <w:rsid w:val="44C37687"/>
    <w:rsid w:val="452A338A"/>
    <w:rsid w:val="45CB699A"/>
    <w:rsid w:val="465B470D"/>
    <w:rsid w:val="469D6AD4"/>
    <w:rsid w:val="46A50F20"/>
    <w:rsid w:val="46B94DE7"/>
    <w:rsid w:val="471E6C84"/>
    <w:rsid w:val="4748792B"/>
    <w:rsid w:val="475D719D"/>
    <w:rsid w:val="4764244D"/>
    <w:rsid w:val="47674801"/>
    <w:rsid w:val="47EC6888"/>
    <w:rsid w:val="48225EF7"/>
    <w:rsid w:val="488F422B"/>
    <w:rsid w:val="48976405"/>
    <w:rsid w:val="48E36915"/>
    <w:rsid w:val="48EB6572"/>
    <w:rsid w:val="495C4A24"/>
    <w:rsid w:val="497135DF"/>
    <w:rsid w:val="4A263DF2"/>
    <w:rsid w:val="4A4459E4"/>
    <w:rsid w:val="4A6F6675"/>
    <w:rsid w:val="4B135857"/>
    <w:rsid w:val="4B331DCB"/>
    <w:rsid w:val="4B7951CB"/>
    <w:rsid w:val="4B7C315C"/>
    <w:rsid w:val="4D351A63"/>
    <w:rsid w:val="4DAC4ACA"/>
    <w:rsid w:val="4DBE01D2"/>
    <w:rsid w:val="4F0C6BA3"/>
    <w:rsid w:val="4F186D58"/>
    <w:rsid w:val="4F1D277D"/>
    <w:rsid w:val="4F8D6533"/>
    <w:rsid w:val="4F997D1E"/>
    <w:rsid w:val="50F06B6E"/>
    <w:rsid w:val="5191721E"/>
    <w:rsid w:val="519538BE"/>
    <w:rsid w:val="51D21804"/>
    <w:rsid w:val="52234D33"/>
    <w:rsid w:val="522F6E0C"/>
    <w:rsid w:val="52463BA1"/>
    <w:rsid w:val="52F163D4"/>
    <w:rsid w:val="531A2DB4"/>
    <w:rsid w:val="53C0244D"/>
    <w:rsid w:val="53DD4D4E"/>
    <w:rsid w:val="53E578CE"/>
    <w:rsid w:val="53F5321D"/>
    <w:rsid w:val="541330F0"/>
    <w:rsid w:val="54272666"/>
    <w:rsid w:val="543B029D"/>
    <w:rsid w:val="54861779"/>
    <w:rsid w:val="551617DF"/>
    <w:rsid w:val="552256E1"/>
    <w:rsid w:val="554E5773"/>
    <w:rsid w:val="555829E0"/>
    <w:rsid w:val="555A3CBC"/>
    <w:rsid w:val="5582012B"/>
    <w:rsid w:val="558E4E05"/>
    <w:rsid w:val="55BE2E85"/>
    <w:rsid w:val="56157D10"/>
    <w:rsid w:val="56530F5D"/>
    <w:rsid w:val="567700D3"/>
    <w:rsid w:val="56B46B91"/>
    <w:rsid w:val="56FF7E9E"/>
    <w:rsid w:val="578867FC"/>
    <w:rsid w:val="5842572D"/>
    <w:rsid w:val="585360E1"/>
    <w:rsid w:val="5A323A5F"/>
    <w:rsid w:val="5A331B2C"/>
    <w:rsid w:val="5A3B59D6"/>
    <w:rsid w:val="5A9F0126"/>
    <w:rsid w:val="5AD134D8"/>
    <w:rsid w:val="5BCA3CE9"/>
    <w:rsid w:val="5C263CE4"/>
    <w:rsid w:val="5C5D2777"/>
    <w:rsid w:val="5CD84334"/>
    <w:rsid w:val="5CF66BF3"/>
    <w:rsid w:val="5D290C69"/>
    <w:rsid w:val="5D373451"/>
    <w:rsid w:val="5DE620BA"/>
    <w:rsid w:val="5F2D4A41"/>
    <w:rsid w:val="602075FA"/>
    <w:rsid w:val="60C74F6C"/>
    <w:rsid w:val="61025A59"/>
    <w:rsid w:val="61376A34"/>
    <w:rsid w:val="613D5BBC"/>
    <w:rsid w:val="61536C39"/>
    <w:rsid w:val="627E30D3"/>
    <w:rsid w:val="62944DD7"/>
    <w:rsid w:val="62F00A9C"/>
    <w:rsid w:val="6319381F"/>
    <w:rsid w:val="63C25DC5"/>
    <w:rsid w:val="63C62057"/>
    <w:rsid w:val="64571EF5"/>
    <w:rsid w:val="64FB113D"/>
    <w:rsid w:val="656152C6"/>
    <w:rsid w:val="6587477F"/>
    <w:rsid w:val="658C3A08"/>
    <w:rsid w:val="65C031CA"/>
    <w:rsid w:val="65CE6852"/>
    <w:rsid w:val="66156778"/>
    <w:rsid w:val="66267C04"/>
    <w:rsid w:val="663F505A"/>
    <w:rsid w:val="66D163F6"/>
    <w:rsid w:val="66EE5541"/>
    <w:rsid w:val="67924660"/>
    <w:rsid w:val="68407834"/>
    <w:rsid w:val="6883293E"/>
    <w:rsid w:val="688412AD"/>
    <w:rsid w:val="68EB1B71"/>
    <w:rsid w:val="6A387036"/>
    <w:rsid w:val="6A6C7940"/>
    <w:rsid w:val="6AAD2300"/>
    <w:rsid w:val="6B2234EA"/>
    <w:rsid w:val="6B474EF5"/>
    <w:rsid w:val="6BAE16F1"/>
    <w:rsid w:val="6C0A5AC5"/>
    <w:rsid w:val="6C560CAE"/>
    <w:rsid w:val="6C576495"/>
    <w:rsid w:val="6D8543B3"/>
    <w:rsid w:val="6D903FF5"/>
    <w:rsid w:val="6DA955B8"/>
    <w:rsid w:val="6DE346AB"/>
    <w:rsid w:val="6DE5391A"/>
    <w:rsid w:val="6EFD1324"/>
    <w:rsid w:val="6F4431BC"/>
    <w:rsid w:val="6F5A53AC"/>
    <w:rsid w:val="6FAC003D"/>
    <w:rsid w:val="6FE55E12"/>
    <w:rsid w:val="6FFB2E76"/>
    <w:rsid w:val="708F6F7F"/>
    <w:rsid w:val="70D94BD3"/>
    <w:rsid w:val="71C34D91"/>
    <w:rsid w:val="72DB435C"/>
    <w:rsid w:val="72E2613A"/>
    <w:rsid w:val="72F771F4"/>
    <w:rsid w:val="73934AD2"/>
    <w:rsid w:val="750837F0"/>
    <w:rsid w:val="754758CF"/>
    <w:rsid w:val="7637788A"/>
    <w:rsid w:val="764F62AB"/>
    <w:rsid w:val="765C45EC"/>
    <w:rsid w:val="768A7619"/>
    <w:rsid w:val="772E1EBA"/>
    <w:rsid w:val="781926BC"/>
    <w:rsid w:val="796D60A4"/>
    <w:rsid w:val="79A031D5"/>
    <w:rsid w:val="7A1525F7"/>
    <w:rsid w:val="7A75446A"/>
    <w:rsid w:val="7B420052"/>
    <w:rsid w:val="7BD06A28"/>
    <w:rsid w:val="7C3A7C0B"/>
    <w:rsid w:val="7C5248E4"/>
    <w:rsid w:val="7C566698"/>
    <w:rsid w:val="7C5866A3"/>
    <w:rsid w:val="7D2C1115"/>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4001</Words>
  <Characters>22811</Characters>
  <Lines>190</Lines>
  <Paragraphs>53</Paragraphs>
  <TotalTime>1</TotalTime>
  <ScaleCrop>false</ScaleCrop>
  <LinksUpToDate>false</LinksUpToDate>
  <CharactersWithSpaces>26759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2024-09-23T05:33:53Z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