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sz w:val="40"/>
          <w:szCs w:val="40"/>
          <w:lang w:eastAsia="zh-CN"/>
        </w:rPr>
      </w:pPr>
      <w:r>
        <w:rPr>
          <w:rFonts w:hint="eastAsia" w:ascii="Times New Roman" w:hAnsi="Times New Roman" w:eastAsia="方正小标宋_GBK" w:cs="Times New Roman"/>
          <w:sz w:val="40"/>
          <w:szCs w:val="40"/>
          <w:lang w:eastAsia="zh-CN"/>
        </w:rPr>
        <w:t>重庆市</w:t>
      </w:r>
      <w:r>
        <w:rPr>
          <w:rFonts w:hint="default" w:ascii="Times New Roman" w:hAnsi="Times New Roman" w:eastAsia="方正小标宋_GBK" w:cs="Times New Roman"/>
          <w:sz w:val="40"/>
          <w:szCs w:val="40"/>
          <w:lang w:eastAsia="zh-CN"/>
        </w:rPr>
        <w:t>秀山土家族苗族自治县岑溪乡卫生院2023年度决算公开说明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both"/>
        <w:textAlignment w:val="auto"/>
        <w:rPr>
          <w:rStyle w:val="11"/>
          <w:rFonts w:hint="default" w:ascii="Times New Roman" w:hAnsi="Times New Roman" w:eastAsia="方正黑体_GBK" w:cs="Times New Roman"/>
          <w:b w:val="0"/>
          <w:bCs/>
          <w:sz w:val="32"/>
          <w:szCs w:val="32"/>
          <w:shd w:val="clear" w:color="auto" w:fill="FFFFFF"/>
        </w:rPr>
      </w:pPr>
      <w:bookmarkStart w:id="0" w:name="_GoBack"/>
      <w:bookmarkEnd w:id="0"/>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（一）职能职责</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1.根据国家和本市规定收集、报送辖区内卫生健康信息,建立和管理居民健康档案，提出改进辖区公共卫生状况的建议;</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2.开展健康教育，普及健康知识；</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3.协助开展传染病以及地方病、寄生虫病的预防控制， 配合开展爱国卫生工作；</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4.做好高危人群、重点慢性病患者的筛查和病例管理；</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5.提供心理健康指导服务，实施精神病社区管理；</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6.为妇女、儿童、老年人、残疾人等重点人群提供保健和康复服务；</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7.提供计划生育技术服务，协助处置辖区内突发公共卫生事件等；</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8.按要求提供其他公共卫生服务。</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本单</w:t>
      </w:r>
      <w:r>
        <w:rPr>
          <w:rFonts w:hint="eastAsia" w:ascii="Times New Roman" w:hAnsi="Times New Roman" w:eastAsia="方正仿宋_GBK" w:cs="Times New Roman"/>
          <w:kern w:val="0"/>
          <w:sz w:val="32"/>
          <w:szCs w:val="32"/>
          <w:lang w:val="en-US" w:eastAsia="zh-CN"/>
        </w:rPr>
        <w:t>位为秀山县</w:t>
      </w:r>
      <w:r>
        <w:rPr>
          <w:rFonts w:hint="default" w:ascii="Times New Roman" w:hAnsi="Times New Roman" w:eastAsia="方正仿宋_GBK" w:cs="Times New Roman"/>
          <w:kern w:val="0"/>
          <w:sz w:val="32"/>
          <w:szCs w:val="32"/>
          <w:lang w:val="en-US" w:eastAsia="zh-CN"/>
        </w:rPr>
        <w:t>卫生健康委员会二级预算单位，内</w:t>
      </w:r>
      <w:r>
        <w:rPr>
          <w:rFonts w:hint="default" w:ascii="Times New Roman" w:hAnsi="Times New Roman" w:eastAsia="方正仿宋_GBK" w:cs="Times New Roman"/>
          <w:kern w:val="0"/>
          <w:sz w:val="32"/>
          <w:szCs w:val="32"/>
        </w:rPr>
        <w:t>设</w:t>
      </w:r>
      <w:r>
        <w:rPr>
          <w:rFonts w:hint="default" w:ascii="Times New Roman" w:hAnsi="Times New Roman" w:eastAsia="方正仿宋_GBK" w:cs="Times New Roman"/>
          <w:kern w:val="0"/>
          <w:sz w:val="32"/>
          <w:szCs w:val="32"/>
          <w:lang w:val="en-US" w:eastAsia="zh-CN"/>
        </w:rPr>
        <w:t>临床综合科、中医理疗科等临床科室，以及心电图、检验、B超等功能科室和妇幼保健、预防接种等公共卫生服务科室</w:t>
      </w:r>
      <w:r>
        <w:rPr>
          <w:rFonts w:hint="default" w:ascii="Times New Roman" w:hAnsi="Times New Roman" w:eastAsia="方正仿宋_GBK" w:cs="Times New Roman"/>
          <w:kern w:val="0"/>
          <w:sz w:val="32"/>
          <w:szCs w:val="32"/>
        </w:rPr>
        <w:t>。</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黑体_GBK" w:cs="Times New Roman"/>
          <w:b w:val="0"/>
          <w:bCs/>
          <w:kern w:val="0"/>
          <w:sz w:val="32"/>
          <w:szCs w:val="32"/>
          <w:shd w:val="clear" w:color="auto" w:fill="FFFFFF"/>
          <w:lang w:val="en-US" w:eastAsia="zh-CN" w:bidi="ar-SA"/>
        </w:rPr>
        <w:t>二、单位决算情况说明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（一）收入支出决算总体情况说明</w:t>
      </w:r>
    </w:p>
    <w:p>
      <w:pPr>
        <w:pStyle w:val="19"/>
        <w:keepNext w:val="0"/>
        <w:keepLines w:val="0"/>
        <w:pageBreakBefore w:val="0"/>
        <w:widowControl w:val="0"/>
        <w:suppressLineNumbers w:val="0"/>
        <w:kinsoku/>
        <w:wordWrap/>
        <w:overflowPunct/>
        <w:topLinePunct w:val="0"/>
        <w:autoSpaceDE w:val="0"/>
        <w:autoSpaceDN/>
        <w:bidi w:val="0"/>
        <w:adjustRightInd/>
        <w:spacing w:line="560" w:lineRule="exact"/>
        <w:ind w:left="0" w:firstLine="643" w:firstLineChars="200"/>
        <w:jc w:val="both"/>
        <w:textAlignment w:val="auto"/>
        <w:rPr>
          <w:rFonts w:hint="default" w:ascii="Times New Roman" w:hAnsi="Times New Roman" w:eastAsia="方正仿宋_GBK" w:cs="Times New Roman"/>
          <w:kern w:val="0"/>
          <w:sz w:val="32"/>
          <w:szCs w:val="32"/>
          <w:lang w:val="en-US" w:eastAsia="zh-CN" w:bidi="ar"/>
        </w:rPr>
      </w:pPr>
      <w:r>
        <w:rPr>
          <w:rStyle w:val="11"/>
          <w:rFonts w:hint="default" w:ascii="Times New Roman" w:hAnsi="Times New Roman" w:eastAsia="方正仿宋_GBK" w:cs="Times New Roman"/>
          <w:sz w:val="32"/>
          <w:szCs w:val="32"/>
          <w:shd w:val="clear" w:color="auto" w:fill="FFFFFF"/>
        </w:rPr>
        <w:t>1.总体情况。</w:t>
      </w:r>
      <w:r>
        <w:rPr>
          <w:rFonts w:hint="default" w:ascii="Times New Roman" w:hAnsi="Times New Roman" w:eastAsia="方正仿宋_GBK" w:cs="Times New Roman"/>
          <w:sz w:val="32"/>
          <w:szCs w:val="32"/>
          <w:shd w:val="clear" w:color="auto" w:fill="FFFFFF"/>
        </w:rPr>
        <w:t>2</w:t>
      </w:r>
      <w:r>
        <w:rPr>
          <w:rFonts w:hint="default" w:ascii="Times New Roman" w:hAnsi="Times New Roman" w:eastAsia="方正仿宋_GBK" w:cs="Times New Roman"/>
          <w:kern w:val="0"/>
          <w:sz w:val="32"/>
          <w:szCs w:val="32"/>
          <w:lang w:val="en-US" w:eastAsia="zh-CN" w:bidi="ar"/>
        </w:rPr>
        <w:t>023年度收入总计258.92万元，支出总计258.92万元。收支较上年决算数增加90.45万元，增长53.69%，主要原因是4月份单位独立运行后业务收入及财政拨款增加，</w:t>
      </w:r>
      <w:r>
        <w:rPr>
          <w:rFonts w:hint="default" w:ascii="Times New Roman" w:hAnsi="Times New Roman" w:eastAsia="方正仿宋_GBK" w:cs="Times New Roman"/>
          <w:kern w:val="0"/>
          <w:sz w:val="32"/>
          <w:szCs w:val="32"/>
        </w:rPr>
        <w:t>同时院内人员支出、医疗支出等相应</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2023年度收入合计258.92万元，较上年决算数增加108.12万元，增长71.70%，主要原因</w:t>
      </w:r>
      <w:r>
        <w:rPr>
          <w:rFonts w:hint="default" w:ascii="Times New Roman" w:hAnsi="Times New Roman" w:eastAsia="方正仿宋_GBK" w:cs="Times New Roman"/>
          <w:kern w:val="0"/>
          <w:sz w:val="32"/>
          <w:szCs w:val="32"/>
        </w:rPr>
        <w:t>是事业收入及财政拨款</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162.13</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62.62</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56.84</w:t>
      </w:r>
      <w:r>
        <w:rPr>
          <w:rFonts w:hint="default" w:ascii="Times New Roman" w:hAnsi="Times New Roman" w:eastAsia="方正仿宋_GBK" w:cs="Times New Roman"/>
          <w:sz w:val="32"/>
          <w:szCs w:val="32"/>
          <w:shd w:val="clear" w:color="auto" w:fill="FFFFFF"/>
        </w:rPr>
        <w:t>万元，占21.95%；经营收入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39.95</w:t>
      </w:r>
      <w:r>
        <w:rPr>
          <w:rFonts w:hint="default" w:ascii="Times New Roman" w:hAnsi="Times New Roman" w:eastAsia="方正仿宋_GBK" w:cs="Times New Roman"/>
          <w:sz w:val="32"/>
          <w:szCs w:val="32"/>
          <w:shd w:val="clear" w:color="auto" w:fill="FFFFFF"/>
        </w:rPr>
        <w:t>万元，占15.43%。此外，使用非财政拨款结余和专用结余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19"/>
        <w:keepNext w:val="0"/>
        <w:keepLines w:val="0"/>
        <w:pageBreakBefore w:val="0"/>
        <w:widowControl w:val="0"/>
        <w:suppressLineNumbers w:val="0"/>
        <w:kinsoku/>
        <w:wordWrap/>
        <w:overflowPunct/>
        <w:topLinePunct w:val="0"/>
        <w:autoSpaceDE w:val="0"/>
        <w:autoSpaceDN/>
        <w:bidi w:val="0"/>
        <w:adjustRightInd/>
        <w:spacing w:line="560" w:lineRule="exact"/>
        <w:ind w:left="0" w:firstLine="643"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246.60</w:t>
      </w:r>
      <w:r>
        <w:rPr>
          <w:rFonts w:hint="default" w:ascii="Times New Roman" w:hAnsi="Times New Roman" w:eastAsia="方正仿宋_GBK" w:cs="Times New Roman"/>
          <w:sz w:val="32"/>
          <w:szCs w:val="32"/>
          <w:shd w:val="clear" w:color="auto" w:fill="FFFFFF"/>
        </w:rPr>
        <w:t>万元，较上年决算数增加78.13万元，增长46.38%，主要原因是</w:t>
      </w:r>
      <w:r>
        <w:rPr>
          <w:rFonts w:hint="default" w:ascii="Times New Roman" w:hAnsi="Times New Roman" w:eastAsia="方正仿宋_GBK" w:cs="Times New Roman"/>
          <w:kern w:val="0"/>
          <w:sz w:val="32"/>
          <w:szCs w:val="32"/>
          <w:lang w:val="en-US" w:eastAsia="zh-CN" w:bidi="ar"/>
        </w:rPr>
        <w:t>4月份单位独立运行后业务收入及财政拨款增加，</w:t>
      </w:r>
      <w:r>
        <w:rPr>
          <w:rFonts w:hint="default" w:ascii="Times New Roman" w:hAnsi="Times New Roman" w:eastAsia="方正仿宋_GBK" w:cs="Times New Roman"/>
          <w:kern w:val="0"/>
          <w:sz w:val="32"/>
          <w:szCs w:val="32"/>
        </w:rPr>
        <w:t>同时院内人员支出、医疗支出等相应</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235.02</w:t>
      </w:r>
      <w:r>
        <w:rPr>
          <w:rFonts w:hint="default" w:ascii="Times New Roman" w:hAnsi="Times New Roman" w:eastAsia="方正仿宋_GBK" w:cs="Times New Roman"/>
          <w:sz w:val="32"/>
          <w:szCs w:val="32"/>
          <w:shd w:val="clear" w:color="auto" w:fill="FFFFFF"/>
        </w:rPr>
        <w:t>万元，占95.30%；项目支出</w:t>
      </w:r>
      <w:r>
        <w:rPr>
          <w:rFonts w:hint="default" w:ascii="Times New Roman" w:hAnsi="Times New Roman" w:eastAsia="方正仿宋_GBK" w:cs="Times New Roman"/>
          <w:sz w:val="32"/>
          <w:szCs w:val="32"/>
        </w:rPr>
        <w:t>11.58</w:t>
      </w:r>
      <w:r>
        <w:rPr>
          <w:rFonts w:hint="default" w:ascii="Times New Roman" w:hAnsi="Times New Roman" w:eastAsia="方正仿宋_GBK" w:cs="Times New Roman"/>
          <w:sz w:val="32"/>
          <w:szCs w:val="32"/>
          <w:shd w:val="clear" w:color="auto" w:fill="FFFFFF"/>
        </w:rPr>
        <w:t>万元，占4.70%；经营支出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lang w:val="en-US" w:eastAsia="zh-CN"/>
        </w:rPr>
      </w:pPr>
      <w:r>
        <w:rPr>
          <w:rStyle w:val="11"/>
          <w:rFonts w:hint="default" w:ascii="Times New Roman" w:hAnsi="Times New Roman" w:eastAsia="方正仿宋_GBK" w:cs="Times New Roman"/>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12.32</w:t>
      </w:r>
      <w:r>
        <w:rPr>
          <w:rFonts w:hint="default" w:ascii="Times New Roman" w:hAnsi="Times New Roman" w:eastAsia="方正仿宋_GBK" w:cs="Times New Roman"/>
          <w:sz w:val="32"/>
          <w:szCs w:val="32"/>
          <w:shd w:val="clear" w:color="auto" w:fill="FFFFFF"/>
        </w:rPr>
        <w:t>万元，较上年决算数增加12.32万元，增长100.00%，主要原因是</w:t>
      </w:r>
      <w:r>
        <w:rPr>
          <w:rFonts w:hint="eastAsia" w:ascii="Times New Roman" w:hAnsi="Times New Roman" w:eastAsia="方正仿宋_GBK" w:cs="Times New Roman"/>
          <w:sz w:val="32"/>
          <w:szCs w:val="32"/>
          <w:shd w:val="clear" w:color="auto" w:fill="FFFFFF"/>
          <w:lang w:val="en-US" w:eastAsia="zh-CN"/>
        </w:rPr>
        <w:t>2022年绩效清算拨款及医疗收支结余</w:t>
      </w:r>
      <w:r>
        <w:rPr>
          <w:rFonts w:hint="default" w:ascii="Times New Roman" w:hAnsi="Times New Roman" w:eastAsia="方正仿宋_GBK" w:cs="Times New Roman"/>
          <w:sz w:val="32"/>
          <w:szCs w:val="32"/>
          <w:shd w:val="clear" w:color="auto" w:fill="FFFFFF"/>
          <w:lang w:val="en-US" w:eastAsia="zh-CN"/>
        </w:rPr>
        <w:t>，而上年度无结余。</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（二）财政拨款收入支出决算总体情况说明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shd w:val="clear" w:color="auto" w:fill="FFFFFF"/>
        </w:rPr>
        <w:t>2023年度财政拨款收、支总计162.13万元。与2022年相比，财政拨款收、支总计各增加58.98万元，增长57.18%。主要原因是</w:t>
      </w:r>
      <w:r>
        <w:rPr>
          <w:rFonts w:hint="default" w:ascii="Times New Roman" w:hAnsi="Times New Roman" w:eastAsia="方正仿宋_GBK" w:cs="Times New Roman"/>
          <w:kern w:val="0"/>
          <w:sz w:val="32"/>
          <w:szCs w:val="32"/>
          <w:lang w:val="en-US" w:eastAsia="zh-CN" w:bidi="ar"/>
        </w:rPr>
        <w:t>单位独立运行后财政拨款增加以及增加了公共卫生拨款。</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（三）一般公共预算财政拨款收入支出决算情况说明</w:t>
      </w:r>
    </w:p>
    <w:p>
      <w:pPr>
        <w:pStyle w:val="19"/>
        <w:keepNext w:val="0"/>
        <w:keepLines w:val="0"/>
        <w:pageBreakBefore w:val="0"/>
        <w:widowControl w:val="0"/>
        <w:suppressLineNumbers w:val="0"/>
        <w:kinsoku/>
        <w:wordWrap/>
        <w:overflowPunct/>
        <w:topLinePunct w:val="0"/>
        <w:autoSpaceDE w:val="0"/>
        <w:autoSpaceDN/>
        <w:bidi w:val="0"/>
        <w:adjustRightInd/>
        <w:spacing w:line="560" w:lineRule="exact"/>
        <w:ind w:left="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162.13</w:t>
      </w:r>
      <w:r>
        <w:rPr>
          <w:rFonts w:hint="default" w:ascii="Times New Roman" w:hAnsi="Times New Roman" w:eastAsia="方正仿宋_GBK" w:cs="Times New Roman"/>
          <w:sz w:val="32"/>
          <w:szCs w:val="32"/>
          <w:shd w:val="clear" w:color="auto" w:fill="FFFFFF"/>
        </w:rPr>
        <w:t>万元，较上年决算数增加58.98万元，增长57.18%。主要原因是</w:t>
      </w:r>
      <w:r>
        <w:rPr>
          <w:rFonts w:hint="default" w:ascii="Times New Roman" w:hAnsi="Times New Roman" w:eastAsia="方正仿宋_GBK" w:cs="Times New Roman"/>
          <w:sz w:val="32"/>
          <w:szCs w:val="32"/>
          <w:shd w:val="clear" w:color="auto" w:fill="FFFFFF"/>
          <w:lang w:val="en-US" w:eastAsia="zh-CN"/>
        </w:rPr>
        <w:t>人员经费增加及</w:t>
      </w:r>
      <w:r>
        <w:rPr>
          <w:rFonts w:hint="default" w:ascii="Times New Roman" w:hAnsi="Times New Roman" w:eastAsia="方正仿宋_GBK" w:cs="Times New Roman"/>
          <w:kern w:val="0"/>
          <w:sz w:val="32"/>
          <w:szCs w:val="32"/>
        </w:rPr>
        <w:t>公共卫生预算拨款</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shd w:val="clear" w:color="auto" w:fill="FFFFFF"/>
        </w:rPr>
        <w:t>较年初预算数增加53.53万元，增长49.29%。主要原因是</w:t>
      </w:r>
      <w:r>
        <w:rPr>
          <w:rFonts w:hint="default" w:ascii="Times New Roman" w:hAnsi="Times New Roman" w:eastAsia="方正仿宋_GBK" w:cs="Times New Roman"/>
          <w:kern w:val="0"/>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19"/>
        <w:keepNext w:val="0"/>
        <w:keepLines w:val="0"/>
        <w:pageBreakBefore w:val="0"/>
        <w:widowControl w:val="0"/>
        <w:suppressLineNumbers w:val="0"/>
        <w:kinsoku/>
        <w:wordWrap/>
        <w:overflowPunct/>
        <w:topLinePunct w:val="0"/>
        <w:autoSpaceDE w:val="0"/>
        <w:autoSpaceDN/>
        <w:bidi w:val="0"/>
        <w:adjustRightInd/>
        <w:spacing w:line="560" w:lineRule="exact"/>
        <w:ind w:left="0" w:firstLine="643"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Style w:val="11"/>
          <w:rFonts w:hint="default" w:ascii="Times New Roman" w:hAnsi="Times New Roman" w:eastAsia="方正仿宋_GBK" w:cs="Times New Roman"/>
          <w:sz w:val="32"/>
          <w:szCs w:val="32"/>
          <w:shd w:val="clear" w:color="auto" w:fill="FFFFFF"/>
        </w:rPr>
        <w:t>2.支出情况。</w:t>
      </w:r>
      <w:r>
        <w:rPr>
          <w:rFonts w:hint="default" w:ascii="Times New Roman" w:hAnsi="Times New Roman" w:eastAsia="方正仿宋_GBK" w:cs="Times New Roman"/>
          <w:sz w:val="32"/>
          <w:szCs w:val="32"/>
          <w:shd w:val="clear" w:color="auto" w:fill="FFFFFF"/>
        </w:rPr>
        <w:t>2</w:t>
      </w:r>
      <w:r>
        <w:rPr>
          <w:rFonts w:hint="default" w:ascii="Times New Roman" w:hAnsi="Times New Roman" w:eastAsia="方正仿宋_GBK" w:cs="Times New Roman"/>
          <w:sz w:val="32"/>
          <w:szCs w:val="32"/>
          <w:shd w:val="clear" w:color="auto" w:fill="FFFFFF"/>
          <w:lang w:val="en-US" w:eastAsia="zh-CN"/>
        </w:rPr>
        <w:t>023年度一般公共预算财政拨款支出154.75万元，较上年决算数增加51.60万元，增长50.02%。主要原因是今年公卫支出及人员经费支出增加。较年初预算数增加46.15万元，增长42.50%。主要原因是年初预算主要是根据单位情况预估核算，实际财政拨款收入由财政根据资金分配情况统一安排拨款，因此财政拨款支出与年初预算有相应差异。</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lang w:val="en-US"/>
        </w:rPr>
      </w:pPr>
      <w:r>
        <w:rPr>
          <w:rStyle w:val="11"/>
          <w:rFonts w:hint="default" w:ascii="Times New Roman" w:hAnsi="Times New Roman" w:eastAsia="方正仿宋_GBK" w:cs="Times New Roman"/>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7.38</w:t>
      </w:r>
      <w:r>
        <w:rPr>
          <w:rFonts w:hint="default" w:ascii="Times New Roman" w:hAnsi="Times New Roman" w:eastAsia="方正仿宋_GBK" w:cs="Times New Roman"/>
          <w:sz w:val="32"/>
          <w:szCs w:val="32"/>
          <w:shd w:val="clear" w:color="auto" w:fill="FFFFFF"/>
        </w:rPr>
        <w:t>万元，较上年决算数增加7.38万元，增长100.00%，</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结转的2022年超额绩效清算按原用途发放职工</w:t>
      </w:r>
      <w:r>
        <w:rPr>
          <w:rFonts w:hint="default" w:ascii="Times New Roman" w:hAnsi="Times New Roman" w:eastAsia="方正仿宋_GBK" w:cs="Times New Roman"/>
          <w:sz w:val="32"/>
          <w:szCs w:val="32"/>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4.比较情况。</w:t>
      </w:r>
      <w:r>
        <w:rPr>
          <w:rFonts w:hint="default" w:ascii="Times New Roman" w:hAnsi="Times New Roman" w:eastAsia="方正仿宋_GBK" w:cs="Times New Roman"/>
          <w:sz w:val="32"/>
          <w:szCs w:val="32"/>
          <w:shd w:val="clear" w:color="auto" w:fill="FFFFFF"/>
        </w:rPr>
        <w:t>本单位2023年度一般公共预算财政拨款支出主要用于以下几个方面：</w:t>
      </w:r>
    </w:p>
    <w:p>
      <w:pPr>
        <w:pStyle w:val="19"/>
        <w:keepNext w:val="0"/>
        <w:keepLines w:val="0"/>
        <w:pageBreakBefore w:val="0"/>
        <w:widowControl w:val="0"/>
        <w:suppressLineNumbers w:val="0"/>
        <w:kinsoku/>
        <w:wordWrap/>
        <w:overflowPunct/>
        <w:topLinePunct w:val="0"/>
        <w:autoSpaceDE w:val="0"/>
        <w:autoSpaceDN/>
        <w:bidi w:val="0"/>
        <w:adjustRightInd/>
        <w:spacing w:line="560" w:lineRule="exact"/>
        <w:ind w:left="0" w:firstLine="640" w:firstLineChars="200"/>
        <w:jc w:val="both"/>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12.51</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8.08</w:t>
      </w:r>
      <w:r>
        <w:rPr>
          <w:rFonts w:hint="default" w:ascii="Times New Roman" w:hAnsi="Times New Roman" w:eastAsia="方正仿宋_GBK" w:cs="Times New Roman"/>
          <w:sz w:val="32"/>
          <w:szCs w:val="32"/>
          <w:shd w:val="clear" w:color="auto" w:fill="FFFFFF"/>
        </w:rPr>
        <w:t>%，较年初预算数减少6.58万元，下降34.47%，主要原因是</w:t>
      </w:r>
      <w:r>
        <w:rPr>
          <w:rFonts w:hint="default" w:ascii="Times New Roman" w:hAnsi="Times New Roman" w:eastAsia="方正仿宋_GBK" w:cs="Times New Roman"/>
          <w:kern w:val="0"/>
          <w:sz w:val="32"/>
          <w:szCs w:val="32"/>
        </w:rPr>
        <w:t>年初预算是根据单位情况预估核算，实际财政拨款收入由财政根据资金分配情况统一安排拨款，因此财政拨款支出与年初预算有相应差异。</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137.58</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88.91</w:t>
      </w:r>
      <w:r>
        <w:rPr>
          <w:rFonts w:hint="default" w:ascii="Times New Roman" w:hAnsi="Times New Roman" w:eastAsia="方正仿宋_GBK" w:cs="Times New Roman"/>
          <w:sz w:val="32"/>
          <w:szCs w:val="32"/>
          <w:shd w:val="clear" w:color="auto" w:fill="FFFFFF"/>
        </w:rPr>
        <w:t>%，较年初预算数增加56.14万元，增长68.93%，主要原因</w:t>
      </w:r>
      <w:r>
        <w:rPr>
          <w:rFonts w:hint="default" w:ascii="Times New Roman" w:hAnsi="Times New Roman" w:eastAsia="仿宋_GB2312" w:cs="Times New Roman"/>
          <w:sz w:val="32"/>
          <w:szCs w:val="32"/>
          <w:lang w:eastAsia="zh-CN"/>
        </w:rPr>
        <w:t>公卫支出</w:t>
      </w:r>
      <w:r>
        <w:rPr>
          <w:rFonts w:hint="default" w:ascii="Times New Roman" w:hAnsi="Times New Roman" w:eastAsia="仿宋_GB2312" w:cs="Times New Roman"/>
          <w:sz w:val="32"/>
          <w:szCs w:val="32"/>
          <w:lang w:val="en-US" w:eastAsia="zh-CN"/>
        </w:rPr>
        <w:t>及人员经费支出增加。</w:t>
      </w:r>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住房保障支出4.65</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3.01</w:t>
      </w:r>
      <w:r>
        <w:rPr>
          <w:rFonts w:hint="default" w:ascii="Times New Roman" w:hAnsi="Times New Roman" w:eastAsia="方正仿宋_GBK" w:cs="Times New Roman"/>
          <w:sz w:val="32"/>
          <w:szCs w:val="32"/>
          <w:shd w:val="clear" w:color="auto" w:fill="FFFFFF"/>
        </w:rPr>
        <w:t>%，较年初预算数减少3.42万元，下降42.38%，主要原因是</w:t>
      </w:r>
      <w:r>
        <w:rPr>
          <w:rFonts w:hint="default" w:ascii="Times New Roman" w:hAnsi="Times New Roman" w:eastAsia="方正仿宋_GBK" w:cs="Times New Roman"/>
          <w:kern w:val="0"/>
          <w:sz w:val="32"/>
          <w:szCs w:val="32"/>
        </w:rPr>
        <w:t>年初预算是根据单位情况预估核算，实际财政拨款收入由财政根据资金分配情况统一安排拨款，因此财政拨款支出与年初预算有相应差异。</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（四）一般公共预算财政拨款基本支出决算情况说明</w:t>
      </w:r>
    </w:p>
    <w:p>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143.17</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134.33</w:t>
      </w:r>
      <w:r>
        <w:rPr>
          <w:rFonts w:hint="default" w:ascii="Times New Roman" w:hAnsi="Times New Roman" w:eastAsia="方正仿宋_GBK" w:cs="Times New Roman"/>
          <w:sz w:val="32"/>
          <w:szCs w:val="32"/>
          <w:shd w:val="clear" w:color="auto" w:fill="FFFFFF"/>
        </w:rPr>
        <w:t>万元，较上年决算数增加41.10万元，增长44.08%，</w:t>
      </w:r>
      <w:r>
        <w:rPr>
          <w:rFonts w:hint="default" w:ascii="Times New Roman" w:hAnsi="Times New Roman" w:eastAsia="方正仿宋_GBK" w:cs="Times New Roman"/>
          <w:kern w:val="0"/>
          <w:sz w:val="32"/>
          <w:szCs w:val="32"/>
        </w:rPr>
        <w:t>主要原因是公共卫生拨款</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，因此相应人员经费</w:t>
      </w:r>
      <w:r>
        <w:rPr>
          <w:rFonts w:hint="default" w:ascii="Times New Roman" w:hAnsi="Times New Roman" w:eastAsia="方正仿宋_GBK" w:cs="Times New Roman"/>
          <w:kern w:val="0"/>
          <w:sz w:val="32"/>
          <w:szCs w:val="32"/>
          <w:lang w:val="en-US" w:eastAsia="zh-CN"/>
        </w:rPr>
        <w:t>增加</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kern w:val="0"/>
          <w:sz w:val="32"/>
          <w:szCs w:val="32"/>
        </w:rPr>
        <w:t>人员社会保障、工资、绩效、津补贴支出等。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8.84</w:t>
      </w:r>
      <w:r>
        <w:rPr>
          <w:rFonts w:hint="default" w:ascii="Times New Roman" w:hAnsi="Times New Roman" w:eastAsia="方正仿宋_GBK" w:cs="Times New Roman"/>
          <w:sz w:val="32"/>
          <w:szCs w:val="32"/>
          <w:shd w:val="clear" w:color="auto" w:fill="FFFFFF"/>
        </w:rPr>
        <w:t>万元，较上年决算数减少1.08万元，下降10.89%，</w:t>
      </w:r>
      <w:r>
        <w:rPr>
          <w:rFonts w:hint="default" w:ascii="Times New Roman" w:hAnsi="Times New Roman" w:eastAsia="方正仿宋_GBK" w:cs="Times New Roman"/>
          <w:kern w:val="0"/>
          <w:sz w:val="32"/>
          <w:szCs w:val="32"/>
        </w:rPr>
        <w:t>主要原因是日常开支及专用材料减少。</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kern w:val="0"/>
          <w:sz w:val="32"/>
          <w:szCs w:val="32"/>
        </w:rPr>
        <w:t>培训支出、差旅支出、水电支出等。</w:t>
      </w:r>
    </w:p>
    <w:p>
      <w:pPr>
        <w:pStyle w:val="20"/>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政府性基金预算收支决算情况说明</w:t>
      </w:r>
    </w:p>
    <w:p>
      <w:pPr>
        <w:pStyle w:val="2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rightChars="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本单位2023年度无政府性基金预算财政拨款收支。</w:t>
      </w:r>
    </w:p>
    <w:p>
      <w:pPr>
        <w:pStyle w:val="20"/>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Style w:val="11"/>
          <w:rFonts w:hint="default" w:ascii="Times New Roman" w:hAnsi="Times New Roman" w:eastAsia="方正楷体_GBK" w:cs="Times New Roman"/>
          <w:b w:val="0"/>
          <w:bCs/>
          <w:kern w:val="2"/>
          <w:sz w:val="32"/>
          <w:szCs w:val="32"/>
          <w:shd w:val="clear" w:color="auto" w:fill="FFFFFF"/>
          <w:lang w:val="en-US" w:eastAsia="zh-CN" w:bidi="ar-SA"/>
        </w:rPr>
      </w:pPr>
      <w:r>
        <w:rPr>
          <w:rStyle w:val="11"/>
          <w:rFonts w:hint="default" w:ascii="Times New Roman" w:hAnsi="Times New Roman" w:eastAsia="方正楷体_GBK" w:cs="Times New Roman"/>
          <w:b w:val="0"/>
          <w:bCs/>
          <w:kern w:val="2"/>
          <w:sz w:val="32"/>
          <w:szCs w:val="32"/>
          <w:shd w:val="clear" w:color="auto" w:fill="FFFFFF"/>
          <w:lang w:val="en-US" w:eastAsia="zh-CN" w:bidi="ar-SA"/>
        </w:rPr>
        <w:t>国有资本经营预算财政拨款支出决算情况说明</w:t>
      </w:r>
    </w:p>
    <w:p>
      <w:pPr>
        <w:pStyle w:val="2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rightChars="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本单位2023年度无国有资本经营预算财政拨款支出。</w:t>
      </w:r>
    </w:p>
    <w:p>
      <w:pPr>
        <w:pStyle w:val="9"/>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leftChars="0" w:firstLine="640" w:firstLineChars="200"/>
        <w:jc w:val="both"/>
        <w:textAlignment w:val="auto"/>
        <w:rPr>
          <w:rFonts w:hint="default" w:ascii="Times New Roman" w:hAnsi="Times New Roman" w:eastAsia="方正仿宋_GBK" w:cs="Times New Roman"/>
          <w:sz w:val="32"/>
          <w:szCs w:val="32"/>
          <w:shd w:val="clear" w:color="auto" w:fill="FFFF00"/>
        </w:rPr>
      </w:pPr>
      <w:r>
        <w:rPr>
          <w:rStyle w:val="11"/>
          <w:rFonts w:hint="default" w:ascii="Times New Roman" w:hAnsi="Times New Roman" w:eastAsia="方正黑体_GBK" w:cs="Times New Roman"/>
          <w:b w:val="0"/>
          <w:bCs/>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left"/>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属于差额拨款单位，财政未保障</w:t>
      </w: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“三公”经费。</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楷体" w:cs="Times New Roman"/>
          <w:b/>
          <w:bCs/>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pStyle w:val="9"/>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楷体"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bidi="ar"/>
        </w:rPr>
        <w:t>（一）财政拨款会议费和培训费情况说明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0"/>
          <w:sz w:val="32"/>
          <w:szCs w:val="32"/>
          <w:lang w:val="en-US" w:eastAsia="zh-CN"/>
        </w:rPr>
        <w:t>因</w:t>
      </w:r>
      <w:r>
        <w:rPr>
          <w:rFonts w:hint="default" w:ascii="Times New Roman" w:hAnsi="Times New Roman" w:eastAsia="方正仿宋_GBK" w:cs="Times New Roman"/>
          <w:kern w:val="0"/>
          <w:sz w:val="32"/>
          <w:szCs w:val="32"/>
        </w:rPr>
        <w:t>本单位为差额拨款事业单位，财政未保障</w:t>
      </w:r>
      <w:r>
        <w:rPr>
          <w:rFonts w:hint="default" w:ascii="Times New Roman" w:hAnsi="Times New Roman" w:eastAsia="方正仿宋_GBK" w:cs="Times New Roman"/>
          <w:kern w:val="0"/>
          <w:sz w:val="32"/>
          <w:szCs w:val="32"/>
          <w:lang w:val="en-US" w:eastAsia="zh-CN"/>
        </w:rPr>
        <w:t>本</w:t>
      </w:r>
      <w:r>
        <w:rPr>
          <w:rFonts w:hint="default" w:ascii="Times New Roman" w:hAnsi="Times New Roman" w:eastAsia="方正仿宋_GBK" w:cs="Times New Roman"/>
          <w:kern w:val="0"/>
          <w:sz w:val="32"/>
          <w:szCs w:val="32"/>
        </w:rPr>
        <w:t>单位会议费和培训费。</w:t>
      </w:r>
    </w:p>
    <w:p>
      <w:pPr>
        <w:pStyle w:val="9"/>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（二）机关运行经费情况说明</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1"/>
          <w:szCs w:val="31"/>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因本单位为差额拨款事业单位不在机关运行经费统计范围之内。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（三）国有资产占用情况说明</w:t>
      </w:r>
    </w:p>
    <w:p>
      <w:pPr>
        <w:pStyle w:val="9"/>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截至2023年12月31日，本单位共有车辆</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p>
    <w:p>
      <w:pPr>
        <w:pStyle w:val="9"/>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bidi="ar"/>
        </w:rPr>
        <w:t>（</w:t>
      </w:r>
      <w:r>
        <w:rPr>
          <w:rFonts w:hint="default" w:ascii="Times New Roman" w:hAnsi="Times New Roman" w:eastAsia="方正楷体_GBK" w:cs="Times New Roman"/>
          <w:b w:val="0"/>
          <w:bCs w:val="0"/>
          <w:sz w:val="32"/>
          <w:szCs w:val="32"/>
          <w:shd w:val="clear" w:color="auto" w:fill="FFFFFF"/>
          <w:lang w:val="en-US" w:eastAsia="zh-CN" w:bidi="ar"/>
        </w:rPr>
        <w:t>四</w:t>
      </w:r>
      <w:r>
        <w:rPr>
          <w:rFonts w:hint="default" w:ascii="Times New Roman" w:hAnsi="Times New Roman" w:eastAsia="方正楷体_GBK" w:cs="Times New Roman"/>
          <w:b w:val="0"/>
          <w:bCs w:val="0"/>
          <w:sz w:val="32"/>
          <w:szCs w:val="32"/>
          <w:shd w:val="clear" w:color="auto" w:fill="FFFFFF"/>
          <w:lang w:bidi="ar"/>
        </w:rPr>
        <w:t>）政府采购支出情况说明</w:t>
      </w:r>
    </w:p>
    <w:p>
      <w:pPr>
        <w:pStyle w:val="9"/>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单位未发生政府采购事项，无相关经费支出。</w:t>
      </w:r>
    </w:p>
    <w:p>
      <w:pPr>
        <w:pStyle w:val="14"/>
        <w:keepNext w:val="0"/>
        <w:keepLines w:val="0"/>
        <w:pageBreakBefore w:val="0"/>
        <w:widowControl w:val="0"/>
        <w:numPr>
          <w:ilvl w:val="0"/>
          <w:numId w:val="2"/>
        </w:numPr>
        <w:kinsoku/>
        <w:wordWrap/>
        <w:overflowPunct/>
        <w:topLinePunct w:val="0"/>
        <w:autoSpaceDE w:val="0"/>
        <w:autoSpaceDN/>
        <w:bidi w:val="0"/>
        <w:adjustRightInd/>
        <w:snapToGrid/>
        <w:spacing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2"/>
        <w:tblpPr w:leftFromText="180" w:rightFromText="180" w:vertAnchor="text" w:horzAnchor="page" w:tblpX="1933" w:tblpY="32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640" w:firstLineChars="200"/>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r>
        <w:rPr>
          <w:rFonts w:hint="eastAsia" w:ascii="Times New Roman" w:hAnsi="Times New Roman" w:eastAsia="方正仿宋_GBK" w:cs="Times New Roman"/>
          <w:b w:val="0"/>
          <w:bCs w:val="0"/>
          <w:kern w:val="0"/>
          <w:sz w:val="32"/>
          <w:szCs w:val="32"/>
          <w:lang w:val="en-US" w:eastAsia="zh-CN" w:bidi="ar-SA"/>
        </w:rPr>
        <w:t>。</w:t>
      </w:r>
    </w:p>
    <w:p>
      <w:pPr>
        <w:pStyle w:val="14"/>
        <w:keepNext w:val="0"/>
        <w:keepLines w:val="0"/>
        <w:pageBreakBefore w:val="0"/>
        <w:widowControl/>
        <w:numPr>
          <w:ilvl w:val="0"/>
          <w:numId w:val="2"/>
        </w:numPr>
        <w:kinsoku/>
        <w:wordWrap/>
        <w:overflowPunct/>
        <w:topLinePunct w:val="0"/>
        <w:autoSpaceDE w:val="0"/>
        <w:autoSpaceDN/>
        <w:bidi w:val="0"/>
        <w:adjustRightInd/>
        <w:snapToGrid/>
        <w:spacing w:line="560" w:lineRule="exact"/>
        <w:ind w:left="0" w:leftChars="0"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lang w:val="en-US" w:eastAsia="zh-CN"/>
        </w:rPr>
      </w:pPr>
      <w:r>
        <w:rPr>
          <w:rStyle w:val="11"/>
          <w:rFonts w:hint="default" w:ascii="Times New Roman" w:hAnsi="Times New Roman" w:eastAsia="方正黑体_GBK" w:cs="Times New Roman"/>
          <w:b w:val="0"/>
          <w:bCs/>
          <w:sz w:val="32"/>
          <w:szCs w:val="32"/>
          <w:shd w:val="clear" w:color="auto" w:fill="FFFFFF"/>
          <w:lang w:val="en-US" w:eastAsia="zh-CN"/>
        </w:rPr>
        <w:t>专业名词解释</w:t>
      </w:r>
    </w:p>
    <w:p>
      <w:pPr>
        <w:pStyle w:val="14"/>
        <w:keepNext w:val="0"/>
        <w:keepLines w:val="0"/>
        <w:pageBreakBefore w:val="0"/>
        <w:widowControl/>
        <w:numPr>
          <w:ilvl w:val="0"/>
          <w:numId w:val="0"/>
        </w:numPr>
        <w:kinsoku/>
        <w:wordWrap/>
        <w:overflowPunct/>
        <w:topLinePunct w:val="0"/>
        <w:autoSpaceDE w:val="0"/>
        <w:autoSpaceDN/>
        <w:bidi w:val="0"/>
        <w:adjustRightIn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kern w:val="0"/>
          <w:sz w:val="32"/>
          <w:szCs w:val="32"/>
          <w:shd w:val="clear" w:color="auto" w:fill="FFFFFF"/>
          <w:lang w:val="en-US" w:eastAsia="zh-CN" w:bidi="ar"/>
        </w:rPr>
        <w:t> </w:t>
      </w:r>
      <w:r>
        <w:rPr>
          <w:rFonts w:hint="default" w:ascii="Times New Roman" w:hAnsi="Times New Roman" w:eastAsia="方正楷体_GBK" w:cs="Times New Roman"/>
          <w:b/>
          <w:bCs/>
          <w:kern w:val="0"/>
          <w:sz w:val="32"/>
          <w:szCs w:val="32"/>
          <w:shd w:val="clear" w:color="auto" w:fill="FFFFFF"/>
          <w:lang w:val="en-US" w:eastAsia="zh-CN" w:bidi="ar"/>
        </w:rPr>
        <w:t>（一）财政拨款收入：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（二）事业收入：</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Fonts w:hint="default" w:ascii="Times New Roman" w:hAnsi="Times New Roman" w:eastAsia="方正楷体_GBK" w:cs="Times New Roman"/>
          <w:b/>
          <w:bCs/>
          <w:kern w:val="0"/>
          <w:sz w:val="32"/>
          <w:szCs w:val="32"/>
          <w:shd w:val="clear" w:color="auto" w:fill="FFFFFF"/>
          <w:lang w:val="en-US" w:eastAsia="zh-CN" w:bidi="ar"/>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（五）使用非财政拨款结余：</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kern w:val="0"/>
          <w:sz w:val="32"/>
          <w:szCs w:val="32"/>
          <w:shd w:val="clear" w:color="auto" w:fill="FFFFFF"/>
          <w:lang w:val="en-US" w:eastAsia="zh-CN" w:bidi="ar"/>
        </w:rPr>
        <w:t> </w:t>
      </w:r>
      <w:r>
        <w:rPr>
          <w:rFonts w:hint="default" w:ascii="Times New Roman" w:hAnsi="Times New Roman" w:eastAsia="方正楷体_GBK" w:cs="Times New Roman"/>
          <w:b/>
          <w:bCs/>
          <w:kern w:val="0"/>
          <w:sz w:val="32"/>
          <w:szCs w:val="32"/>
          <w:shd w:val="clear" w:color="auto" w:fill="FFFFFF"/>
          <w:lang w:val="en-US" w:eastAsia="zh-CN" w:bidi="ar"/>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kern w:val="0"/>
          <w:sz w:val="32"/>
          <w:szCs w:val="32"/>
          <w:shd w:val="clear" w:color="auto" w:fill="FFFFFF"/>
          <w:lang w:val="en-US" w:eastAsia="zh-CN" w:bidi="ar"/>
        </w:rPr>
        <w:t> </w:t>
      </w:r>
      <w:r>
        <w:rPr>
          <w:rFonts w:hint="default" w:ascii="Times New Roman" w:hAnsi="Times New Roman" w:eastAsia="方正楷体_GBK" w:cs="Times New Roman"/>
          <w:b/>
          <w:bCs/>
          <w:kern w:val="0"/>
          <w:sz w:val="32"/>
          <w:szCs w:val="32"/>
          <w:shd w:val="clear" w:color="auto" w:fill="FFFFFF"/>
          <w:lang w:val="en-US" w:eastAsia="zh-CN" w:bidi="ar"/>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（十二）“三公”经费：</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bCs/>
          <w:kern w:val="0"/>
          <w:sz w:val="32"/>
          <w:szCs w:val="32"/>
          <w:shd w:val="clear" w:color="auto" w:fill="FFFFFF"/>
          <w:lang w:val="en-US" w:eastAsia="zh-CN" w:bidi="ar"/>
        </w:rPr>
        <w:t> （十五）商品和服务支出（支出经济分类科目类级）：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楷体_GBK" w:cs="Times New Roman"/>
          <w:b/>
          <w:bCs/>
          <w:kern w:val="0"/>
          <w:sz w:val="32"/>
          <w:szCs w:val="32"/>
          <w:shd w:val="clear" w:color="auto" w:fill="FFFFFF"/>
          <w:lang w:val="en-US" w:eastAsia="zh-CN" w:bidi="ar"/>
        </w:rPr>
      </w:pPr>
      <w:r>
        <w:rPr>
          <w:rFonts w:hint="default" w:ascii="Times New Roman" w:hAnsi="Times New Roman" w:eastAsia="方正楷体_GBK" w:cs="Times New Roman"/>
          <w:b/>
          <w:bCs/>
          <w:kern w:val="0"/>
          <w:sz w:val="32"/>
          <w:szCs w:val="32"/>
          <w:shd w:val="clear" w:color="auto" w:fill="FFFFFF"/>
          <w:lang w:val="en-US" w:eastAsia="zh-CN" w:bidi="ar"/>
        </w:rPr>
        <w:t> （十六）对个人和家庭的补助（支出经济分类科目类级）：</w:t>
      </w:r>
      <w:r>
        <w:rPr>
          <w:rFonts w:hint="default" w:ascii="Times New Roman" w:hAnsi="Times New Roman" w:eastAsia="方正仿宋_GBK" w:cs="Times New Roman"/>
          <w:sz w:val="32"/>
          <w:szCs w:val="32"/>
          <w:shd w:val="clear" w:color="auto" w:fill="FFFFFF"/>
          <w:lang w:val="en-US" w:eastAsia="zh-CN"/>
        </w:rPr>
        <w:t>反映用于对个人和家庭的补助支出。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b/>
          <w:bCs/>
          <w:kern w:val="0"/>
          <w:sz w:val="32"/>
          <w:szCs w:val="32"/>
          <w:shd w:val="clear" w:color="auto" w:fill="FFFFFF"/>
          <w:lang w:val="en-US" w:eastAsia="zh-CN" w:bidi="ar"/>
        </w:rPr>
        <w:t> </w:t>
      </w:r>
      <w:r>
        <w:rPr>
          <w:rFonts w:hint="default" w:ascii="Times New Roman" w:hAnsi="Times New Roman" w:eastAsia="方正楷体_GBK" w:cs="Times New Roman"/>
          <w:b/>
          <w:bCs/>
          <w:kern w:val="0"/>
          <w:sz w:val="32"/>
          <w:szCs w:val="32"/>
          <w:shd w:val="clear" w:color="auto" w:fill="FFFFFF"/>
          <w:lang w:val="en-US" w:eastAsia="zh-CN" w:bidi="ar"/>
        </w:rPr>
        <w:t>（十七）其他资本性支出（支出经济分类科目类级）：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七、决算公开联系方式及信息反馈渠道</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sz w:val="32"/>
          <w:szCs w:val="32"/>
          <w:shd w:val="clear" w:color="auto" w:fill="FFFFFF"/>
          <w:lang w:eastAsia="zh-CN"/>
        </w:rPr>
        <w:t>余淋淋</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kern w:val="0"/>
          <w:sz w:val="32"/>
          <w:szCs w:val="32"/>
        </w:rPr>
        <w:t>023-76886820</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firstLineChars="200"/>
        <w:jc w:val="both"/>
        <w:textAlignment w:val="auto"/>
        <w:outlineLvl w:val="9"/>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ascii="Times New Roman" w:hAnsi="Times New Roman" w:cs="Times New Roman"/>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重庆市秀山土家族苗族自治县岑溪乡卫生院</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162.13</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56.84</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39.95</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12.51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229.44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258.92</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246.60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12.32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258.92</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258.92</w:t>
            </w:r>
            <w:r>
              <w:rPr>
                <w:rFonts w:hint="default" w:ascii="Times New Roman" w:hAnsi="Times New Roman" w:cs="Times New Roman"/>
                <w:color w:val="000000"/>
                <w:sz w:val="20"/>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重庆市秀山土家族苗族自治县岑溪乡卫生院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258.92</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162.13</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56.84</w:t>
            </w:r>
            <w:r>
              <w:rPr>
                <w:rFonts w:hint="default" w:ascii="Times New Roman" w:hAnsi="Times New Roman" w:cs="Times New Roman"/>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39.95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241.76</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144.97</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56.84</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188.45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91.66</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56.84</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188.45</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91.66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56.84</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39.95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37.58</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37.58</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0"/>
          <w:szCs w:val="20"/>
        </w:rPr>
      </w:pPr>
      <w:r>
        <w:rPr>
          <w:rFonts w:hint="default" w:ascii="Times New Roman" w:hAnsi="Times New Roman" w:cs="Times New Roman"/>
          <w:sz w:val="20"/>
          <w:szCs w:val="20"/>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 xml:space="preserve">重庆市秀山土家族苗族自治县岑溪乡卫生院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246.60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235.02</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11.58</w:t>
            </w: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229.44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217.86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11.58</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176.13</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176.13</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176.13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176.13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37.58</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37.50</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0.08</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p>
      <w:pPr>
        <w:rPr>
          <w:rFonts w:hint="default" w:ascii="Times New Roman" w:hAnsi="Times New Roman" w:cs="Times New Roman"/>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162.13</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12.51</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12.51</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137.58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137.58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4.65</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4.65</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162.13</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154.75</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154.75</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7.38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7.38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162.13</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162.13</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162.13</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p>
    <w:p>
      <w:pPr>
        <w:pStyle w:val="2"/>
        <w:rPr>
          <w:rFonts w:hint="default"/>
        </w:rPr>
      </w:pPr>
    </w:p>
    <w:tbl>
      <w:tblPr>
        <w:tblStyle w:val="12"/>
        <w:tblW w:w="15280" w:type="dxa"/>
        <w:tblInd w:w="0" w:type="dxa"/>
        <w:tblLayout w:type="fixed"/>
        <w:tblCellMar>
          <w:top w:w="0" w:type="dxa"/>
          <w:left w:w="0" w:type="dxa"/>
          <w:bottom w:w="0" w:type="dxa"/>
          <w:right w:w="0" w:type="dxa"/>
        </w:tblCellMar>
      </w:tblPr>
      <w:tblGrid>
        <w:gridCol w:w="1845"/>
        <w:gridCol w:w="3527"/>
        <w:gridCol w:w="3297"/>
        <w:gridCol w:w="1"/>
        <w:gridCol w:w="3298"/>
        <w:gridCol w:w="3312"/>
      </w:tblGrid>
      <w:tr>
        <w:tblPrEx>
          <w:tblLayout w:type="fixed"/>
          <w:tblCellMar>
            <w:top w:w="0" w:type="dxa"/>
            <w:left w:w="0" w:type="dxa"/>
            <w:bottom w:w="0" w:type="dxa"/>
            <w:right w:w="0" w:type="dxa"/>
          </w:tblCellMar>
        </w:tblPrEx>
        <w:trPr>
          <w:trHeight w:val="557" w:hRule="atLeast"/>
        </w:trPr>
        <w:tc>
          <w:tcPr>
            <w:tcW w:w="15280"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85" w:hRule="atLeast"/>
        </w:trPr>
        <w:tc>
          <w:tcPr>
            <w:tcW w:w="866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3299"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66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299"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94" w:hRule="atLeast"/>
        </w:trPr>
        <w:tc>
          <w:tcPr>
            <w:tcW w:w="537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08"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4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298"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29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1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4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84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294" w:hRule="atLeast"/>
        </w:trPr>
        <w:tc>
          <w:tcPr>
            <w:tcW w:w="537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154.75</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143.17</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11.58</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12.51</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0.34</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6.28</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3.13</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2.76</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137.58</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126.00</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11.58</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0.30</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0.30</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84.28</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84.28</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84.28</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84.28</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37.58</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37.50</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0.08</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37.50</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3.92</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3.92</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11.50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11.50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4"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4.65</w:t>
            </w:r>
            <w:r>
              <w:rPr>
                <w:rFonts w:hint="default" w:ascii="Times New Roman" w:hAnsi="Times New Roman" w:cs="Times New Roman"/>
                <w:b/>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2" w:hRule="atLeast"/>
        </w:trPr>
        <w:tc>
          <w:tcPr>
            <w:tcW w:w="18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29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4.65</w:t>
            </w:r>
            <w:r>
              <w:rPr>
                <w:rFonts w:hint="default" w:ascii="Times New Roman" w:hAnsi="Times New Roman" w:cs="Times New Roman"/>
                <w:color w:val="000000"/>
                <w:sz w:val="20"/>
                <w:u w:color="auto"/>
              </w:rPr>
              <w:t xml:space="preserve"> </w:t>
            </w:r>
          </w:p>
        </w:tc>
        <w:tc>
          <w:tcPr>
            <w:tcW w:w="3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128.23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8.84</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40.38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15.97</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52.32</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6.28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3.92</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0.13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4.65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1.44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6.10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5.76</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3.84</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0.34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134.33</w:t>
            </w:r>
            <w:r>
              <w:rPr>
                <w:rFonts w:hint="default" w:ascii="Times New Roman" w:hAnsi="Times New Roman"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8.84</w:t>
            </w: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备注：本表反映单位本年度国有资本经营预算财政拨款支出情况。本单位无国有资本经营收支，故本表无数据。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重庆市秀山土家族苗族自治县岑溪乡卫生院</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2</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CF220"/>
    <w:multiLevelType w:val="singleLevel"/>
    <w:tmpl w:val="B54CF220"/>
    <w:lvl w:ilvl="0" w:tentative="0">
      <w:start w:val="5"/>
      <w:numFmt w:val="chineseCounting"/>
      <w:suff w:val="nothing"/>
      <w:lvlText w:val="（%1）"/>
      <w:lvlJc w:val="left"/>
      <w:rPr>
        <w:rFonts w:hint="eastAsia"/>
      </w:rPr>
    </w:lvl>
  </w:abstractNum>
  <w:abstractNum w:abstractNumId="1">
    <w:nsid w:val="13FC6729"/>
    <w:multiLevelType w:val="singleLevel"/>
    <w:tmpl w:val="13FC672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wYTdjNGYxMmU1MGM4OWQyNzhmOGQ1NWY5MjRlZj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43795F"/>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9BD025B"/>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555F1E"/>
    <w:rsid w:val="25791755"/>
    <w:rsid w:val="25A429DA"/>
    <w:rsid w:val="26396DF4"/>
    <w:rsid w:val="27167136"/>
    <w:rsid w:val="271B442C"/>
    <w:rsid w:val="27B23302"/>
    <w:rsid w:val="291C125D"/>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BB4438"/>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2A39BC"/>
    <w:rsid w:val="426C1EA8"/>
    <w:rsid w:val="42736402"/>
    <w:rsid w:val="42E86A87"/>
    <w:rsid w:val="43307B09"/>
    <w:rsid w:val="439A3EB9"/>
    <w:rsid w:val="43BB152F"/>
    <w:rsid w:val="44C37687"/>
    <w:rsid w:val="451A0653"/>
    <w:rsid w:val="45CB699A"/>
    <w:rsid w:val="465B470D"/>
    <w:rsid w:val="466014DB"/>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BF62A5D"/>
    <w:rsid w:val="4DAC4ACA"/>
    <w:rsid w:val="4DBE01D2"/>
    <w:rsid w:val="4F0C6BA3"/>
    <w:rsid w:val="4F186D58"/>
    <w:rsid w:val="50F06B6E"/>
    <w:rsid w:val="51D21804"/>
    <w:rsid w:val="520661DA"/>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97D40D9"/>
    <w:rsid w:val="5A3B59D6"/>
    <w:rsid w:val="5A44456F"/>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9940A6"/>
    <w:rsid w:val="6DA955B8"/>
    <w:rsid w:val="6DE346AB"/>
    <w:rsid w:val="6DE5391A"/>
    <w:rsid w:val="6EFD1324"/>
    <w:rsid w:val="6F4813B7"/>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CB75BF2"/>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basedOn w:val="1"/>
    <w:qFormat/>
    <w:uiPriority w:val="99"/>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customStyle="1" w:styleId="20">
    <w:name w:val="普通(网站) Char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7957</Words>
  <Characters>9700</Characters>
  <Lines>190</Lines>
  <Paragraphs>53</Paragraphs>
  <TotalTime>5</TotalTime>
  <ScaleCrop>false</ScaleCrop>
  <LinksUpToDate>false</LinksUpToDate>
  <CharactersWithSpaces>10819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2024-10-05T04:42:32Z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