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default" w:ascii="Times New Roman" w:hAnsi="Times New Roman" w:eastAsia="方正小标宋_GBK" w:cs="Times New Roman"/>
          <w:sz w:val="40"/>
          <w:szCs w:val="40"/>
          <w:shd w:val="clear" w:color="auto" w:fill="FFFFFF"/>
        </w:rPr>
      </w:pPr>
      <w:r>
        <w:rPr>
          <w:rFonts w:hint="eastAsia" w:ascii="Times New Roman" w:hAnsi="Times New Roman" w:eastAsia="方正小标宋_GBK" w:cs="Times New Roman"/>
          <w:sz w:val="40"/>
          <w:szCs w:val="40"/>
          <w:lang w:eastAsia="zh-CN"/>
        </w:rPr>
        <w:t>重庆市</w:t>
      </w:r>
      <w:r>
        <w:rPr>
          <w:rFonts w:hint="default" w:ascii="Times New Roman" w:hAnsi="Times New Roman" w:eastAsia="方正小标宋_GBK" w:cs="Times New Roman"/>
          <w:sz w:val="40"/>
          <w:szCs w:val="40"/>
        </w:rPr>
        <w:t>秀山土家族苗族自治县精神卫生中心</w:t>
      </w:r>
      <w:r>
        <w:rPr>
          <w:rFonts w:hint="default" w:ascii="Times New Roman" w:hAnsi="Times New Roman" w:eastAsia="方正小标宋_GBK" w:cs="Times New Roman"/>
          <w:sz w:val="40"/>
          <w:szCs w:val="40"/>
          <w:shd w:val="clear" w:color="auto" w:fill="FFFFFF"/>
        </w:rPr>
        <w:t>2023年度决算公开说明</w:t>
      </w:r>
    </w:p>
    <w:p>
      <w:pPr>
        <w:pStyle w:val="8"/>
        <w:keepNext w:val="0"/>
        <w:keepLines w:val="0"/>
        <w:pageBreakBefore w:val="0"/>
        <w:widowControl/>
        <w:kinsoku/>
        <w:wordWrap/>
        <w:overflowPunct/>
        <w:topLinePunct w:val="0"/>
        <w:autoSpaceDE/>
        <w:autoSpaceDN/>
        <w:bidi w:val="0"/>
        <w:adjustRightInd/>
        <w:snapToGrid/>
        <w:spacing w:before="0" w:beforeAutospacing="0" w:afterAutospacing="0" w:line="600" w:lineRule="exact"/>
        <w:jc w:val="center"/>
        <w:textAlignment w:val="auto"/>
        <w:rPr>
          <w:rFonts w:hint="default" w:ascii="Times New Roman" w:hAnsi="Times New Roman" w:eastAsia="方正小标宋_GBK" w:cs="Times New Roman"/>
          <w:sz w:val="44"/>
          <w:szCs w:val="44"/>
          <w:shd w:val="clear" w:color="auto" w:fill="FFFFFF"/>
        </w:rPr>
      </w:pPr>
      <w:bookmarkStart w:id="0" w:name="_GoBack"/>
      <w:bookmarkEnd w:id="0"/>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textAlignment w:val="auto"/>
        <w:outlineLvl w:val="9"/>
        <w:rPr>
          <w:rFonts w:hint="default" w:ascii="Times New Roman" w:hAnsi="Times New Roman" w:eastAsia="方正黑体_GBK" w:cs="Times New Roman"/>
          <w:sz w:val="32"/>
          <w:szCs w:val="32"/>
        </w:rPr>
      </w:pPr>
      <w:r>
        <w:rPr>
          <w:rStyle w:val="10"/>
          <w:rFonts w:hint="default" w:ascii="Times New Roman" w:hAnsi="Times New Roman" w:eastAsia="方正黑体_GBK" w:cs="Times New Roman"/>
          <w:sz w:val="32"/>
          <w:szCs w:val="32"/>
          <w:shd w:val="clear" w:color="auto" w:fill="FFFFFF"/>
        </w:rPr>
        <w:t>一、</w:t>
      </w:r>
      <w:r>
        <w:rPr>
          <w:rStyle w:val="10"/>
          <w:rFonts w:hint="default" w:ascii="Times New Roman" w:hAnsi="Times New Roman" w:eastAsia="方正黑体_GBK" w:cs="Times New Roman"/>
          <w:b w:val="0"/>
          <w:bCs/>
          <w:sz w:val="32"/>
          <w:szCs w:val="32"/>
          <w:shd w:val="clear" w:color="auto" w:fill="FFFFFF"/>
        </w:rPr>
        <w:t>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（一）职能职责</w:t>
      </w:r>
    </w:p>
    <w:p>
      <w:pPr>
        <w:keepNext w:val="0"/>
        <w:keepLines w:val="0"/>
        <w:pageBreakBefore w:val="0"/>
        <w:widowControl/>
        <w:suppressLineNumbers w:val="0"/>
        <w:kinsoku/>
        <w:wordWrap/>
        <w:overflowPunct/>
        <w:topLinePunct w:val="0"/>
        <w:autoSpaceDE/>
        <w:autoSpaceDN/>
        <w:bidi w:val="0"/>
        <w:adjustRightInd/>
        <w:spacing w:beforeAutospacing="0" w:afterAutospacing="0" w:line="560" w:lineRule="exact"/>
        <w:ind w:right="0" w:firstLine="640" w:firstLineChars="200"/>
        <w:jc w:val="both"/>
        <w:textAlignment w:val="auto"/>
        <w:outlineLvl w:val="9"/>
        <w:rPr>
          <w:rFonts w:hint="eastAsia" w:ascii="Times New Roman" w:hAnsi="Times New Roman" w:eastAsia="方正仿宋_GBK" w:cs="Times New Roman"/>
          <w:kern w:val="0"/>
          <w:sz w:val="32"/>
          <w:szCs w:val="32"/>
          <w:highlight w:val="none"/>
          <w:lang w:val="en-US" w:eastAsia="zh-CN"/>
        </w:rPr>
      </w:pPr>
      <w:r>
        <w:rPr>
          <w:rFonts w:hint="default" w:ascii="Times New Roman" w:hAnsi="Times New Roman" w:eastAsia="方正仿宋_GBK" w:cs="Times New Roman"/>
          <w:kern w:val="0"/>
          <w:sz w:val="32"/>
          <w:szCs w:val="32"/>
          <w:highlight w:val="none"/>
        </w:rPr>
        <w:t>1.贯彻执行国家医疗卫生工作的方针政策，坚持公益性，保障人民身体健康，推动卫生事业健康发展</w:t>
      </w:r>
      <w:r>
        <w:rPr>
          <w:rFonts w:hint="eastAsia" w:ascii="Times New Roman" w:hAnsi="Times New Roman" w:eastAsia="方正仿宋_GBK" w:cs="Times New Roman"/>
          <w:kern w:val="0"/>
          <w:sz w:val="32"/>
          <w:szCs w:val="32"/>
          <w:highlight w:val="none"/>
          <w:lang w:eastAsia="zh-CN"/>
        </w:rPr>
        <w:t>。</w:t>
      </w:r>
    </w:p>
    <w:p>
      <w:pPr>
        <w:keepNext w:val="0"/>
        <w:keepLines w:val="0"/>
        <w:pageBreakBefore w:val="0"/>
        <w:widowControl/>
        <w:suppressLineNumbers w:val="0"/>
        <w:kinsoku/>
        <w:wordWrap/>
        <w:overflowPunct/>
        <w:topLinePunct w:val="0"/>
        <w:autoSpaceDE/>
        <w:autoSpaceDN/>
        <w:bidi w:val="0"/>
        <w:adjustRightInd/>
        <w:spacing w:beforeAutospacing="0" w:afterAutospacing="0" w:line="560" w:lineRule="exact"/>
        <w:ind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2.参与突发公共卫生事件救治</w:t>
      </w:r>
      <w:r>
        <w:rPr>
          <w:rFonts w:hint="eastAsia" w:ascii="Times New Roman" w:hAnsi="Times New Roman" w:eastAsia="方正仿宋_GBK" w:cs="Times New Roman"/>
          <w:kern w:val="0"/>
          <w:sz w:val="32"/>
          <w:szCs w:val="32"/>
          <w:highlight w:val="none"/>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3.负责全县心理健康促进和精神障碍预防</w:t>
      </w:r>
      <w:r>
        <w:rPr>
          <w:rFonts w:hint="eastAsia" w:ascii="Times New Roman" w:hAnsi="Times New Roman" w:eastAsia="方正仿宋_GBK" w:cs="Times New Roman"/>
          <w:kern w:val="0"/>
          <w:sz w:val="32"/>
          <w:szCs w:val="32"/>
          <w:highlight w:val="none"/>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4.负责全县精神障碍患者的诊断和治疗</w:t>
      </w:r>
      <w:r>
        <w:rPr>
          <w:rFonts w:hint="eastAsia" w:ascii="Times New Roman" w:hAnsi="Times New Roman" w:eastAsia="方正仿宋_GBK" w:cs="Times New Roman"/>
          <w:kern w:val="0"/>
          <w:sz w:val="32"/>
          <w:szCs w:val="32"/>
          <w:highlight w:val="none"/>
          <w:lang w:eastAsia="zh-CN"/>
        </w:rPr>
        <w:t>。</w:t>
      </w:r>
    </w:p>
    <w:p>
      <w:pPr>
        <w:keepNext w:val="0"/>
        <w:keepLines w:val="0"/>
        <w:pageBreakBefore w:val="0"/>
        <w:widowControl/>
        <w:suppressLineNumbers w:val="0"/>
        <w:kinsoku/>
        <w:wordWrap/>
        <w:overflowPunct/>
        <w:topLinePunct w:val="0"/>
        <w:autoSpaceDE/>
        <w:autoSpaceDN/>
        <w:bidi w:val="0"/>
        <w:adjustRightInd/>
        <w:spacing w:beforeAutospacing="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5.负责全县医疗机构和精神疾病康复机构的业务指导和技术培训</w:t>
      </w:r>
      <w:r>
        <w:rPr>
          <w:rFonts w:hint="eastAsia" w:ascii="Times New Roman" w:hAnsi="Times New Roman" w:eastAsia="方正仿宋_GBK" w:cs="Times New Roman"/>
          <w:kern w:val="0"/>
          <w:sz w:val="32"/>
          <w:szCs w:val="32"/>
          <w:highlight w:val="none"/>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6.开展全县精神疾病司法鉴定、精神及智力残疾鉴定</w:t>
      </w:r>
      <w:r>
        <w:rPr>
          <w:rFonts w:hint="eastAsia" w:ascii="Times New Roman" w:hAnsi="Times New Roman" w:eastAsia="方正仿宋_GBK" w:cs="Times New Roman"/>
          <w:kern w:val="0"/>
          <w:sz w:val="32"/>
          <w:szCs w:val="32"/>
          <w:highlight w:val="none"/>
          <w:lang w:eastAsia="zh-CN"/>
        </w:rPr>
        <w:t>。</w:t>
      </w:r>
    </w:p>
    <w:p>
      <w:pPr>
        <w:keepNext w:val="0"/>
        <w:keepLines w:val="0"/>
        <w:pageBreakBefore w:val="0"/>
        <w:widowControl/>
        <w:suppressLineNumbers w:val="0"/>
        <w:kinsoku/>
        <w:wordWrap/>
        <w:overflowPunct/>
        <w:topLinePunct w:val="0"/>
        <w:autoSpaceDE/>
        <w:autoSpaceDN/>
        <w:bidi w:val="0"/>
        <w:adjustRightInd/>
        <w:spacing w:beforeAutospacing="0" w:afterAutospacing="0" w:line="560" w:lineRule="exact"/>
        <w:ind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7.牵头组织实施全县严重精神障碍患者管理服务工作</w:t>
      </w:r>
      <w:r>
        <w:rPr>
          <w:rFonts w:hint="eastAsia" w:ascii="Times New Roman" w:hAnsi="Times New Roman" w:eastAsia="方正仿宋_GBK" w:cs="Times New Roman"/>
          <w:kern w:val="0"/>
          <w:sz w:val="32"/>
          <w:szCs w:val="32"/>
          <w:highlight w:val="none"/>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60" w:lineRule="exact"/>
        <w:ind w:left="0" w:right="0" w:firstLine="640" w:firstLineChars="200"/>
        <w:jc w:val="both"/>
        <w:textAlignment w:val="auto"/>
        <w:outlineLvl w:val="9"/>
        <w:rPr>
          <w:rStyle w:val="10"/>
          <w:rFonts w:hint="default" w:ascii="Times New Roman" w:hAnsi="Times New Roman" w:eastAsia="楷体" w:cs="Times New Roman"/>
          <w:sz w:val="32"/>
          <w:szCs w:val="32"/>
          <w:shd w:val="clear" w:color="auto" w:fill="FFFFFF"/>
        </w:rPr>
      </w:pPr>
      <w:r>
        <w:rPr>
          <w:rFonts w:hint="default" w:ascii="Times New Roman" w:hAnsi="Times New Roman" w:eastAsia="方正仿宋_GBK" w:cs="Times New Roman"/>
          <w:kern w:val="0"/>
          <w:sz w:val="32"/>
          <w:szCs w:val="32"/>
          <w:highlight w:val="none"/>
        </w:rPr>
        <w:t>8.完成县卫生健康委交办的其他事项。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楷体" w:cs="Times New Roman"/>
          <w:sz w:val="32"/>
          <w:szCs w:val="32"/>
          <w:shd w:val="clear" w:color="auto" w:fill="FFFFFF"/>
        </w:rPr>
      </w:pPr>
      <w:r>
        <w:rPr>
          <w:rFonts w:hint="eastAsia" w:ascii="Times New Roman" w:hAnsi="Times New Roman" w:eastAsia="方正仿宋_GBK" w:cs="Times New Roman"/>
          <w:sz w:val="32"/>
          <w:szCs w:val="32"/>
          <w:highlight w:val="none"/>
          <w:shd w:val="clear" w:fill="FFFFFF"/>
          <w:lang w:eastAsia="zh-CN"/>
        </w:rPr>
        <w:t>我</w:t>
      </w:r>
      <w:r>
        <w:rPr>
          <w:rFonts w:hint="eastAsia" w:ascii="Times New Roman" w:hAnsi="Times New Roman" w:eastAsia="方正仿宋_GBK" w:cs="Times New Roman"/>
          <w:sz w:val="32"/>
          <w:szCs w:val="32"/>
          <w:highlight w:val="none"/>
          <w:shd w:val="clear" w:fill="FFFFFF"/>
          <w:lang w:val="en-US" w:eastAsia="zh-CN"/>
        </w:rPr>
        <w:t>中心</w:t>
      </w:r>
      <w:r>
        <w:rPr>
          <w:rFonts w:hint="default" w:ascii="Times New Roman" w:hAnsi="Times New Roman" w:eastAsia="方正仿宋_GBK" w:cs="Times New Roman"/>
          <w:sz w:val="32"/>
          <w:szCs w:val="32"/>
          <w:highlight w:val="none"/>
          <w:shd w:val="clear" w:fill="FFFFFF"/>
        </w:rPr>
        <w:t>为秀山县卫生健康委员会二级预算单位，无下级预算单位。</w:t>
      </w:r>
      <w:r>
        <w:rPr>
          <w:rFonts w:hint="eastAsia" w:ascii="Times New Roman" w:hAnsi="Times New Roman" w:eastAsia="方正仿宋_GBK" w:cs="Times New Roman"/>
          <w:sz w:val="32"/>
          <w:szCs w:val="32"/>
          <w:highlight w:val="none"/>
          <w:shd w:val="clear" w:fill="FFFFFF"/>
          <w:lang w:eastAsia="zh-CN"/>
        </w:rPr>
        <w:t>我</w:t>
      </w:r>
      <w:r>
        <w:rPr>
          <w:rFonts w:hint="eastAsia" w:ascii="Times New Roman" w:hAnsi="Times New Roman" w:eastAsia="方正仿宋_GBK" w:cs="Times New Roman"/>
          <w:sz w:val="32"/>
          <w:szCs w:val="32"/>
          <w:highlight w:val="none"/>
          <w:shd w:val="clear" w:fill="FFFFFF"/>
          <w:lang w:val="en-US" w:eastAsia="zh-CN"/>
        </w:rPr>
        <w:t>中心</w:t>
      </w:r>
      <w:r>
        <w:rPr>
          <w:rFonts w:hint="default" w:ascii="Times New Roman" w:hAnsi="Times New Roman" w:eastAsia="方正仿宋_GBK" w:cs="Times New Roman"/>
          <w:kern w:val="0"/>
          <w:sz w:val="32"/>
          <w:szCs w:val="32"/>
          <w:highlight w:val="none"/>
        </w:rPr>
        <w:t>下设院办公室、党办、财务科、医务科、</w:t>
      </w:r>
      <w:r>
        <w:rPr>
          <w:rFonts w:hint="default" w:ascii="Times New Roman" w:hAnsi="Times New Roman" w:eastAsia="方正仿宋_GBK" w:cs="Times New Roman"/>
          <w:kern w:val="0"/>
          <w:sz w:val="32"/>
          <w:szCs w:val="32"/>
          <w:highlight w:val="none"/>
          <w:lang w:val="en-US" w:eastAsia="zh-CN"/>
        </w:rPr>
        <w:t>精神卫生项目科、</w:t>
      </w:r>
      <w:r>
        <w:rPr>
          <w:rFonts w:hint="default" w:ascii="Times New Roman" w:hAnsi="Times New Roman" w:eastAsia="方正仿宋_GBK" w:cs="Times New Roman"/>
          <w:kern w:val="0"/>
          <w:sz w:val="32"/>
          <w:szCs w:val="32"/>
          <w:highlight w:val="none"/>
        </w:rPr>
        <w:t>护理部、院感</w:t>
      </w:r>
      <w:r>
        <w:rPr>
          <w:rFonts w:hint="default" w:ascii="Times New Roman" w:hAnsi="Times New Roman" w:eastAsia="方正仿宋_GBK" w:cs="Times New Roman"/>
          <w:kern w:val="0"/>
          <w:sz w:val="32"/>
          <w:szCs w:val="32"/>
          <w:highlight w:val="none"/>
          <w:lang w:val="en-US" w:eastAsia="zh-CN"/>
        </w:rPr>
        <w:t>科</w:t>
      </w:r>
      <w:r>
        <w:rPr>
          <w:rFonts w:hint="default" w:ascii="Times New Roman" w:hAnsi="Times New Roman" w:eastAsia="方正仿宋_GBK" w:cs="Times New Roman"/>
          <w:kern w:val="0"/>
          <w:sz w:val="32"/>
          <w:szCs w:val="32"/>
          <w:highlight w:val="none"/>
        </w:rPr>
        <w:t>、药械科、医保</w:t>
      </w:r>
      <w:r>
        <w:rPr>
          <w:rFonts w:hint="default" w:ascii="Times New Roman" w:hAnsi="Times New Roman" w:eastAsia="方正仿宋_GBK" w:cs="Times New Roman"/>
          <w:kern w:val="0"/>
          <w:sz w:val="32"/>
          <w:szCs w:val="32"/>
          <w:highlight w:val="none"/>
          <w:lang w:val="en-US" w:eastAsia="zh-CN"/>
        </w:rPr>
        <w:t>信息</w:t>
      </w:r>
      <w:r>
        <w:rPr>
          <w:rFonts w:hint="default" w:ascii="Times New Roman" w:hAnsi="Times New Roman" w:eastAsia="方正仿宋_GBK" w:cs="Times New Roman"/>
          <w:kern w:val="0"/>
          <w:sz w:val="32"/>
          <w:szCs w:val="32"/>
          <w:highlight w:val="none"/>
        </w:rPr>
        <w:t>科、总务科、</w:t>
      </w:r>
      <w:r>
        <w:rPr>
          <w:rFonts w:hint="default" w:ascii="Times New Roman" w:hAnsi="Times New Roman" w:eastAsia="方正仿宋_GBK" w:cs="Times New Roman"/>
          <w:kern w:val="0"/>
          <w:sz w:val="32"/>
          <w:szCs w:val="32"/>
          <w:highlight w:val="none"/>
          <w:lang w:val="en-US" w:eastAsia="zh-CN"/>
        </w:rPr>
        <w:t>公共卫生科、</w:t>
      </w:r>
      <w:r>
        <w:rPr>
          <w:rFonts w:hint="default" w:ascii="Times New Roman" w:hAnsi="Times New Roman" w:eastAsia="方正仿宋_GBK" w:cs="Times New Roman"/>
          <w:kern w:val="0"/>
          <w:sz w:val="32"/>
          <w:szCs w:val="32"/>
          <w:highlight w:val="none"/>
        </w:rPr>
        <w:t>预防保健科、精神科门诊部、急诊医学科、内科、康复医学科、中医科、医技科、</w:t>
      </w:r>
      <w:r>
        <w:rPr>
          <w:rFonts w:hint="default" w:ascii="Times New Roman" w:hAnsi="Times New Roman" w:eastAsia="方正仿宋_GBK" w:cs="Times New Roman"/>
          <w:kern w:val="0"/>
          <w:sz w:val="32"/>
          <w:szCs w:val="32"/>
          <w:highlight w:val="none"/>
          <w:lang w:val="en-US" w:eastAsia="zh-CN"/>
        </w:rPr>
        <w:t>质管办、</w:t>
      </w:r>
      <w:r>
        <w:rPr>
          <w:rFonts w:hint="default" w:ascii="Times New Roman" w:hAnsi="Times New Roman" w:eastAsia="方正仿宋_GBK" w:cs="Times New Roman"/>
          <w:kern w:val="0"/>
          <w:sz w:val="32"/>
          <w:szCs w:val="32"/>
          <w:highlight w:val="none"/>
        </w:rPr>
        <w:t>库房、药房、收费室、精神科住院部。</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二、单位决算情况说明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Style w:val="10"/>
          <w:rFonts w:hint="default" w:ascii="Times New Roman" w:hAnsi="Times New Roman" w:eastAsia="方正仿宋_GBK" w:cs="Times New Roman"/>
          <w:b w:val="0"/>
          <w:bCs/>
          <w:sz w:val="32"/>
          <w:szCs w:val="32"/>
          <w:shd w:val="clear" w:color="auto" w:fill="FFFFFF"/>
        </w:rPr>
        <w:t>1.总体情况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2023年度收入总计4041.63万元，支出总计</w:t>
      </w:r>
      <w:r>
        <w:rPr>
          <w:rFonts w:hint="default" w:ascii="Times New Roman" w:hAnsi="Times New Roman" w:eastAsia="方正仿宋_GBK" w:cs="Times New Roman"/>
          <w:sz w:val="32"/>
          <w:szCs w:val="32"/>
        </w:rPr>
        <w:t>4041.63</w:t>
      </w:r>
      <w:r>
        <w:rPr>
          <w:rFonts w:hint="default" w:ascii="Times New Roman" w:hAnsi="Times New Roman" w:eastAsia="方正仿宋_GBK" w:cs="Times New Roman"/>
          <w:sz w:val="32"/>
          <w:szCs w:val="32"/>
          <w:shd w:val="clear" w:color="auto" w:fill="FFFFFF"/>
        </w:rPr>
        <w:t>万元。收支较上年决算数减少900.61万元，下降18.22%，主要原因是</w:t>
      </w:r>
      <w:r>
        <w:rPr>
          <w:rFonts w:hint="eastAsia" w:ascii="Times New Roman" w:hAnsi="Times New Roman" w:eastAsia="方正仿宋_GBK" w:cs="Times New Roman"/>
          <w:sz w:val="32"/>
          <w:szCs w:val="32"/>
          <w:shd w:val="clear" w:color="auto" w:fill="FFFFFF"/>
          <w:lang w:val="en-US" w:eastAsia="zh-CN"/>
        </w:rPr>
        <w:t>上</w:t>
      </w:r>
      <w:r>
        <w:rPr>
          <w:rFonts w:hint="default" w:ascii="Times New Roman" w:hAnsi="Times New Roman" w:eastAsia="方正仿宋_GBK" w:cs="Times New Roman"/>
          <w:sz w:val="32"/>
          <w:szCs w:val="32"/>
          <w:shd w:val="clear" w:color="auto" w:fill="FFFFFF"/>
          <w:lang w:val="en-US" w:eastAsia="zh-CN"/>
        </w:rPr>
        <w:t>年度收支总计4942.24万元（含年初结转和结余）中包含了3000.00万元的改扩建项目工程款，而2023年度收支总计4041.63万元（含年初结转和结余）中只包含1900.19万元的改扩建项目工程款，剔除改扩建项目工程款不考虑，</w:t>
      </w:r>
      <w:r>
        <w:rPr>
          <w:rFonts w:hint="eastAsia" w:ascii="Times New Roman" w:hAnsi="Times New Roman" w:eastAsia="方正仿宋_GBK" w:cs="Times New Roman"/>
          <w:sz w:val="32"/>
          <w:szCs w:val="32"/>
          <w:shd w:val="clear" w:color="auto" w:fill="FFFFFF"/>
          <w:lang w:val="en-US" w:eastAsia="zh-CN"/>
        </w:rPr>
        <w:t>上</w:t>
      </w:r>
      <w:r>
        <w:rPr>
          <w:rFonts w:hint="default" w:ascii="Times New Roman" w:hAnsi="Times New Roman" w:eastAsia="方正仿宋_GBK" w:cs="Times New Roman"/>
          <w:sz w:val="32"/>
          <w:szCs w:val="32"/>
          <w:shd w:val="clear" w:color="auto" w:fill="FFFFFF"/>
          <w:lang w:val="en-US" w:eastAsia="zh-CN"/>
        </w:rPr>
        <w:t>年度收支总计1942.24万元，2023年度收支总计2141.44万元，2023年较</w:t>
      </w:r>
      <w:r>
        <w:rPr>
          <w:rFonts w:hint="eastAsia" w:ascii="Times New Roman" w:hAnsi="Times New Roman" w:eastAsia="方正仿宋_GBK" w:cs="Times New Roman"/>
          <w:sz w:val="32"/>
          <w:szCs w:val="32"/>
          <w:shd w:val="clear" w:color="auto" w:fill="FFFFFF"/>
          <w:lang w:val="en-US" w:eastAsia="zh-CN"/>
        </w:rPr>
        <w:t>上</w:t>
      </w:r>
      <w:r>
        <w:rPr>
          <w:rFonts w:hint="default" w:ascii="Times New Roman" w:hAnsi="Times New Roman" w:eastAsia="方正仿宋_GBK" w:cs="Times New Roman"/>
          <w:sz w:val="32"/>
          <w:szCs w:val="32"/>
          <w:shd w:val="clear" w:color="auto" w:fill="FFFFFF"/>
          <w:lang w:val="en-US" w:eastAsia="zh-CN"/>
        </w:rPr>
        <w:t>年增加199.20万元，主要原因是社会保障和就业支出增加72.54万元，卫生健康支出增加69.11万元，住房保障支出增加50.36万元，</w:t>
      </w:r>
      <w:r>
        <w:rPr>
          <w:rFonts w:hint="eastAsia" w:ascii="Times New Roman" w:hAnsi="Times New Roman" w:eastAsia="方正仿宋_GBK" w:cs="Times New Roman"/>
          <w:sz w:val="32"/>
          <w:szCs w:val="32"/>
          <w:shd w:val="clear" w:color="auto" w:fill="FFFFFF"/>
          <w:lang w:val="en-US" w:eastAsia="zh-CN"/>
        </w:rPr>
        <w:t>2023年社保基数、公积金基数上调以及工作人员增加</w:t>
      </w:r>
      <w:r>
        <w:rPr>
          <w:rFonts w:hint="default" w:ascii="Times New Roman" w:hAnsi="Times New Roman" w:eastAsia="方正仿宋_GBK" w:cs="Times New Roman"/>
          <w:sz w:val="32"/>
          <w:szCs w:val="32"/>
          <w:shd w:val="clear" w:color="auto" w:fill="FFFFFF"/>
          <w:lang w:val="en-US" w:eastAsia="zh-CN"/>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2.收入情况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2023年度收入合计4016.03万元，较上年决算数增加2073.79万元，增长106.77%，主要原因是</w:t>
      </w:r>
      <w:r>
        <w:rPr>
          <w:rFonts w:hint="default" w:ascii="Times New Roman" w:hAnsi="Times New Roman" w:eastAsia="方正仿宋_GBK" w:cs="Times New Roman"/>
          <w:sz w:val="32"/>
          <w:szCs w:val="32"/>
          <w:shd w:val="clear" w:color="auto" w:fill="FFFFFF"/>
          <w:lang w:val="en-US" w:eastAsia="zh-CN"/>
        </w:rPr>
        <w:t>2023年度收入合计中包含1900.19万元的改扩建项目工程款，而</w:t>
      </w:r>
      <w:r>
        <w:rPr>
          <w:rFonts w:hint="eastAsia" w:ascii="Times New Roman" w:hAnsi="Times New Roman" w:eastAsia="方正仿宋_GBK" w:cs="Times New Roman"/>
          <w:sz w:val="32"/>
          <w:szCs w:val="32"/>
          <w:shd w:val="clear" w:color="auto" w:fill="FFFFFF"/>
          <w:lang w:val="en-US" w:eastAsia="zh-CN"/>
        </w:rPr>
        <w:t>上</w:t>
      </w:r>
      <w:r>
        <w:rPr>
          <w:rFonts w:hint="default" w:ascii="Times New Roman" w:hAnsi="Times New Roman" w:eastAsia="方正仿宋_GBK" w:cs="Times New Roman"/>
          <w:sz w:val="32"/>
          <w:szCs w:val="32"/>
          <w:shd w:val="clear" w:color="auto" w:fill="FFFFFF"/>
          <w:lang w:val="en-US" w:eastAsia="zh-CN"/>
        </w:rPr>
        <w:t>年的3000.00万元改扩建项目工程款是放在年初结转和结余项目，不影响本年收入合计。</w:t>
      </w:r>
      <w:r>
        <w:rPr>
          <w:rFonts w:hint="default" w:ascii="Times New Roman" w:hAnsi="Times New Roman" w:eastAsia="方正仿宋_GBK" w:cs="Times New Roman"/>
          <w:sz w:val="32"/>
          <w:szCs w:val="32"/>
          <w:shd w:val="clear" w:color="auto" w:fill="FFFFFF"/>
        </w:rPr>
        <w:t>其中：财政拨款收入</w:t>
      </w:r>
      <w:r>
        <w:rPr>
          <w:rFonts w:hint="default" w:ascii="Times New Roman" w:hAnsi="Times New Roman" w:eastAsia="方正仿宋_GBK" w:cs="Times New Roman"/>
          <w:sz w:val="32"/>
          <w:szCs w:val="32"/>
        </w:rPr>
        <w:t>2776.48</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69.14</w:t>
      </w:r>
      <w:r>
        <w:rPr>
          <w:rFonts w:hint="default" w:ascii="Times New Roman" w:hAnsi="Times New Roman" w:eastAsia="方正仿宋_GBK" w:cs="Times New Roman"/>
          <w:sz w:val="32"/>
          <w:szCs w:val="32"/>
          <w:shd w:val="clear" w:color="auto" w:fill="FFFFFF"/>
        </w:rPr>
        <w:t>%；事业收入</w:t>
      </w:r>
      <w:r>
        <w:rPr>
          <w:rFonts w:hint="default" w:ascii="Times New Roman" w:hAnsi="Times New Roman" w:eastAsia="方正仿宋_GBK" w:cs="Times New Roman"/>
          <w:sz w:val="32"/>
          <w:szCs w:val="32"/>
        </w:rPr>
        <w:t>1238.79</w:t>
      </w:r>
      <w:r>
        <w:rPr>
          <w:rFonts w:hint="default" w:ascii="Times New Roman" w:hAnsi="Times New Roman" w:eastAsia="方正仿宋_GBK" w:cs="Times New Roman"/>
          <w:sz w:val="32"/>
          <w:szCs w:val="32"/>
          <w:shd w:val="clear" w:color="auto" w:fill="FFFFFF"/>
        </w:rPr>
        <w:t>万元，占30.85%；经营收入</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万元，占0.00%；其他收入</w:t>
      </w:r>
      <w:r>
        <w:rPr>
          <w:rFonts w:hint="default" w:ascii="Times New Roman" w:hAnsi="Times New Roman" w:eastAsia="方正仿宋_GBK" w:cs="Times New Roman"/>
          <w:sz w:val="32"/>
          <w:szCs w:val="32"/>
        </w:rPr>
        <w:t>0.76</w:t>
      </w:r>
      <w:r>
        <w:rPr>
          <w:rFonts w:hint="default" w:ascii="Times New Roman" w:hAnsi="Times New Roman" w:eastAsia="方正仿宋_GBK" w:cs="Times New Roman"/>
          <w:sz w:val="32"/>
          <w:szCs w:val="32"/>
          <w:shd w:val="clear" w:color="auto" w:fill="FFFFFF"/>
        </w:rPr>
        <w:t>万元，占0.02%。此外，使用非财政拨款结余和专用结余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万元，年初结转和结余</w:t>
      </w:r>
      <w:r>
        <w:rPr>
          <w:rFonts w:hint="default" w:ascii="Times New Roman" w:hAnsi="Times New Roman" w:eastAsia="方正仿宋_GBK" w:cs="Times New Roman"/>
          <w:sz w:val="32"/>
          <w:szCs w:val="32"/>
        </w:rPr>
        <w:t>25.60</w:t>
      </w:r>
      <w:r>
        <w:rPr>
          <w:rFonts w:hint="default" w:ascii="Times New Roman" w:hAnsi="Times New Roman" w:eastAsia="方正仿宋_GBK" w:cs="Times New Roman"/>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3.支出情况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2023年度支出合计</w:t>
      </w:r>
      <w:r>
        <w:rPr>
          <w:rFonts w:hint="default" w:ascii="Times New Roman" w:hAnsi="Times New Roman" w:eastAsia="方正仿宋_GBK" w:cs="Times New Roman"/>
          <w:sz w:val="32"/>
          <w:szCs w:val="32"/>
        </w:rPr>
        <w:t>4008.84</w:t>
      </w:r>
      <w:r>
        <w:rPr>
          <w:rFonts w:hint="default" w:ascii="Times New Roman" w:hAnsi="Times New Roman" w:eastAsia="方正仿宋_GBK" w:cs="Times New Roman"/>
          <w:sz w:val="32"/>
          <w:szCs w:val="32"/>
          <w:shd w:val="clear" w:color="auto" w:fill="FFFFFF"/>
        </w:rPr>
        <w:t>万元，较上年决算数减少907.81万元，下降18.46%，主要原因是</w:t>
      </w:r>
      <w:r>
        <w:rPr>
          <w:rFonts w:hint="eastAsia" w:ascii="Times New Roman" w:hAnsi="Times New Roman" w:eastAsia="方正仿宋_GBK" w:cs="Times New Roman"/>
          <w:sz w:val="32"/>
          <w:szCs w:val="32"/>
          <w:shd w:val="clear" w:color="auto" w:fill="FFFFFF"/>
          <w:lang w:val="en-US" w:eastAsia="zh-CN"/>
        </w:rPr>
        <w:t>上</w:t>
      </w:r>
      <w:r>
        <w:rPr>
          <w:rFonts w:hint="default" w:ascii="Times New Roman" w:hAnsi="Times New Roman" w:eastAsia="方正仿宋_GBK" w:cs="Times New Roman"/>
          <w:sz w:val="32"/>
          <w:szCs w:val="32"/>
          <w:shd w:val="clear" w:color="auto" w:fill="FFFFFF"/>
          <w:lang w:val="en-US" w:eastAsia="zh-CN"/>
        </w:rPr>
        <w:t>年度改扩建工程项目支出3000.00万元，2023年度改扩建工程项目支出1900.19万元。</w:t>
      </w:r>
      <w:r>
        <w:rPr>
          <w:rFonts w:hint="default" w:ascii="Times New Roman" w:hAnsi="Times New Roman" w:eastAsia="方正仿宋_GBK" w:cs="Times New Roman"/>
          <w:sz w:val="32"/>
          <w:szCs w:val="32"/>
          <w:shd w:val="clear" w:color="auto" w:fill="FFFFFF"/>
        </w:rPr>
        <w:t>其中：基本支出</w:t>
      </w:r>
      <w:r>
        <w:rPr>
          <w:rFonts w:hint="default" w:ascii="Times New Roman" w:hAnsi="Times New Roman" w:eastAsia="方正仿宋_GBK" w:cs="Times New Roman"/>
          <w:sz w:val="32"/>
          <w:szCs w:val="32"/>
        </w:rPr>
        <w:t>2056.33</w:t>
      </w:r>
      <w:r>
        <w:rPr>
          <w:rFonts w:hint="default" w:ascii="Times New Roman" w:hAnsi="Times New Roman" w:eastAsia="方正仿宋_GBK" w:cs="Times New Roman"/>
          <w:sz w:val="32"/>
          <w:szCs w:val="32"/>
          <w:shd w:val="clear" w:color="auto" w:fill="FFFFFF"/>
        </w:rPr>
        <w:t>万元，占51.29%；项目支出</w:t>
      </w:r>
      <w:r>
        <w:rPr>
          <w:rFonts w:hint="default" w:ascii="Times New Roman" w:hAnsi="Times New Roman" w:eastAsia="方正仿宋_GBK" w:cs="Times New Roman"/>
          <w:sz w:val="32"/>
          <w:szCs w:val="32"/>
        </w:rPr>
        <w:t>1952.51</w:t>
      </w:r>
      <w:r>
        <w:rPr>
          <w:rFonts w:hint="default" w:ascii="Times New Roman" w:hAnsi="Times New Roman" w:eastAsia="方正仿宋_GBK" w:cs="Times New Roman"/>
          <w:sz w:val="32"/>
          <w:szCs w:val="32"/>
          <w:shd w:val="clear" w:color="auto" w:fill="FFFFFF"/>
        </w:rPr>
        <w:t>万元，占48.71%；经营支出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万元，占0.00%。此外，结余分配</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b w:val="0"/>
          <w:bCs/>
          <w:sz w:val="32"/>
          <w:szCs w:val="32"/>
          <w:shd w:val="clear" w:color="auto" w:fill="FFFFFF"/>
        </w:rPr>
        <w:t>4.结转结余情况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2023年度年末结转和结余</w:t>
      </w:r>
      <w:r>
        <w:rPr>
          <w:rFonts w:hint="default" w:ascii="Times New Roman" w:hAnsi="Times New Roman" w:eastAsia="方正仿宋_GBK" w:cs="Times New Roman"/>
          <w:sz w:val="32"/>
          <w:szCs w:val="32"/>
        </w:rPr>
        <w:t>32.79</w:t>
      </w:r>
      <w:r>
        <w:rPr>
          <w:rFonts w:hint="default" w:ascii="Times New Roman" w:hAnsi="Times New Roman" w:eastAsia="方正仿宋_GBK" w:cs="Times New Roman"/>
          <w:sz w:val="32"/>
          <w:szCs w:val="32"/>
          <w:shd w:val="clear" w:color="auto" w:fill="FFFFFF"/>
        </w:rPr>
        <w:t>万元，较上年决算数增加7.19万元，增长28.09%，主要原因是</w:t>
      </w:r>
      <w:r>
        <w:rPr>
          <w:rFonts w:hint="default" w:ascii="Times New Roman" w:hAnsi="Times New Roman" w:eastAsia="方正仿宋_GBK" w:cs="Times New Roman"/>
          <w:sz w:val="32"/>
          <w:szCs w:val="32"/>
          <w:shd w:val="clear" w:color="auto" w:fill="FFFFFF"/>
          <w:lang w:val="en-US" w:eastAsia="zh-CN"/>
        </w:rPr>
        <w:t>单位压缩支出。</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2023年度财政拨款收、支总计2776.48万元。</w:t>
      </w:r>
      <w:r>
        <w:rPr>
          <w:rFonts w:hint="eastAsia" w:ascii="Times New Roman" w:hAnsi="Times New Roman" w:eastAsia="方正仿宋_GBK" w:cs="Times New Roman"/>
          <w:sz w:val="32"/>
          <w:szCs w:val="32"/>
          <w:shd w:val="clear" w:color="auto" w:fill="FFFFFF"/>
          <w:lang w:val="en-US" w:eastAsia="zh-CN"/>
        </w:rPr>
        <w:t>较上年</w:t>
      </w:r>
      <w:r>
        <w:rPr>
          <w:rFonts w:hint="default" w:ascii="Times New Roman" w:hAnsi="Times New Roman" w:eastAsia="方正仿宋_GBK" w:cs="Times New Roman"/>
          <w:sz w:val="32"/>
          <w:szCs w:val="32"/>
          <w:shd w:val="clear" w:color="auto" w:fill="FFFFFF"/>
        </w:rPr>
        <w:t>，财政拨款收、支总计各减少1024.86万元，下降26.96%。主要原因是</w:t>
      </w:r>
      <w:r>
        <w:rPr>
          <w:rFonts w:hint="eastAsia" w:ascii="Times New Roman" w:hAnsi="Times New Roman" w:eastAsia="方正仿宋_GBK" w:cs="Times New Roman"/>
          <w:sz w:val="32"/>
          <w:szCs w:val="32"/>
          <w:shd w:val="clear" w:color="auto" w:fill="FFFFFF"/>
          <w:lang w:val="en-US" w:eastAsia="zh-CN"/>
        </w:rPr>
        <w:t>2023年</w:t>
      </w:r>
      <w:r>
        <w:rPr>
          <w:rFonts w:hint="default" w:ascii="Times New Roman" w:hAnsi="Times New Roman" w:eastAsia="方正仿宋_GBK" w:cs="Times New Roman"/>
          <w:sz w:val="32"/>
          <w:szCs w:val="32"/>
          <w:shd w:val="clear" w:color="auto" w:fill="FFFFFF"/>
          <w:lang w:val="en-US" w:eastAsia="zh-CN"/>
        </w:rPr>
        <w:t>财政拨改扩建工程项目款</w:t>
      </w:r>
      <w:r>
        <w:rPr>
          <w:rFonts w:hint="eastAsia" w:ascii="Times New Roman" w:hAnsi="Times New Roman" w:eastAsia="方正仿宋_GBK" w:cs="Times New Roman"/>
          <w:sz w:val="32"/>
          <w:szCs w:val="32"/>
          <w:shd w:val="clear" w:color="auto" w:fill="FFFFFF"/>
          <w:lang w:val="en-US" w:eastAsia="zh-CN"/>
        </w:rPr>
        <w:t>减少。</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b w:val="0"/>
          <w:bCs/>
          <w:sz w:val="32"/>
          <w:szCs w:val="32"/>
          <w:shd w:val="clear" w:color="auto" w:fill="FFFFFF"/>
        </w:rPr>
        <w:t>1.收入情况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2023年度一般公共预算财政拨款收入</w:t>
      </w:r>
      <w:r>
        <w:rPr>
          <w:rFonts w:hint="default" w:ascii="Times New Roman" w:hAnsi="Times New Roman" w:eastAsia="方正仿宋_GBK" w:cs="Times New Roman"/>
          <w:sz w:val="32"/>
          <w:szCs w:val="32"/>
        </w:rPr>
        <w:t>876.29</w:t>
      </w:r>
      <w:r>
        <w:rPr>
          <w:rFonts w:hint="default" w:ascii="Times New Roman" w:hAnsi="Times New Roman" w:eastAsia="方正仿宋_GBK" w:cs="Times New Roman"/>
          <w:sz w:val="32"/>
          <w:szCs w:val="32"/>
          <w:shd w:val="clear" w:color="auto" w:fill="FFFFFF"/>
        </w:rPr>
        <w:t>万元，较上年决算数增加74.95万元，增长9.35%。主要原因是</w:t>
      </w:r>
      <w:r>
        <w:rPr>
          <w:rFonts w:hint="default" w:ascii="Times New Roman" w:hAnsi="Times New Roman" w:eastAsia="方正仿宋_GBK" w:cs="Times New Roman"/>
          <w:sz w:val="32"/>
          <w:szCs w:val="32"/>
          <w:shd w:val="clear" w:color="auto" w:fill="FFFFFF"/>
          <w:lang w:val="en-US" w:eastAsia="zh-CN"/>
        </w:rPr>
        <w:t>事业单位离退休项目增加4.01万元，机关事业单位基本养老保险缴费支出增加11.08万元，机关事业单位职业年金缴费支出增加5.41万元，卫生健康支出增加51.60万元，住房保障支出增加3.62万元，2023年社保及公积金缴费基数上调</w:t>
      </w:r>
      <w:r>
        <w:rPr>
          <w:rFonts w:hint="eastAsia" w:ascii="Times New Roman" w:hAnsi="Times New Roman" w:eastAsia="方正仿宋_GBK" w:cs="Times New Roman"/>
          <w:sz w:val="32"/>
          <w:szCs w:val="32"/>
          <w:shd w:val="clear" w:color="auto" w:fill="FFFFFF"/>
          <w:lang w:val="en-US" w:eastAsia="zh-CN"/>
        </w:rPr>
        <w:t>以及工作人员增加</w:t>
      </w:r>
      <w:r>
        <w:rPr>
          <w:rFonts w:hint="default" w:ascii="Times New Roman" w:hAnsi="Times New Roman" w:eastAsia="方正仿宋_GBK" w:cs="Times New Roman"/>
          <w:sz w:val="32"/>
          <w:szCs w:val="32"/>
          <w:shd w:val="clear" w:color="auto" w:fill="FFFFFF"/>
          <w:lang w:val="en-US" w:eastAsia="zh-CN"/>
        </w:rPr>
        <w:t>。</w:t>
      </w:r>
      <w:r>
        <w:rPr>
          <w:rFonts w:hint="default" w:ascii="Times New Roman" w:hAnsi="Times New Roman" w:eastAsia="方正仿宋_GBK" w:cs="Times New Roman"/>
          <w:sz w:val="32"/>
          <w:szCs w:val="32"/>
          <w:shd w:val="clear" w:color="auto" w:fill="FFFFFF"/>
        </w:rPr>
        <w:t>较年初预算数增加83.17万元，增长10.49%。主要原因是</w:t>
      </w:r>
      <w:r>
        <w:rPr>
          <w:rFonts w:hint="default" w:ascii="Times New Roman" w:hAnsi="Times New Roman" w:eastAsia="方正仿宋_GBK" w:cs="Times New Roman"/>
          <w:sz w:val="32"/>
          <w:szCs w:val="32"/>
          <w:shd w:val="clear" w:color="auto" w:fill="FFFFFF"/>
          <w:lang w:val="en-US" w:eastAsia="zh-CN"/>
        </w:rPr>
        <w:t>2023年社保基数</w:t>
      </w:r>
      <w:r>
        <w:rPr>
          <w:rFonts w:hint="eastAsia" w:ascii="Times New Roman" w:hAnsi="Times New Roman" w:eastAsia="方正仿宋_GBK" w:cs="Times New Roman"/>
          <w:sz w:val="32"/>
          <w:szCs w:val="32"/>
          <w:shd w:val="clear" w:color="auto" w:fill="FFFFFF"/>
          <w:lang w:val="en-US" w:eastAsia="zh-CN"/>
        </w:rPr>
        <w:t>、</w:t>
      </w:r>
      <w:r>
        <w:rPr>
          <w:rFonts w:hint="default" w:ascii="Times New Roman" w:hAnsi="Times New Roman" w:eastAsia="方正仿宋_GBK" w:cs="Times New Roman"/>
          <w:sz w:val="32"/>
          <w:szCs w:val="32"/>
          <w:shd w:val="clear" w:color="auto" w:fill="FFFFFF"/>
          <w:lang w:val="en-US" w:eastAsia="zh-CN"/>
        </w:rPr>
        <w:t>公积金基数上调以及</w:t>
      </w:r>
      <w:r>
        <w:rPr>
          <w:rFonts w:hint="eastAsia" w:ascii="Times New Roman" w:hAnsi="Times New Roman" w:eastAsia="方正仿宋_GBK" w:cs="Times New Roman"/>
          <w:sz w:val="32"/>
          <w:szCs w:val="32"/>
          <w:shd w:val="clear" w:color="auto" w:fill="FFFFFF"/>
          <w:lang w:val="en-US" w:eastAsia="zh-CN"/>
        </w:rPr>
        <w:t>工作人员增加</w:t>
      </w:r>
      <w:r>
        <w:rPr>
          <w:rFonts w:hint="default" w:ascii="Times New Roman" w:hAnsi="Times New Roman" w:eastAsia="方正仿宋_GBK" w:cs="Times New Roman"/>
          <w:sz w:val="32"/>
          <w:szCs w:val="32"/>
          <w:shd w:val="clear" w:color="auto" w:fill="FFFFFF"/>
          <w:lang w:val="en-US" w:eastAsia="zh-CN"/>
        </w:rPr>
        <w:t>。</w:t>
      </w:r>
      <w:r>
        <w:rPr>
          <w:rFonts w:hint="default" w:ascii="Times New Roman" w:hAnsi="Times New Roman" w:eastAsia="方正仿宋_GBK" w:cs="Times New Roman"/>
          <w:sz w:val="32"/>
          <w:szCs w:val="32"/>
          <w:shd w:val="clear" w:color="auto" w:fill="FFFFFF"/>
        </w:rPr>
        <w:t>此外，年初财政拨款结转和结余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rPr>
      </w:pPr>
      <w:r>
        <w:rPr>
          <w:rStyle w:val="10"/>
          <w:rFonts w:hint="default" w:ascii="Times New Roman" w:hAnsi="Times New Roman" w:eastAsia="方正仿宋_GBK" w:cs="Times New Roman"/>
          <w:b w:val="0"/>
          <w:bCs/>
          <w:sz w:val="32"/>
          <w:szCs w:val="32"/>
          <w:shd w:val="clear" w:color="auto" w:fill="FFFFFF"/>
        </w:rPr>
        <w:t>2.支出情况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2023年度一般公共预算财政拨款支出</w:t>
      </w:r>
      <w:r>
        <w:rPr>
          <w:rFonts w:hint="default" w:ascii="Times New Roman" w:hAnsi="Times New Roman" w:eastAsia="方正仿宋_GBK" w:cs="Times New Roman"/>
          <w:sz w:val="32"/>
          <w:szCs w:val="32"/>
        </w:rPr>
        <w:t>876.29</w:t>
      </w:r>
      <w:r>
        <w:rPr>
          <w:rFonts w:hint="default" w:ascii="Times New Roman" w:hAnsi="Times New Roman" w:eastAsia="方正仿宋_GBK" w:cs="Times New Roman"/>
          <w:sz w:val="32"/>
          <w:szCs w:val="32"/>
          <w:shd w:val="clear" w:color="auto" w:fill="FFFFFF"/>
        </w:rPr>
        <w:t>万元，较上年决算数增加74.95万元，增长9.35%。主要原因是</w:t>
      </w:r>
      <w:r>
        <w:rPr>
          <w:rFonts w:hint="default" w:ascii="Times New Roman" w:hAnsi="Times New Roman" w:eastAsia="方正仿宋_GBK" w:cs="Times New Roman"/>
          <w:sz w:val="32"/>
          <w:szCs w:val="32"/>
          <w:shd w:val="clear" w:color="auto" w:fill="FFFFFF"/>
          <w:lang w:val="en-US" w:eastAsia="zh-CN"/>
        </w:rPr>
        <w:t>社会保障和就业支出增加22.63万元，2023年社保基数</w:t>
      </w:r>
      <w:r>
        <w:rPr>
          <w:rFonts w:hint="eastAsia" w:ascii="Times New Roman" w:hAnsi="Times New Roman" w:eastAsia="方正仿宋_GBK" w:cs="Times New Roman"/>
          <w:sz w:val="32"/>
          <w:szCs w:val="32"/>
          <w:shd w:val="clear" w:color="auto" w:fill="FFFFFF"/>
          <w:lang w:val="en-US" w:eastAsia="zh-CN"/>
        </w:rPr>
        <w:t>、</w:t>
      </w:r>
      <w:r>
        <w:rPr>
          <w:rFonts w:hint="default" w:ascii="Times New Roman" w:hAnsi="Times New Roman" w:eastAsia="方正仿宋_GBK" w:cs="Times New Roman"/>
          <w:sz w:val="32"/>
          <w:szCs w:val="32"/>
          <w:shd w:val="clear" w:color="auto" w:fill="FFFFFF"/>
          <w:lang w:val="en-US" w:eastAsia="zh-CN"/>
        </w:rPr>
        <w:t>公积金基数上调以及</w:t>
      </w:r>
      <w:r>
        <w:rPr>
          <w:rFonts w:hint="eastAsia" w:ascii="Times New Roman" w:hAnsi="Times New Roman" w:eastAsia="方正仿宋_GBK" w:cs="Times New Roman"/>
          <w:sz w:val="32"/>
          <w:szCs w:val="32"/>
          <w:shd w:val="clear" w:color="auto" w:fill="FFFFFF"/>
          <w:lang w:val="en-US" w:eastAsia="zh-CN"/>
        </w:rPr>
        <w:t>工作人员增加</w:t>
      </w:r>
      <w:r>
        <w:rPr>
          <w:rFonts w:hint="default" w:ascii="Times New Roman" w:hAnsi="Times New Roman" w:eastAsia="方正仿宋_GBK" w:cs="Times New Roman"/>
          <w:sz w:val="32"/>
          <w:szCs w:val="32"/>
          <w:shd w:val="clear" w:color="auto" w:fill="FFFFFF"/>
          <w:lang w:val="en-US" w:eastAsia="zh-CN"/>
        </w:rPr>
        <w:t>；项目支出增加52.32万元，主要用于单位发展，其他卫生健康支出重大传染病中央补助项目26.70万元，重大公共卫生服务项目12.00万元，基本公共卫生服务项目6.06万元。</w:t>
      </w:r>
      <w:r>
        <w:rPr>
          <w:rFonts w:hint="default" w:ascii="Times New Roman" w:hAnsi="Times New Roman" w:eastAsia="方正仿宋_GBK" w:cs="Times New Roman"/>
          <w:sz w:val="32"/>
          <w:szCs w:val="32"/>
          <w:shd w:val="clear" w:color="auto" w:fill="FFFFFF"/>
        </w:rPr>
        <w:t>较年初预算数增加66.97万元，增长8.27%。主要原因是</w:t>
      </w:r>
      <w:r>
        <w:rPr>
          <w:rFonts w:hint="default" w:ascii="Times New Roman" w:hAnsi="Times New Roman" w:eastAsia="方正仿宋_GBK" w:cs="Times New Roman"/>
          <w:sz w:val="32"/>
          <w:szCs w:val="32"/>
          <w:shd w:val="clear" w:color="auto" w:fill="FFFFFF"/>
          <w:lang w:val="en-US" w:eastAsia="zh-CN"/>
        </w:rPr>
        <w:t>卫生健康支出增加98.89万元，其中其他卫生健康支出重大传染病中央补助项目26.70万元，重大公共卫生服务项目12.00万元，基本公共卫生服务项目6.06万元，用于单位能力提升。</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eastAsia="zh-CN"/>
        </w:rPr>
      </w:pPr>
      <w:r>
        <w:rPr>
          <w:rStyle w:val="10"/>
          <w:rFonts w:hint="default" w:ascii="Times New Roman" w:hAnsi="Times New Roman" w:eastAsia="方正仿宋_GBK" w:cs="Times New Roman"/>
          <w:b w:val="0"/>
          <w:bCs/>
          <w:sz w:val="32"/>
          <w:szCs w:val="32"/>
          <w:shd w:val="clear" w:color="auto" w:fill="FFFFFF"/>
        </w:rPr>
        <w:t>3.结转结余情况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2023年度年末一般公共预算财政拨款结转和结余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万元，较上年决算数无增减</w:t>
      </w:r>
      <w:r>
        <w:rPr>
          <w:rFonts w:hint="default" w:ascii="Times New Roman" w:hAnsi="Times New Roman" w:eastAsia="方正仿宋_GBK" w:cs="Times New Roman"/>
          <w:sz w:val="32"/>
          <w:szCs w:val="32"/>
          <w:shd w:val="clear" w:color="auto" w:fill="FFFFFF"/>
          <w:lang w:eastAsia="zh-CN"/>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highlight w:val="cyan"/>
          <w:shd w:val="clear" w:color="auto" w:fill="FFFFFF"/>
        </w:rPr>
      </w:pPr>
      <w:r>
        <w:rPr>
          <w:rStyle w:val="10"/>
          <w:rFonts w:hint="default" w:ascii="Times New Roman" w:hAnsi="Times New Roman" w:eastAsia="方正仿宋_GBK" w:cs="Times New Roman"/>
          <w:b w:val="0"/>
          <w:bCs/>
          <w:sz w:val="32"/>
          <w:szCs w:val="32"/>
          <w:shd w:val="clear" w:color="auto" w:fill="FFFFFF"/>
        </w:rPr>
        <w:t>4.比较情况。</w:t>
      </w:r>
      <w:r>
        <w:rPr>
          <w:rStyle w:val="10"/>
          <w:rFonts w:hint="eastAsia" w:ascii="Times New Roman" w:hAnsi="Times New Roman" w:eastAsia="方正仿宋_GBK" w:cs="Times New Roman"/>
          <w:b w:val="0"/>
          <w:bCs/>
          <w:sz w:val="32"/>
          <w:szCs w:val="32"/>
          <w:shd w:val="clear" w:color="auto" w:fill="FFFFFF"/>
          <w:lang w:eastAsia="zh-CN"/>
        </w:rPr>
        <w:t>我</w:t>
      </w:r>
      <w:r>
        <w:rPr>
          <w:rStyle w:val="10"/>
          <w:rFonts w:hint="eastAsia" w:ascii="Times New Roman" w:hAnsi="Times New Roman" w:eastAsia="方正仿宋_GBK" w:cs="Times New Roman"/>
          <w:b w:val="0"/>
          <w:bCs/>
          <w:sz w:val="32"/>
          <w:szCs w:val="32"/>
          <w:shd w:val="clear" w:color="auto" w:fill="FFFFFF"/>
          <w:lang w:val="en-US" w:eastAsia="zh-CN"/>
        </w:rPr>
        <w:t>中心</w:t>
      </w:r>
      <w:r>
        <w:rPr>
          <w:rFonts w:hint="default" w:ascii="Times New Roman" w:hAnsi="Times New Roman" w:eastAsia="方正仿宋_GBK" w:cs="Times New Roman"/>
          <w:sz w:val="32"/>
          <w:szCs w:val="32"/>
          <w:shd w:val="clear" w:color="auto" w:fill="FFFFFF"/>
        </w:rPr>
        <w:t>2023年度一般公共预算财政拨款支出主要用于以下几个方面：</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）社会保障与就业支出</w:t>
      </w:r>
      <w:r>
        <w:rPr>
          <w:rFonts w:hint="default" w:ascii="Times New Roman" w:hAnsi="Times New Roman" w:eastAsia="方正仿宋_GBK" w:cs="Times New Roman"/>
          <w:sz w:val="32"/>
          <w:szCs w:val="32"/>
        </w:rPr>
        <w:t>145.02</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16.55</w:t>
      </w:r>
      <w:r>
        <w:rPr>
          <w:rFonts w:hint="default" w:ascii="Times New Roman" w:hAnsi="Times New Roman" w:eastAsia="方正仿宋_GBK" w:cs="Times New Roman"/>
          <w:sz w:val="32"/>
          <w:szCs w:val="32"/>
          <w:shd w:val="clear" w:color="auto" w:fill="FFFFFF"/>
        </w:rPr>
        <w:t>%，较年初预算数减少14.08万元，下降8.85%，主要原因是</w:t>
      </w:r>
      <w:r>
        <w:rPr>
          <w:rFonts w:hint="default" w:ascii="Times New Roman" w:hAnsi="Times New Roman" w:eastAsia="方正仿宋_GBK" w:cs="Times New Roman"/>
          <w:sz w:val="32"/>
          <w:szCs w:val="32"/>
          <w:shd w:val="clear" w:color="auto" w:fill="FFFFFF"/>
          <w:lang w:val="en-US" w:eastAsia="zh-CN"/>
        </w:rPr>
        <w:t>机关事业单位基本养老保险缴费支出较年初预算数减少10.96万元，机关事业单位职业年金缴费支出较年初数减少5.61万元，2023年有职工退休。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w:t>
      </w:r>
      <w:r>
        <w:rPr>
          <w:rFonts w:hint="default" w:ascii="Times New Roman" w:hAnsi="Times New Roman" w:eastAsia="方正仿宋_GBK" w:cs="Times New Roman"/>
          <w:sz w:val="32"/>
          <w:szCs w:val="32"/>
        </w:rPr>
        <w:t>693.30</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79.12</w:t>
      </w:r>
      <w:r>
        <w:rPr>
          <w:rFonts w:hint="default" w:ascii="Times New Roman" w:hAnsi="Times New Roman" w:eastAsia="方正仿宋_GBK" w:cs="Times New Roman"/>
          <w:sz w:val="32"/>
          <w:szCs w:val="32"/>
          <w:shd w:val="clear" w:color="auto" w:fill="FFFFFF"/>
        </w:rPr>
        <w:t>%，较年初预算数增加98.89万元，增长16.64%，主要原因是</w:t>
      </w:r>
      <w:r>
        <w:rPr>
          <w:rFonts w:hint="default" w:ascii="Times New Roman" w:hAnsi="Times New Roman" w:eastAsia="方正仿宋_GBK" w:cs="Times New Roman"/>
          <w:sz w:val="32"/>
          <w:szCs w:val="32"/>
          <w:shd w:val="clear" w:color="auto" w:fill="FFFFFF"/>
          <w:lang w:val="en-US" w:eastAsia="zh-CN"/>
        </w:rPr>
        <w:t>其他卫生健康支出重大传染病中央补助项目26.70万元，重大公共卫生服务项目12.00万元，基本公共卫生服务项目6.06万元，用于单位能力提升。</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highlight w:val="none"/>
          <w:shd w:val="clear" w:color="auto" w:fill="FFFFFF"/>
        </w:rPr>
      </w:pPr>
      <w:r>
        <w:rPr>
          <w:rFonts w:hint="default" w:ascii="Times New Roman" w:hAnsi="Times New Roman" w:eastAsia="方正仿宋_GBK" w:cs="Times New Roman"/>
          <w:sz w:val="32"/>
          <w:szCs w:val="32"/>
          <w:highlight w:val="none"/>
          <w:shd w:val="clear" w:color="auto" w:fill="FFFFFF"/>
        </w:rPr>
        <w:t>（</w:t>
      </w:r>
      <w:r>
        <w:rPr>
          <w:rFonts w:hint="default" w:ascii="Times New Roman" w:hAnsi="Times New Roman" w:eastAsia="方正仿宋_GBK" w:cs="Times New Roman"/>
          <w:sz w:val="32"/>
          <w:szCs w:val="32"/>
          <w:highlight w:val="none"/>
          <w:shd w:val="clear" w:color="auto" w:fill="FFFFFF"/>
          <w:lang w:val="en-US" w:eastAsia="zh-CN"/>
        </w:rPr>
        <w:t>3</w:t>
      </w:r>
      <w:r>
        <w:rPr>
          <w:rFonts w:hint="default" w:ascii="Times New Roman" w:hAnsi="Times New Roman" w:eastAsia="方正仿宋_GBK" w:cs="Times New Roman"/>
          <w:sz w:val="32"/>
          <w:szCs w:val="32"/>
          <w:highlight w:val="none"/>
          <w:shd w:val="clear" w:color="auto" w:fill="FFFFFF"/>
        </w:rPr>
        <w:t>）</w:t>
      </w:r>
      <w:r>
        <w:rPr>
          <w:rFonts w:hint="default" w:ascii="Times New Roman" w:hAnsi="Times New Roman" w:eastAsia="方正仿宋_GBK" w:cs="Times New Roman"/>
          <w:sz w:val="32"/>
          <w:szCs w:val="32"/>
          <w:highlight w:val="none"/>
        </w:rPr>
        <w:t>住房保障支出37.98</w:t>
      </w:r>
      <w:r>
        <w:rPr>
          <w:rFonts w:hint="default" w:ascii="Times New Roman" w:hAnsi="Times New Roman" w:eastAsia="方正仿宋_GBK" w:cs="Times New Roman"/>
          <w:sz w:val="32"/>
          <w:szCs w:val="32"/>
          <w:highlight w:val="none"/>
          <w:shd w:val="clear" w:color="auto" w:fill="FFFFFF"/>
        </w:rPr>
        <w:t>万元，占</w:t>
      </w:r>
      <w:r>
        <w:rPr>
          <w:rFonts w:hint="default" w:ascii="Times New Roman" w:hAnsi="Times New Roman" w:eastAsia="方正仿宋_GBK" w:cs="Times New Roman"/>
          <w:sz w:val="32"/>
          <w:szCs w:val="32"/>
          <w:highlight w:val="none"/>
        </w:rPr>
        <w:t>4.33</w:t>
      </w:r>
      <w:r>
        <w:rPr>
          <w:rFonts w:hint="default" w:ascii="Times New Roman" w:hAnsi="Times New Roman" w:eastAsia="方正仿宋_GBK" w:cs="Times New Roman"/>
          <w:sz w:val="32"/>
          <w:szCs w:val="32"/>
          <w:highlight w:val="none"/>
          <w:shd w:val="clear" w:color="auto" w:fill="FFFFFF"/>
        </w:rPr>
        <w:t>%，较年初预算数减少17.82万元，下降31.94%，主要原因是</w:t>
      </w:r>
      <w:r>
        <w:rPr>
          <w:rFonts w:hint="default" w:ascii="Times New Roman" w:hAnsi="Times New Roman" w:eastAsia="方正仿宋_GBK" w:cs="Times New Roman"/>
          <w:sz w:val="32"/>
          <w:szCs w:val="32"/>
          <w:highlight w:val="none"/>
          <w:shd w:val="clear" w:color="auto" w:fill="FFFFFF"/>
          <w:lang w:val="en-US" w:eastAsia="zh-CN"/>
        </w:rPr>
        <w:t>2023年有职工退休。</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rPr>
          <w:rFonts w:hint="default" w:ascii="Times New Roman" w:hAnsi="Times New Roman" w:eastAsia="楷体" w:cs="Times New Roman"/>
          <w:b/>
          <w:bCs/>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rPr>
        <w:t>2023年度一般公共财政拨款基本支出</w:t>
      </w:r>
      <w:r>
        <w:rPr>
          <w:rFonts w:hint="default" w:ascii="Times New Roman" w:hAnsi="Times New Roman" w:eastAsia="方正仿宋_GBK" w:cs="Times New Roman"/>
          <w:sz w:val="32"/>
          <w:szCs w:val="32"/>
        </w:rPr>
        <w:t>823.97</w:t>
      </w:r>
      <w:r>
        <w:rPr>
          <w:rFonts w:hint="default" w:ascii="Times New Roman" w:hAnsi="Times New Roman" w:eastAsia="方正仿宋_GBK" w:cs="Times New Roman"/>
          <w:sz w:val="32"/>
          <w:szCs w:val="32"/>
          <w:shd w:val="clear" w:color="auto" w:fill="FFFFFF"/>
        </w:rPr>
        <w:t>万元。其中：人员经费</w:t>
      </w:r>
      <w:r>
        <w:rPr>
          <w:rFonts w:hint="default" w:ascii="Times New Roman" w:hAnsi="Times New Roman" w:eastAsia="方正仿宋_GBK" w:cs="Times New Roman"/>
          <w:sz w:val="32"/>
          <w:szCs w:val="32"/>
        </w:rPr>
        <w:t>818.97</w:t>
      </w:r>
      <w:r>
        <w:rPr>
          <w:rFonts w:hint="default" w:ascii="Times New Roman" w:hAnsi="Times New Roman" w:eastAsia="方正仿宋_GBK" w:cs="Times New Roman"/>
          <w:sz w:val="32"/>
          <w:szCs w:val="32"/>
          <w:shd w:val="clear" w:color="auto" w:fill="FFFFFF"/>
        </w:rPr>
        <w:t>万元，较上年决算数增加107.64万元，增长15.13%，主要原因是</w:t>
      </w:r>
      <w:r>
        <w:rPr>
          <w:rFonts w:hint="default" w:ascii="Times New Roman" w:hAnsi="Times New Roman" w:eastAsia="方正仿宋_GBK" w:cs="Times New Roman"/>
          <w:sz w:val="32"/>
          <w:szCs w:val="32"/>
          <w:shd w:val="clear" w:color="auto" w:fill="FFFFFF"/>
          <w:lang w:val="en-US" w:eastAsia="zh-CN"/>
        </w:rPr>
        <w:t>2023年社保基数</w:t>
      </w:r>
      <w:r>
        <w:rPr>
          <w:rFonts w:hint="eastAsia" w:ascii="Times New Roman" w:hAnsi="Times New Roman" w:eastAsia="方正仿宋_GBK" w:cs="Times New Roman"/>
          <w:sz w:val="32"/>
          <w:szCs w:val="32"/>
          <w:shd w:val="clear" w:color="auto" w:fill="FFFFFF"/>
          <w:lang w:val="en-US" w:eastAsia="zh-CN"/>
        </w:rPr>
        <w:t>、</w:t>
      </w:r>
      <w:r>
        <w:rPr>
          <w:rFonts w:hint="default" w:ascii="Times New Roman" w:hAnsi="Times New Roman" w:eastAsia="方正仿宋_GBK" w:cs="Times New Roman"/>
          <w:sz w:val="32"/>
          <w:szCs w:val="32"/>
          <w:shd w:val="clear" w:color="auto" w:fill="FFFFFF"/>
          <w:lang w:val="en-US" w:eastAsia="zh-CN"/>
        </w:rPr>
        <w:t>公积金基数上调以及</w:t>
      </w:r>
      <w:r>
        <w:rPr>
          <w:rFonts w:hint="eastAsia" w:ascii="Times New Roman" w:hAnsi="Times New Roman" w:eastAsia="方正仿宋_GBK" w:cs="Times New Roman"/>
          <w:sz w:val="32"/>
          <w:szCs w:val="32"/>
          <w:shd w:val="clear" w:color="auto" w:fill="FFFFFF"/>
          <w:lang w:val="en-US" w:eastAsia="zh-CN"/>
        </w:rPr>
        <w:t>人员增加，</w:t>
      </w:r>
      <w:r>
        <w:rPr>
          <w:rFonts w:hint="default" w:ascii="Times New Roman" w:hAnsi="Times New Roman" w:eastAsia="方正仿宋_GBK" w:cs="Times New Roman"/>
          <w:sz w:val="32"/>
          <w:szCs w:val="32"/>
          <w:shd w:val="clear" w:color="auto" w:fill="FFFFFF"/>
          <w:lang w:val="en-US" w:eastAsia="zh-CN"/>
        </w:rPr>
        <w:t>导致人员经费支出增加。</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sz w:val="32"/>
          <w:szCs w:val="32"/>
          <w:shd w:val="clear" w:color="auto" w:fill="FFFFFF"/>
          <w:lang w:val="en-US" w:eastAsia="zh-CN"/>
        </w:rPr>
        <w:t>基本工资、津贴补贴、绩效工资、机关事业单位基本养老保险缴费、职业年金缴费、职工基本医疗保险缴费、其他社会保障缴费、住房公积金、其他工资福利支出、抚恤金、生活补助、医疗费补助。</w:t>
      </w:r>
      <w:r>
        <w:rPr>
          <w:rFonts w:hint="default" w:ascii="Times New Roman" w:hAnsi="Times New Roman" w:eastAsia="方正仿宋_GBK" w:cs="Times New Roman"/>
          <w:sz w:val="32"/>
          <w:szCs w:val="32"/>
          <w:shd w:val="clear" w:color="auto" w:fill="FFFFFF"/>
        </w:rPr>
        <w:t>公用经费</w:t>
      </w:r>
      <w:r>
        <w:rPr>
          <w:rFonts w:hint="default" w:ascii="Times New Roman" w:hAnsi="Times New Roman" w:eastAsia="方正仿宋_GBK" w:cs="Times New Roman"/>
          <w:sz w:val="32"/>
          <w:szCs w:val="32"/>
        </w:rPr>
        <w:t>5.00</w:t>
      </w:r>
      <w:r>
        <w:rPr>
          <w:rFonts w:hint="default" w:ascii="Times New Roman" w:hAnsi="Times New Roman" w:eastAsia="方正仿宋_GBK" w:cs="Times New Roman"/>
          <w:sz w:val="32"/>
          <w:szCs w:val="32"/>
          <w:shd w:val="clear" w:color="auto" w:fill="FFFFFF"/>
        </w:rPr>
        <w:t>万元，较上年决算数减少85.01万元，下降94.45%，主要原因是</w:t>
      </w:r>
      <w:r>
        <w:rPr>
          <w:rFonts w:hint="default" w:ascii="Times New Roman" w:hAnsi="Times New Roman" w:eastAsia="方正仿宋_GBK" w:cs="Times New Roman"/>
          <w:sz w:val="32"/>
          <w:szCs w:val="32"/>
          <w:shd w:val="clear" w:color="auto" w:fill="FFFFFF"/>
          <w:lang w:val="en-US" w:eastAsia="zh-CN"/>
        </w:rPr>
        <w:t>2023年公用经费的核算口径与</w:t>
      </w:r>
      <w:r>
        <w:rPr>
          <w:rFonts w:hint="eastAsia" w:ascii="Times New Roman" w:hAnsi="Times New Roman" w:eastAsia="方正仿宋_GBK" w:cs="Times New Roman"/>
          <w:sz w:val="32"/>
          <w:szCs w:val="32"/>
          <w:shd w:val="clear" w:color="auto" w:fill="FFFFFF"/>
          <w:lang w:val="en-US" w:eastAsia="zh-CN"/>
        </w:rPr>
        <w:t>上</w:t>
      </w:r>
      <w:r>
        <w:rPr>
          <w:rFonts w:hint="default" w:ascii="Times New Roman" w:hAnsi="Times New Roman" w:eastAsia="方正仿宋_GBK" w:cs="Times New Roman"/>
          <w:sz w:val="32"/>
          <w:szCs w:val="32"/>
          <w:shd w:val="clear" w:color="auto" w:fill="FFFFFF"/>
          <w:lang w:val="en-US" w:eastAsia="zh-CN"/>
        </w:rPr>
        <w:t>年有所差异，2023年5.00万元的公用经费包括了4.70万元的专用材料费和0.30万元的公务用车运行维护费；</w:t>
      </w:r>
      <w:r>
        <w:rPr>
          <w:rFonts w:hint="eastAsia" w:ascii="Times New Roman" w:hAnsi="Times New Roman" w:eastAsia="方正仿宋_GBK" w:cs="Times New Roman"/>
          <w:sz w:val="32"/>
          <w:szCs w:val="32"/>
          <w:shd w:val="clear" w:color="auto" w:fill="FFFFFF"/>
          <w:lang w:val="en-US" w:eastAsia="zh-CN"/>
        </w:rPr>
        <w:t>上</w:t>
      </w:r>
      <w:r>
        <w:rPr>
          <w:rFonts w:hint="default" w:ascii="Times New Roman" w:hAnsi="Times New Roman" w:eastAsia="方正仿宋_GBK" w:cs="Times New Roman"/>
          <w:sz w:val="32"/>
          <w:szCs w:val="32"/>
          <w:shd w:val="clear" w:color="auto" w:fill="FFFFFF"/>
          <w:lang w:val="en-US" w:eastAsia="zh-CN"/>
        </w:rPr>
        <w:t>年90.01万元的公用经费包括了54.00万元的差旅费、36.01万元的专用材料费，</w:t>
      </w: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sz w:val="32"/>
          <w:szCs w:val="32"/>
          <w:shd w:val="clear" w:color="auto" w:fill="FFFFFF"/>
          <w:lang w:val="en-US" w:eastAsia="zh-CN"/>
        </w:rPr>
        <w:t>单位因公事花销的各种符合单位性质的经费。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2023年度政府性基金预算财政拨款年初结转结余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万元，年末结转结余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万元。本年收入</w:t>
      </w:r>
      <w:r>
        <w:rPr>
          <w:rFonts w:hint="default" w:ascii="Times New Roman" w:hAnsi="Times New Roman" w:eastAsia="方正仿宋_GBK" w:cs="Times New Roman"/>
          <w:sz w:val="32"/>
          <w:szCs w:val="32"/>
        </w:rPr>
        <w:t>1900.19</w:t>
      </w:r>
      <w:r>
        <w:rPr>
          <w:rFonts w:hint="default" w:ascii="Times New Roman" w:hAnsi="Times New Roman" w:eastAsia="方正仿宋_GBK" w:cs="Times New Roman"/>
          <w:sz w:val="32"/>
          <w:szCs w:val="32"/>
          <w:shd w:val="clear" w:color="auto" w:fill="FFFFFF"/>
        </w:rPr>
        <w:t>万元，较上年决算数增加1900.19万元，增长100.00%，主要原因是</w:t>
      </w:r>
      <w:r>
        <w:rPr>
          <w:rFonts w:hint="default" w:ascii="Times New Roman" w:hAnsi="Times New Roman" w:eastAsia="方正仿宋_GBK" w:cs="Times New Roman"/>
          <w:sz w:val="32"/>
          <w:szCs w:val="32"/>
          <w:shd w:val="clear" w:color="auto" w:fill="FFFFFF"/>
          <w:lang w:val="en-US" w:eastAsia="zh-CN"/>
        </w:rPr>
        <w:t>2023年财政拨改扩建项目款1900.19万元。</w:t>
      </w:r>
      <w:r>
        <w:rPr>
          <w:rFonts w:hint="default" w:ascii="Times New Roman" w:hAnsi="Times New Roman" w:eastAsia="方正仿宋_GBK" w:cs="Times New Roman"/>
          <w:sz w:val="32"/>
          <w:szCs w:val="32"/>
          <w:shd w:val="clear" w:color="auto" w:fill="FFFFFF"/>
        </w:rPr>
        <w:t>本年支出</w:t>
      </w:r>
      <w:r>
        <w:rPr>
          <w:rFonts w:hint="default" w:ascii="Times New Roman" w:hAnsi="Times New Roman" w:eastAsia="方正仿宋_GBK" w:cs="Times New Roman"/>
          <w:sz w:val="32"/>
          <w:szCs w:val="32"/>
        </w:rPr>
        <w:t>1900.19</w:t>
      </w:r>
      <w:r>
        <w:rPr>
          <w:rFonts w:hint="default" w:ascii="Times New Roman" w:hAnsi="Times New Roman" w:eastAsia="方正仿宋_GBK" w:cs="Times New Roman"/>
          <w:sz w:val="32"/>
          <w:szCs w:val="32"/>
          <w:shd w:val="clear" w:color="auto" w:fill="FFFFFF"/>
        </w:rPr>
        <w:t>万元，较上年决算数减少1099.81万元，下降36.66%，主要原因是</w:t>
      </w:r>
      <w:r>
        <w:rPr>
          <w:rFonts w:hint="default" w:ascii="Times New Roman" w:hAnsi="Times New Roman" w:eastAsia="方正仿宋_GBK" w:cs="Times New Roman"/>
          <w:sz w:val="32"/>
          <w:szCs w:val="32"/>
          <w:shd w:val="clear" w:color="auto" w:fill="FFFFFF"/>
          <w:lang w:val="en-US" w:eastAsia="zh-CN"/>
        </w:rPr>
        <w:t>2023年财政拨改扩建项目款</w:t>
      </w:r>
      <w:r>
        <w:rPr>
          <w:rFonts w:hint="eastAsia" w:ascii="Times New Roman" w:hAnsi="Times New Roman" w:eastAsia="方正仿宋_GBK" w:cs="Times New Roman"/>
          <w:sz w:val="32"/>
          <w:szCs w:val="32"/>
          <w:shd w:val="clear" w:color="auto" w:fill="FFFFFF"/>
          <w:lang w:val="en-US" w:eastAsia="zh-CN"/>
        </w:rPr>
        <w:t>减少。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shd w:val="clear" w:color="auto" w:fill="FFFFFF"/>
          <w:lang w:val="en-US" w:eastAsia="zh-CN"/>
        </w:rPr>
        <w:t>我中心</w:t>
      </w:r>
      <w:r>
        <w:rPr>
          <w:rFonts w:hint="default" w:ascii="Times New Roman" w:hAnsi="Times New Roman" w:eastAsia="方正仿宋_GBK" w:cs="Times New Roman"/>
          <w:sz w:val="32"/>
          <w:szCs w:val="32"/>
          <w:shd w:val="clear" w:color="auto" w:fill="FFFFFF"/>
          <w:lang w:val="en-US" w:eastAsia="zh-CN"/>
        </w:rPr>
        <w:t>2023年度无国有资本经营预算财政拨款支出。</w:t>
      </w:r>
    </w:p>
    <w:p>
      <w:pPr>
        <w:pStyle w:val="8"/>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“三公”经费情况说明</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2023年度“三公”经费支出共计</w:t>
      </w:r>
      <w:r>
        <w:rPr>
          <w:rFonts w:hint="default" w:ascii="Times New Roman" w:hAnsi="Times New Roman" w:eastAsia="方正仿宋_GBK" w:cs="Times New Roman"/>
          <w:sz w:val="32"/>
          <w:szCs w:val="32"/>
        </w:rPr>
        <w:t>0.30</w:t>
      </w:r>
      <w:r>
        <w:rPr>
          <w:rFonts w:hint="default" w:ascii="Times New Roman" w:hAnsi="Times New Roman" w:eastAsia="方正仿宋_GBK" w:cs="Times New Roman"/>
          <w:sz w:val="32"/>
          <w:szCs w:val="32"/>
          <w:shd w:val="clear" w:color="auto" w:fill="FFFFFF"/>
        </w:rPr>
        <w:t>万元，较年初预算数增加0.30万元，增长100.00%，主要原因是</w:t>
      </w:r>
      <w:r>
        <w:rPr>
          <w:rFonts w:hint="default" w:ascii="Times New Roman" w:hAnsi="Times New Roman" w:eastAsia="方正仿宋_GBK" w:cs="Times New Roman"/>
          <w:sz w:val="32"/>
          <w:szCs w:val="32"/>
          <w:shd w:val="clear" w:color="auto" w:fill="FFFFFF"/>
          <w:lang w:val="en-US" w:eastAsia="zh-CN"/>
        </w:rPr>
        <w:t>单位公务用车运行维护费0.30万元，用于单位公务用车日常维护保养，与年初做预算时的统计口径有异。</w:t>
      </w:r>
      <w:r>
        <w:rPr>
          <w:rFonts w:hint="default" w:ascii="Times New Roman" w:hAnsi="Times New Roman" w:eastAsia="方正仿宋_GBK" w:cs="Times New Roman"/>
          <w:sz w:val="32"/>
          <w:szCs w:val="32"/>
          <w:shd w:val="clear" w:color="auto" w:fill="FFFFFF"/>
        </w:rPr>
        <w:t>较上年支出数增加0.30万元，增长100.00%，主要原因是</w:t>
      </w:r>
      <w:r>
        <w:rPr>
          <w:rFonts w:hint="default" w:ascii="Times New Roman" w:hAnsi="Times New Roman" w:eastAsia="方正仿宋_GBK" w:cs="Times New Roman"/>
          <w:sz w:val="32"/>
          <w:szCs w:val="32"/>
          <w:shd w:val="clear" w:color="auto" w:fill="FFFFFF"/>
          <w:lang w:val="en-US" w:eastAsia="zh-CN"/>
        </w:rPr>
        <w:t>单位公务用车运行维护费0.30万元，用于单位公务用车日常维护保养，与上年做决算时的统计口径有异。</w:t>
      </w:r>
    </w:p>
    <w:p>
      <w:pPr>
        <w:pStyle w:val="13"/>
        <w:keepNext w:val="0"/>
        <w:keepLines w:val="0"/>
        <w:pageBreakBefore w:val="0"/>
        <w:widowControl/>
        <w:numPr>
          <w:ilvl w:val="0"/>
          <w:numId w:val="2"/>
        </w:numPr>
        <w:kinsoku/>
        <w:wordWrap/>
        <w:overflowPunct/>
        <w:topLinePunct w:val="0"/>
        <w:autoSpaceDE w:val="0"/>
        <w:autoSpaceDN/>
        <w:bidi w:val="0"/>
        <w:adjustRightInd/>
        <w:snapToGrid/>
        <w:spacing w:beforeAutospacing="0" w:afterAutospacing="0" w:line="560" w:lineRule="exact"/>
        <w:ind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ascii="Times New Roman" w:hAnsi="Times New Roman" w:eastAsia="方正仿宋_GBK" w:cs="方正仿宋_GBK"/>
          <w:sz w:val="32"/>
          <w:szCs w:val="32"/>
          <w:shd w:val="clear" w:color="auto" w:fill="FFFFFF"/>
        </w:rPr>
        <w:t>2023年度本单位</w:t>
      </w:r>
      <w:r>
        <w:rPr>
          <w:rFonts w:hint="default" w:ascii="Times New Roman" w:hAnsi="Times New Roman" w:eastAsia="方正仿宋_GBK" w:cs="Times New Roman"/>
          <w:sz w:val="32"/>
          <w:szCs w:val="32"/>
          <w:shd w:val="clear" w:color="auto" w:fill="FFFFFF"/>
        </w:rPr>
        <w:t>公务车运行维护费</w:t>
      </w:r>
      <w:r>
        <w:rPr>
          <w:rFonts w:hint="default" w:ascii="Times New Roman" w:hAnsi="Times New Roman" w:eastAsia="方正仿宋_GBK" w:cs="Times New Roman"/>
          <w:sz w:val="32"/>
          <w:szCs w:val="32"/>
        </w:rPr>
        <w:t>0.30</w:t>
      </w:r>
      <w:r>
        <w:rPr>
          <w:rFonts w:hint="default" w:ascii="Times New Roman" w:hAnsi="Times New Roman" w:eastAsia="方正仿宋_GBK" w:cs="Times New Roman"/>
          <w:sz w:val="32"/>
          <w:szCs w:val="32"/>
          <w:shd w:val="clear" w:color="auto" w:fill="FFFFFF"/>
        </w:rPr>
        <w:t>万元，主要用于</w:t>
      </w:r>
      <w:r>
        <w:rPr>
          <w:rFonts w:hint="default" w:ascii="Times New Roman" w:hAnsi="Times New Roman" w:eastAsia="方正仿宋_GBK" w:cs="Times New Roman"/>
          <w:sz w:val="32"/>
          <w:szCs w:val="32"/>
          <w:shd w:val="clear" w:color="auto" w:fill="FFFFFF"/>
          <w:lang w:val="en-US" w:eastAsia="zh-CN"/>
        </w:rPr>
        <w:t>单位车辆日常维修维护保养。</w:t>
      </w:r>
      <w:r>
        <w:rPr>
          <w:rFonts w:hint="default" w:ascii="Times New Roman" w:hAnsi="Times New Roman" w:eastAsia="方正仿宋_GBK" w:cs="Times New Roman"/>
          <w:sz w:val="32"/>
          <w:szCs w:val="32"/>
          <w:shd w:val="clear" w:color="auto" w:fill="FFFFFF"/>
        </w:rPr>
        <w:t>费用支出较年初预算数增加0.30万元，增长100.00%，主要原因是</w:t>
      </w:r>
      <w:r>
        <w:rPr>
          <w:rFonts w:hint="default" w:ascii="Times New Roman" w:hAnsi="Times New Roman" w:eastAsia="方正仿宋_GBK" w:cs="Times New Roman"/>
          <w:sz w:val="32"/>
          <w:szCs w:val="32"/>
          <w:shd w:val="clear" w:color="auto" w:fill="FFFFFF"/>
          <w:lang w:val="en-US" w:eastAsia="zh-CN"/>
        </w:rPr>
        <w:t>与年初做预算时的统计口径有异。</w:t>
      </w:r>
      <w:r>
        <w:rPr>
          <w:rFonts w:hint="default" w:ascii="Times New Roman" w:hAnsi="Times New Roman" w:eastAsia="方正仿宋_GBK" w:cs="Times New Roman"/>
          <w:sz w:val="32"/>
          <w:szCs w:val="32"/>
          <w:shd w:val="clear" w:color="auto" w:fill="FFFFFF"/>
        </w:rPr>
        <w:t>较上年支出数增加0.30万元，增长100.00%，主要原因是</w:t>
      </w:r>
      <w:r>
        <w:rPr>
          <w:rFonts w:hint="default" w:ascii="Times New Roman" w:hAnsi="Times New Roman" w:eastAsia="方正仿宋_GBK" w:cs="Times New Roman"/>
          <w:sz w:val="32"/>
          <w:szCs w:val="32"/>
          <w:shd w:val="clear" w:color="auto" w:fill="FFFFFF"/>
          <w:lang w:val="en-US" w:eastAsia="zh-CN"/>
        </w:rPr>
        <w:t>与上年做决算时的统计口径有异。</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lang w:val="en-US" w:eastAsia="zh-CN"/>
        </w:rPr>
        <w:t>2023年我中心无</w:t>
      </w:r>
      <w:r>
        <w:rPr>
          <w:rFonts w:hint="default" w:ascii="Times New Roman" w:hAnsi="Times New Roman" w:eastAsia="方正仿宋_GBK" w:cs="Times New Roman"/>
          <w:sz w:val="32"/>
          <w:szCs w:val="32"/>
          <w:shd w:val="clear" w:color="auto" w:fill="FFFFFF"/>
        </w:rPr>
        <w:t>公务接待费</w:t>
      </w:r>
      <w:r>
        <w:rPr>
          <w:rFonts w:hint="eastAsia" w:ascii="Times New Roman" w:hAnsi="Times New Roman" w:eastAsia="方正仿宋_GBK" w:cs="Times New Roman"/>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w:t>
      </w:r>
      <w:r>
        <w:rPr>
          <w:rFonts w:hint="eastAsia" w:ascii="Times New Roman" w:hAnsi="Times New Roman" w:eastAsia="方正仿宋_GBK" w:cs="Times New Roman"/>
          <w:sz w:val="32"/>
          <w:szCs w:val="32"/>
          <w:shd w:val="clear" w:color="auto" w:fill="FFFFFF"/>
          <w:lang w:eastAsia="zh-CN"/>
        </w:rPr>
        <w:t>我</w:t>
      </w:r>
      <w:r>
        <w:rPr>
          <w:rFonts w:hint="eastAsia" w:ascii="Times New Roman" w:hAnsi="Times New Roman" w:eastAsia="方正仿宋_GBK" w:cs="Times New Roman"/>
          <w:sz w:val="32"/>
          <w:szCs w:val="32"/>
          <w:shd w:val="clear" w:color="auto" w:fill="FFFFFF"/>
          <w:lang w:val="en-US" w:eastAsia="zh-CN"/>
        </w:rPr>
        <w:t>中心</w:t>
      </w:r>
      <w:r>
        <w:rPr>
          <w:rFonts w:hint="default" w:ascii="Times New Roman" w:hAnsi="Times New Roman" w:eastAsia="方正仿宋_GBK" w:cs="Times New Roman"/>
          <w:sz w:val="32"/>
          <w:szCs w:val="32"/>
          <w:shd w:val="clear" w:color="auto" w:fill="FFFFFF"/>
        </w:rPr>
        <w:t>因公出国（境）共计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个团组，</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人；公务用车购置</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辆，公务车保有量为</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辆；国内公务接待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人，其中：国内外事接待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人；国（境）外公务接待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人。2023年</w:t>
      </w:r>
      <w:r>
        <w:rPr>
          <w:rFonts w:hint="eastAsia" w:ascii="Times New Roman" w:hAnsi="Times New Roman" w:eastAsia="方正仿宋_GBK" w:cs="Times New Roman"/>
          <w:sz w:val="32"/>
          <w:szCs w:val="32"/>
          <w:shd w:val="clear" w:color="auto" w:fill="FFFFFF"/>
          <w:lang w:eastAsia="zh-CN"/>
        </w:rPr>
        <w:t>我</w:t>
      </w:r>
      <w:r>
        <w:rPr>
          <w:rFonts w:hint="eastAsia" w:ascii="Times New Roman" w:hAnsi="Times New Roman" w:eastAsia="方正仿宋_GBK" w:cs="Times New Roman"/>
          <w:sz w:val="32"/>
          <w:szCs w:val="32"/>
          <w:shd w:val="clear" w:color="auto" w:fill="FFFFFF"/>
          <w:lang w:val="en-US" w:eastAsia="zh-CN"/>
        </w:rPr>
        <w:t>中心</w:t>
      </w:r>
      <w:r>
        <w:rPr>
          <w:rFonts w:hint="default" w:ascii="Times New Roman" w:hAnsi="Times New Roman" w:eastAsia="方正仿宋_GBK" w:cs="Times New Roman"/>
          <w:sz w:val="32"/>
          <w:szCs w:val="32"/>
          <w:shd w:val="clear" w:color="auto" w:fill="FFFFFF"/>
        </w:rPr>
        <w:t>人均接待费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lang w:val="en-US" w:eastAsia="zh-CN"/>
        </w:rPr>
        <w:t>.00</w:t>
      </w:r>
      <w:r>
        <w:rPr>
          <w:rFonts w:hint="default" w:ascii="Times New Roman" w:hAnsi="Times New Roman" w:eastAsia="方正仿宋_GBK" w:cs="Times New Roman"/>
          <w:sz w:val="32"/>
          <w:szCs w:val="32"/>
          <w:shd w:val="clear" w:color="auto" w:fill="FFFFFF"/>
        </w:rPr>
        <w:t>元，车均购置费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lang w:val="en-US" w:eastAsia="zh-CN"/>
        </w:rPr>
        <w:t>.00</w:t>
      </w:r>
      <w:r>
        <w:rPr>
          <w:rFonts w:hint="default" w:ascii="Times New Roman" w:hAnsi="Times New Roman" w:eastAsia="方正仿宋_GBK" w:cs="Times New Roman"/>
          <w:sz w:val="32"/>
          <w:szCs w:val="32"/>
          <w:shd w:val="clear" w:color="auto" w:fill="FFFFFF"/>
        </w:rPr>
        <w:t>万元，车均维护费</w:t>
      </w:r>
      <w:r>
        <w:rPr>
          <w:rFonts w:hint="default" w:ascii="Times New Roman" w:hAnsi="Times New Roman" w:eastAsia="方正仿宋_GBK" w:cs="Times New Roman"/>
          <w:sz w:val="32"/>
          <w:szCs w:val="32"/>
        </w:rPr>
        <w:t>0.15</w:t>
      </w:r>
      <w:r>
        <w:rPr>
          <w:rFonts w:hint="default" w:ascii="Times New Roman" w:hAnsi="Times New Roman" w:eastAsia="方正仿宋_GBK" w:cs="Times New Roman"/>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四、其他需要说明的事项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（一）财政拨款会议费和培训费情况说明</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highlight w:val="none"/>
          <w:shd w:val="clear" w:fill="FFFFFF"/>
        </w:rPr>
        <w:t>财政未保障</w:t>
      </w:r>
      <w:r>
        <w:rPr>
          <w:rFonts w:hint="eastAsia" w:ascii="Times New Roman" w:hAnsi="Times New Roman" w:eastAsia="方正仿宋_GBK" w:cs="Times New Roman"/>
          <w:sz w:val="32"/>
          <w:szCs w:val="32"/>
          <w:highlight w:val="none"/>
          <w:shd w:val="clear" w:fill="FFFFFF"/>
          <w:lang w:eastAsia="zh-CN"/>
        </w:rPr>
        <w:t>我</w:t>
      </w:r>
      <w:r>
        <w:rPr>
          <w:rFonts w:hint="eastAsia" w:ascii="Times New Roman" w:hAnsi="Times New Roman" w:eastAsia="方正仿宋_GBK" w:cs="Times New Roman"/>
          <w:sz w:val="32"/>
          <w:szCs w:val="32"/>
          <w:highlight w:val="none"/>
          <w:shd w:val="clear" w:fill="FFFFFF"/>
          <w:lang w:val="en-US" w:eastAsia="zh-CN"/>
        </w:rPr>
        <w:t>中心</w:t>
      </w:r>
      <w:r>
        <w:rPr>
          <w:rFonts w:hint="default" w:ascii="Times New Roman" w:hAnsi="Times New Roman" w:eastAsia="方正仿宋_GBK" w:cs="Times New Roman"/>
          <w:sz w:val="32"/>
          <w:szCs w:val="32"/>
          <w:highlight w:val="none"/>
          <w:shd w:val="clear" w:fill="FFFFFF"/>
        </w:rPr>
        <w:t>会议费和培训费。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（二）机关运行经费情况说明</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0" w:firstLineChars="200"/>
        <w:textAlignment w:val="auto"/>
        <w:outlineLvl w:val="9"/>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sz w:val="32"/>
          <w:szCs w:val="32"/>
          <w:highlight w:val="none"/>
          <w:shd w:val="clear" w:fill="FFFFFF"/>
        </w:rPr>
        <w:t>按照部门决算列报口径，</w:t>
      </w:r>
      <w:r>
        <w:rPr>
          <w:rFonts w:hint="default" w:ascii="Times New Roman" w:hAnsi="Times New Roman" w:eastAsia="方正仿宋_GBK" w:cs="Times New Roman"/>
          <w:sz w:val="32"/>
          <w:szCs w:val="32"/>
          <w:highlight w:val="none"/>
          <w:shd w:val="clear" w:fill="FFFFFF"/>
          <w:lang w:eastAsia="zh-CN"/>
        </w:rPr>
        <w:t>我</w:t>
      </w:r>
      <w:r>
        <w:rPr>
          <w:rFonts w:hint="eastAsia" w:ascii="Times New Roman" w:hAnsi="Times New Roman" w:eastAsia="方正仿宋_GBK" w:cs="Times New Roman"/>
          <w:sz w:val="32"/>
          <w:szCs w:val="32"/>
          <w:highlight w:val="none"/>
          <w:shd w:val="clear" w:fill="FFFFFF"/>
          <w:lang w:val="en-US" w:eastAsia="zh-CN"/>
        </w:rPr>
        <w:t>中心</w:t>
      </w:r>
      <w:r>
        <w:rPr>
          <w:rFonts w:hint="default" w:ascii="Times New Roman" w:hAnsi="Times New Roman" w:eastAsia="方正仿宋_GBK" w:cs="Times New Roman"/>
          <w:sz w:val="32"/>
          <w:szCs w:val="32"/>
          <w:highlight w:val="none"/>
          <w:shd w:val="clear" w:fill="FFFFFF"/>
        </w:rPr>
        <w:t>不在机关运行经费统计范围之内。</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截至2023年12月31日，</w:t>
      </w:r>
      <w:r>
        <w:rPr>
          <w:rFonts w:hint="eastAsia" w:ascii="Times New Roman" w:hAnsi="Times New Roman" w:eastAsia="方正仿宋_GBK" w:cs="Times New Roman"/>
          <w:sz w:val="32"/>
          <w:szCs w:val="32"/>
          <w:shd w:val="clear" w:color="auto" w:fill="FFFFFF"/>
          <w:lang w:eastAsia="zh-CN"/>
        </w:rPr>
        <w:t>我</w:t>
      </w:r>
      <w:r>
        <w:rPr>
          <w:rFonts w:hint="eastAsia" w:ascii="Times New Roman" w:hAnsi="Times New Roman" w:eastAsia="方正仿宋_GBK" w:cs="Times New Roman"/>
          <w:sz w:val="32"/>
          <w:szCs w:val="32"/>
          <w:shd w:val="clear" w:color="auto" w:fill="FFFFFF"/>
          <w:lang w:val="en-US" w:eastAsia="zh-CN"/>
        </w:rPr>
        <w:t>中心</w:t>
      </w:r>
      <w:r>
        <w:rPr>
          <w:rFonts w:hint="default" w:ascii="Times New Roman" w:hAnsi="Times New Roman" w:eastAsia="方正仿宋_GBK" w:cs="Times New Roman"/>
          <w:sz w:val="32"/>
          <w:szCs w:val="32"/>
          <w:shd w:val="clear" w:color="auto" w:fill="FFFFFF"/>
        </w:rPr>
        <w:t>共有车辆</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辆，其中，副部（省）级及以上领导用车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辆、主要负责人用车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辆、机要通信用车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辆、应急保障用车</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辆、执法执勤用车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辆，特种专业技术用车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辆，离退休干部用车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辆。单价100</w:t>
      </w:r>
      <w:r>
        <w:rPr>
          <w:rFonts w:hint="default" w:ascii="Times New Roman" w:hAnsi="Times New Roman" w:eastAsia="方正仿宋_GBK" w:cs="Times New Roman"/>
          <w:sz w:val="32"/>
          <w:szCs w:val="32"/>
          <w:shd w:val="clear" w:color="auto" w:fill="FFFFFF"/>
          <w:lang w:val="en-US" w:eastAsia="zh-CN"/>
        </w:rPr>
        <w:t>.00</w:t>
      </w:r>
      <w:r>
        <w:rPr>
          <w:rFonts w:hint="default" w:ascii="Times New Roman" w:hAnsi="Times New Roman" w:eastAsia="方正仿宋_GBK" w:cs="Times New Roman"/>
          <w:sz w:val="32"/>
          <w:szCs w:val="32"/>
          <w:shd w:val="clear" w:color="auto" w:fill="FFFFFF"/>
        </w:rPr>
        <w:t>万元（含）以上专用设备</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台（套）。</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2023年度</w:t>
      </w:r>
      <w:r>
        <w:rPr>
          <w:rFonts w:hint="eastAsia" w:ascii="Times New Roman" w:hAnsi="Times New Roman" w:eastAsia="方正仿宋_GBK" w:cs="Times New Roman"/>
          <w:sz w:val="32"/>
          <w:szCs w:val="32"/>
          <w:shd w:val="clear" w:color="auto" w:fill="FFFFFF"/>
          <w:lang w:eastAsia="zh-CN"/>
        </w:rPr>
        <w:t>我</w:t>
      </w:r>
      <w:r>
        <w:rPr>
          <w:rFonts w:hint="eastAsia" w:ascii="Times New Roman" w:hAnsi="Times New Roman" w:eastAsia="方正仿宋_GBK" w:cs="Times New Roman"/>
          <w:sz w:val="32"/>
          <w:szCs w:val="32"/>
          <w:shd w:val="clear" w:color="auto" w:fill="FFFFFF"/>
          <w:lang w:val="en-US" w:eastAsia="zh-CN"/>
        </w:rPr>
        <w:t>中心</w:t>
      </w:r>
      <w:r>
        <w:rPr>
          <w:rFonts w:hint="default" w:ascii="Times New Roman" w:hAnsi="Times New Roman" w:eastAsia="方正仿宋_GBK" w:cs="Times New Roman"/>
          <w:sz w:val="32"/>
          <w:szCs w:val="32"/>
          <w:shd w:val="clear" w:color="auto" w:fill="FFFFFF"/>
        </w:rPr>
        <w:t>政府采购支出总额</w:t>
      </w:r>
      <w:r>
        <w:rPr>
          <w:rFonts w:hint="default" w:ascii="Times New Roman" w:hAnsi="Times New Roman" w:eastAsia="方正仿宋_GBK" w:cs="Times New Roman"/>
          <w:sz w:val="32"/>
          <w:szCs w:val="32"/>
        </w:rPr>
        <w:t>1.35</w:t>
      </w:r>
      <w:r>
        <w:rPr>
          <w:rFonts w:hint="default" w:ascii="Times New Roman" w:hAnsi="Times New Roman" w:eastAsia="方正仿宋_GBK" w:cs="Times New Roman"/>
          <w:sz w:val="32"/>
          <w:szCs w:val="32"/>
          <w:shd w:val="clear" w:color="auto" w:fill="FFFFFF"/>
        </w:rPr>
        <w:t>万元，其中：政府采购货物支出</w:t>
      </w:r>
      <w:r>
        <w:rPr>
          <w:rFonts w:hint="default" w:ascii="Times New Roman" w:hAnsi="Times New Roman" w:eastAsia="方正仿宋_GBK" w:cs="Times New Roman"/>
          <w:sz w:val="32"/>
          <w:szCs w:val="32"/>
        </w:rPr>
        <w:t>1.35</w:t>
      </w:r>
      <w:r>
        <w:rPr>
          <w:rFonts w:hint="default" w:ascii="Times New Roman" w:hAnsi="Times New Roman" w:eastAsia="方正仿宋_GBK" w:cs="Times New Roman"/>
          <w:sz w:val="32"/>
          <w:szCs w:val="32"/>
          <w:shd w:val="clear" w:color="auto" w:fill="FFFFFF"/>
        </w:rPr>
        <w:t>万元、政府采购工程支出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万元、政府采购服务支出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万元。授予中小企业合同金额</w:t>
      </w:r>
      <w:r>
        <w:rPr>
          <w:rFonts w:hint="default" w:ascii="Times New Roman" w:hAnsi="Times New Roman" w:eastAsia="方正仿宋_GBK" w:cs="Times New Roman"/>
          <w:sz w:val="32"/>
          <w:szCs w:val="32"/>
        </w:rPr>
        <w:t>1.35万</w:t>
      </w:r>
      <w:r>
        <w:rPr>
          <w:rFonts w:hint="default" w:ascii="Times New Roman" w:hAnsi="Times New Roman" w:eastAsia="方正仿宋_GBK" w:cs="Times New Roman"/>
          <w:sz w:val="32"/>
          <w:szCs w:val="32"/>
          <w:shd w:val="clear" w:color="auto" w:fill="FFFFFF"/>
        </w:rPr>
        <w:t>元，占政府采购支出总额的</w:t>
      </w:r>
      <w:r>
        <w:rPr>
          <w:rFonts w:hint="default" w:ascii="Times New Roman" w:hAnsi="Times New Roman" w:eastAsia="方正仿宋_GBK" w:cs="Times New Roman"/>
          <w:sz w:val="32"/>
          <w:szCs w:val="32"/>
        </w:rPr>
        <w:t>100.00</w:t>
      </w:r>
      <w:r>
        <w:rPr>
          <w:rFonts w:hint="default" w:ascii="Times New Roman" w:hAnsi="Times New Roman" w:eastAsia="方正仿宋_GBK" w:cs="Times New Roman"/>
          <w:sz w:val="32"/>
          <w:szCs w:val="32"/>
          <w:shd w:val="clear" w:color="auto" w:fill="FFFFFF"/>
        </w:rPr>
        <w:t>%，其中：授予小微企业合同金额</w:t>
      </w:r>
      <w:r>
        <w:rPr>
          <w:rFonts w:hint="default" w:ascii="Times New Roman" w:hAnsi="Times New Roman" w:eastAsia="方正仿宋_GBK" w:cs="Times New Roman"/>
          <w:sz w:val="32"/>
          <w:szCs w:val="32"/>
        </w:rPr>
        <w:t>1.35</w:t>
      </w:r>
      <w:r>
        <w:rPr>
          <w:rFonts w:hint="default" w:ascii="Times New Roman" w:hAnsi="Times New Roman" w:eastAsia="方正仿宋_GBK" w:cs="Times New Roman"/>
          <w:sz w:val="32"/>
          <w:szCs w:val="32"/>
          <w:shd w:val="clear" w:color="auto" w:fill="FFFFFF"/>
        </w:rPr>
        <w:t>万元，占政府采购支出总额的</w:t>
      </w:r>
      <w:r>
        <w:rPr>
          <w:rFonts w:hint="default" w:ascii="Times New Roman" w:hAnsi="Times New Roman" w:eastAsia="方正仿宋_GBK" w:cs="Times New Roman"/>
          <w:sz w:val="32"/>
          <w:szCs w:val="32"/>
        </w:rPr>
        <w:t>100.00</w:t>
      </w:r>
      <w:r>
        <w:rPr>
          <w:rFonts w:hint="default" w:ascii="Times New Roman" w:hAnsi="Times New Roman" w:eastAsia="方正仿宋_GBK" w:cs="Times New Roman"/>
          <w:sz w:val="32"/>
          <w:szCs w:val="32"/>
          <w:shd w:val="clear" w:color="auto" w:fill="FFFFFF"/>
        </w:rPr>
        <w:t>%。主要用于采购</w:t>
      </w:r>
      <w:r>
        <w:rPr>
          <w:rFonts w:hint="default" w:ascii="Times New Roman" w:hAnsi="Times New Roman" w:eastAsia="方正仿宋_GBK" w:cs="Times New Roman"/>
          <w:sz w:val="32"/>
          <w:szCs w:val="32"/>
          <w:shd w:val="clear" w:color="auto" w:fill="FFFFFF"/>
          <w:lang w:val="en-US" w:eastAsia="zh-CN"/>
        </w:rPr>
        <w:t>办公电脑。</w:t>
      </w:r>
    </w:p>
    <w:p>
      <w:pPr>
        <w:pStyle w:val="8"/>
        <w:keepNext w:val="0"/>
        <w:keepLines w:val="0"/>
        <w:pageBreakBefore w:val="0"/>
        <w:widowControl/>
        <w:numPr>
          <w:ilvl w:val="0"/>
          <w:numId w:val="3"/>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14"/>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根据预算绩效管理要求，我</w:t>
      </w:r>
      <w:r>
        <w:rPr>
          <w:rFonts w:hint="eastAsia" w:ascii="Times New Roman" w:hAnsi="Times New Roman" w:eastAsia="方正仿宋_GBK" w:cs="Times New Roman"/>
          <w:sz w:val="32"/>
          <w:szCs w:val="32"/>
          <w:shd w:val="clear" w:color="auto" w:fill="FFFFFF"/>
          <w:lang w:val="en-US" w:eastAsia="zh-CN"/>
        </w:rPr>
        <w:t>中心</w:t>
      </w:r>
      <w:r>
        <w:rPr>
          <w:rFonts w:hint="default" w:ascii="Times New Roman" w:hAnsi="Times New Roman" w:eastAsia="方正仿宋_GBK" w:cs="Times New Roman"/>
          <w:sz w:val="32"/>
          <w:szCs w:val="32"/>
          <w:shd w:val="clear" w:color="auto" w:fill="FFFFFF"/>
        </w:rPr>
        <w:t>对</w:t>
      </w:r>
      <w:r>
        <w:rPr>
          <w:rFonts w:hint="default" w:ascii="Times New Roman" w:hAnsi="Times New Roman" w:eastAsia="方正仿宋_GBK" w:cs="Times New Roman"/>
          <w:sz w:val="32"/>
          <w:szCs w:val="32"/>
          <w:shd w:val="clear" w:color="auto" w:fill="FFFFFF"/>
          <w:lang w:val="en-US" w:eastAsia="zh-CN"/>
        </w:rPr>
        <w:t>五</w:t>
      </w:r>
      <w:r>
        <w:rPr>
          <w:rFonts w:hint="default" w:ascii="Times New Roman" w:hAnsi="Times New Roman" w:eastAsia="方正仿宋_GBK" w:cs="Times New Roman"/>
          <w:sz w:val="32"/>
          <w:szCs w:val="32"/>
          <w:shd w:val="clear" w:color="auto" w:fill="FFFFFF"/>
        </w:rPr>
        <w:t>个二级项目开展了绩效自评，涉及财政拨款项目支出资金</w:t>
      </w:r>
      <w:r>
        <w:rPr>
          <w:rFonts w:hint="eastAsia" w:ascii="Times New Roman" w:hAnsi="Times New Roman" w:eastAsia="方正仿宋_GBK" w:cs="Times New Roman"/>
          <w:sz w:val="32"/>
          <w:szCs w:val="32"/>
          <w:shd w:val="clear" w:color="auto" w:fill="FFFFFF"/>
          <w:lang w:val="en-US" w:eastAsia="zh-CN"/>
        </w:rPr>
        <w:t>2776.48</w:t>
      </w:r>
      <w:r>
        <w:rPr>
          <w:rFonts w:hint="default" w:ascii="Times New Roman" w:hAnsi="Times New Roman" w:eastAsia="方正仿宋_GBK" w:cs="Times New Roman"/>
          <w:sz w:val="32"/>
          <w:szCs w:val="32"/>
          <w:shd w:val="clear" w:color="auto" w:fill="FFFFFF"/>
        </w:rPr>
        <w:t>万元</w:t>
      </w:r>
      <w:r>
        <w:rPr>
          <w:rFonts w:hint="default" w:ascii="Times New Roman" w:hAnsi="Times New Roman" w:eastAsia="方正仿宋_GBK" w:cs="Times New Roman"/>
          <w:sz w:val="32"/>
          <w:szCs w:val="32"/>
          <w:shd w:val="clear" w:color="auto" w:fill="FFFFFF"/>
          <w:lang w:eastAsia="zh-CN"/>
        </w:rPr>
        <w:t>。</w:t>
      </w:r>
    </w:p>
    <w:tbl>
      <w:tblPr>
        <w:tblStyle w:val="11"/>
        <w:tblpPr w:leftFromText="180" w:rightFromText="180" w:vertAnchor="text" w:horzAnchor="page" w:tblpXSpec="center" w:tblpY="471"/>
        <w:tblOverlap w:val="never"/>
        <w:tblW w:w="8843" w:type="dxa"/>
        <w:jc w:val="center"/>
        <w:tblInd w:w="0" w:type="dxa"/>
        <w:tblLayout w:type="fixed"/>
        <w:tblCellMar>
          <w:top w:w="0" w:type="dxa"/>
          <w:left w:w="108" w:type="dxa"/>
          <w:bottom w:w="0" w:type="dxa"/>
          <w:right w:w="108" w:type="dxa"/>
        </w:tblCellMar>
      </w:tblPr>
      <w:tblGrid>
        <w:gridCol w:w="600"/>
        <w:gridCol w:w="881"/>
        <w:gridCol w:w="1952"/>
        <w:gridCol w:w="717"/>
        <w:gridCol w:w="683"/>
        <w:gridCol w:w="473"/>
        <w:gridCol w:w="825"/>
        <w:gridCol w:w="863"/>
        <w:gridCol w:w="618"/>
        <w:gridCol w:w="544"/>
        <w:gridCol w:w="687"/>
      </w:tblGrid>
      <w:tr>
        <w:tblPrEx>
          <w:tblLayout w:type="fixed"/>
          <w:tblCellMar>
            <w:top w:w="0" w:type="dxa"/>
            <w:left w:w="108" w:type="dxa"/>
            <w:bottom w:w="0" w:type="dxa"/>
            <w:right w:w="108" w:type="dxa"/>
          </w:tblCellMar>
        </w:tblPrEx>
        <w:trPr>
          <w:trHeight w:val="780" w:hRule="atLeast"/>
          <w:jc w:val="center"/>
        </w:trPr>
        <w:tc>
          <w:tcPr>
            <w:tcW w:w="8843" w:type="dxa"/>
            <w:gridSpan w:val="11"/>
            <w:tcBorders>
              <w:top w:val="nil"/>
              <w:left w:val="nil"/>
              <w:bottom w:val="single" w:color="000000" w:sz="4" w:space="0"/>
              <w:right w:val="nil"/>
            </w:tcBorders>
            <w:vAlign w:val="center"/>
          </w:tcPr>
          <w:p>
            <w:pPr>
              <w:keepNext w:val="0"/>
              <w:keepLines w:val="0"/>
              <w:widowControl/>
              <w:suppressLineNumbers w:val="0"/>
              <w:ind w:firstLine="1920" w:firstLineChars="6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秀山土家族苗族自治县精神卫生中心</w:t>
            </w:r>
          </w:p>
          <w:p>
            <w:pPr>
              <w:widowControl/>
              <w:ind w:firstLine="640" w:firstLineChars="200"/>
              <w:jc w:val="center"/>
              <w:textAlignment w:val="center"/>
              <w:rPr>
                <w:rFonts w:hint="default" w:ascii="Times New Roman" w:hAnsi="Times New Roman" w:eastAsia="方正小标宋_GBK" w:cs="Times New Roman"/>
                <w:b w:val="0"/>
                <w:bCs w:val="0"/>
                <w:color w:val="000000" w:themeColor="text1"/>
                <w:sz w:val="36"/>
                <w:szCs w:val="36"/>
                <w14:textFill>
                  <w14:solidFill>
                    <w14:schemeClr w14:val="tx1"/>
                  </w14:solidFill>
                </w14:textFill>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2023年度项目支出绩效自评情况表（二级项目）</w:t>
            </w:r>
          </w:p>
        </w:tc>
      </w:tr>
      <w:tr>
        <w:tblPrEx>
          <w:tblLayout w:type="fixed"/>
          <w:tblCellMar>
            <w:top w:w="0" w:type="dxa"/>
            <w:left w:w="108" w:type="dxa"/>
            <w:bottom w:w="0" w:type="dxa"/>
            <w:right w:w="108" w:type="dxa"/>
          </w:tblCellMar>
        </w:tblPrEx>
        <w:trPr>
          <w:trHeight w:val="600" w:hRule="atLeas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序号</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项目名称</w:t>
            </w:r>
          </w:p>
        </w:tc>
        <w:tc>
          <w:tcPr>
            <w:tcW w:w="19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指标名称</w:t>
            </w:r>
          </w:p>
        </w:tc>
        <w:tc>
          <w:tcPr>
            <w:tcW w:w="7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指标性质</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指标值</w:t>
            </w:r>
          </w:p>
        </w:tc>
        <w:tc>
          <w:tcPr>
            <w:tcW w:w="4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计量单位</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指标权重</w:t>
            </w:r>
          </w:p>
        </w:tc>
        <w:tc>
          <w:tcPr>
            <w:tcW w:w="8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全年完成值</w:t>
            </w:r>
          </w:p>
        </w:tc>
        <w:tc>
          <w:tcPr>
            <w:tcW w:w="6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指标得分</w:t>
            </w:r>
          </w:p>
        </w:tc>
        <w:tc>
          <w:tcPr>
            <w:tcW w:w="5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说明</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自评得分</w:t>
            </w:r>
          </w:p>
        </w:tc>
      </w:tr>
      <w:tr>
        <w:tblPrEx>
          <w:tblLayout w:type="fixed"/>
          <w:tblCellMar>
            <w:top w:w="0" w:type="dxa"/>
            <w:left w:w="108" w:type="dxa"/>
            <w:bottom w:w="0" w:type="dxa"/>
            <w:right w:w="108" w:type="dxa"/>
          </w:tblCellMar>
        </w:tblPrEx>
        <w:trPr>
          <w:trHeight w:val="881" w:hRule="atLeast"/>
          <w:jc w:val="center"/>
        </w:trPr>
        <w:tc>
          <w:tcPr>
            <w:tcW w:w="600" w:type="dxa"/>
            <w:vMerge w:val="restart"/>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3</w:t>
            </w:r>
          </w:p>
        </w:tc>
        <w:tc>
          <w:tcPr>
            <w:tcW w:w="88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医疗服务与保障能力提升（医疗卫生机构能力建设）</w:t>
            </w: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出院病人数量</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750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819</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90</w:t>
            </w:r>
          </w:p>
        </w:tc>
      </w:tr>
      <w:tr>
        <w:tblPrEx>
          <w:tblLayout w:type="fixed"/>
          <w:tblCellMar>
            <w:top w:w="0" w:type="dxa"/>
            <w:left w:w="108" w:type="dxa"/>
            <w:bottom w:w="0" w:type="dxa"/>
            <w:right w:w="108" w:type="dxa"/>
          </w:tblCellMar>
        </w:tblPrEx>
        <w:trPr>
          <w:trHeight w:val="721"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88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门诊病人数量</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8000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8556</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val="0"/>
                <w:bCs w:val="0"/>
                <w:color w:val="000000" w:themeColor="text1"/>
                <w:sz w:val="22"/>
                <w14:textFill>
                  <w14:solidFill>
                    <w14:schemeClr w14:val="tx1"/>
                  </w14:solidFill>
                </w14:textFill>
              </w:rPr>
            </w:pPr>
          </w:p>
        </w:tc>
      </w:tr>
      <w:tr>
        <w:tblPrEx>
          <w:tblLayout w:type="fixed"/>
          <w:tblCellMar>
            <w:top w:w="0" w:type="dxa"/>
            <w:left w:w="108" w:type="dxa"/>
            <w:bottom w:w="0" w:type="dxa"/>
            <w:right w:w="108" w:type="dxa"/>
          </w:tblCellMar>
        </w:tblPrEx>
        <w:trPr>
          <w:trHeight w:val="404"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88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月门诊人次</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670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30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713</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30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val="0"/>
                <w:bCs w:val="0"/>
                <w:color w:val="000000" w:themeColor="text1"/>
                <w:sz w:val="22"/>
                <w14:textFill>
                  <w14:solidFill>
                    <w14:schemeClr w14:val="tx1"/>
                  </w14:solidFill>
                </w14:textFill>
              </w:rPr>
            </w:pPr>
          </w:p>
        </w:tc>
      </w:tr>
      <w:tr>
        <w:tblPrEx>
          <w:tblLayout w:type="fixed"/>
          <w:tblCellMar>
            <w:top w:w="0" w:type="dxa"/>
            <w:left w:w="108" w:type="dxa"/>
            <w:bottom w:w="0" w:type="dxa"/>
            <w:right w:w="108" w:type="dxa"/>
          </w:tblCellMar>
        </w:tblPrEx>
        <w:trPr>
          <w:trHeight w:val="542" w:hRule="atLeast"/>
          <w:jc w:val="center"/>
        </w:trPr>
        <w:tc>
          <w:tcPr>
            <w:tcW w:w="600" w:type="dxa"/>
            <w:vMerge w:val="restart"/>
            <w:tcBorders>
              <w:top w:val="single" w:color="auto" w:sz="4" w:space="0"/>
              <w:left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w:t>
            </w:r>
          </w:p>
        </w:tc>
        <w:tc>
          <w:tcPr>
            <w:tcW w:w="881"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精神病二代服药</w:t>
            </w: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精神病二代服药率</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85</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91.12</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宋体" w:cs="Times New Roman"/>
                <w:b w:val="0"/>
                <w:bCs w:val="0"/>
                <w:color w:val="000000" w:themeColor="text1"/>
                <w:sz w:val="22"/>
                <w:lang w:val="en-US" w:eastAsia="zh-CN"/>
                <w14:textFill>
                  <w14:solidFill>
                    <w14:schemeClr w14:val="tx1"/>
                  </w14:solidFill>
                </w14:textFill>
              </w:rPr>
            </w:pPr>
            <w:r>
              <w:rPr>
                <w:rFonts w:hint="eastAsia" w:ascii="Times New Roman" w:hAnsi="Times New Roman" w:cs="Times New Roman"/>
                <w:b w:val="0"/>
                <w:bCs w:val="0"/>
                <w:color w:val="000000" w:themeColor="text1"/>
                <w:sz w:val="22"/>
                <w:lang w:val="en-US" w:eastAsia="zh-CN"/>
                <w14:textFill>
                  <w14:solidFill>
                    <w14:schemeClr w14:val="tx1"/>
                  </w14:solidFill>
                </w14:textFill>
              </w:rPr>
              <w:t>100</w:t>
            </w:r>
          </w:p>
        </w:tc>
      </w:tr>
      <w:tr>
        <w:tblPrEx>
          <w:tblLayout w:type="fixed"/>
          <w:tblCellMar>
            <w:top w:w="0" w:type="dxa"/>
            <w:left w:w="108" w:type="dxa"/>
            <w:bottom w:w="0" w:type="dxa"/>
            <w:right w:w="108" w:type="dxa"/>
          </w:tblCellMar>
        </w:tblPrEx>
        <w:trPr>
          <w:trHeight w:val="432" w:hRule="atLeast"/>
          <w:jc w:val="center"/>
        </w:trPr>
        <w:tc>
          <w:tcPr>
            <w:tcW w:w="600" w:type="dxa"/>
            <w:vMerge w:val="continue"/>
            <w:tcBorders>
              <w:left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p>
        </w:tc>
        <w:tc>
          <w:tcPr>
            <w:tcW w:w="881" w:type="dxa"/>
            <w:vMerge w:val="continue"/>
            <w:tcBorders>
              <w:left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门诊就医病人数量</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8000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8556</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continue"/>
            <w:tcBorders>
              <w:left w:val="single" w:color="auto" w:sz="4" w:space="0"/>
              <w:right w:val="single" w:color="auto" w:sz="4" w:space="0"/>
            </w:tcBorders>
            <w:vAlign w:val="center"/>
          </w:tcPr>
          <w:p>
            <w:pPr>
              <w:jc w:val="center"/>
              <w:rPr>
                <w:rFonts w:hint="default" w:ascii="Times New Roman" w:hAnsi="Times New Roman" w:eastAsia="宋体" w:cs="Times New Roman"/>
                <w:b w:val="0"/>
                <w:bCs w:val="0"/>
                <w:color w:val="000000" w:themeColor="text1"/>
                <w:sz w:val="22"/>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32" w:hRule="atLeast"/>
          <w:jc w:val="center"/>
        </w:trPr>
        <w:tc>
          <w:tcPr>
            <w:tcW w:w="600" w:type="dxa"/>
            <w:vMerge w:val="continue"/>
            <w:tcBorders>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881"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月门诊人次</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650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30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713</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30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cs="Times New Roman"/>
                <w:b w:val="0"/>
                <w:bCs w:val="0"/>
                <w:color w:val="000000" w:themeColor="text1"/>
                <w:sz w:val="22"/>
                <w14:textFill>
                  <w14:solidFill>
                    <w14:schemeClr w14:val="tx1"/>
                  </w14:solidFill>
                </w14:textFill>
              </w:rPr>
            </w:pPr>
          </w:p>
        </w:tc>
      </w:tr>
    </w:tbl>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textAlignment w:val="auto"/>
        <w:rPr>
          <w:rFonts w:hint="default" w:ascii="Times New Roman" w:hAnsi="Times New Roman" w:eastAsia="楷体" w:cs="Times New Roman"/>
          <w:b/>
          <w:bCs/>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我</w:t>
      </w:r>
      <w:r>
        <w:rPr>
          <w:rFonts w:hint="eastAsia" w:ascii="Times New Roman" w:hAnsi="Times New Roman" w:eastAsia="方正仿宋_GBK" w:cs="Times New Roman"/>
          <w:sz w:val="32"/>
          <w:szCs w:val="32"/>
          <w:shd w:val="clear" w:color="auto" w:fill="FFFFFF"/>
          <w:lang w:val="en-US" w:eastAsia="zh-CN"/>
        </w:rPr>
        <w:t>中心</w:t>
      </w:r>
      <w:r>
        <w:rPr>
          <w:rFonts w:hint="default" w:ascii="Times New Roman" w:hAnsi="Times New Roman" w:eastAsia="方正仿宋_GBK" w:cs="Times New Roman"/>
          <w:sz w:val="32"/>
          <w:szCs w:val="32"/>
          <w:shd w:val="clear" w:color="auto" w:fill="FFFFFF"/>
          <w:lang w:val="en-US" w:eastAsia="zh-CN"/>
        </w:rPr>
        <w:t>未组织开展绩效评价。</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（三）财政绩效评价情况</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lang w:val="en-US" w:eastAsia="zh-CN"/>
        </w:rPr>
        <w:t>县财政局未委托第三方对我</w:t>
      </w:r>
      <w:r>
        <w:rPr>
          <w:rFonts w:hint="eastAsia" w:ascii="Times New Roman" w:hAnsi="Times New Roman" w:eastAsia="方正仿宋_GBK" w:cs="Times New Roman"/>
          <w:sz w:val="32"/>
          <w:szCs w:val="32"/>
          <w:shd w:val="clear" w:color="auto" w:fill="FFFFFF"/>
          <w:lang w:val="en-US" w:eastAsia="zh-CN"/>
        </w:rPr>
        <w:t>中心</w:t>
      </w:r>
      <w:r>
        <w:rPr>
          <w:rFonts w:hint="default" w:ascii="Times New Roman" w:hAnsi="Times New Roman" w:eastAsia="方正仿宋_GBK" w:cs="Times New Roman"/>
          <w:sz w:val="32"/>
          <w:szCs w:val="32"/>
          <w:shd w:val="clear" w:color="auto" w:fill="FFFFFF"/>
          <w:lang w:val="en-US" w:eastAsia="zh-CN"/>
        </w:rPr>
        <w:t>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六、专业名词解释</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方正仿宋_GBK" w:cs="Times New Roman"/>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（二）事业收入</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（三）经营收入</w:t>
      </w:r>
      <w:r>
        <w:rPr>
          <w:rFonts w:hint="default" w:ascii="Times New Roman" w:hAnsi="Times New Roman" w:eastAsia="方正楷体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（四）其他收入</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（五）使用非财政拨款结余</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（六）年初结转和结余</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（七）结余分配</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（八）年末结转和结余</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（九）基本支出</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（十）项目支出</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（十一）经营支出</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（十二）“三公”经费</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（十三）机关运行经费</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（十四）工资福利支出（支出经济分类科目类级）</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（十五）商品和服务支出（支出经济分类科目类级）</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（十六）对个人和家庭的补助（支出经济分类科目类级）</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楷体_GBK" w:cs="Times New Roman"/>
          <w:b w:val="0"/>
          <w:bCs/>
          <w:sz w:val="32"/>
          <w:szCs w:val="32"/>
          <w:shd w:val="clear" w:color="auto" w:fill="FFFFFF"/>
        </w:rPr>
        <w:t>（十七）其他资本性支出（支出经济分类科目类级）</w:t>
      </w:r>
      <w:r>
        <w:rPr>
          <w:rFonts w:hint="default" w:ascii="Times New Roman" w:hAnsi="Times New Roman" w:eastAsia="楷体"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textAlignment w:val="auto"/>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七、决算公开联系方式及信息反馈渠道</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rPr>
          <w:rFonts w:hint="default" w:ascii="Times New Roman" w:hAnsi="Times New Roman" w:eastAsia="方正仿宋_GBK" w:cs="Times New Roman"/>
          <w:sz w:val="32"/>
          <w:szCs w:val="32"/>
          <w:shd w:val="clear" w:color="auto" w:fill="FFFFFF"/>
        </w:rPr>
      </w:pPr>
      <w:r>
        <w:rPr>
          <w:rFonts w:hint="eastAsia" w:ascii="Times New Roman" w:hAnsi="Times New Roman" w:eastAsia="方正仿宋_GBK" w:cs="Times New Roman"/>
          <w:sz w:val="32"/>
          <w:szCs w:val="32"/>
          <w:shd w:val="clear" w:color="auto" w:fill="FFFFFF"/>
          <w:lang w:eastAsia="zh-CN"/>
        </w:rPr>
        <w:t>我</w:t>
      </w:r>
      <w:r>
        <w:rPr>
          <w:rFonts w:hint="eastAsia" w:ascii="Times New Roman" w:hAnsi="Times New Roman" w:eastAsia="方正仿宋_GBK" w:cs="Times New Roman"/>
          <w:sz w:val="32"/>
          <w:szCs w:val="32"/>
          <w:shd w:val="clear" w:color="auto" w:fill="FFFFFF"/>
          <w:lang w:val="en-US" w:eastAsia="zh-CN"/>
        </w:rPr>
        <w:t>中心</w:t>
      </w:r>
      <w:r>
        <w:rPr>
          <w:rFonts w:hint="default" w:ascii="Times New Roman" w:hAnsi="Times New Roman" w:eastAsia="方正仿宋_GBK" w:cs="Times New Roman"/>
          <w:sz w:val="32"/>
          <w:szCs w:val="32"/>
          <w:shd w:val="clear" w:color="auto" w:fill="FFFFFF"/>
        </w:rPr>
        <w:t>决算公开信息反馈</w:t>
      </w:r>
      <w:r>
        <w:rPr>
          <w:rFonts w:hint="eastAsia" w:ascii="Times New Roman" w:hAnsi="Times New Roman" w:eastAsia="方正仿宋_GBK" w:cs="Times New Roman"/>
          <w:sz w:val="32"/>
          <w:szCs w:val="32"/>
          <w:shd w:val="clear" w:color="auto" w:fill="FFFFFF"/>
          <w:lang w:val="en-US" w:eastAsia="zh-CN"/>
        </w:rPr>
        <w:t>联系人及</w:t>
      </w:r>
      <w:r>
        <w:rPr>
          <w:rFonts w:hint="default" w:ascii="Times New Roman" w:hAnsi="Times New Roman" w:eastAsia="方正仿宋_GBK" w:cs="Times New Roman"/>
          <w:sz w:val="32"/>
          <w:szCs w:val="32"/>
          <w:shd w:val="clear" w:color="auto" w:fill="FFFFFF"/>
        </w:rPr>
        <w:t>联系方式：</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rPr>
          <w:rStyle w:val="10"/>
          <w:rFonts w:hint="default" w:ascii="Times New Roman" w:hAnsi="Times New Roman" w:eastAsia="方正仿宋_GBK" w:cs="Times New Roman"/>
          <w:sz w:val="32"/>
          <w:szCs w:val="32"/>
          <w:shd w:val="clear" w:color="auto" w:fill="FFFF00"/>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val="en-US" w:eastAsia="zh-CN"/>
        </w:rPr>
        <w:t>刘林全</w:t>
      </w:r>
      <w:r>
        <w:rPr>
          <w:rFonts w:hint="eastAsia"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sz w:val="32"/>
          <w:szCs w:val="32"/>
          <w:shd w:val="clear" w:color="auto" w:fill="FFFFFF"/>
          <w:lang w:val="en-US" w:eastAsia="zh-CN"/>
        </w:rPr>
        <w:t>023</w:t>
      </w:r>
      <w:r>
        <w:rPr>
          <w:rFonts w:hint="eastAsia" w:ascii="Times New Roman" w:hAnsi="Times New Roman" w:eastAsia="方正仿宋_GBK" w:cs="Times New Roman"/>
          <w:sz w:val="32"/>
          <w:szCs w:val="32"/>
          <w:shd w:val="clear" w:color="auto" w:fill="FFFFFF"/>
          <w:lang w:val="en-US" w:eastAsia="zh-CN"/>
        </w:rPr>
        <w:t>-</w:t>
      </w:r>
      <w:r>
        <w:rPr>
          <w:rFonts w:hint="default" w:ascii="Times New Roman" w:hAnsi="Times New Roman" w:eastAsia="方正仿宋_GBK" w:cs="Times New Roman"/>
          <w:sz w:val="32"/>
          <w:szCs w:val="32"/>
          <w:shd w:val="clear" w:color="auto" w:fill="FFFFFF"/>
          <w:lang w:val="en-US" w:eastAsia="zh-CN"/>
        </w:rPr>
        <w:t>76882866。</w:t>
      </w:r>
    </w:p>
    <w:p>
      <w:pPr>
        <w:rPr>
          <w:rFonts w:hint="default" w:ascii="Times New Roman" w:hAnsi="Times New Roman" w:cs="Times New Roman"/>
          <w:sz w:val="21"/>
          <w:szCs w:val="21"/>
        </w:rPr>
      </w:pPr>
    </w:p>
    <w:tbl>
      <w:tblPr>
        <w:tblStyle w:val="11"/>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r>
              <w:rPr>
                <w:rFonts w:hint="default" w:ascii="Times New Roman" w:hAnsi="Times New Roman" w:cs="Times New Roman"/>
                <w:sz w:val="20"/>
                <w:szCs w:val="20"/>
              </w:rPr>
              <w:t>公开单位：</w:t>
            </w:r>
            <w:r>
              <w:rPr>
                <w:rFonts w:hint="default" w:ascii="Times New Roman" w:hAnsi="Times New Roman" w:cs="Times New Roman"/>
                <w:sz w:val="20"/>
                <w:u w:color="auto"/>
              </w:rPr>
              <w:t>重庆市秀山土家族苗族自治县精神卫生中心</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876.29</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1,900.19</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1,238.79</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0.76</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197.83</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1,826.11</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84.72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1,900.19</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cs="Times New Roman"/>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4,016.03</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4,008.84</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25.60</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32.79</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4,041.63</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4,041.63</w:t>
            </w:r>
            <w:r>
              <w:rPr>
                <w:rFonts w:hint="default" w:ascii="Times New Roman" w:hAnsi="Times New Roman" w:cs="Times New Roman"/>
                <w:color w:val="000000"/>
                <w:sz w:val="20"/>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1"/>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sz w:val="20"/>
                <w:u w:color="auto"/>
              </w:rPr>
              <w:t>重庆市秀山土家族苗族自治县精神卫生中心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4,016.03</w:t>
            </w:r>
            <w:r>
              <w:rPr>
                <w:rFonts w:hint="default" w:ascii="Times New Roman" w:hAnsi="Times New Roman"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2,776.48</w:t>
            </w:r>
            <w:r>
              <w:rPr>
                <w:rFonts w:hint="default" w:ascii="Times New Roman" w:hAnsi="Times New Roman"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1,238.79</w:t>
            </w:r>
            <w:r>
              <w:rPr>
                <w:rFonts w:hint="default" w:ascii="Times New Roman" w:hAnsi="Times New Roman" w:cs="Times New Roman"/>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0.76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197.83</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145.02</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52.81</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197.83</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145.02</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52.81</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9.21</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9.21</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91.41</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53.83</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37.58</w:t>
            </w: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42.00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26.78</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15.23</w:t>
            </w: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55.20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55.20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1,833.30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693.30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1,139.23</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0.76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5.90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5.90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5.90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5.90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公立医院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189.15</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189.15</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精神病医院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1,562.19</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435.11</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1,126.32</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0.76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精神卫生机构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1,537.47</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410.39</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1,126.32</w:t>
            </w: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0.76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6.06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6.06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重大公共卫生服务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12.00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12.00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其他公共卫生支出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49.36</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36.44</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12.92</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49.36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36.44</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12.92</w:t>
            </w: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26.70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26.70</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26.70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26.70</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84.72</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37.98</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46.74</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84.72</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37.98</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46.74</w:t>
            </w:r>
            <w:r>
              <w:rPr>
                <w:rFonts w:hint="default" w:ascii="Times New Roman" w:hAnsi="Times New Roman" w:cs="Times New Roman"/>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84.72</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37.98</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46.74</w:t>
            </w: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其他政府性基金及对应专项债务收入安排的支出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2290402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其他地方自行试点项目收益专项债券收入安排的支出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1,900.19</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1,900.19</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ind w:left="600" w:hanging="600" w:hangingChars="300"/>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备注：1.本表反映单位本年度取得的各项收入情况。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0"/>
          <w:szCs w:val="20"/>
        </w:rPr>
      </w:pPr>
      <w:r>
        <w:rPr>
          <w:rFonts w:hint="default" w:ascii="Times New Roman" w:hAnsi="Times New Roman" w:cs="Times New Roman"/>
          <w:sz w:val="20"/>
          <w:szCs w:val="20"/>
        </w:rPr>
        <w:br w:type="page"/>
      </w:r>
    </w:p>
    <w:tbl>
      <w:tblPr>
        <w:tblStyle w:val="11"/>
        <w:tblW w:w="15378" w:type="dxa"/>
        <w:tblInd w:w="0" w:type="dxa"/>
        <w:tblLayout w:type="fixed"/>
        <w:tblCellMar>
          <w:top w:w="0" w:type="dxa"/>
          <w:left w:w="0" w:type="dxa"/>
          <w:bottom w:w="0" w:type="dxa"/>
          <w:right w:w="0" w:type="dxa"/>
        </w:tblCellMar>
      </w:tblPr>
      <w:tblGrid>
        <w:gridCol w:w="1637"/>
        <w:gridCol w:w="4630"/>
        <w:gridCol w:w="1502"/>
        <w:gridCol w:w="1519"/>
        <w:gridCol w:w="1519"/>
        <w:gridCol w:w="1503"/>
        <w:gridCol w:w="1503"/>
        <w:gridCol w:w="1565"/>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776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 xml:space="preserve">重庆市秀山土家族苗族自治县精神卫生中心 </w:t>
            </w:r>
          </w:p>
        </w:tc>
        <w:tc>
          <w:tcPr>
            <w:tcW w:w="15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0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0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6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776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0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0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6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62" w:hRule="atLeast"/>
        </w:trPr>
        <w:tc>
          <w:tcPr>
            <w:tcW w:w="626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50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151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51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50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上缴上级支出</w:t>
            </w:r>
          </w:p>
        </w:tc>
        <w:tc>
          <w:tcPr>
            <w:tcW w:w="150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经营支出</w:t>
            </w:r>
          </w:p>
        </w:tc>
        <w:tc>
          <w:tcPr>
            <w:tcW w:w="156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4630"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5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6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6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6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6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62" w:hRule="atLeast"/>
        </w:trPr>
        <w:tc>
          <w:tcPr>
            <w:tcW w:w="626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5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4,008.84</w:t>
            </w:r>
            <w:r>
              <w:rPr>
                <w:rFonts w:hint="default" w:ascii="Times New Roman" w:hAnsi="Times New Roman" w:cs="Times New Roman"/>
                <w:b/>
                <w:color w:val="000000"/>
                <w:sz w:val="20"/>
                <w:u w:color="auto"/>
              </w:rPr>
              <w:t xml:space="preserve"> </w:t>
            </w:r>
          </w:p>
        </w:tc>
        <w:tc>
          <w:tcPr>
            <w:tcW w:w="15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2,056.33</w:t>
            </w:r>
            <w:r>
              <w:rPr>
                <w:rFonts w:hint="default" w:ascii="Times New Roman" w:hAnsi="Times New Roman" w:cs="Times New Roman"/>
                <w:b/>
                <w:color w:val="000000"/>
                <w:sz w:val="20"/>
                <w:u w:color="auto"/>
              </w:rPr>
              <w:t xml:space="preserve"> </w:t>
            </w:r>
          </w:p>
        </w:tc>
        <w:tc>
          <w:tcPr>
            <w:tcW w:w="15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1,952.51</w:t>
            </w:r>
            <w:r>
              <w:rPr>
                <w:rFonts w:hint="default" w:ascii="Times New Roman" w:hAnsi="Times New Roman" w:cs="Times New Roman"/>
                <w:b/>
                <w:color w:val="000000"/>
                <w:sz w:val="20"/>
                <w:u w:color="auto"/>
              </w:rPr>
              <w:t xml:space="preserve"> </w:t>
            </w:r>
          </w:p>
        </w:tc>
        <w:tc>
          <w:tcPr>
            <w:tcW w:w="150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50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5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197.83</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197.83</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197.83</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197.83</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9.21</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9.21</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91.41</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91.41</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42.00</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42.00</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55.20</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55.20</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1,826.11</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1,773.79</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52.32</w:t>
            </w:r>
            <w:r>
              <w:rPr>
                <w:rFonts w:hint="default" w:ascii="Times New Roman" w:hAnsi="Times New Roman" w:cs="Times New Roman"/>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5.90</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5.90</w:t>
            </w:r>
            <w:r>
              <w:rPr>
                <w:rFonts w:hint="default" w:ascii="Times New Roman" w:hAnsi="Times New Roman" w:cs="Times New Roman"/>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5.90</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5.90</w:t>
            </w: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公立医院</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189.15</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189.15</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2100205</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精神病医院</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1,555.00</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1,535.28</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19.72</w:t>
            </w:r>
            <w:r>
              <w:rPr>
                <w:rFonts w:hint="default" w:ascii="Times New Roman" w:hAnsi="Times New Roman" w:cs="Times New Roman"/>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精神卫生机构</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1,530.28</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1,530.28</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6.06</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6.06</w:t>
            </w: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重大公共卫生服务</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12.00</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12.00</w:t>
            </w: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1.66</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1.66</w:t>
            </w: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其他公共卫生支出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5.00</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5.00</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49.36</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49.36</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49.36</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49.36</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26.70</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26.70</w:t>
            </w:r>
            <w:r>
              <w:rPr>
                <w:rFonts w:hint="default" w:ascii="Times New Roman" w:hAnsi="Times New Roman" w:cs="Times New Roman"/>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26.70</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26.70</w:t>
            </w: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84.72</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84.72</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84.72</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84.72</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84.72</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84.72</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其他政府性基金及对应专项债务收入安排的支出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2290402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其他地方自行试点项目收益专项债券收入安排的支出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1,900.19</w:t>
            </w: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1,900.19</w:t>
            </w: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备注：1.本表反映单位本年度各项支出情况。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p>
      <w:pPr>
        <w:rPr>
          <w:rFonts w:hint="default" w:ascii="Times New Roman" w:hAnsi="Times New Roman" w:cs="Times New Roman"/>
          <w:sz w:val="21"/>
          <w:szCs w:val="21"/>
        </w:rPr>
      </w:pPr>
    </w:p>
    <w:tbl>
      <w:tblPr>
        <w:tblStyle w:val="11"/>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重庆市秀山土家族苗族自治县精神卫生中心</w:t>
            </w: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876.29</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1,900.19</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145.02</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145.02</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693.30</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693.30</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37.98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37.98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1,900.19</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1,900.19</w:t>
            </w: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2,776.48</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2,776.48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876.29</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1,900.19</w:t>
            </w: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2,776.48</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2,776.48</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876.29</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1,900.19</w:t>
            </w: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1"/>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72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重庆市秀山土家族苗族自治县精神卫生中心</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72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876.29</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823.97</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52.32</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145.02</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145.02</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145.02</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145.02</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9.21</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9.21</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53.83</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53.83</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26.78</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26.78</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55.20</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55.20</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693.30</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640.98</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52.32</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5.90</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5.90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5.90</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5.90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公立医院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189.15</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189.15</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精神病医院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435.11</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415.39</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19.72</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精神卫生机构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410.39</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410.39</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6.06</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6.06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重大公共卫生服务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12.00</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12.00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1.66</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1.66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其他公共卫生支出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5.00</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5.00</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36.44</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36.44</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36.44</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36.44</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26.70</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26.70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26.70</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26.70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37.98</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37.98</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37.98</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37.98</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37.98</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37.98</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备注：1.本表反映单位本年度一般公共预算财政拨款支出情况。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1"/>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重庆市秀山土家族苗族自治县精神卫生中心</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745.33</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5.00</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131.65</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80.31</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312.60</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53.83</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26.78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36.44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0.80</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37.98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64.95</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73.64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4.70</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6.35</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57.69</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9.60</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0.30</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818.97</w:t>
            </w:r>
            <w:r>
              <w:rPr>
                <w:rFonts w:hint="default" w:ascii="Times New Roman" w:hAnsi="Times New Roman" w:cs="Times New Roman"/>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5.00</w:t>
            </w:r>
            <w:r>
              <w:rPr>
                <w:rFonts w:hint="default" w:ascii="Times New Roman" w:hAnsi="Times New Roman" w:cs="Times New Roman"/>
                <w:color w:val="000000"/>
                <w:sz w:val="18"/>
                <w:u w:color="auto"/>
              </w:rPr>
              <w:t xml:space="preserve"> </w:t>
            </w:r>
          </w:p>
        </w:tc>
      </w:tr>
    </w:tbl>
    <w:p>
      <w:pPr>
        <w:spacing w:line="28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备注：1.本表反映单位本年度一般公共预算财政拨款基本支出明细情况。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1"/>
        <w:tblW w:w="15378" w:type="dxa"/>
        <w:tblInd w:w="0" w:type="dxa"/>
        <w:tblLayout w:type="fixed"/>
        <w:tblCellMar>
          <w:top w:w="0" w:type="dxa"/>
          <w:left w:w="0" w:type="dxa"/>
          <w:bottom w:w="0" w:type="dxa"/>
          <w:right w:w="0" w:type="dxa"/>
        </w:tblCellMar>
      </w:tblPr>
      <w:tblGrid>
        <w:gridCol w:w="1634"/>
        <w:gridCol w:w="4630"/>
        <w:gridCol w:w="1486"/>
        <w:gridCol w:w="1486"/>
        <w:gridCol w:w="1487"/>
        <w:gridCol w:w="1487"/>
        <w:gridCol w:w="1552"/>
        <w:gridCol w:w="161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775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重庆市秀山土家族苗族自治县精神卫生中心</w:t>
            </w:r>
          </w:p>
        </w:tc>
        <w:tc>
          <w:tcPr>
            <w:tcW w:w="148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8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8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5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1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775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8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8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8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5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1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9" w:hRule="atLeast"/>
        </w:trPr>
        <w:tc>
          <w:tcPr>
            <w:tcW w:w="626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486"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年初结转和结余</w:t>
            </w:r>
          </w:p>
        </w:tc>
        <w:tc>
          <w:tcPr>
            <w:tcW w:w="148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w:t>
            </w:r>
          </w:p>
        </w:tc>
        <w:tc>
          <w:tcPr>
            <w:tcW w:w="452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c>
          <w:tcPr>
            <w:tcW w:w="161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46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48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48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55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61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5" w:hRule="atLeast"/>
        </w:trPr>
        <w:tc>
          <w:tcPr>
            <w:tcW w:w="16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6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5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1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45" w:hRule="atLeast"/>
        </w:trPr>
        <w:tc>
          <w:tcPr>
            <w:tcW w:w="16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6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55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1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6264"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1,900.19</w:t>
            </w:r>
            <w:r>
              <w:rPr>
                <w:rFonts w:hint="default" w:ascii="Times New Roman" w:hAnsi="Times New Roman" w:cs="Times New Roman"/>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1,900.19</w:t>
            </w:r>
            <w:r>
              <w:rPr>
                <w:rFonts w:hint="default" w:ascii="Times New Roman" w:hAnsi="Times New Roman" w:cs="Times New Roman"/>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1,900.19</w:t>
            </w:r>
            <w:r>
              <w:rPr>
                <w:rFonts w:hint="default" w:ascii="Times New Roman" w:hAnsi="Times New Roman" w:cs="Times New Roman"/>
                <w:b/>
                <w:color w:val="000000"/>
                <w:sz w:val="20"/>
                <w:u w:color="auto"/>
              </w:rPr>
              <w:t xml:space="preserve"> </w:t>
            </w:r>
          </w:p>
        </w:tc>
        <w:tc>
          <w:tcPr>
            <w:tcW w:w="1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1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其他政府性基金及对应专项债务收入安排的支出</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1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1,900.19</w:t>
            </w:r>
            <w:r>
              <w:rPr>
                <w:rFonts w:hint="default" w:ascii="Times New Roman" w:hAnsi="Times New Roman" w:cs="Times New Roman"/>
                <w:b/>
                <w:color w:val="000000"/>
                <w:sz w:val="20"/>
                <w:u w:color="auto"/>
              </w:rPr>
              <w:t xml:space="preserve"> </w:t>
            </w:r>
          </w:p>
        </w:tc>
        <w:tc>
          <w:tcPr>
            <w:tcW w:w="1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2290402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其他地方自行试点项目收益专项债券收入安排的支出</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1,900.19</w:t>
            </w:r>
            <w:r>
              <w:rPr>
                <w:rFonts w:hint="default" w:ascii="Times New Roman" w:hAnsi="Times New Roman" w:cs="Times New Roman"/>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1,900.19</w:t>
            </w:r>
            <w:r>
              <w:rPr>
                <w:rFonts w:hint="default" w:ascii="Times New Roman" w:hAnsi="Times New Roman" w:cs="Times New Roman"/>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1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1,900.19</w:t>
            </w:r>
            <w:r>
              <w:rPr>
                <w:rFonts w:hint="default" w:ascii="Times New Roman" w:hAnsi="Times New Roman" w:cs="Times New Roman"/>
                <w:color w:val="000000"/>
                <w:sz w:val="20"/>
                <w:u w:color="auto"/>
              </w:rPr>
              <w:t xml:space="preserve"> </w:t>
            </w:r>
          </w:p>
        </w:tc>
        <w:tc>
          <w:tcPr>
            <w:tcW w:w="1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备注：1.本表反映单位本年度政府性基金预算财政拨款收入支出及结转和结余情况。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1"/>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重庆市秀山土家族苗族自治县精神卫生中心</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备注：本表反映单位本年度国有资本经营预算财政拨款支出情况。</w:t>
      </w:r>
      <w:r>
        <w:rPr>
          <w:rFonts w:hint="eastAsia" w:ascii="Times New Roman" w:hAnsi="Times New Roman" w:cs="Times New Roman"/>
          <w:sz w:val="20"/>
          <w:szCs w:val="20"/>
          <w:lang w:eastAsia="zh-CN"/>
        </w:rPr>
        <w:t>我</w:t>
      </w:r>
      <w:r>
        <w:rPr>
          <w:rFonts w:hint="eastAsia" w:ascii="Times New Roman" w:hAnsi="Times New Roman" w:cs="Times New Roman"/>
          <w:sz w:val="20"/>
          <w:szCs w:val="20"/>
          <w:lang w:val="en-US" w:eastAsia="zh-CN"/>
        </w:rPr>
        <w:t>中心</w:t>
      </w:r>
      <w:r>
        <w:rPr>
          <w:rFonts w:hint="default" w:ascii="Times New Roman" w:hAnsi="Times New Roman" w:cs="Times New Roman"/>
          <w:sz w:val="20"/>
          <w:szCs w:val="20"/>
        </w:rPr>
        <w:t>无国有资本经营收支，故本表无数据。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1"/>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重庆市秀山土家族苗族自治县精神卫生中心</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0.30</w:t>
            </w: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0.30</w:t>
            </w: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0.30</w:t>
            </w: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0.30</w:t>
            </w: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2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0.30</w:t>
            </w: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0.30</w:t>
            </w: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2</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2</w:t>
            </w: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1.35</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1.35</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1.35</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1.35</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16"/>
                <w:szCs w:val="16"/>
              </w:rPr>
            </w:pP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sz w:val="20"/>
          <w:szCs w:val="20"/>
        </w:rPr>
        <w:br w:type="textWrapping"/>
      </w:r>
      <w:r>
        <w:rPr>
          <w:rFonts w:hint="eastAsia" w:ascii="Times New Roman" w:hAnsi="Times New Roman" w:cs="Times New Roman"/>
          <w:sz w:val="20"/>
          <w:szCs w:val="20"/>
          <w:lang w:val="en-US" w:eastAsia="zh-CN"/>
        </w:rPr>
        <w:t xml:space="preserve">      </w:t>
      </w:r>
      <w:r>
        <w:rPr>
          <w:rFonts w:hint="default" w:ascii="Times New Roman" w:hAnsi="Times New Roman" w:cs="Times New Roman"/>
          <w:sz w:val="20"/>
          <w:szCs w:val="20"/>
        </w:rPr>
        <w:t>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70F741"/>
    <w:multiLevelType w:val="singleLevel"/>
    <w:tmpl w:val="BC70F741"/>
    <w:lvl w:ilvl="0" w:tentative="0">
      <w:start w:val="2"/>
      <w:numFmt w:val="chineseCounting"/>
      <w:suff w:val="nothing"/>
      <w:lvlText w:val="（%1）"/>
      <w:lvlJc w:val="left"/>
      <w:rPr>
        <w:rFonts w:hint="eastAsia"/>
      </w:rPr>
    </w:lvl>
  </w:abstractNum>
  <w:abstractNum w:abstractNumId="1">
    <w:nsid w:val="C1C2D4F8"/>
    <w:multiLevelType w:val="singleLevel"/>
    <w:tmpl w:val="C1C2D4F8"/>
    <w:lvl w:ilvl="0" w:tentative="0">
      <w:start w:val="3"/>
      <w:numFmt w:val="chineseCounting"/>
      <w:suff w:val="nothing"/>
      <w:lvlText w:val="%1、"/>
      <w:lvlJc w:val="left"/>
      <w:rPr>
        <w:rFonts w:hint="eastAsia"/>
      </w:rPr>
    </w:lvl>
  </w:abstractNum>
  <w:abstractNum w:abstractNumId="2">
    <w:nsid w:val="C5339A02"/>
    <w:multiLevelType w:val="singleLevel"/>
    <w:tmpl w:val="C5339A02"/>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yMjc1YzI1ZWU1YThkMzVhM2UwNGU4MWIxMDgxY2QifQ=="/>
  </w:docVars>
  <w:rsids>
    <w:rsidRoot w:val="00172A27"/>
    <w:rsid w:val="001D3BB7"/>
    <w:rsid w:val="001F3ADA"/>
    <w:rsid w:val="002B254B"/>
    <w:rsid w:val="0031380D"/>
    <w:rsid w:val="003550AC"/>
    <w:rsid w:val="00466C9B"/>
    <w:rsid w:val="00550ABE"/>
    <w:rsid w:val="005A2D64"/>
    <w:rsid w:val="00645991"/>
    <w:rsid w:val="00770383"/>
    <w:rsid w:val="007819D4"/>
    <w:rsid w:val="007A51B4"/>
    <w:rsid w:val="007B419D"/>
    <w:rsid w:val="007B7C4B"/>
    <w:rsid w:val="007C2CDB"/>
    <w:rsid w:val="007D3D39"/>
    <w:rsid w:val="00906786"/>
    <w:rsid w:val="00994AF7"/>
    <w:rsid w:val="009B67B8"/>
    <w:rsid w:val="009D0EA3"/>
    <w:rsid w:val="009D2B67"/>
    <w:rsid w:val="00A566F9"/>
    <w:rsid w:val="00AC07A4"/>
    <w:rsid w:val="00AF2751"/>
    <w:rsid w:val="00B03CCD"/>
    <w:rsid w:val="00B0507A"/>
    <w:rsid w:val="00B76409"/>
    <w:rsid w:val="00BE2B89"/>
    <w:rsid w:val="00C10E9E"/>
    <w:rsid w:val="00C20C3E"/>
    <w:rsid w:val="00EF072C"/>
    <w:rsid w:val="00F73F90"/>
    <w:rsid w:val="01341807"/>
    <w:rsid w:val="01396E1E"/>
    <w:rsid w:val="01474EBF"/>
    <w:rsid w:val="019E4ED3"/>
    <w:rsid w:val="01A06E9D"/>
    <w:rsid w:val="01BB3CD7"/>
    <w:rsid w:val="01BF37C7"/>
    <w:rsid w:val="01F3521E"/>
    <w:rsid w:val="02072A78"/>
    <w:rsid w:val="02111434"/>
    <w:rsid w:val="02184C85"/>
    <w:rsid w:val="022278B2"/>
    <w:rsid w:val="023F66B6"/>
    <w:rsid w:val="02571C51"/>
    <w:rsid w:val="025832D3"/>
    <w:rsid w:val="026779BA"/>
    <w:rsid w:val="027232D7"/>
    <w:rsid w:val="028D4D64"/>
    <w:rsid w:val="028D7421"/>
    <w:rsid w:val="03463A74"/>
    <w:rsid w:val="035A307B"/>
    <w:rsid w:val="038B1487"/>
    <w:rsid w:val="03942A31"/>
    <w:rsid w:val="03A762C0"/>
    <w:rsid w:val="03B87EA0"/>
    <w:rsid w:val="03E3214F"/>
    <w:rsid w:val="03FA6D38"/>
    <w:rsid w:val="0414147C"/>
    <w:rsid w:val="04155920"/>
    <w:rsid w:val="04253689"/>
    <w:rsid w:val="04310280"/>
    <w:rsid w:val="044C50BA"/>
    <w:rsid w:val="044E0E32"/>
    <w:rsid w:val="04516D24"/>
    <w:rsid w:val="047343F5"/>
    <w:rsid w:val="04E92909"/>
    <w:rsid w:val="04F73278"/>
    <w:rsid w:val="04FA68C4"/>
    <w:rsid w:val="05777F14"/>
    <w:rsid w:val="058663AA"/>
    <w:rsid w:val="05A30D0A"/>
    <w:rsid w:val="05BC6D49"/>
    <w:rsid w:val="05C173E2"/>
    <w:rsid w:val="06194FF1"/>
    <w:rsid w:val="065B15E4"/>
    <w:rsid w:val="066466EB"/>
    <w:rsid w:val="06846D8D"/>
    <w:rsid w:val="06A2550B"/>
    <w:rsid w:val="06C453DB"/>
    <w:rsid w:val="06C929F2"/>
    <w:rsid w:val="06D51397"/>
    <w:rsid w:val="06D80E87"/>
    <w:rsid w:val="06EB2968"/>
    <w:rsid w:val="06F80EE2"/>
    <w:rsid w:val="07001CCA"/>
    <w:rsid w:val="073A744C"/>
    <w:rsid w:val="075449B1"/>
    <w:rsid w:val="075678DB"/>
    <w:rsid w:val="0764271A"/>
    <w:rsid w:val="07697D31"/>
    <w:rsid w:val="076B1CFB"/>
    <w:rsid w:val="07846919"/>
    <w:rsid w:val="079528D4"/>
    <w:rsid w:val="079D7CC7"/>
    <w:rsid w:val="07A019A5"/>
    <w:rsid w:val="07A07BF6"/>
    <w:rsid w:val="07AA45D1"/>
    <w:rsid w:val="07D4164E"/>
    <w:rsid w:val="07E15B19"/>
    <w:rsid w:val="07F7533D"/>
    <w:rsid w:val="08030185"/>
    <w:rsid w:val="08051BCA"/>
    <w:rsid w:val="08071A24"/>
    <w:rsid w:val="083640B7"/>
    <w:rsid w:val="086C12F4"/>
    <w:rsid w:val="08705944"/>
    <w:rsid w:val="08850B9A"/>
    <w:rsid w:val="0889068B"/>
    <w:rsid w:val="08B51480"/>
    <w:rsid w:val="08BA052C"/>
    <w:rsid w:val="08D37B58"/>
    <w:rsid w:val="08DB07BA"/>
    <w:rsid w:val="094620D8"/>
    <w:rsid w:val="095F3199"/>
    <w:rsid w:val="0969353F"/>
    <w:rsid w:val="098305D0"/>
    <w:rsid w:val="09880942"/>
    <w:rsid w:val="09F558AC"/>
    <w:rsid w:val="0A03621B"/>
    <w:rsid w:val="0A12645E"/>
    <w:rsid w:val="0A3317EA"/>
    <w:rsid w:val="0A59408D"/>
    <w:rsid w:val="0A5C4B69"/>
    <w:rsid w:val="0A86124A"/>
    <w:rsid w:val="0A913826"/>
    <w:rsid w:val="0A96708F"/>
    <w:rsid w:val="0AB54CC0"/>
    <w:rsid w:val="0ABB4D47"/>
    <w:rsid w:val="0AE47DFA"/>
    <w:rsid w:val="0AEC6CAF"/>
    <w:rsid w:val="0AFF5B6A"/>
    <w:rsid w:val="0B495EAF"/>
    <w:rsid w:val="0B4D1E43"/>
    <w:rsid w:val="0B4D3BF1"/>
    <w:rsid w:val="0B753148"/>
    <w:rsid w:val="0B9335CE"/>
    <w:rsid w:val="0BAB297A"/>
    <w:rsid w:val="0BC32105"/>
    <w:rsid w:val="0BF2311A"/>
    <w:rsid w:val="0BF73B5D"/>
    <w:rsid w:val="0BFE4EEC"/>
    <w:rsid w:val="0C3E46FA"/>
    <w:rsid w:val="0C637445"/>
    <w:rsid w:val="0C760F26"/>
    <w:rsid w:val="0C7927C4"/>
    <w:rsid w:val="0C9B098C"/>
    <w:rsid w:val="0CB47CA0"/>
    <w:rsid w:val="0CCC323C"/>
    <w:rsid w:val="0CD21ED4"/>
    <w:rsid w:val="0CE71E24"/>
    <w:rsid w:val="0D0C3638"/>
    <w:rsid w:val="0D197B03"/>
    <w:rsid w:val="0D1A3FA7"/>
    <w:rsid w:val="0D29243C"/>
    <w:rsid w:val="0D3A01A5"/>
    <w:rsid w:val="0D584ACF"/>
    <w:rsid w:val="0D631F26"/>
    <w:rsid w:val="0D670C23"/>
    <w:rsid w:val="0D673E11"/>
    <w:rsid w:val="0D725B91"/>
    <w:rsid w:val="0D7F02AE"/>
    <w:rsid w:val="0D9B0B0D"/>
    <w:rsid w:val="0DA245E3"/>
    <w:rsid w:val="0DD51C7C"/>
    <w:rsid w:val="0DDA54E4"/>
    <w:rsid w:val="0DE46363"/>
    <w:rsid w:val="0E15476E"/>
    <w:rsid w:val="0E250E55"/>
    <w:rsid w:val="0E2B3F92"/>
    <w:rsid w:val="0E3A5F83"/>
    <w:rsid w:val="0E3E5A73"/>
    <w:rsid w:val="0E6179B4"/>
    <w:rsid w:val="0E7616B1"/>
    <w:rsid w:val="0EA37FCC"/>
    <w:rsid w:val="0EB126E9"/>
    <w:rsid w:val="0EBD2E3C"/>
    <w:rsid w:val="0ECE5049"/>
    <w:rsid w:val="0EE027C2"/>
    <w:rsid w:val="0EE26D46"/>
    <w:rsid w:val="0F052A35"/>
    <w:rsid w:val="0F31382A"/>
    <w:rsid w:val="0F59068B"/>
    <w:rsid w:val="0F5D0980"/>
    <w:rsid w:val="0F661726"/>
    <w:rsid w:val="0F744C3A"/>
    <w:rsid w:val="0F784FB5"/>
    <w:rsid w:val="0F7F4595"/>
    <w:rsid w:val="0F836721"/>
    <w:rsid w:val="0F9A317D"/>
    <w:rsid w:val="0FA25D96"/>
    <w:rsid w:val="0FBC30F4"/>
    <w:rsid w:val="100827DD"/>
    <w:rsid w:val="100F5919"/>
    <w:rsid w:val="101E5B5C"/>
    <w:rsid w:val="107B59E5"/>
    <w:rsid w:val="10831E63"/>
    <w:rsid w:val="10A1053B"/>
    <w:rsid w:val="10B63FE7"/>
    <w:rsid w:val="10CF32FA"/>
    <w:rsid w:val="10DB1C9F"/>
    <w:rsid w:val="10EC0126"/>
    <w:rsid w:val="10F70B9A"/>
    <w:rsid w:val="111445C7"/>
    <w:rsid w:val="11366ED6"/>
    <w:rsid w:val="114278C6"/>
    <w:rsid w:val="1158083A"/>
    <w:rsid w:val="11643A4B"/>
    <w:rsid w:val="117619C8"/>
    <w:rsid w:val="11AC53EA"/>
    <w:rsid w:val="11AE1162"/>
    <w:rsid w:val="11DC5CCF"/>
    <w:rsid w:val="11ED0F98"/>
    <w:rsid w:val="11F03528"/>
    <w:rsid w:val="12135469"/>
    <w:rsid w:val="121F796A"/>
    <w:rsid w:val="123A29F6"/>
    <w:rsid w:val="123F1DBA"/>
    <w:rsid w:val="12A32349"/>
    <w:rsid w:val="12B83829"/>
    <w:rsid w:val="12C14EC5"/>
    <w:rsid w:val="12C16C73"/>
    <w:rsid w:val="12C921C4"/>
    <w:rsid w:val="12FD414F"/>
    <w:rsid w:val="13054DB2"/>
    <w:rsid w:val="130A23C8"/>
    <w:rsid w:val="132F1E2E"/>
    <w:rsid w:val="133B07D3"/>
    <w:rsid w:val="135D699C"/>
    <w:rsid w:val="13653AA2"/>
    <w:rsid w:val="138228A6"/>
    <w:rsid w:val="13871C70"/>
    <w:rsid w:val="13985C26"/>
    <w:rsid w:val="13A02D2C"/>
    <w:rsid w:val="13A4281C"/>
    <w:rsid w:val="13A71CB4"/>
    <w:rsid w:val="13AF1D43"/>
    <w:rsid w:val="13CE1647"/>
    <w:rsid w:val="13EC7D20"/>
    <w:rsid w:val="13FD55AB"/>
    <w:rsid w:val="140908D1"/>
    <w:rsid w:val="14200702"/>
    <w:rsid w:val="14264FE0"/>
    <w:rsid w:val="143F42F3"/>
    <w:rsid w:val="14496F20"/>
    <w:rsid w:val="146418CB"/>
    <w:rsid w:val="14733F9D"/>
    <w:rsid w:val="147F6DE6"/>
    <w:rsid w:val="149D101A"/>
    <w:rsid w:val="14BC5944"/>
    <w:rsid w:val="154D47EE"/>
    <w:rsid w:val="15777262"/>
    <w:rsid w:val="1598015F"/>
    <w:rsid w:val="15A72150"/>
    <w:rsid w:val="15AF7257"/>
    <w:rsid w:val="15C50828"/>
    <w:rsid w:val="15C9656A"/>
    <w:rsid w:val="15CA5E3E"/>
    <w:rsid w:val="15EC3507"/>
    <w:rsid w:val="16084BD6"/>
    <w:rsid w:val="163A2FC4"/>
    <w:rsid w:val="163A6CEE"/>
    <w:rsid w:val="163C048F"/>
    <w:rsid w:val="165D567E"/>
    <w:rsid w:val="166444E5"/>
    <w:rsid w:val="167C538B"/>
    <w:rsid w:val="168626AD"/>
    <w:rsid w:val="16A843D2"/>
    <w:rsid w:val="16B234A2"/>
    <w:rsid w:val="16B34B25"/>
    <w:rsid w:val="16B74615"/>
    <w:rsid w:val="16B9038D"/>
    <w:rsid w:val="16E01DBD"/>
    <w:rsid w:val="16E41182"/>
    <w:rsid w:val="16FE2244"/>
    <w:rsid w:val="172779EC"/>
    <w:rsid w:val="172A128B"/>
    <w:rsid w:val="172D48D7"/>
    <w:rsid w:val="173708E3"/>
    <w:rsid w:val="175E2CE2"/>
    <w:rsid w:val="177249E0"/>
    <w:rsid w:val="178A7F7B"/>
    <w:rsid w:val="178D5376"/>
    <w:rsid w:val="17C374FC"/>
    <w:rsid w:val="17C84600"/>
    <w:rsid w:val="17CD1C16"/>
    <w:rsid w:val="17D15BAA"/>
    <w:rsid w:val="17D3547E"/>
    <w:rsid w:val="17EE4066"/>
    <w:rsid w:val="17F6116D"/>
    <w:rsid w:val="17FF6273"/>
    <w:rsid w:val="182B5C17"/>
    <w:rsid w:val="182E4AB6"/>
    <w:rsid w:val="183A374F"/>
    <w:rsid w:val="183D4FEE"/>
    <w:rsid w:val="187C5B16"/>
    <w:rsid w:val="18814EDA"/>
    <w:rsid w:val="189079DC"/>
    <w:rsid w:val="189B0D0B"/>
    <w:rsid w:val="18A1557C"/>
    <w:rsid w:val="18B43F7C"/>
    <w:rsid w:val="18D94D16"/>
    <w:rsid w:val="19371A3D"/>
    <w:rsid w:val="194A1770"/>
    <w:rsid w:val="196D36B1"/>
    <w:rsid w:val="19A8293B"/>
    <w:rsid w:val="19B906A4"/>
    <w:rsid w:val="19C159DC"/>
    <w:rsid w:val="19C92FDD"/>
    <w:rsid w:val="19D90D46"/>
    <w:rsid w:val="19DF45AE"/>
    <w:rsid w:val="1A085187"/>
    <w:rsid w:val="1A246465"/>
    <w:rsid w:val="1A2E1092"/>
    <w:rsid w:val="1A7F41DE"/>
    <w:rsid w:val="1A872550"/>
    <w:rsid w:val="1A8B2040"/>
    <w:rsid w:val="1A954C6D"/>
    <w:rsid w:val="1A9B5FFB"/>
    <w:rsid w:val="1AB570BD"/>
    <w:rsid w:val="1AC15A62"/>
    <w:rsid w:val="1B03607B"/>
    <w:rsid w:val="1B5C1C2F"/>
    <w:rsid w:val="1B6F15B6"/>
    <w:rsid w:val="1B982369"/>
    <w:rsid w:val="1BAA2EDC"/>
    <w:rsid w:val="1BB76E65"/>
    <w:rsid w:val="1BC3580A"/>
    <w:rsid w:val="1BCA6B98"/>
    <w:rsid w:val="1BE91714"/>
    <w:rsid w:val="1C0C5403"/>
    <w:rsid w:val="1C1D13BE"/>
    <w:rsid w:val="1C1E6EE4"/>
    <w:rsid w:val="1C4E1577"/>
    <w:rsid w:val="1C694603"/>
    <w:rsid w:val="1C931680"/>
    <w:rsid w:val="1CA473E9"/>
    <w:rsid w:val="1CA55E64"/>
    <w:rsid w:val="1CA70C88"/>
    <w:rsid w:val="1CC45CDD"/>
    <w:rsid w:val="1CF33ECD"/>
    <w:rsid w:val="1D014A01"/>
    <w:rsid w:val="1D022362"/>
    <w:rsid w:val="1D1A58FD"/>
    <w:rsid w:val="1D1B04B0"/>
    <w:rsid w:val="1D295B40"/>
    <w:rsid w:val="1DA52501"/>
    <w:rsid w:val="1DBD6767"/>
    <w:rsid w:val="1DC046F7"/>
    <w:rsid w:val="1DC52125"/>
    <w:rsid w:val="1DD26311"/>
    <w:rsid w:val="1DED6B6E"/>
    <w:rsid w:val="1E0565AE"/>
    <w:rsid w:val="1E1D38F7"/>
    <w:rsid w:val="1E234C86"/>
    <w:rsid w:val="1E2F362A"/>
    <w:rsid w:val="1E374ACB"/>
    <w:rsid w:val="1E5B61CE"/>
    <w:rsid w:val="1E74728F"/>
    <w:rsid w:val="1E8C4449"/>
    <w:rsid w:val="1E990AA4"/>
    <w:rsid w:val="1EAB0F03"/>
    <w:rsid w:val="1ECF0A66"/>
    <w:rsid w:val="1EE3736F"/>
    <w:rsid w:val="1EF67CA4"/>
    <w:rsid w:val="1F020D3A"/>
    <w:rsid w:val="1F0423C1"/>
    <w:rsid w:val="1F0D1F99"/>
    <w:rsid w:val="1F0E1492"/>
    <w:rsid w:val="1F2C5189"/>
    <w:rsid w:val="1F3A2287"/>
    <w:rsid w:val="1F3C7DAD"/>
    <w:rsid w:val="1F4B0B02"/>
    <w:rsid w:val="1F52137F"/>
    <w:rsid w:val="1F5E564A"/>
    <w:rsid w:val="1F5E5F75"/>
    <w:rsid w:val="1F884DA0"/>
    <w:rsid w:val="1FA85442"/>
    <w:rsid w:val="1FB43DE7"/>
    <w:rsid w:val="1FBB35CD"/>
    <w:rsid w:val="1FCD26AF"/>
    <w:rsid w:val="1FCD4EA9"/>
    <w:rsid w:val="1FE741BD"/>
    <w:rsid w:val="1FFC753C"/>
    <w:rsid w:val="20014B53"/>
    <w:rsid w:val="202820DF"/>
    <w:rsid w:val="202D5948"/>
    <w:rsid w:val="203F7C8E"/>
    <w:rsid w:val="20642787"/>
    <w:rsid w:val="206645F2"/>
    <w:rsid w:val="207D242B"/>
    <w:rsid w:val="20CE0ED9"/>
    <w:rsid w:val="20F46465"/>
    <w:rsid w:val="20FD531A"/>
    <w:rsid w:val="2107263D"/>
    <w:rsid w:val="210B5C89"/>
    <w:rsid w:val="211663DC"/>
    <w:rsid w:val="211D59BC"/>
    <w:rsid w:val="21556F04"/>
    <w:rsid w:val="215A6C10"/>
    <w:rsid w:val="217355DC"/>
    <w:rsid w:val="21894E00"/>
    <w:rsid w:val="219043E0"/>
    <w:rsid w:val="21921F06"/>
    <w:rsid w:val="219A0DBB"/>
    <w:rsid w:val="21B31E7D"/>
    <w:rsid w:val="21BA76AF"/>
    <w:rsid w:val="21C85928"/>
    <w:rsid w:val="21CE6CB6"/>
    <w:rsid w:val="21CF315A"/>
    <w:rsid w:val="21D40771"/>
    <w:rsid w:val="21DF0EC4"/>
    <w:rsid w:val="21E464DA"/>
    <w:rsid w:val="21FA5CFD"/>
    <w:rsid w:val="22010E3A"/>
    <w:rsid w:val="221C2118"/>
    <w:rsid w:val="221E379A"/>
    <w:rsid w:val="222334A6"/>
    <w:rsid w:val="22403BD3"/>
    <w:rsid w:val="22631AF5"/>
    <w:rsid w:val="23307C29"/>
    <w:rsid w:val="23474F72"/>
    <w:rsid w:val="23720241"/>
    <w:rsid w:val="23751ADF"/>
    <w:rsid w:val="23775858"/>
    <w:rsid w:val="239F6B5C"/>
    <w:rsid w:val="23A67EEB"/>
    <w:rsid w:val="23DC56BB"/>
    <w:rsid w:val="23E57F8F"/>
    <w:rsid w:val="244020ED"/>
    <w:rsid w:val="24743B45"/>
    <w:rsid w:val="248875F1"/>
    <w:rsid w:val="249661B1"/>
    <w:rsid w:val="24A3442A"/>
    <w:rsid w:val="24B804C4"/>
    <w:rsid w:val="24B92327"/>
    <w:rsid w:val="24C14514"/>
    <w:rsid w:val="24D9609E"/>
    <w:rsid w:val="24D97E4C"/>
    <w:rsid w:val="24E8457F"/>
    <w:rsid w:val="24F84776"/>
    <w:rsid w:val="24F9229C"/>
    <w:rsid w:val="251A293E"/>
    <w:rsid w:val="252F5CBE"/>
    <w:rsid w:val="2533755C"/>
    <w:rsid w:val="25706A02"/>
    <w:rsid w:val="25791755"/>
    <w:rsid w:val="257F09F3"/>
    <w:rsid w:val="25853B30"/>
    <w:rsid w:val="25B3069D"/>
    <w:rsid w:val="25E66CC5"/>
    <w:rsid w:val="26393298"/>
    <w:rsid w:val="26395046"/>
    <w:rsid w:val="26396DF4"/>
    <w:rsid w:val="26437C73"/>
    <w:rsid w:val="264F486A"/>
    <w:rsid w:val="265E2CFF"/>
    <w:rsid w:val="26AD333E"/>
    <w:rsid w:val="26BB1EFF"/>
    <w:rsid w:val="26CF20B5"/>
    <w:rsid w:val="26D11723"/>
    <w:rsid w:val="26D134D1"/>
    <w:rsid w:val="26D703BB"/>
    <w:rsid w:val="26E256DE"/>
    <w:rsid w:val="26EE4083"/>
    <w:rsid w:val="27167136"/>
    <w:rsid w:val="271B442C"/>
    <w:rsid w:val="2734580E"/>
    <w:rsid w:val="276A60A3"/>
    <w:rsid w:val="27A022B1"/>
    <w:rsid w:val="27A75FE0"/>
    <w:rsid w:val="27B23302"/>
    <w:rsid w:val="27BF157B"/>
    <w:rsid w:val="27D85A45"/>
    <w:rsid w:val="283F26BC"/>
    <w:rsid w:val="284D4DD9"/>
    <w:rsid w:val="287561C7"/>
    <w:rsid w:val="287D4B80"/>
    <w:rsid w:val="28904CC6"/>
    <w:rsid w:val="28921090"/>
    <w:rsid w:val="28970868"/>
    <w:rsid w:val="289E73E3"/>
    <w:rsid w:val="28B05368"/>
    <w:rsid w:val="2912392D"/>
    <w:rsid w:val="292F44DF"/>
    <w:rsid w:val="29310A5F"/>
    <w:rsid w:val="29451F54"/>
    <w:rsid w:val="29543F45"/>
    <w:rsid w:val="295757E3"/>
    <w:rsid w:val="29612E14"/>
    <w:rsid w:val="297939AC"/>
    <w:rsid w:val="29AA1DB7"/>
    <w:rsid w:val="29C37A35"/>
    <w:rsid w:val="2A027E45"/>
    <w:rsid w:val="2A076083"/>
    <w:rsid w:val="2A0E2346"/>
    <w:rsid w:val="2A73162E"/>
    <w:rsid w:val="2A8820F8"/>
    <w:rsid w:val="2AB078A1"/>
    <w:rsid w:val="2AF26F65"/>
    <w:rsid w:val="2B167953"/>
    <w:rsid w:val="2B200583"/>
    <w:rsid w:val="2B2067D5"/>
    <w:rsid w:val="2B6761B2"/>
    <w:rsid w:val="2B6C37C8"/>
    <w:rsid w:val="2B746B21"/>
    <w:rsid w:val="2B8209DE"/>
    <w:rsid w:val="2B836D64"/>
    <w:rsid w:val="2BC058C2"/>
    <w:rsid w:val="2BFA0DD4"/>
    <w:rsid w:val="2C047EA4"/>
    <w:rsid w:val="2C057779"/>
    <w:rsid w:val="2C183950"/>
    <w:rsid w:val="2C2916B9"/>
    <w:rsid w:val="2C636760"/>
    <w:rsid w:val="2C6762A3"/>
    <w:rsid w:val="2C730B86"/>
    <w:rsid w:val="2CB0732E"/>
    <w:rsid w:val="2CC6515A"/>
    <w:rsid w:val="2CE83322"/>
    <w:rsid w:val="2D1C3240"/>
    <w:rsid w:val="2D1E0AF2"/>
    <w:rsid w:val="2D391DD0"/>
    <w:rsid w:val="2D616C31"/>
    <w:rsid w:val="2D6B7AAF"/>
    <w:rsid w:val="2D8079FF"/>
    <w:rsid w:val="2D8D4C27"/>
    <w:rsid w:val="2DA37A05"/>
    <w:rsid w:val="2DBD030B"/>
    <w:rsid w:val="2DBD47AF"/>
    <w:rsid w:val="2DC55411"/>
    <w:rsid w:val="2DF06932"/>
    <w:rsid w:val="2DF31F7F"/>
    <w:rsid w:val="2E0C1292"/>
    <w:rsid w:val="2E1343CF"/>
    <w:rsid w:val="2E141EF5"/>
    <w:rsid w:val="2E530C6F"/>
    <w:rsid w:val="2E5D389C"/>
    <w:rsid w:val="2E731311"/>
    <w:rsid w:val="2E8C4181"/>
    <w:rsid w:val="2EA414CB"/>
    <w:rsid w:val="2EC4391B"/>
    <w:rsid w:val="2EDD678B"/>
    <w:rsid w:val="2EDF2503"/>
    <w:rsid w:val="2EFA733D"/>
    <w:rsid w:val="2F012479"/>
    <w:rsid w:val="2F05640D"/>
    <w:rsid w:val="2F621CE7"/>
    <w:rsid w:val="2F8C268B"/>
    <w:rsid w:val="2FB4573E"/>
    <w:rsid w:val="2FB76FDC"/>
    <w:rsid w:val="2FCA4B37"/>
    <w:rsid w:val="2FE029D7"/>
    <w:rsid w:val="2FF06E00"/>
    <w:rsid w:val="2FFB15BE"/>
    <w:rsid w:val="30073ABF"/>
    <w:rsid w:val="300E30A0"/>
    <w:rsid w:val="30121E36"/>
    <w:rsid w:val="30586FEC"/>
    <w:rsid w:val="306F78B6"/>
    <w:rsid w:val="30B023A9"/>
    <w:rsid w:val="30DA7699"/>
    <w:rsid w:val="30EB1633"/>
    <w:rsid w:val="315F0B22"/>
    <w:rsid w:val="31684A32"/>
    <w:rsid w:val="317F1D7B"/>
    <w:rsid w:val="31A31F0E"/>
    <w:rsid w:val="31A83080"/>
    <w:rsid w:val="31D84415"/>
    <w:rsid w:val="31F82BFE"/>
    <w:rsid w:val="3203475A"/>
    <w:rsid w:val="32285F6F"/>
    <w:rsid w:val="32335040"/>
    <w:rsid w:val="325925CC"/>
    <w:rsid w:val="326A2A2B"/>
    <w:rsid w:val="32764F2C"/>
    <w:rsid w:val="32770556"/>
    <w:rsid w:val="329C0913"/>
    <w:rsid w:val="329F0927"/>
    <w:rsid w:val="32A93554"/>
    <w:rsid w:val="32AA0460"/>
    <w:rsid w:val="32C97752"/>
    <w:rsid w:val="32CC2D9E"/>
    <w:rsid w:val="32F81DE5"/>
    <w:rsid w:val="33136C1F"/>
    <w:rsid w:val="331A61FF"/>
    <w:rsid w:val="331F3816"/>
    <w:rsid w:val="3337290D"/>
    <w:rsid w:val="334B0167"/>
    <w:rsid w:val="33995376"/>
    <w:rsid w:val="33BC72B7"/>
    <w:rsid w:val="33DB773D"/>
    <w:rsid w:val="33E31118"/>
    <w:rsid w:val="33EF7674"/>
    <w:rsid w:val="33F151B2"/>
    <w:rsid w:val="33FB1B8D"/>
    <w:rsid w:val="340C3D9A"/>
    <w:rsid w:val="342D7BC6"/>
    <w:rsid w:val="34415E0E"/>
    <w:rsid w:val="34A55A98"/>
    <w:rsid w:val="34E41523"/>
    <w:rsid w:val="34EF0FC6"/>
    <w:rsid w:val="35040F15"/>
    <w:rsid w:val="35092088"/>
    <w:rsid w:val="35270760"/>
    <w:rsid w:val="352930DB"/>
    <w:rsid w:val="35337105"/>
    <w:rsid w:val="35566D97"/>
    <w:rsid w:val="35573069"/>
    <w:rsid w:val="355E0625"/>
    <w:rsid w:val="355F439E"/>
    <w:rsid w:val="355F6038"/>
    <w:rsid w:val="3569521C"/>
    <w:rsid w:val="358C217E"/>
    <w:rsid w:val="358F3D6E"/>
    <w:rsid w:val="35BA7826"/>
    <w:rsid w:val="35C0308E"/>
    <w:rsid w:val="35C83CF1"/>
    <w:rsid w:val="35FE5964"/>
    <w:rsid w:val="3627111B"/>
    <w:rsid w:val="362C473A"/>
    <w:rsid w:val="363C648D"/>
    <w:rsid w:val="364A0BAA"/>
    <w:rsid w:val="36592B9B"/>
    <w:rsid w:val="3660217B"/>
    <w:rsid w:val="36851BE2"/>
    <w:rsid w:val="368A544A"/>
    <w:rsid w:val="36966B06"/>
    <w:rsid w:val="36C9128A"/>
    <w:rsid w:val="36CE3589"/>
    <w:rsid w:val="36CF10AF"/>
    <w:rsid w:val="36D84407"/>
    <w:rsid w:val="370945C1"/>
    <w:rsid w:val="37217B5C"/>
    <w:rsid w:val="374675C3"/>
    <w:rsid w:val="37721F02"/>
    <w:rsid w:val="37735EDE"/>
    <w:rsid w:val="37841E99"/>
    <w:rsid w:val="378D6FA0"/>
    <w:rsid w:val="37AB38CA"/>
    <w:rsid w:val="37BF1123"/>
    <w:rsid w:val="37EB3E44"/>
    <w:rsid w:val="37FA61AF"/>
    <w:rsid w:val="381710F5"/>
    <w:rsid w:val="381C20D2"/>
    <w:rsid w:val="3837515E"/>
    <w:rsid w:val="383C3F15"/>
    <w:rsid w:val="387B329C"/>
    <w:rsid w:val="388C5D65"/>
    <w:rsid w:val="389D76B7"/>
    <w:rsid w:val="38BE4696"/>
    <w:rsid w:val="38CC1D4A"/>
    <w:rsid w:val="3939115E"/>
    <w:rsid w:val="39846181"/>
    <w:rsid w:val="398919E9"/>
    <w:rsid w:val="39B60304"/>
    <w:rsid w:val="39B82A39"/>
    <w:rsid w:val="39C42CA8"/>
    <w:rsid w:val="39DC4FD6"/>
    <w:rsid w:val="39F03D7A"/>
    <w:rsid w:val="39F33306"/>
    <w:rsid w:val="3A1F40FB"/>
    <w:rsid w:val="3A2C1C67"/>
    <w:rsid w:val="3A577D39"/>
    <w:rsid w:val="3A61177C"/>
    <w:rsid w:val="3A6164C2"/>
    <w:rsid w:val="3A685AA2"/>
    <w:rsid w:val="3A687850"/>
    <w:rsid w:val="3AA863C7"/>
    <w:rsid w:val="3AAD1707"/>
    <w:rsid w:val="3AAD7959"/>
    <w:rsid w:val="3ADD7F09"/>
    <w:rsid w:val="3AE113B1"/>
    <w:rsid w:val="3AEC0481"/>
    <w:rsid w:val="3B1705E5"/>
    <w:rsid w:val="3B18334B"/>
    <w:rsid w:val="3B36794F"/>
    <w:rsid w:val="3B506C62"/>
    <w:rsid w:val="3B5C5727"/>
    <w:rsid w:val="3B6F6EE0"/>
    <w:rsid w:val="3B892174"/>
    <w:rsid w:val="3B8E1539"/>
    <w:rsid w:val="3BB70A8F"/>
    <w:rsid w:val="3BBC60A6"/>
    <w:rsid w:val="3BE455FD"/>
    <w:rsid w:val="3C522566"/>
    <w:rsid w:val="3C566AD6"/>
    <w:rsid w:val="3C594871"/>
    <w:rsid w:val="3C6A5B02"/>
    <w:rsid w:val="3C7A1A05"/>
    <w:rsid w:val="3C866438"/>
    <w:rsid w:val="3CD25455"/>
    <w:rsid w:val="3CD613E9"/>
    <w:rsid w:val="3CF03B2D"/>
    <w:rsid w:val="3CFC24D2"/>
    <w:rsid w:val="3D2757A1"/>
    <w:rsid w:val="3D2F28A7"/>
    <w:rsid w:val="3D363C36"/>
    <w:rsid w:val="3D3D4FC4"/>
    <w:rsid w:val="3D536596"/>
    <w:rsid w:val="3D6A3D67"/>
    <w:rsid w:val="3D6D1026"/>
    <w:rsid w:val="3D747A54"/>
    <w:rsid w:val="3D8210F4"/>
    <w:rsid w:val="3DB50FFF"/>
    <w:rsid w:val="3DBA6615"/>
    <w:rsid w:val="3DCC00F6"/>
    <w:rsid w:val="3DD5344F"/>
    <w:rsid w:val="3DDF3AB1"/>
    <w:rsid w:val="3DDF42CD"/>
    <w:rsid w:val="3E0930F8"/>
    <w:rsid w:val="3E09759C"/>
    <w:rsid w:val="3E1D0952"/>
    <w:rsid w:val="3E42660A"/>
    <w:rsid w:val="3E5720B6"/>
    <w:rsid w:val="3E642A25"/>
    <w:rsid w:val="3E6D7B2B"/>
    <w:rsid w:val="3E7555B1"/>
    <w:rsid w:val="3E787ED9"/>
    <w:rsid w:val="3E8E35FE"/>
    <w:rsid w:val="3E950E30"/>
    <w:rsid w:val="3EB017C6"/>
    <w:rsid w:val="3EB11975"/>
    <w:rsid w:val="3EB23790"/>
    <w:rsid w:val="3EE2792E"/>
    <w:rsid w:val="3EEA2F2A"/>
    <w:rsid w:val="3EEF0540"/>
    <w:rsid w:val="3EEF22EE"/>
    <w:rsid w:val="3F032E93"/>
    <w:rsid w:val="3F0527E5"/>
    <w:rsid w:val="3F122481"/>
    <w:rsid w:val="3F185EFC"/>
    <w:rsid w:val="3F19736B"/>
    <w:rsid w:val="3F20694C"/>
    <w:rsid w:val="3F2A1578"/>
    <w:rsid w:val="3F312907"/>
    <w:rsid w:val="3F4110D7"/>
    <w:rsid w:val="3F43263A"/>
    <w:rsid w:val="3F584337"/>
    <w:rsid w:val="3F6031EC"/>
    <w:rsid w:val="3F694D83"/>
    <w:rsid w:val="3F836EDA"/>
    <w:rsid w:val="3F870779"/>
    <w:rsid w:val="3F885DCC"/>
    <w:rsid w:val="3F9B5FD2"/>
    <w:rsid w:val="3FB86B84"/>
    <w:rsid w:val="3FCC262F"/>
    <w:rsid w:val="3FCD675E"/>
    <w:rsid w:val="3FFD4EDF"/>
    <w:rsid w:val="4004000C"/>
    <w:rsid w:val="402406BD"/>
    <w:rsid w:val="408B24EB"/>
    <w:rsid w:val="4093314D"/>
    <w:rsid w:val="40AB66E9"/>
    <w:rsid w:val="40BD5482"/>
    <w:rsid w:val="40DC68A2"/>
    <w:rsid w:val="40EB2F89"/>
    <w:rsid w:val="40F77B80"/>
    <w:rsid w:val="410D2F00"/>
    <w:rsid w:val="411B6CE5"/>
    <w:rsid w:val="412070D7"/>
    <w:rsid w:val="412A5860"/>
    <w:rsid w:val="41314E40"/>
    <w:rsid w:val="41320BB8"/>
    <w:rsid w:val="4132239B"/>
    <w:rsid w:val="41401527"/>
    <w:rsid w:val="41635215"/>
    <w:rsid w:val="416F3BBA"/>
    <w:rsid w:val="417411D1"/>
    <w:rsid w:val="419E624E"/>
    <w:rsid w:val="41CA0DF1"/>
    <w:rsid w:val="41D67795"/>
    <w:rsid w:val="41E0734B"/>
    <w:rsid w:val="420F2CA7"/>
    <w:rsid w:val="42276243"/>
    <w:rsid w:val="42521512"/>
    <w:rsid w:val="426C1EA8"/>
    <w:rsid w:val="42736402"/>
    <w:rsid w:val="427F1BDB"/>
    <w:rsid w:val="429338D8"/>
    <w:rsid w:val="429B176C"/>
    <w:rsid w:val="429F227D"/>
    <w:rsid w:val="42A258CA"/>
    <w:rsid w:val="42B555FD"/>
    <w:rsid w:val="42D27F5D"/>
    <w:rsid w:val="42E86A87"/>
    <w:rsid w:val="43122A4F"/>
    <w:rsid w:val="431F6F1A"/>
    <w:rsid w:val="4320516C"/>
    <w:rsid w:val="432602A9"/>
    <w:rsid w:val="43307B09"/>
    <w:rsid w:val="43337AAD"/>
    <w:rsid w:val="43486471"/>
    <w:rsid w:val="43601A0D"/>
    <w:rsid w:val="43741014"/>
    <w:rsid w:val="439A3EB9"/>
    <w:rsid w:val="43AC6A00"/>
    <w:rsid w:val="43AF64F0"/>
    <w:rsid w:val="43BB152F"/>
    <w:rsid w:val="43CC2BFE"/>
    <w:rsid w:val="441445A5"/>
    <w:rsid w:val="442962A2"/>
    <w:rsid w:val="442E38B9"/>
    <w:rsid w:val="44315157"/>
    <w:rsid w:val="443D1D4E"/>
    <w:rsid w:val="4440539A"/>
    <w:rsid w:val="445350CD"/>
    <w:rsid w:val="445A46AE"/>
    <w:rsid w:val="447D039C"/>
    <w:rsid w:val="447F5EC2"/>
    <w:rsid w:val="448E07FB"/>
    <w:rsid w:val="44C37687"/>
    <w:rsid w:val="44DA759D"/>
    <w:rsid w:val="44E82A2E"/>
    <w:rsid w:val="4537679D"/>
    <w:rsid w:val="453E18DA"/>
    <w:rsid w:val="45763D1A"/>
    <w:rsid w:val="45A73923"/>
    <w:rsid w:val="45BB73CE"/>
    <w:rsid w:val="45C81AEB"/>
    <w:rsid w:val="45CB699A"/>
    <w:rsid w:val="45E03FE6"/>
    <w:rsid w:val="45F75F2C"/>
    <w:rsid w:val="461663C8"/>
    <w:rsid w:val="46205483"/>
    <w:rsid w:val="46401681"/>
    <w:rsid w:val="464078D3"/>
    <w:rsid w:val="46492C2C"/>
    <w:rsid w:val="464C6278"/>
    <w:rsid w:val="465B470D"/>
    <w:rsid w:val="466435C2"/>
    <w:rsid w:val="4665558C"/>
    <w:rsid w:val="46674E60"/>
    <w:rsid w:val="46715CDF"/>
    <w:rsid w:val="469D6AD4"/>
    <w:rsid w:val="46A2233C"/>
    <w:rsid w:val="46CB3641"/>
    <w:rsid w:val="46E22739"/>
    <w:rsid w:val="46FF32EA"/>
    <w:rsid w:val="471A0124"/>
    <w:rsid w:val="471E6C84"/>
    <w:rsid w:val="472D1C9B"/>
    <w:rsid w:val="473F7B8B"/>
    <w:rsid w:val="4748792B"/>
    <w:rsid w:val="475D719D"/>
    <w:rsid w:val="47631ACB"/>
    <w:rsid w:val="47674801"/>
    <w:rsid w:val="4792415F"/>
    <w:rsid w:val="47C50090"/>
    <w:rsid w:val="47DB5B06"/>
    <w:rsid w:val="4803505C"/>
    <w:rsid w:val="48164D90"/>
    <w:rsid w:val="48225EF7"/>
    <w:rsid w:val="486A6E89"/>
    <w:rsid w:val="486D24D6"/>
    <w:rsid w:val="487D4E0F"/>
    <w:rsid w:val="488F422B"/>
    <w:rsid w:val="48E36915"/>
    <w:rsid w:val="48EB6572"/>
    <w:rsid w:val="491F1A22"/>
    <w:rsid w:val="4953791E"/>
    <w:rsid w:val="495C4A24"/>
    <w:rsid w:val="496438D9"/>
    <w:rsid w:val="497135DF"/>
    <w:rsid w:val="4972249A"/>
    <w:rsid w:val="499C7517"/>
    <w:rsid w:val="49A40179"/>
    <w:rsid w:val="49D46CB0"/>
    <w:rsid w:val="49E669E4"/>
    <w:rsid w:val="4A263DF2"/>
    <w:rsid w:val="4A5D0A54"/>
    <w:rsid w:val="4A5E3966"/>
    <w:rsid w:val="4A6F6675"/>
    <w:rsid w:val="4A7364C9"/>
    <w:rsid w:val="4AD0163B"/>
    <w:rsid w:val="4B135857"/>
    <w:rsid w:val="4B1A4B97"/>
    <w:rsid w:val="4B7951CB"/>
    <w:rsid w:val="4B7C315C"/>
    <w:rsid w:val="4BCA036B"/>
    <w:rsid w:val="4BE11211"/>
    <w:rsid w:val="4C211F55"/>
    <w:rsid w:val="4C3B3017"/>
    <w:rsid w:val="4C4023DB"/>
    <w:rsid w:val="4C4F261E"/>
    <w:rsid w:val="4C653BF0"/>
    <w:rsid w:val="4C854292"/>
    <w:rsid w:val="4C937F00"/>
    <w:rsid w:val="4CBD1C7E"/>
    <w:rsid w:val="4CBF59F6"/>
    <w:rsid w:val="4CCA439B"/>
    <w:rsid w:val="4CDF7E46"/>
    <w:rsid w:val="4CE01AC6"/>
    <w:rsid w:val="4CF03E01"/>
    <w:rsid w:val="4D0A4797"/>
    <w:rsid w:val="4D297313"/>
    <w:rsid w:val="4D40640B"/>
    <w:rsid w:val="4D4E28D6"/>
    <w:rsid w:val="4DAC4ACA"/>
    <w:rsid w:val="4DBE01D2"/>
    <w:rsid w:val="4DE1199C"/>
    <w:rsid w:val="4E0E4780"/>
    <w:rsid w:val="4E1753BE"/>
    <w:rsid w:val="4E1C6E78"/>
    <w:rsid w:val="4E261AA5"/>
    <w:rsid w:val="4E263853"/>
    <w:rsid w:val="4E3C6BD2"/>
    <w:rsid w:val="4E5E4D9B"/>
    <w:rsid w:val="4E6D1482"/>
    <w:rsid w:val="4E6F0D56"/>
    <w:rsid w:val="4E710F72"/>
    <w:rsid w:val="4E9B1B4B"/>
    <w:rsid w:val="4EA41F28"/>
    <w:rsid w:val="4EAD5D22"/>
    <w:rsid w:val="4EB946C7"/>
    <w:rsid w:val="4EFD0A57"/>
    <w:rsid w:val="4F0C6BA3"/>
    <w:rsid w:val="4F186D58"/>
    <w:rsid w:val="4F271630"/>
    <w:rsid w:val="4F5F526E"/>
    <w:rsid w:val="4F7800DE"/>
    <w:rsid w:val="4FD07F1A"/>
    <w:rsid w:val="4FDC066D"/>
    <w:rsid w:val="4FE15C83"/>
    <w:rsid w:val="4FF82FCD"/>
    <w:rsid w:val="4FF927CB"/>
    <w:rsid w:val="4FFD05E3"/>
    <w:rsid w:val="500E27F0"/>
    <w:rsid w:val="50285660"/>
    <w:rsid w:val="504A1A7A"/>
    <w:rsid w:val="505C17AE"/>
    <w:rsid w:val="505C355C"/>
    <w:rsid w:val="509C7DFC"/>
    <w:rsid w:val="50F06B6E"/>
    <w:rsid w:val="50FE0AB7"/>
    <w:rsid w:val="5107796B"/>
    <w:rsid w:val="515F3303"/>
    <w:rsid w:val="517448D5"/>
    <w:rsid w:val="51850890"/>
    <w:rsid w:val="51864D34"/>
    <w:rsid w:val="518F170F"/>
    <w:rsid w:val="51AE6AA6"/>
    <w:rsid w:val="51B7313F"/>
    <w:rsid w:val="51BD002A"/>
    <w:rsid w:val="51D21804"/>
    <w:rsid w:val="521D4F6D"/>
    <w:rsid w:val="52234D33"/>
    <w:rsid w:val="522F6E0C"/>
    <w:rsid w:val="5245699D"/>
    <w:rsid w:val="52463BA1"/>
    <w:rsid w:val="525C7843"/>
    <w:rsid w:val="526606C2"/>
    <w:rsid w:val="52972F71"/>
    <w:rsid w:val="52A82A88"/>
    <w:rsid w:val="52BE22AC"/>
    <w:rsid w:val="52F163D4"/>
    <w:rsid w:val="52F7756C"/>
    <w:rsid w:val="53073C53"/>
    <w:rsid w:val="531A2DB4"/>
    <w:rsid w:val="531A3789"/>
    <w:rsid w:val="53332C9A"/>
    <w:rsid w:val="53723ECA"/>
    <w:rsid w:val="53794425"/>
    <w:rsid w:val="53C0244D"/>
    <w:rsid w:val="53D31D87"/>
    <w:rsid w:val="53DD4D4E"/>
    <w:rsid w:val="53E578CE"/>
    <w:rsid w:val="53EE4E13"/>
    <w:rsid w:val="53F65A75"/>
    <w:rsid w:val="541330F0"/>
    <w:rsid w:val="542720D3"/>
    <w:rsid w:val="54272666"/>
    <w:rsid w:val="543B029D"/>
    <w:rsid w:val="543C5B7E"/>
    <w:rsid w:val="545A6004"/>
    <w:rsid w:val="54861779"/>
    <w:rsid w:val="54880DC3"/>
    <w:rsid w:val="549E05E7"/>
    <w:rsid w:val="54A159E1"/>
    <w:rsid w:val="54D9161F"/>
    <w:rsid w:val="54FB77E7"/>
    <w:rsid w:val="55020B76"/>
    <w:rsid w:val="55110DB9"/>
    <w:rsid w:val="552256E1"/>
    <w:rsid w:val="554E5773"/>
    <w:rsid w:val="55570796"/>
    <w:rsid w:val="555829E0"/>
    <w:rsid w:val="555A3CBC"/>
    <w:rsid w:val="556C4241"/>
    <w:rsid w:val="5579070C"/>
    <w:rsid w:val="5582012B"/>
    <w:rsid w:val="558E4E05"/>
    <w:rsid w:val="559D43FA"/>
    <w:rsid w:val="55A82D9F"/>
    <w:rsid w:val="55B33C1E"/>
    <w:rsid w:val="55B94DEE"/>
    <w:rsid w:val="55BE2E85"/>
    <w:rsid w:val="55CD7368"/>
    <w:rsid w:val="55CF47D0"/>
    <w:rsid w:val="55EE10FA"/>
    <w:rsid w:val="56102E1E"/>
    <w:rsid w:val="562B7C58"/>
    <w:rsid w:val="563C00B7"/>
    <w:rsid w:val="56530F5D"/>
    <w:rsid w:val="567700D3"/>
    <w:rsid w:val="56A25A40"/>
    <w:rsid w:val="56FF7E9E"/>
    <w:rsid w:val="57671164"/>
    <w:rsid w:val="57743881"/>
    <w:rsid w:val="577675F9"/>
    <w:rsid w:val="578867FC"/>
    <w:rsid w:val="57A35F14"/>
    <w:rsid w:val="57B65C47"/>
    <w:rsid w:val="5838665C"/>
    <w:rsid w:val="5842572D"/>
    <w:rsid w:val="586E6522"/>
    <w:rsid w:val="58737694"/>
    <w:rsid w:val="58773629"/>
    <w:rsid w:val="58831FCD"/>
    <w:rsid w:val="588418A2"/>
    <w:rsid w:val="58D75E75"/>
    <w:rsid w:val="58E10AA2"/>
    <w:rsid w:val="58E660B8"/>
    <w:rsid w:val="58F5454D"/>
    <w:rsid w:val="58F72073"/>
    <w:rsid w:val="59142C25"/>
    <w:rsid w:val="59253085"/>
    <w:rsid w:val="596D67DA"/>
    <w:rsid w:val="59747B68"/>
    <w:rsid w:val="59975605"/>
    <w:rsid w:val="59E20F76"/>
    <w:rsid w:val="59E52814"/>
    <w:rsid w:val="59E65DE5"/>
    <w:rsid w:val="5A040EEC"/>
    <w:rsid w:val="5A3B59D6"/>
    <w:rsid w:val="5A6F20DD"/>
    <w:rsid w:val="5AA57EDE"/>
    <w:rsid w:val="5AAC50E0"/>
    <w:rsid w:val="5ACB37B8"/>
    <w:rsid w:val="5AD134D8"/>
    <w:rsid w:val="5AF0321E"/>
    <w:rsid w:val="5AF947C9"/>
    <w:rsid w:val="5B3A6B8F"/>
    <w:rsid w:val="5B4812AC"/>
    <w:rsid w:val="5B48305A"/>
    <w:rsid w:val="5B765E19"/>
    <w:rsid w:val="5B9C33A6"/>
    <w:rsid w:val="5BCF72D8"/>
    <w:rsid w:val="5BE54D4D"/>
    <w:rsid w:val="5BF16A5B"/>
    <w:rsid w:val="5C25339C"/>
    <w:rsid w:val="5C263CE4"/>
    <w:rsid w:val="5C5D2777"/>
    <w:rsid w:val="5C702869"/>
    <w:rsid w:val="5C7F2AAC"/>
    <w:rsid w:val="5C8E7193"/>
    <w:rsid w:val="5C974299"/>
    <w:rsid w:val="5C9D1184"/>
    <w:rsid w:val="5CA00C74"/>
    <w:rsid w:val="5CA97B29"/>
    <w:rsid w:val="5CAA1371"/>
    <w:rsid w:val="5CAA564F"/>
    <w:rsid w:val="5CBD1826"/>
    <w:rsid w:val="5CC130C4"/>
    <w:rsid w:val="5CF66BF3"/>
    <w:rsid w:val="5CFF599B"/>
    <w:rsid w:val="5D02548B"/>
    <w:rsid w:val="5D0631CD"/>
    <w:rsid w:val="5D137698"/>
    <w:rsid w:val="5D172CE4"/>
    <w:rsid w:val="5D1A27D4"/>
    <w:rsid w:val="5D290C69"/>
    <w:rsid w:val="5D812854"/>
    <w:rsid w:val="5DBA7B13"/>
    <w:rsid w:val="5DC42740"/>
    <w:rsid w:val="5DC664B8"/>
    <w:rsid w:val="5DCF7A63"/>
    <w:rsid w:val="5E053485"/>
    <w:rsid w:val="5E2C6C63"/>
    <w:rsid w:val="5E395BA4"/>
    <w:rsid w:val="5E5B4E53"/>
    <w:rsid w:val="5E7224DE"/>
    <w:rsid w:val="5E9B5B97"/>
    <w:rsid w:val="5EA07923"/>
    <w:rsid w:val="5EA26F25"/>
    <w:rsid w:val="5EB34C8F"/>
    <w:rsid w:val="5EBF1885"/>
    <w:rsid w:val="5EDD1D0C"/>
    <w:rsid w:val="5EE74938"/>
    <w:rsid w:val="5F061262"/>
    <w:rsid w:val="5F090D52"/>
    <w:rsid w:val="5F245B8C"/>
    <w:rsid w:val="5F2D4A41"/>
    <w:rsid w:val="5F36141C"/>
    <w:rsid w:val="5F5C5326"/>
    <w:rsid w:val="5FA665A1"/>
    <w:rsid w:val="5FBF7663"/>
    <w:rsid w:val="5FCA04E2"/>
    <w:rsid w:val="5FE62E42"/>
    <w:rsid w:val="5FEB2206"/>
    <w:rsid w:val="5FFE462F"/>
    <w:rsid w:val="60681AA9"/>
    <w:rsid w:val="606A75CF"/>
    <w:rsid w:val="60C74F6C"/>
    <w:rsid w:val="60EA4798"/>
    <w:rsid w:val="61025A59"/>
    <w:rsid w:val="6109503A"/>
    <w:rsid w:val="611A2DA3"/>
    <w:rsid w:val="612C2AD6"/>
    <w:rsid w:val="6131633F"/>
    <w:rsid w:val="613D5BBC"/>
    <w:rsid w:val="614147D4"/>
    <w:rsid w:val="61536C39"/>
    <w:rsid w:val="6166423A"/>
    <w:rsid w:val="617F354E"/>
    <w:rsid w:val="61C15914"/>
    <w:rsid w:val="61CE3B8D"/>
    <w:rsid w:val="61EB473F"/>
    <w:rsid w:val="622163B3"/>
    <w:rsid w:val="622D2FAA"/>
    <w:rsid w:val="623460E6"/>
    <w:rsid w:val="62436329"/>
    <w:rsid w:val="626F711E"/>
    <w:rsid w:val="627110E9"/>
    <w:rsid w:val="62854B94"/>
    <w:rsid w:val="62944DD7"/>
    <w:rsid w:val="62A74B0A"/>
    <w:rsid w:val="62CA6A4B"/>
    <w:rsid w:val="62DF24F6"/>
    <w:rsid w:val="630E6937"/>
    <w:rsid w:val="6319381F"/>
    <w:rsid w:val="63310878"/>
    <w:rsid w:val="63660521"/>
    <w:rsid w:val="6370314E"/>
    <w:rsid w:val="63892462"/>
    <w:rsid w:val="6393508F"/>
    <w:rsid w:val="63AE1EC8"/>
    <w:rsid w:val="63C25DC5"/>
    <w:rsid w:val="63C62057"/>
    <w:rsid w:val="642D103F"/>
    <w:rsid w:val="64460353"/>
    <w:rsid w:val="64571EF5"/>
    <w:rsid w:val="6475463F"/>
    <w:rsid w:val="648B7712"/>
    <w:rsid w:val="64997752"/>
    <w:rsid w:val="64C23E7D"/>
    <w:rsid w:val="64EA5182"/>
    <w:rsid w:val="64FB113D"/>
    <w:rsid w:val="650D2C1F"/>
    <w:rsid w:val="65200BA4"/>
    <w:rsid w:val="65554CF2"/>
    <w:rsid w:val="65613696"/>
    <w:rsid w:val="656152C6"/>
    <w:rsid w:val="657F58CB"/>
    <w:rsid w:val="65847385"/>
    <w:rsid w:val="6587477F"/>
    <w:rsid w:val="658C3A08"/>
    <w:rsid w:val="65921AA2"/>
    <w:rsid w:val="65C031CA"/>
    <w:rsid w:val="65C37EAD"/>
    <w:rsid w:val="65CB6D62"/>
    <w:rsid w:val="65CE6852"/>
    <w:rsid w:val="65D774B5"/>
    <w:rsid w:val="65D976D1"/>
    <w:rsid w:val="65DC4ACB"/>
    <w:rsid w:val="65F22540"/>
    <w:rsid w:val="6603474E"/>
    <w:rsid w:val="6608176E"/>
    <w:rsid w:val="6618187B"/>
    <w:rsid w:val="66267C04"/>
    <w:rsid w:val="663F505A"/>
    <w:rsid w:val="6646288C"/>
    <w:rsid w:val="664B7EA3"/>
    <w:rsid w:val="665A7A72"/>
    <w:rsid w:val="665E3732"/>
    <w:rsid w:val="667E64F3"/>
    <w:rsid w:val="66D734E4"/>
    <w:rsid w:val="66E254D7"/>
    <w:rsid w:val="66EE5541"/>
    <w:rsid w:val="66F66060"/>
    <w:rsid w:val="672C1A82"/>
    <w:rsid w:val="672C55DE"/>
    <w:rsid w:val="675664AA"/>
    <w:rsid w:val="67717495"/>
    <w:rsid w:val="678A0557"/>
    <w:rsid w:val="678A67A9"/>
    <w:rsid w:val="67924660"/>
    <w:rsid w:val="67CB3049"/>
    <w:rsid w:val="67E4235D"/>
    <w:rsid w:val="67F00D02"/>
    <w:rsid w:val="68150768"/>
    <w:rsid w:val="68407834"/>
    <w:rsid w:val="6848491B"/>
    <w:rsid w:val="686D2352"/>
    <w:rsid w:val="6883293E"/>
    <w:rsid w:val="688412AD"/>
    <w:rsid w:val="68BE2BAE"/>
    <w:rsid w:val="68D26659"/>
    <w:rsid w:val="68EB1B71"/>
    <w:rsid w:val="68F93BE6"/>
    <w:rsid w:val="69196036"/>
    <w:rsid w:val="694E3F32"/>
    <w:rsid w:val="69561038"/>
    <w:rsid w:val="696E0130"/>
    <w:rsid w:val="697D65C5"/>
    <w:rsid w:val="69A05F97"/>
    <w:rsid w:val="69D65CD5"/>
    <w:rsid w:val="69F148BD"/>
    <w:rsid w:val="69FD7706"/>
    <w:rsid w:val="6A0D5B9B"/>
    <w:rsid w:val="6A6C7940"/>
    <w:rsid w:val="6A7F011B"/>
    <w:rsid w:val="6AAD2300"/>
    <w:rsid w:val="6B0B7C00"/>
    <w:rsid w:val="6B2D401B"/>
    <w:rsid w:val="6B474EF5"/>
    <w:rsid w:val="6B56531F"/>
    <w:rsid w:val="6B637A3C"/>
    <w:rsid w:val="6B876266"/>
    <w:rsid w:val="6BB107A8"/>
    <w:rsid w:val="6BD10E4A"/>
    <w:rsid w:val="6BD3071E"/>
    <w:rsid w:val="6BF40694"/>
    <w:rsid w:val="6C094140"/>
    <w:rsid w:val="6C0A5AC5"/>
    <w:rsid w:val="6C353187"/>
    <w:rsid w:val="6C382C77"/>
    <w:rsid w:val="6C53185F"/>
    <w:rsid w:val="6C560CAE"/>
    <w:rsid w:val="6C576495"/>
    <w:rsid w:val="6C80187D"/>
    <w:rsid w:val="6C8E0AE9"/>
    <w:rsid w:val="6C907578"/>
    <w:rsid w:val="6CB0280D"/>
    <w:rsid w:val="6D1676CC"/>
    <w:rsid w:val="6D8D2B4F"/>
    <w:rsid w:val="6D903FF5"/>
    <w:rsid w:val="6D995997"/>
    <w:rsid w:val="6DA00AD4"/>
    <w:rsid w:val="6DA955B8"/>
    <w:rsid w:val="6DE346AB"/>
    <w:rsid w:val="6DE5391A"/>
    <w:rsid w:val="6E0077C5"/>
    <w:rsid w:val="6E0A23F1"/>
    <w:rsid w:val="6E3336F6"/>
    <w:rsid w:val="6E4476B1"/>
    <w:rsid w:val="6EA840E4"/>
    <w:rsid w:val="6EFD1324"/>
    <w:rsid w:val="6F143527"/>
    <w:rsid w:val="6F1A6664"/>
    <w:rsid w:val="6F2E3EBD"/>
    <w:rsid w:val="6F5A53AC"/>
    <w:rsid w:val="6F655B31"/>
    <w:rsid w:val="6F6B4E7B"/>
    <w:rsid w:val="6F6D0E8A"/>
    <w:rsid w:val="6F977CB5"/>
    <w:rsid w:val="6F9B77A5"/>
    <w:rsid w:val="6FA36659"/>
    <w:rsid w:val="6FAC003D"/>
    <w:rsid w:val="6FB6638D"/>
    <w:rsid w:val="6FE55E12"/>
    <w:rsid w:val="6FEC0000"/>
    <w:rsid w:val="6FFB2E76"/>
    <w:rsid w:val="700E61C9"/>
    <w:rsid w:val="70343755"/>
    <w:rsid w:val="708244C1"/>
    <w:rsid w:val="708F6F7F"/>
    <w:rsid w:val="70952446"/>
    <w:rsid w:val="70967AF3"/>
    <w:rsid w:val="70AB1C6A"/>
    <w:rsid w:val="70B76860"/>
    <w:rsid w:val="70B86135"/>
    <w:rsid w:val="70D56CE6"/>
    <w:rsid w:val="70D80585"/>
    <w:rsid w:val="70D94BD3"/>
    <w:rsid w:val="70DC1E23"/>
    <w:rsid w:val="70DF36C1"/>
    <w:rsid w:val="70EB650A"/>
    <w:rsid w:val="710650F2"/>
    <w:rsid w:val="71066EA0"/>
    <w:rsid w:val="714B6FA9"/>
    <w:rsid w:val="71614A1E"/>
    <w:rsid w:val="7170277A"/>
    <w:rsid w:val="71C34D91"/>
    <w:rsid w:val="71E2790D"/>
    <w:rsid w:val="71EF202A"/>
    <w:rsid w:val="720E0702"/>
    <w:rsid w:val="724203AC"/>
    <w:rsid w:val="724F0D1A"/>
    <w:rsid w:val="72565C05"/>
    <w:rsid w:val="72B34E05"/>
    <w:rsid w:val="72BD5C84"/>
    <w:rsid w:val="72C2773E"/>
    <w:rsid w:val="72CB65F3"/>
    <w:rsid w:val="72D1172F"/>
    <w:rsid w:val="72DB435C"/>
    <w:rsid w:val="72E256EB"/>
    <w:rsid w:val="72E2613A"/>
    <w:rsid w:val="72F771F4"/>
    <w:rsid w:val="73131D48"/>
    <w:rsid w:val="73934AD2"/>
    <w:rsid w:val="739B4217"/>
    <w:rsid w:val="73BB0416"/>
    <w:rsid w:val="73BC418E"/>
    <w:rsid w:val="73C57A7E"/>
    <w:rsid w:val="73D634A1"/>
    <w:rsid w:val="73FE47A6"/>
    <w:rsid w:val="740022CC"/>
    <w:rsid w:val="74033B6B"/>
    <w:rsid w:val="740578E3"/>
    <w:rsid w:val="741E09A4"/>
    <w:rsid w:val="741E6BF6"/>
    <w:rsid w:val="74257F85"/>
    <w:rsid w:val="74626AE3"/>
    <w:rsid w:val="74793E2D"/>
    <w:rsid w:val="748527D2"/>
    <w:rsid w:val="749D5D6D"/>
    <w:rsid w:val="74BF5CE3"/>
    <w:rsid w:val="74C01A5C"/>
    <w:rsid w:val="74D472B5"/>
    <w:rsid w:val="74DF0134"/>
    <w:rsid w:val="74F11C15"/>
    <w:rsid w:val="74F61C6B"/>
    <w:rsid w:val="750837F0"/>
    <w:rsid w:val="7530273D"/>
    <w:rsid w:val="753A35BC"/>
    <w:rsid w:val="754758CF"/>
    <w:rsid w:val="7553467E"/>
    <w:rsid w:val="758B3E18"/>
    <w:rsid w:val="75B96BD7"/>
    <w:rsid w:val="75BF3AC1"/>
    <w:rsid w:val="76277FE4"/>
    <w:rsid w:val="76293C04"/>
    <w:rsid w:val="763C3364"/>
    <w:rsid w:val="764A782F"/>
    <w:rsid w:val="764F62AB"/>
    <w:rsid w:val="765C45EC"/>
    <w:rsid w:val="76612DCA"/>
    <w:rsid w:val="76760624"/>
    <w:rsid w:val="768A7619"/>
    <w:rsid w:val="76A21419"/>
    <w:rsid w:val="76CF5F86"/>
    <w:rsid w:val="77071BC4"/>
    <w:rsid w:val="772E1EBA"/>
    <w:rsid w:val="773F4EBA"/>
    <w:rsid w:val="775D17E4"/>
    <w:rsid w:val="77664B3C"/>
    <w:rsid w:val="779A47E6"/>
    <w:rsid w:val="77BD2282"/>
    <w:rsid w:val="77DC095A"/>
    <w:rsid w:val="77E85551"/>
    <w:rsid w:val="77FE21A7"/>
    <w:rsid w:val="781225CE"/>
    <w:rsid w:val="781926BC"/>
    <w:rsid w:val="783C589D"/>
    <w:rsid w:val="78540E39"/>
    <w:rsid w:val="7863107C"/>
    <w:rsid w:val="78A3591C"/>
    <w:rsid w:val="78A551F0"/>
    <w:rsid w:val="78B673FD"/>
    <w:rsid w:val="78C7160B"/>
    <w:rsid w:val="78E81581"/>
    <w:rsid w:val="78F61EF0"/>
    <w:rsid w:val="79336CA0"/>
    <w:rsid w:val="795C61F7"/>
    <w:rsid w:val="796D60A4"/>
    <w:rsid w:val="797A042B"/>
    <w:rsid w:val="79A031D5"/>
    <w:rsid w:val="79D264B9"/>
    <w:rsid w:val="79D57D57"/>
    <w:rsid w:val="79F0693F"/>
    <w:rsid w:val="79FE72AE"/>
    <w:rsid w:val="7A1525F7"/>
    <w:rsid w:val="7A543372"/>
    <w:rsid w:val="7A595DE2"/>
    <w:rsid w:val="7AA65250"/>
    <w:rsid w:val="7AAE67FC"/>
    <w:rsid w:val="7ACF47A6"/>
    <w:rsid w:val="7AD254A6"/>
    <w:rsid w:val="7AE77D42"/>
    <w:rsid w:val="7AF4245F"/>
    <w:rsid w:val="7B160627"/>
    <w:rsid w:val="7B252618"/>
    <w:rsid w:val="7B2A40D3"/>
    <w:rsid w:val="7B3B008E"/>
    <w:rsid w:val="7B3F687F"/>
    <w:rsid w:val="7B420052"/>
    <w:rsid w:val="7B484188"/>
    <w:rsid w:val="7B4C4049"/>
    <w:rsid w:val="7B803CF3"/>
    <w:rsid w:val="7BC260B9"/>
    <w:rsid w:val="7BC97448"/>
    <w:rsid w:val="7BD04C7A"/>
    <w:rsid w:val="7BD06A28"/>
    <w:rsid w:val="7BF546E1"/>
    <w:rsid w:val="7C0C5586"/>
    <w:rsid w:val="7C3A7C0B"/>
    <w:rsid w:val="7C5248E4"/>
    <w:rsid w:val="7C566698"/>
    <w:rsid w:val="7C5866A3"/>
    <w:rsid w:val="7C9A0DE4"/>
    <w:rsid w:val="7CCB71F0"/>
    <w:rsid w:val="7CD662C0"/>
    <w:rsid w:val="7CD75B94"/>
    <w:rsid w:val="7CF93D5D"/>
    <w:rsid w:val="7D0746CC"/>
    <w:rsid w:val="7D1B1F25"/>
    <w:rsid w:val="7D250FF6"/>
    <w:rsid w:val="7D2D1C58"/>
    <w:rsid w:val="7D382AD7"/>
    <w:rsid w:val="7D4C20DE"/>
    <w:rsid w:val="7D7406BB"/>
    <w:rsid w:val="7D7F24B4"/>
    <w:rsid w:val="7D941903"/>
    <w:rsid w:val="7D957F29"/>
    <w:rsid w:val="7DA41F1A"/>
    <w:rsid w:val="7DC17B5D"/>
    <w:rsid w:val="7DDB3145"/>
    <w:rsid w:val="7DE94331"/>
    <w:rsid w:val="7E105802"/>
    <w:rsid w:val="7E372D8F"/>
    <w:rsid w:val="7E5356EF"/>
    <w:rsid w:val="7E705610"/>
    <w:rsid w:val="7E7C4C45"/>
    <w:rsid w:val="7E8241B6"/>
    <w:rsid w:val="7E991353"/>
    <w:rsid w:val="7EC34622"/>
    <w:rsid w:val="7EC5039A"/>
    <w:rsid w:val="7F0569E9"/>
    <w:rsid w:val="7F08297D"/>
    <w:rsid w:val="7F2F1CB8"/>
    <w:rsid w:val="7F313C82"/>
    <w:rsid w:val="7F3E639F"/>
    <w:rsid w:val="7F446A19"/>
    <w:rsid w:val="7F7452B9"/>
    <w:rsid w:val="7F857B2A"/>
    <w:rsid w:val="7F985AAF"/>
    <w:rsid w:val="7F995383"/>
    <w:rsid w:val="7FAA7590"/>
    <w:rsid w:val="7FAD5EC9"/>
    <w:rsid w:val="7FB623D9"/>
    <w:rsid w:val="7FC40652"/>
    <w:rsid w:val="7FC70142"/>
    <w:rsid w:val="7FD05249"/>
    <w:rsid w:val="7FD809D4"/>
    <w:rsid w:val="7FF6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keepNext w:val="0"/>
      <w:keepLines w:val="0"/>
      <w:widowControl w:val="0"/>
      <w:suppressLineNumbers w:val="0"/>
      <w:spacing w:before="0" w:beforeAutospacing="0" w:after="0" w:afterAutospacing="0"/>
      <w:ind w:left="101" w:right="0" w:firstLine="679"/>
      <w:jc w:val="left"/>
    </w:pPr>
    <w:rPr>
      <w:rFonts w:hint="default" w:ascii="Arial" w:hAnsi="Arial" w:eastAsia="宋体" w:cs="Times New Roman"/>
      <w:kern w:val="0"/>
      <w:sz w:val="34"/>
      <w:szCs w:val="34"/>
      <w:lang w:val="en-US" w:eastAsia="zh-CN" w:bidi="ar"/>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9540</Words>
  <Characters>12343</Characters>
  <Lines>190</Lines>
  <Paragraphs>53</Paragraphs>
  <TotalTime>5</TotalTime>
  <ScaleCrop>false</ScaleCrop>
  <LinksUpToDate>false</LinksUpToDate>
  <CharactersWithSpaces>13594</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cp:lastPrinted>2024-09-09T11:46:00Z</cp:lastPrinted>
  <dcterms:modified xsi:type="dcterms:W3CDTF">2024-10-05T04:35:56Z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