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beforeAutospacing="0"/>
        <w:jc w:val="center"/>
        <w:rPr>
          <w:rStyle w:val="11"/>
          <w:rFonts w:hint="default" w:ascii="Times New Roman" w:hAnsi="Times New Roman" w:eastAsia="黑体" w:cs="Times New Roman"/>
          <w:sz w:val="32"/>
          <w:szCs w:val="32"/>
          <w:shd w:val="clear" w:color="auto" w:fill="FFFFFF"/>
        </w:rPr>
      </w:pPr>
      <w:r>
        <w:rPr>
          <w:rFonts w:hint="default" w:ascii="Times New Roman" w:hAnsi="Times New Roman" w:eastAsia="方正小标宋_GBK" w:cs="Times New Roman"/>
          <w:sz w:val="36"/>
          <w:szCs w:val="36"/>
        </w:rPr>
        <w:t>重庆市秀山土家族苗族自治县平凯街道社区卫生服务中心</w:t>
      </w:r>
      <w:r>
        <w:rPr>
          <w:rFonts w:hint="default" w:ascii="Times New Roman" w:hAnsi="Times New Roman" w:eastAsia="方正小标宋_GBK" w:cs="Times New Roman"/>
          <w:sz w:val="36"/>
          <w:szCs w:val="36"/>
          <w:shd w:val="clear" w:color="auto" w:fill="FFFFFF"/>
        </w:rPr>
        <w:t>2023年度决算公开说明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default" w:ascii="Times New Roman" w:hAnsi="Times New Roman" w:eastAsia="方正黑体_GBK" w:cs="Times New Roman"/>
          <w:b w:val="0"/>
          <w:bCs/>
          <w:sz w:val="32"/>
          <w:szCs w:val="32"/>
        </w:rPr>
      </w:pPr>
      <w:r>
        <w:rPr>
          <w:rStyle w:val="11"/>
          <w:rFonts w:hint="default" w:ascii="Times New Roman" w:hAnsi="Times New Roman" w:eastAsia="方正黑体_GBK" w:cs="Times New Roman"/>
          <w:b w:val="0"/>
          <w:bCs/>
          <w:sz w:val="32"/>
          <w:szCs w:val="32"/>
          <w:shd w:val="clear" w:color="auto" w:fill="FFFFFF"/>
        </w:rPr>
        <w:t>一、单位基本情况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default" w:ascii="Times New Roman" w:hAnsi="Times New Roman" w:eastAsia="方正楷体_GBK" w:cs="Times New Roman"/>
          <w:b w:val="0"/>
          <w:bCs/>
          <w:sz w:val="32"/>
          <w:szCs w:val="32"/>
        </w:rPr>
      </w:pPr>
      <w:r>
        <w:rPr>
          <w:rStyle w:val="11"/>
          <w:rFonts w:hint="default" w:ascii="Times New Roman" w:hAnsi="Times New Roman" w:eastAsia="方正楷体_GBK" w:cs="Times New Roman"/>
          <w:b w:val="0"/>
          <w:bCs/>
          <w:sz w:val="32"/>
          <w:szCs w:val="32"/>
          <w:shd w:val="clear" w:color="auto" w:fill="FFFFFF"/>
        </w:rPr>
        <w:t>（一）职能职责</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rPr>
      </w:pPr>
      <w:r>
        <w:rPr>
          <w:rFonts w:hint="default" w:ascii="Times New Roman" w:hAnsi="Times New Roman" w:eastAsia="方正仿宋_GBK" w:cs="Times New Roman"/>
          <w:color w:val="333333"/>
          <w:kern w:val="0"/>
          <w:sz w:val="32"/>
          <w:szCs w:val="32"/>
          <w:shd w:val="clear" w:color="auto" w:fill="FFFFFF"/>
        </w:rPr>
        <w:t>本单位属国有非营利性基层医疗机构，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社区卫生服务中心，应当履行以下公共卫生职责：</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rPr>
      </w:pPr>
      <w:r>
        <w:rPr>
          <w:rFonts w:hint="default" w:ascii="Times New Roman" w:hAnsi="Times New Roman" w:eastAsia="方正仿宋_GBK" w:cs="Times New Roman"/>
          <w:color w:val="333333"/>
          <w:kern w:val="0"/>
          <w:sz w:val="32"/>
          <w:szCs w:val="32"/>
          <w:shd w:val="clear" w:color="auto" w:fill="FFFFFF"/>
        </w:rPr>
        <w:t>1.根据国家和本市规定收集、报送辖区内卫生健康信息，建立和管理居民健康档案，提出改进辖区公共卫生状况的建议。</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rPr>
      </w:pPr>
      <w:r>
        <w:rPr>
          <w:rFonts w:hint="default" w:ascii="Times New Roman" w:hAnsi="Times New Roman" w:eastAsia="方正仿宋_GBK" w:cs="Times New Roman"/>
          <w:color w:val="333333"/>
          <w:kern w:val="0"/>
          <w:sz w:val="32"/>
          <w:szCs w:val="32"/>
          <w:shd w:val="clear" w:color="auto" w:fill="FFFFFF"/>
        </w:rPr>
        <w:t>2.开展健康教育，普及健康知识。</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rPr>
      </w:pPr>
      <w:r>
        <w:rPr>
          <w:rFonts w:hint="default" w:ascii="Times New Roman" w:hAnsi="Times New Roman" w:eastAsia="方正仿宋_GBK" w:cs="Times New Roman"/>
          <w:color w:val="333333"/>
          <w:kern w:val="0"/>
          <w:sz w:val="32"/>
          <w:szCs w:val="32"/>
          <w:shd w:val="clear" w:color="auto" w:fill="FFFFFF"/>
          <w:lang w:val="en-US" w:eastAsia="zh-CN"/>
        </w:rPr>
        <w:t>3.</w:t>
      </w:r>
      <w:r>
        <w:rPr>
          <w:rFonts w:hint="default" w:ascii="Times New Roman" w:hAnsi="Times New Roman" w:eastAsia="方正仿宋_GBK" w:cs="Times New Roman"/>
          <w:color w:val="333333"/>
          <w:kern w:val="0"/>
          <w:sz w:val="32"/>
          <w:szCs w:val="32"/>
          <w:shd w:val="clear" w:color="auto" w:fill="FFFFFF"/>
        </w:rPr>
        <w:t>协助开展传染病以及地方病、寄生虫病的预防控制，配合开展爱国卫生工作。</w:t>
      </w:r>
    </w:p>
    <w:p>
      <w:pPr>
        <w:keepNext w:val="0"/>
        <w:keepLines w:val="0"/>
        <w:pageBreakBefore w:val="0"/>
        <w:widowControl/>
        <w:shd w:val="clear" w:color="auto" w:fill="FFFFFF"/>
        <w:kinsoku/>
        <w:wordWrap/>
        <w:overflowPunct/>
        <w:topLinePunct w:val="0"/>
        <w:autoSpaceDE/>
        <w:autoSpaceDN/>
        <w:bidi w:val="0"/>
        <w:adjustRightInd/>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rPr>
      </w:pPr>
      <w:r>
        <w:rPr>
          <w:rFonts w:hint="default" w:ascii="Times New Roman" w:hAnsi="Times New Roman" w:eastAsia="方正仿宋_GBK" w:cs="Times New Roman"/>
          <w:color w:val="333333"/>
          <w:kern w:val="0"/>
          <w:sz w:val="32"/>
          <w:szCs w:val="32"/>
          <w:shd w:val="clear" w:color="auto" w:fill="FFFFFF"/>
        </w:rPr>
        <w:t>4.做好高危人群、重点慢性病患者的筛查和病例管理。</w:t>
      </w:r>
    </w:p>
    <w:p>
      <w:pPr>
        <w:keepNext w:val="0"/>
        <w:keepLines w:val="0"/>
        <w:pageBreakBefore w:val="0"/>
        <w:widowControl/>
        <w:shd w:val="clear" w:color="auto" w:fill="FFFFFF"/>
        <w:kinsoku/>
        <w:wordWrap/>
        <w:overflowPunct/>
        <w:topLinePunct w:val="0"/>
        <w:autoSpaceDE/>
        <w:autoSpaceDN/>
        <w:bidi w:val="0"/>
        <w:adjustRightInd/>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rPr>
      </w:pPr>
      <w:r>
        <w:rPr>
          <w:rFonts w:hint="default" w:ascii="Times New Roman" w:hAnsi="Times New Roman" w:eastAsia="方正仿宋_GBK" w:cs="Times New Roman"/>
          <w:color w:val="333333"/>
          <w:kern w:val="0"/>
          <w:sz w:val="32"/>
          <w:szCs w:val="32"/>
          <w:shd w:val="clear" w:color="auto" w:fill="FFFFFF"/>
        </w:rPr>
        <w:t>5.提供心理健康指导服务，实施精神病社区管理。</w:t>
      </w:r>
    </w:p>
    <w:p>
      <w:pPr>
        <w:keepNext w:val="0"/>
        <w:keepLines w:val="0"/>
        <w:pageBreakBefore w:val="0"/>
        <w:widowControl/>
        <w:shd w:val="clear" w:color="auto" w:fill="FFFFFF"/>
        <w:kinsoku/>
        <w:wordWrap/>
        <w:overflowPunct/>
        <w:topLinePunct w:val="0"/>
        <w:autoSpaceDE/>
        <w:autoSpaceDN/>
        <w:bidi w:val="0"/>
        <w:adjustRightInd/>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rPr>
      </w:pPr>
      <w:r>
        <w:rPr>
          <w:rFonts w:hint="default" w:ascii="Times New Roman" w:hAnsi="Times New Roman" w:eastAsia="方正仿宋_GBK" w:cs="Times New Roman"/>
          <w:color w:val="333333"/>
          <w:kern w:val="0"/>
          <w:sz w:val="32"/>
          <w:szCs w:val="32"/>
          <w:shd w:val="clear" w:color="auto" w:fill="FFFFFF"/>
        </w:rPr>
        <w:t>6.为妇女、儿童、老年人、残疾人等重点人群提供保健和康复服务。</w:t>
      </w:r>
    </w:p>
    <w:p>
      <w:pPr>
        <w:keepNext w:val="0"/>
        <w:keepLines w:val="0"/>
        <w:pageBreakBefore w:val="0"/>
        <w:widowControl/>
        <w:shd w:val="clear" w:color="auto" w:fill="FFFFFF"/>
        <w:kinsoku/>
        <w:wordWrap/>
        <w:overflowPunct/>
        <w:topLinePunct w:val="0"/>
        <w:autoSpaceDE/>
        <w:autoSpaceDN/>
        <w:bidi w:val="0"/>
        <w:adjustRightInd/>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rPr>
      </w:pPr>
      <w:r>
        <w:rPr>
          <w:rFonts w:hint="default" w:ascii="Times New Roman" w:hAnsi="Times New Roman" w:eastAsia="方正仿宋_GBK" w:cs="Times New Roman"/>
          <w:color w:val="333333"/>
          <w:kern w:val="0"/>
          <w:sz w:val="32"/>
          <w:szCs w:val="32"/>
          <w:shd w:val="clear" w:color="auto" w:fill="FFFFFF"/>
        </w:rPr>
        <w:t>7.提供计划生育技术服务，协助处置辖区内突发公共卫生事件等。</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rPr>
      </w:pPr>
      <w:r>
        <w:rPr>
          <w:rFonts w:hint="default" w:ascii="Times New Roman" w:hAnsi="Times New Roman" w:eastAsia="方正仿宋_GBK" w:cs="Times New Roman"/>
          <w:color w:val="333333"/>
          <w:kern w:val="0"/>
          <w:sz w:val="32"/>
          <w:szCs w:val="32"/>
          <w:shd w:val="clear" w:color="auto" w:fill="FFFFFF"/>
        </w:rPr>
        <w:t> 8.按要求提供其他公共卫生服务。</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（二）机构设置</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lang w:val="en-US" w:eastAsia="zh-CN"/>
        </w:rPr>
      </w:pPr>
      <w:r>
        <w:rPr>
          <w:rFonts w:hint="default" w:ascii="Times New Roman" w:hAnsi="Times New Roman" w:eastAsia="方正仿宋_GBK" w:cs="Times New Roman"/>
          <w:color w:val="333333"/>
          <w:kern w:val="0"/>
          <w:sz w:val="32"/>
          <w:szCs w:val="32"/>
          <w:shd w:val="clear" w:color="auto" w:fill="FFFFFF"/>
          <w:lang w:val="en-US" w:eastAsia="zh-CN"/>
        </w:rPr>
        <w:t>本单位下设党政办公室、财务科、总务设备科、医保信息科、医务科（病案室）、护理部（院感）、门诊部、口腔科、中医科（康复理疗）、综合住院部、儿科、医技科、库房、药房、收费室、居民健康科、预防保健科、公卫综合科。</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二、单位决算情况说明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（一）收入支出决算总体情况说明</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3" w:firstLineChars="200"/>
        <w:jc w:val="both"/>
        <w:textAlignment w:val="auto"/>
        <w:outlineLvl w:val="9"/>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sz w:val="32"/>
          <w:szCs w:val="32"/>
          <w:shd w:val="clear" w:color="auto" w:fill="FFFFFF"/>
        </w:rPr>
        <w:t>1.总体情况。</w:t>
      </w:r>
      <w:r>
        <w:rPr>
          <w:rFonts w:hint="default" w:ascii="Times New Roman" w:hAnsi="Times New Roman" w:eastAsia="方正仿宋_GBK" w:cs="Times New Roman"/>
          <w:sz w:val="32"/>
          <w:szCs w:val="32"/>
          <w:shd w:val="clear" w:color="auto" w:fill="FFFFFF"/>
        </w:rPr>
        <w:t>2023年度收入总计2175.26万元，支出总计</w:t>
      </w:r>
      <w:r>
        <w:rPr>
          <w:rFonts w:hint="default" w:ascii="Times New Roman" w:hAnsi="Times New Roman" w:eastAsia="方正仿宋_GBK" w:cs="Times New Roman"/>
          <w:sz w:val="32"/>
          <w:szCs w:val="32"/>
        </w:rPr>
        <w:t>2175.26</w:t>
      </w:r>
      <w:r>
        <w:rPr>
          <w:rFonts w:hint="default" w:ascii="Times New Roman" w:hAnsi="Times New Roman" w:eastAsia="方正仿宋_GBK" w:cs="Times New Roman"/>
          <w:sz w:val="32"/>
          <w:szCs w:val="32"/>
          <w:shd w:val="clear" w:color="auto" w:fill="FFFFFF"/>
        </w:rPr>
        <w:t>万元。收支较上年决算数增加261.57万元，增长13.67%，主要原因</w:t>
      </w:r>
      <w:r>
        <w:rPr>
          <w:rFonts w:hint="default" w:ascii="Times New Roman" w:hAnsi="Times New Roman" w:eastAsia="方正仿宋_GBK" w:cs="Times New Roman"/>
          <w:color w:val="auto"/>
          <w:sz w:val="32"/>
          <w:szCs w:val="32"/>
          <w:shd w:val="clear" w:color="auto" w:fill="FFFFFF"/>
        </w:rPr>
        <w:t>是</w:t>
      </w:r>
      <w:r>
        <w:rPr>
          <w:rFonts w:hint="default" w:ascii="Times New Roman" w:hAnsi="Times New Roman" w:eastAsia="方正仿宋_GBK" w:cs="Times New Roman"/>
          <w:color w:val="auto"/>
          <w:sz w:val="32"/>
          <w:szCs w:val="32"/>
          <w:shd w:val="clear" w:color="auto" w:fill="FFFFFF"/>
          <w:lang w:val="en-US" w:eastAsia="zh-CN"/>
        </w:rPr>
        <w:t>业务收入增加，支出相应增加</w:t>
      </w:r>
      <w:r>
        <w:rPr>
          <w:rFonts w:hint="default" w:ascii="Times New Roman" w:hAnsi="Times New Roman" w:eastAsia="方正仿宋_GBK" w:cs="Times New Roman"/>
          <w:color w:val="auto"/>
          <w:sz w:val="32"/>
          <w:szCs w:val="32"/>
          <w:shd w:val="clear" w:color="auto" w:fill="FFFFFF"/>
        </w:rPr>
        <w:t>。</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仿宋_GBK" w:cs="Times New Roman"/>
          <w:sz w:val="32"/>
          <w:szCs w:val="32"/>
          <w:shd w:val="clear" w:color="auto" w:fill="FFFFFF"/>
        </w:rPr>
        <w:t>2.收入情况。</w:t>
      </w:r>
      <w:r>
        <w:rPr>
          <w:rFonts w:hint="default" w:ascii="Times New Roman" w:hAnsi="Times New Roman" w:eastAsia="方正仿宋_GBK" w:cs="Times New Roman"/>
          <w:sz w:val="32"/>
          <w:szCs w:val="32"/>
          <w:shd w:val="clear" w:color="auto" w:fill="FFFFFF"/>
        </w:rPr>
        <w:t>2023年度收入合计2175.26万元，较上年决算数增加365.42万元，增长20.19%，主要原因是</w:t>
      </w:r>
      <w:r>
        <w:rPr>
          <w:rFonts w:hint="default" w:ascii="Times New Roman" w:hAnsi="Times New Roman" w:eastAsia="方正仿宋_GBK" w:cs="Times New Roman"/>
          <w:color w:val="auto"/>
          <w:sz w:val="32"/>
          <w:szCs w:val="32"/>
          <w:shd w:val="clear" w:color="auto" w:fill="FFFFFF"/>
          <w:lang w:val="en-US" w:eastAsia="zh-CN"/>
        </w:rPr>
        <w:t>财政拨款中公共卫生拨款收入增加</w:t>
      </w:r>
      <w:r>
        <w:rPr>
          <w:rFonts w:hint="default" w:ascii="Times New Roman" w:hAnsi="Times New Roman" w:eastAsia="方正仿宋_GBK" w:cs="Times New Roman"/>
          <w:color w:val="auto"/>
          <w:sz w:val="32"/>
          <w:szCs w:val="32"/>
          <w:shd w:val="clear" w:color="auto" w:fill="FFFFFF"/>
        </w:rPr>
        <w:t>。</w:t>
      </w:r>
      <w:r>
        <w:rPr>
          <w:rFonts w:hint="default" w:ascii="Times New Roman" w:hAnsi="Times New Roman" w:eastAsia="方正仿宋_GBK" w:cs="Times New Roman"/>
          <w:sz w:val="32"/>
          <w:szCs w:val="32"/>
          <w:shd w:val="clear" w:color="auto" w:fill="FFFFFF"/>
        </w:rPr>
        <w:t>其中：财政拨款收入</w:t>
      </w:r>
      <w:r>
        <w:rPr>
          <w:rFonts w:hint="default" w:ascii="Times New Roman" w:hAnsi="Times New Roman" w:eastAsia="方正仿宋_GBK" w:cs="Times New Roman"/>
          <w:sz w:val="32"/>
          <w:szCs w:val="32"/>
        </w:rPr>
        <w:t>978.78</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45.00</w:t>
      </w:r>
      <w:r>
        <w:rPr>
          <w:rFonts w:hint="default" w:ascii="Times New Roman" w:hAnsi="Times New Roman" w:eastAsia="方正仿宋_GBK" w:cs="Times New Roman"/>
          <w:sz w:val="32"/>
          <w:szCs w:val="32"/>
          <w:shd w:val="clear" w:color="auto" w:fill="FFFFFF"/>
        </w:rPr>
        <w:t>%；事业收入</w:t>
      </w:r>
      <w:r>
        <w:rPr>
          <w:rFonts w:hint="default" w:ascii="Times New Roman" w:hAnsi="Times New Roman" w:eastAsia="方正仿宋_GBK" w:cs="Times New Roman"/>
          <w:sz w:val="32"/>
          <w:szCs w:val="32"/>
        </w:rPr>
        <w:t>1036.96</w:t>
      </w:r>
      <w:r>
        <w:rPr>
          <w:rFonts w:hint="default" w:ascii="Times New Roman" w:hAnsi="Times New Roman" w:eastAsia="方正仿宋_GBK" w:cs="Times New Roman"/>
          <w:sz w:val="32"/>
          <w:szCs w:val="32"/>
          <w:shd w:val="clear" w:color="auto" w:fill="FFFFFF"/>
        </w:rPr>
        <w:t>万元，占47.67%；经营收入</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万元，占0.00%；其他收入</w:t>
      </w:r>
      <w:r>
        <w:rPr>
          <w:rFonts w:hint="default" w:ascii="Times New Roman" w:hAnsi="Times New Roman" w:eastAsia="方正仿宋_GBK" w:cs="Times New Roman"/>
          <w:sz w:val="32"/>
          <w:szCs w:val="32"/>
        </w:rPr>
        <w:t>159.52</w:t>
      </w:r>
      <w:r>
        <w:rPr>
          <w:rFonts w:hint="default" w:ascii="Times New Roman" w:hAnsi="Times New Roman" w:eastAsia="方正仿宋_GBK" w:cs="Times New Roman"/>
          <w:sz w:val="32"/>
          <w:szCs w:val="32"/>
          <w:shd w:val="clear" w:color="auto" w:fill="FFFFFF"/>
        </w:rPr>
        <w:t>万元，占7.33%。此外，使用非财政拨款结余和专用结余</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万元，年初结转和结余</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仿宋_GBK" w:cs="Times New Roman"/>
          <w:sz w:val="32"/>
          <w:szCs w:val="32"/>
          <w:shd w:val="clear" w:color="auto" w:fill="FFFFFF"/>
        </w:rPr>
        <w:t>3.支出情况。</w:t>
      </w:r>
      <w:r>
        <w:rPr>
          <w:rFonts w:hint="default" w:ascii="Times New Roman" w:hAnsi="Times New Roman" w:eastAsia="方正仿宋_GBK" w:cs="Times New Roman"/>
          <w:sz w:val="32"/>
          <w:szCs w:val="32"/>
          <w:shd w:val="clear" w:color="auto" w:fill="FFFFFF"/>
        </w:rPr>
        <w:t>2023年度支出合计</w:t>
      </w:r>
      <w:r>
        <w:rPr>
          <w:rFonts w:hint="default" w:ascii="Times New Roman" w:hAnsi="Times New Roman" w:eastAsia="方正仿宋_GBK" w:cs="Times New Roman"/>
          <w:sz w:val="32"/>
          <w:szCs w:val="32"/>
        </w:rPr>
        <w:t>2124.90</w:t>
      </w:r>
      <w:r>
        <w:rPr>
          <w:rFonts w:hint="default" w:ascii="Times New Roman" w:hAnsi="Times New Roman" w:eastAsia="方正仿宋_GBK" w:cs="Times New Roman"/>
          <w:sz w:val="32"/>
          <w:szCs w:val="32"/>
          <w:shd w:val="clear" w:color="auto" w:fill="FFFFFF"/>
        </w:rPr>
        <w:t>万元，较上年决算数增加211.21万元，增长11.04%，主要原因是</w:t>
      </w:r>
      <w:r>
        <w:rPr>
          <w:rFonts w:hint="default" w:ascii="Times New Roman" w:hAnsi="Times New Roman" w:eastAsia="方正仿宋_GBK" w:cs="Times New Roman"/>
          <w:color w:val="auto"/>
          <w:sz w:val="32"/>
          <w:szCs w:val="32"/>
          <w:shd w:val="clear" w:color="auto" w:fill="FFFFFF"/>
          <w:lang w:val="en-US" w:eastAsia="zh-CN"/>
        </w:rPr>
        <w:t>支出随着业务收入的增长而增长</w:t>
      </w:r>
      <w:r>
        <w:rPr>
          <w:rFonts w:hint="default" w:ascii="Times New Roman" w:hAnsi="Times New Roman" w:eastAsia="方正仿宋_GBK" w:cs="Times New Roman"/>
          <w:color w:val="auto"/>
          <w:sz w:val="32"/>
          <w:szCs w:val="32"/>
          <w:shd w:val="clear" w:color="auto" w:fill="FFFFFF"/>
        </w:rPr>
        <w:t>。其中：基</w:t>
      </w:r>
      <w:r>
        <w:rPr>
          <w:rFonts w:hint="default" w:ascii="Times New Roman" w:hAnsi="Times New Roman" w:eastAsia="方正仿宋_GBK" w:cs="Times New Roman"/>
          <w:sz w:val="32"/>
          <w:szCs w:val="32"/>
          <w:shd w:val="clear" w:color="auto" w:fill="FFFFFF"/>
        </w:rPr>
        <w:t>本支出</w:t>
      </w:r>
      <w:r>
        <w:rPr>
          <w:rFonts w:hint="default" w:ascii="Times New Roman" w:hAnsi="Times New Roman" w:eastAsia="方正仿宋_GBK" w:cs="Times New Roman"/>
          <w:sz w:val="32"/>
          <w:szCs w:val="32"/>
        </w:rPr>
        <w:t>2053.95</w:t>
      </w:r>
      <w:r>
        <w:rPr>
          <w:rFonts w:hint="default" w:ascii="Times New Roman" w:hAnsi="Times New Roman" w:eastAsia="方正仿宋_GBK" w:cs="Times New Roman"/>
          <w:sz w:val="32"/>
          <w:szCs w:val="32"/>
          <w:shd w:val="clear" w:color="auto" w:fill="FFFFFF"/>
        </w:rPr>
        <w:t>万元，占96.66%；项目支出</w:t>
      </w:r>
      <w:r>
        <w:rPr>
          <w:rFonts w:hint="default" w:ascii="Times New Roman" w:hAnsi="Times New Roman" w:eastAsia="方正仿宋_GBK" w:cs="Times New Roman"/>
          <w:sz w:val="32"/>
          <w:szCs w:val="32"/>
        </w:rPr>
        <w:t>70.95</w:t>
      </w:r>
      <w:r>
        <w:rPr>
          <w:rFonts w:hint="default" w:ascii="Times New Roman" w:hAnsi="Times New Roman" w:eastAsia="方正仿宋_GBK" w:cs="Times New Roman"/>
          <w:sz w:val="32"/>
          <w:szCs w:val="32"/>
          <w:shd w:val="clear" w:color="auto" w:fill="FFFFFF"/>
        </w:rPr>
        <w:t>万元，占3.34%；经营支出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万元，占0.00%。此外，结余分配</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color w:val="auto"/>
          <w:sz w:val="32"/>
          <w:szCs w:val="32"/>
        </w:rPr>
      </w:pPr>
      <w:r>
        <w:rPr>
          <w:rStyle w:val="11"/>
          <w:rFonts w:hint="default" w:ascii="Times New Roman" w:hAnsi="Times New Roman" w:eastAsia="方正仿宋_GBK" w:cs="Times New Roman"/>
          <w:sz w:val="32"/>
          <w:szCs w:val="32"/>
          <w:shd w:val="clear" w:color="auto" w:fill="FFFFFF"/>
        </w:rPr>
        <w:t>4.结转结余情况。</w:t>
      </w:r>
      <w:r>
        <w:rPr>
          <w:rFonts w:hint="default" w:ascii="Times New Roman" w:hAnsi="Times New Roman" w:eastAsia="方正仿宋_GBK" w:cs="Times New Roman"/>
          <w:sz w:val="32"/>
          <w:szCs w:val="32"/>
          <w:shd w:val="clear" w:color="auto" w:fill="FFFFFF"/>
        </w:rPr>
        <w:t>2023年度年末结转和结余</w:t>
      </w:r>
      <w:r>
        <w:rPr>
          <w:rFonts w:hint="default" w:ascii="Times New Roman" w:hAnsi="Times New Roman" w:eastAsia="方正仿宋_GBK" w:cs="Times New Roman"/>
          <w:sz w:val="32"/>
          <w:szCs w:val="32"/>
        </w:rPr>
        <w:t>50.36</w:t>
      </w:r>
      <w:r>
        <w:rPr>
          <w:rFonts w:hint="default" w:ascii="Times New Roman" w:hAnsi="Times New Roman" w:eastAsia="方正仿宋_GBK" w:cs="Times New Roman"/>
          <w:sz w:val="32"/>
          <w:szCs w:val="32"/>
          <w:shd w:val="clear" w:color="auto" w:fill="FFFFFF"/>
        </w:rPr>
        <w:t>万元，较上年决算数增加50.36万元，增长100.00%，主要原因是</w:t>
      </w:r>
      <w:r>
        <w:rPr>
          <w:rFonts w:hint="default" w:ascii="Times New Roman" w:hAnsi="Times New Roman" w:eastAsia="方正仿宋_GBK" w:cs="Times New Roman"/>
          <w:color w:val="auto"/>
          <w:sz w:val="32"/>
          <w:szCs w:val="32"/>
          <w:shd w:val="clear" w:color="auto" w:fill="FFFFFF"/>
          <w:lang w:val="en-US" w:eastAsia="zh-CN"/>
        </w:rPr>
        <w:t>业务收入增加，支出控制良好，有结余</w:t>
      </w:r>
      <w:r>
        <w:rPr>
          <w:rFonts w:hint="default" w:ascii="Times New Roman" w:hAnsi="Times New Roman" w:eastAsia="方正仿宋_GBK" w:cs="Times New Roman"/>
          <w:color w:val="auto"/>
          <w:sz w:val="32"/>
          <w:szCs w:val="32"/>
          <w:shd w:val="clear" w:color="auto" w:fill="FFFFFF"/>
        </w:rPr>
        <w:t>。</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（二）财政拨款收入支出决算总体情况说明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2023年度财政拨款收、支总计978.78万元。与2022年相比，财政拨款收、支总计各增加334.18万元，增长51.84%。主要原因是</w:t>
      </w:r>
      <w:r>
        <w:rPr>
          <w:rFonts w:hint="default" w:ascii="Times New Roman" w:hAnsi="Times New Roman" w:eastAsia="方正仿宋_GBK" w:cs="Times New Roman"/>
          <w:color w:val="auto"/>
          <w:sz w:val="32"/>
          <w:szCs w:val="32"/>
          <w:shd w:val="clear" w:color="auto" w:fill="FFFFFF"/>
          <w:lang w:val="en-US" w:eastAsia="zh-CN"/>
        </w:rPr>
        <w:t>财政拨款中公共卫生拨款收入增加。</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（三）一般公共预算财政拨款收入支出决算情况说明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sz w:val="32"/>
          <w:szCs w:val="32"/>
          <w:shd w:val="clear" w:color="auto" w:fill="FFFFFF"/>
        </w:rPr>
        <w:t>1.收入情况。</w:t>
      </w:r>
      <w:r>
        <w:rPr>
          <w:rFonts w:hint="default" w:ascii="Times New Roman" w:hAnsi="Times New Roman" w:eastAsia="方正仿宋_GBK" w:cs="Times New Roman"/>
          <w:sz w:val="32"/>
          <w:szCs w:val="32"/>
          <w:shd w:val="clear" w:color="auto" w:fill="FFFFFF"/>
        </w:rPr>
        <w:t>2023年度一般公共预算财政拨款收入</w:t>
      </w:r>
      <w:r>
        <w:rPr>
          <w:rFonts w:hint="default" w:ascii="Times New Roman" w:hAnsi="Times New Roman" w:eastAsia="方正仿宋_GBK" w:cs="Times New Roman"/>
          <w:sz w:val="32"/>
          <w:szCs w:val="32"/>
        </w:rPr>
        <w:t>978.78</w:t>
      </w:r>
      <w:r>
        <w:rPr>
          <w:rFonts w:hint="default" w:ascii="Times New Roman" w:hAnsi="Times New Roman" w:eastAsia="方正仿宋_GBK" w:cs="Times New Roman"/>
          <w:sz w:val="32"/>
          <w:szCs w:val="32"/>
          <w:shd w:val="clear" w:color="auto" w:fill="FFFFFF"/>
        </w:rPr>
        <w:t>万元，较上年决算数增加334.18万元，增长51.84%。主要原因是</w:t>
      </w:r>
      <w:r>
        <w:rPr>
          <w:rFonts w:hint="default" w:ascii="Times New Roman" w:hAnsi="Times New Roman" w:eastAsia="方正仿宋_GBK" w:cs="Times New Roman"/>
          <w:color w:val="auto"/>
          <w:sz w:val="32"/>
          <w:szCs w:val="32"/>
          <w:shd w:val="clear" w:color="auto" w:fill="FFFFFF"/>
          <w:lang w:val="en-US" w:eastAsia="zh-CN"/>
        </w:rPr>
        <w:t>财政拨款中公共卫生拨款收入增加。</w:t>
      </w:r>
      <w:r>
        <w:rPr>
          <w:rFonts w:hint="default" w:ascii="Times New Roman" w:hAnsi="Times New Roman" w:eastAsia="方正仿宋_GBK" w:cs="Times New Roman"/>
          <w:sz w:val="32"/>
          <w:szCs w:val="32"/>
          <w:shd w:val="clear" w:color="auto" w:fill="FFFFFF"/>
        </w:rPr>
        <w:t>较年初预算数增加520.73万元，增长113.68%。主要原因是</w:t>
      </w:r>
      <w:r>
        <w:rPr>
          <w:rFonts w:hint="default" w:ascii="Times New Roman" w:hAnsi="Times New Roman" w:eastAsia="方正仿宋_GBK" w:cs="Times New Roman"/>
          <w:color w:val="auto"/>
          <w:sz w:val="32"/>
          <w:szCs w:val="32"/>
          <w:shd w:val="clear" w:color="auto" w:fill="FFFFFF"/>
          <w:lang w:val="en-US" w:eastAsia="zh-CN"/>
        </w:rPr>
        <w:t>财政拨款中公共卫生拨款收入增加。</w:t>
      </w:r>
      <w:r>
        <w:rPr>
          <w:rFonts w:hint="default" w:ascii="Times New Roman" w:hAnsi="Times New Roman" w:eastAsia="方正仿宋_GBK" w:cs="Times New Roman"/>
          <w:sz w:val="32"/>
          <w:szCs w:val="32"/>
          <w:shd w:val="clear" w:color="auto" w:fill="FFFFFF"/>
        </w:rPr>
        <w:t>此外，年初财政拨款结转和结余</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sz w:val="32"/>
          <w:szCs w:val="32"/>
          <w:shd w:val="clear" w:color="auto" w:fill="FFFFFF"/>
        </w:rPr>
        <w:t>2.支出情况。</w:t>
      </w:r>
      <w:r>
        <w:rPr>
          <w:rFonts w:hint="default" w:ascii="Times New Roman" w:hAnsi="Times New Roman" w:eastAsia="方正仿宋_GBK" w:cs="Times New Roman"/>
          <w:sz w:val="32"/>
          <w:szCs w:val="32"/>
          <w:shd w:val="clear" w:color="auto" w:fill="FFFFFF"/>
        </w:rPr>
        <w:t>2023年度一般公共预算财政拨款支出</w:t>
      </w:r>
      <w:r>
        <w:rPr>
          <w:rFonts w:hint="default" w:ascii="Times New Roman" w:hAnsi="Times New Roman" w:eastAsia="方正仿宋_GBK" w:cs="Times New Roman"/>
          <w:sz w:val="32"/>
          <w:szCs w:val="32"/>
        </w:rPr>
        <w:t>946.97</w:t>
      </w:r>
      <w:r>
        <w:rPr>
          <w:rFonts w:hint="default" w:ascii="Times New Roman" w:hAnsi="Times New Roman" w:eastAsia="方正仿宋_GBK" w:cs="Times New Roman"/>
          <w:sz w:val="32"/>
          <w:szCs w:val="32"/>
          <w:shd w:val="clear" w:color="auto" w:fill="FFFFFF"/>
        </w:rPr>
        <w:t>万元，较上年决算数增加302.37万元，增长46.91%。主要原因是</w:t>
      </w:r>
      <w:r>
        <w:rPr>
          <w:rFonts w:hint="default" w:ascii="Times New Roman" w:hAnsi="Times New Roman" w:eastAsia="方正仿宋_GBK" w:cs="Times New Roman"/>
          <w:color w:val="auto"/>
          <w:sz w:val="32"/>
          <w:szCs w:val="32"/>
          <w:shd w:val="clear" w:color="auto" w:fill="FFFFFF"/>
          <w:lang w:val="en-US" w:eastAsia="zh-CN"/>
        </w:rPr>
        <w:t>财政拨款中公共卫生拨款支出增加</w:t>
      </w:r>
      <w:r>
        <w:rPr>
          <w:rFonts w:hint="default" w:ascii="Times New Roman" w:hAnsi="Times New Roman" w:eastAsia="方正仿宋_GBK" w:cs="Times New Roman"/>
          <w:color w:val="auto"/>
          <w:sz w:val="32"/>
          <w:szCs w:val="32"/>
          <w:shd w:val="clear" w:color="auto" w:fill="FFFFFF"/>
        </w:rPr>
        <w:t>。</w:t>
      </w:r>
      <w:r>
        <w:rPr>
          <w:rFonts w:hint="default" w:ascii="Times New Roman" w:hAnsi="Times New Roman" w:eastAsia="方正仿宋_GBK" w:cs="Times New Roman"/>
          <w:sz w:val="32"/>
          <w:szCs w:val="32"/>
          <w:shd w:val="clear" w:color="auto" w:fill="FFFFFF"/>
        </w:rPr>
        <w:t>较年初预算数增加488.92万元，增长106.74%。主要原因是</w:t>
      </w:r>
      <w:r>
        <w:rPr>
          <w:rFonts w:hint="default" w:ascii="Times New Roman" w:hAnsi="Times New Roman" w:eastAsia="方正仿宋_GBK" w:cs="Times New Roman"/>
          <w:color w:val="auto"/>
          <w:sz w:val="32"/>
          <w:szCs w:val="32"/>
          <w:shd w:val="clear" w:color="auto" w:fill="FFFFFF"/>
          <w:lang w:val="en-US" w:eastAsia="zh-CN"/>
        </w:rPr>
        <w:t>财政拨款中公共卫生拨款支出增加</w:t>
      </w:r>
      <w:r>
        <w:rPr>
          <w:rFonts w:hint="default" w:ascii="Times New Roman" w:hAnsi="Times New Roman" w:eastAsia="方正仿宋_GBK" w:cs="Times New Roman"/>
          <w:color w:val="auto"/>
          <w:sz w:val="32"/>
          <w:szCs w:val="32"/>
          <w:shd w:val="clear" w:color="auto" w:fill="FFFFFF"/>
        </w:rPr>
        <w:t>。</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rPr>
          <w:rFonts w:hint="default" w:ascii="Times New Roman" w:hAnsi="Times New Roman" w:eastAsia="方正仿宋_GBK" w:cs="Times New Roman"/>
          <w:color w:val="auto"/>
          <w:sz w:val="32"/>
          <w:szCs w:val="32"/>
        </w:rPr>
      </w:pPr>
      <w:r>
        <w:rPr>
          <w:rStyle w:val="11"/>
          <w:rFonts w:hint="default" w:ascii="Times New Roman" w:hAnsi="Times New Roman" w:eastAsia="方正仿宋_GBK" w:cs="Times New Roman"/>
          <w:sz w:val="32"/>
          <w:szCs w:val="32"/>
          <w:shd w:val="clear" w:color="auto" w:fill="FFFFFF"/>
        </w:rPr>
        <w:t>3.结转结余情况。</w:t>
      </w:r>
      <w:r>
        <w:rPr>
          <w:rFonts w:hint="default" w:ascii="Times New Roman" w:hAnsi="Times New Roman" w:eastAsia="方正仿宋_GBK" w:cs="Times New Roman"/>
          <w:sz w:val="32"/>
          <w:szCs w:val="32"/>
          <w:shd w:val="clear" w:color="auto" w:fill="FFFFFF"/>
        </w:rPr>
        <w:t>2023年度年末一般公共预算财政拨款结转和结余</w:t>
      </w:r>
      <w:r>
        <w:rPr>
          <w:rFonts w:hint="default" w:ascii="Times New Roman" w:hAnsi="Times New Roman" w:eastAsia="方正仿宋_GBK" w:cs="Times New Roman"/>
          <w:sz w:val="32"/>
          <w:szCs w:val="32"/>
        </w:rPr>
        <w:t>31.82</w:t>
      </w:r>
      <w:r>
        <w:rPr>
          <w:rFonts w:hint="default" w:ascii="Times New Roman" w:hAnsi="Times New Roman" w:eastAsia="方正仿宋_GBK" w:cs="Times New Roman"/>
          <w:sz w:val="32"/>
          <w:szCs w:val="32"/>
          <w:shd w:val="clear" w:color="auto" w:fill="FFFFFF"/>
        </w:rPr>
        <w:t>万元，较上年决算数增加31.82万元，增长100.00%，主要原因</w:t>
      </w:r>
      <w:r>
        <w:rPr>
          <w:rFonts w:hint="default" w:ascii="Times New Roman" w:hAnsi="Times New Roman" w:eastAsia="方正仿宋_GBK" w:cs="Times New Roman"/>
          <w:color w:val="auto"/>
          <w:sz w:val="32"/>
          <w:szCs w:val="32"/>
          <w:shd w:val="clear" w:color="auto" w:fill="FFFFFF"/>
        </w:rPr>
        <w:t>是</w:t>
      </w:r>
      <w:r>
        <w:rPr>
          <w:rFonts w:hint="default" w:ascii="Times New Roman" w:hAnsi="Times New Roman" w:eastAsia="方正仿宋_GBK" w:cs="Times New Roman"/>
          <w:color w:val="auto"/>
          <w:sz w:val="32"/>
          <w:szCs w:val="32"/>
          <w:shd w:val="clear" w:color="auto" w:fill="FFFFFF"/>
          <w:lang w:val="en-US" w:eastAsia="zh-CN"/>
        </w:rPr>
        <w:t>2022年超额绩效工资清算拨款</w:t>
      </w:r>
      <w:r>
        <w:rPr>
          <w:rFonts w:hint="default" w:ascii="Times New Roman" w:hAnsi="Times New Roman" w:eastAsia="方正仿宋_GBK" w:cs="Times New Roman"/>
          <w:color w:val="auto"/>
          <w:sz w:val="32"/>
          <w:szCs w:val="32"/>
          <w:shd w:val="clear" w:color="auto" w:fill="FFFFFF"/>
        </w:rPr>
        <w:t>。</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rPr>
          <w:rFonts w:hint="default" w:ascii="Times New Roman" w:hAnsi="Times New Roman" w:eastAsia="方正仿宋_GBK" w:cs="Times New Roman"/>
          <w:color w:val="FF0000"/>
          <w:sz w:val="32"/>
          <w:szCs w:val="32"/>
          <w:highlight w:val="cyan"/>
          <w:shd w:val="clear" w:color="auto" w:fill="FFFFFF"/>
        </w:rPr>
      </w:pPr>
      <w:r>
        <w:rPr>
          <w:rStyle w:val="11"/>
          <w:rFonts w:hint="default" w:ascii="Times New Roman" w:hAnsi="Times New Roman" w:eastAsia="方正仿宋_GBK" w:cs="Times New Roman"/>
          <w:sz w:val="32"/>
          <w:szCs w:val="32"/>
          <w:shd w:val="clear" w:color="auto" w:fill="FFFFFF"/>
        </w:rPr>
        <w:t>4.比较情况。</w:t>
      </w:r>
      <w:r>
        <w:rPr>
          <w:rFonts w:hint="default" w:ascii="Times New Roman" w:hAnsi="Times New Roman" w:eastAsia="方正仿宋_GBK" w:cs="Times New Roman"/>
          <w:sz w:val="32"/>
          <w:szCs w:val="32"/>
          <w:shd w:val="clear" w:color="auto" w:fill="FFFFFF"/>
        </w:rPr>
        <w:t>本单位2023年度一般公共预算财政拨款支出主要用于以下几个方面：</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shd w:val="clear" w:color="auto" w:fill="FFFFFF"/>
        </w:rPr>
        <w:t>（1）一般公共服务支出</w:t>
      </w:r>
      <w:r>
        <w:rPr>
          <w:rFonts w:hint="default" w:ascii="Times New Roman" w:hAnsi="Times New Roman" w:eastAsia="方正仿宋_GBK" w:cs="Times New Roman"/>
          <w:sz w:val="32"/>
          <w:szCs w:val="32"/>
        </w:rPr>
        <w:t>42.00</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4.44</w:t>
      </w:r>
      <w:r>
        <w:rPr>
          <w:rFonts w:hint="default" w:ascii="Times New Roman" w:hAnsi="Times New Roman" w:eastAsia="方正仿宋_GBK" w:cs="Times New Roman"/>
          <w:sz w:val="32"/>
          <w:szCs w:val="32"/>
          <w:shd w:val="clear" w:color="auto" w:fill="FFFFFF"/>
        </w:rPr>
        <w:t>%，较年初预算数无增</w:t>
      </w:r>
      <w:r>
        <w:rPr>
          <w:rFonts w:hint="default" w:ascii="Times New Roman" w:hAnsi="Times New Roman" w:eastAsia="方正仿宋_GBK" w:cs="Times New Roman"/>
          <w:color w:val="auto"/>
          <w:sz w:val="32"/>
          <w:szCs w:val="32"/>
          <w:shd w:val="clear" w:color="auto" w:fill="FFFFFF"/>
        </w:rPr>
        <w:t>减，主要原因是</w:t>
      </w:r>
      <w:r>
        <w:rPr>
          <w:rFonts w:hint="default" w:ascii="Times New Roman" w:hAnsi="Times New Roman" w:eastAsia="方正仿宋_GBK" w:cs="Times New Roman"/>
          <w:color w:val="auto"/>
          <w:sz w:val="32"/>
          <w:szCs w:val="32"/>
          <w:shd w:val="clear" w:color="auto" w:fill="FFFFFF"/>
          <w:lang w:val="en-US" w:eastAsia="zh-CN"/>
        </w:rPr>
        <w:t>收支持平。</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2</w:t>
      </w:r>
      <w:r>
        <w:rPr>
          <w:rFonts w:hint="default" w:ascii="Times New Roman" w:hAnsi="Times New Roman" w:eastAsia="方正仿宋_GBK" w:cs="Times New Roman"/>
          <w:sz w:val="32"/>
          <w:szCs w:val="32"/>
          <w:shd w:val="clear" w:color="auto" w:fill="FFFFFF"/>
        </w:rPr>
        <w:t>）社会保障与就业支出</w:t>
      </w:r>
      <w:r>
        <w:rPr>
          <w:rFonts w:hint="default" w:ascii="Times New Roman" w:hAnsi="Times New Roman" w:eastAsia="方正仿宋_GBK" w:cs="Times New Roman"/>
          <w:sz w:val="32"/>
          <w:szCs w:val="32"/>
        </w:rPr>
        <w:t>76.69</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8.10</w:t>
      </w:r>
      <w:r>
        <w:rPr>
          <w:rFonts w:hint="default" w:ascii="Times New Roman" w:hAnsi="Times New Roman" w:eastAsia="方正仿宋_GBK" w:cs="Times New Roman"/>
          <w:sz w:val="32"/>
          <w:szCs w:val="32"/>
          <w:shd w:val="clear" w:color="auto" w:fill="FFFFFF"/>
        </w:rPr>
        <w:t>%，较年初预算数减少16.60万元，下降17.79%，主要原因是</w:t>
      </w:r>
      <w:r>
        <w:rPr>
          <w:rFonts w:hint="default" w:ascii="Times New Roman" w:hAnsi="Times New Roman" w:eastAsia="方正仿宋_GBK" w:cs="Times New Roman"/>
          <w:color w:val="auto"/>
          <w:sz w:val="32"/>
          <w:szCs w:val="32"/>
          <w:shd w:val="clear" w:color="auto" w:fill="FFFFFF"/>
          <w:lang w:val="en-US" w:eastAsia="zh-CN"/>
        </w:rPr>
        <w:t>人员减少。</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auto"/>
          <w:sz w:val="32"/>
          <w:szCs w:val="32"/>
          <w:shd w:val="clear" w:color="auto" w:fill="FFFFFF"/>
          <w:lang w:val="en-US" w:eastAsia="zh-CN"/>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3</w:t>
      </w:r>
      <w:r>
        <w:rPr>
          <w:rFonts w:hint="default" w:ascii="Times New Roman" w:hAnsi="Times New Roman" w:eastAsia="方正仿宋_GBK" w:cs="Times New Roman"/>
          <w:sz w:val="32"/>
          <w:szCs w:val="32"/>
          <w:shd w:val="clear" w:color="auto" w:fill="FFFFFF"/>
        </w:rPr>
        <w:t>）卫生健康支出</w:t>
      </w:r>
      <w:r>
        <w:rPr>
          <w:rFonts w:hint="default" w:ascii="Times New Roman" w:hAnsi="Times New Roman" w:eastAsia="方正仿宋_GBK" w:cs="Times New Roman"/>
          <w:sz w:val="32"/>
          <w:szCs w:val="32"/>
        </w:rPr>
        <w:t>809.36</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85.47</w:t>
      </w:r>
      <w:r>
        <w:rPr>
          <w:rFonts w:hint="default" w:ascii="Times New Roman" w:hAnsi="Times New Roman" w:eastAsia="方正仿宋_GBK" w:cs="Times New Roman"/>
          <w:sz w:val="32"/>
          <w:szCs w:val="32"/>
          <w:shd w:val="clear" w:color="auto" w:fill="FFFFFF"/>
        </w:rPr>
        <w:t>%，较年初预算数增加516.31万元，增长176.18%，主要原因是</w:t>
      </w:r>
      <w:r>
        <w:rPr>
          <w:rFonts w:hint="default" w:ascii="Times New Roman" w:hAnsi="Times New Roman" w:eastAsia="方正仿宋_GBK" w:cs="Times New Roman"/>
          <w:color w:val="auto"/>
          <w:sz w:val="32"/>
          <w:szCs w:val="32"/>
          <w:shd w:val="clear" w:color="auto" w:fill="FFFFFF"/>
          <w:lang w:val="en-US" w:eastAsia="zh-CN"/>
        </w:rPr>
        <w:t>支出随着预算收入增加而增加。</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FF0000"/>
          <w:sz w:val="32"/>
          <w:szCs w:val="32"/>
          <w:shd w:val="clear" w:color="auto" w:fill="FFFFFF"/>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rPr>
        <w:t>住房保障支出18.93</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2.00</w:t>
      </w:r>
      <w:r>
        <w:rPr>
          <w:rFonts w:hint="default" w:ascii="Times New Roman" w:hAnsi="Times New Roman" w:eastAsia="方正仿宋_GBK" w:cs="Times New Roman"/>
          <w:sz w:val="32"/>
          <w:szCs w:val="32"/>
          <w:shd w:val="clear" w:color="auto" w:fill="FFFFFF"/>
        </w:rPr>
        <w:t>%，较年初预算数减少10.78万元，下降36.28%，主要原因是</w:t>
      </w:r>
      <w:r>
        <w:rPr>
          <w:rFonts w:hint="default" w:ascii="Times New Roman" w:hAnsi="Times New Roman" w:eastAsia="方正仿宋_GBK" w:cs="Times New Roman"/>
          <w:color w:val="auto"/>
          <w:sz w:val="32"/>
          <w:szCs w:val="32"/>
          <w:shd w:val="clear" w:color="auto" w:fill="FFFFFF"/>
          <w:lang w:val="en-US" w:eastAsia="zh-CN"/>
        </w:rPr>
        <w:t>人员减少。</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（四）一般公共预算财政拨款基本支出决算情况说明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shd w:val="clear" w:color="auto" w:fill="FFFFFF"/>
        </w:rPr>
        <w:t> 2023年度一般公共财政拨款基本支出</w:t>
      </w:r>
      <w:r>
        <w:rPr>
          <w:rFonts w:hint="default" w:ascii="Times New Roman" w:hAnsi="Times New Roman" w:eastAsia="方正仿宋_GBK" w:cs="Times New Roman"/>
          <w:sz w:val="32"/>
          <w:szCs w:val="32"/>
        </w:rPr>
        <w:t>876.02</w:t>
      </w:r>
      <w:r>
        <w:rPr>
          <w:rFonts w:hint="default" w:ascii="Times New Roman" w:hAnsi="Times New Roman" w:eastAsia="方正仿宋_GBK" w:cs="Times New Roman"/>
          <w:sz w:val="32"/>
          <w:szCs w:val="32"/>
          <w:shd w:val="clear" w:color="auto" w:fill="FFFFFF"/>
        </w:rPr>
        <w:t>万元。其中：人员经费</w:t>
      </w:r>
      <w:r>
        <w:rPr>
          <w:rFonts w:hint="default" w:ascii="Times New Roman" w:hAnsi="Times New Roman" w:eastAsia="方正仿宋_GBK" w:cs="Times New Roman"/>
          <w:sz w:val="32"/>
          <w:szCs w:val="32"/>
        </w:rPr>
        <w:t>722.71</w:t>
      </w:r>
      <w:r>
        <w:rPr>
          <w:rFonts w:hint="default" w:ascii="Times New Roman" w:hAnsi="Times New Roman" w:eastAsia="方正仿宋_GBK" w:cs="Times New Roman"/>
          <w:sz w:val="32"/>
          <w:szCs w:val="32"/>
          <w:shd w:val="clear" w:color="auto" w:fill="FFFFFF"/>
        </w:rPr>
        <w:t>万元，较上年决算数增加176.49万元，增长32.31%，主要原因是</w:t>
      </w:r>
      <w:r>
        <w:rPr>
          <w:rFonts w:hint="default" w:ascii="Times New Roman" w:hAnsi="Times New Roman" w:eastAsia="方正仿宋_GBK" w:cs="Times New Roman"/>
          <w:color w:val="auto"/>
          <w:sz w:val="32"/>
          <w:szCs w:val="32"/>
          <w:shd w:val="clear" w:color="auto" w:fill="FFFFFF"/>
          <w:lang w:val="en-US" w:eastAsia="zh-CN"/>
        </w:rPr>
        <w:t>人员工资及社保标准调标</w:t>
      </w:r>
      <w:r>
        <w:rPr>
          <w:rFonts w:hint="default" w:ascii="Times New Roman" w:hAnsi="Times New Roman" w:eastAsia="方正仿宋_GBK" w:cs="Times New Roman"/>
          <w:color w:val="auto"/>
          <w:sz w:val="32"/>
          <w:szCs w:val="32"/>
          <w:shd w:val="clear" w:color="auto" w:fill="FFFFFF"/>
        </w:rPr>
        <w:t>。</w:t>
      </w:r>
      <w:r>
        <w:rPr>
          <w:rFonts w:hint="default" w:ascii="Times New Roman" w:hAnsi="Times New Roman" w:eastAsia="方正仿宋_GBK" w:cs="Times New Roman"/>
          <w:sz w:val="32"/>
          <w:szCs w:val="32"/>
          <w:shd w:val="clear" w:color="auto" w:fill="FFFFFF"/>
        </w:rPr>
        <w:t>人员经费用途主要包括</w:t>
      </w:r>
      <w:r>
        <w:rPr>
          <w:rFonts w:hint="default" w:ascii="Times New Roman" w:hAnsi="Times New Roman" w:eastAsia="方正仿宋_GBK" w:cs="Times New Roman"/>
          <w:sz w:val="32"/>
          <w:szCs w:val="32"/>
          <w:shd w:val="clear" w:color="auto" w:fill="FFFFFF"/>
          <w:lang w:val="en-US" w:eastAsia="zh-CN"/>
        </w:rPr>
        <w:t>工资、绩效、社保及公积金</w:t>
      </w:r>
      <w:r>
        <w:rPr>
          <w:rFonts w:hint="default" w:ascii="Times New Roman" w:hAnsi="Times New Roman" w:eastAsia="方正仿宋_GBK" w:cs="Times New Roman"/>
          <w:color w:val="auto"/>
          <w:sz w:val="32"/>
          <w:szCs w:val="32"/>
          <w:shd w:val="clear" w:color="auto" w:fill="FFFFFF"/>
          <w:lang w:val="en-US" w:eastAsia="zh-CN"/>
        </w:rPr>
        <w:t>。</w:t>
      </w:r>
      <w:r>
        <w:rPr>
          <w:rFonts w:hint="default" w:ascii="Times New Roman" w:hAnsi="Times New Roman" w:eastAsia="方正仿宋_GBK" w:cs="Times New Roman"/>
          <w:sz w:val="32"/>
          <w:szCs w:val="32"/>
          <w:shd w:val="clear" w:color="auto" w:fill="FFFFFF"/>
        </w:rPr>
        <w:t>公用经费</w:t>
      </w:r>
      <w:r>
        <w:rPr>
          <w:rFonts w:hint="default" w:ascii="Times New Roman" w:hAnsi="Times New Roman" w:eastAsia="方正仿宋_GBK" w:cs="Times New Roman"/>
          <w:sz w:val="32"/>
          <w:szCs w:val="32"/>
        </w:rPr>
        <w:t>153.30</w:t>
      </w:r>
      <w:r>
        <w:rPr>
          <w:rFonts w:hint="default" w:ascii="Times New Roman" w:hAnsi="Times New Roman" w:eastAsia="方正仿宋_GBK" w:cs="Times New Roman"/>
          <w:sz w:val="32"/>
          <w:szCs w:val="32"/>
          <w:shd w:val="clear" w:color="auto" w:fill="FFFFFF"/>
        </w:rPr>
        <w:t>万元，较上年决算数增加104.92万元，增长216.87%，主要原因</w:t>
      </w:r>
      <w:r>
        <w:rPr>
          <w:rFonts w:hint="default" w:ascii="Times New Roman" w:hAnsi="Times New Roman" w:eastAsia="方正仿宋_GBK" w:cs="Times New Roman"/>
          <w:color w:val="auto"/>
          <w:sz w:val="32"/>
          <w:szCs w:val="32"/>
          <w:shd w:val="clear" w:color="auto" w:fill="FFFFFF"/>
        </w:rPr>
        <w:t>是</w:t>
      </w:r>
      <w:r>
        <w:rPr>
          <w:rFonts w:hint="default" w:ascii="Times New Roman" w:hAnsi="Times New Roman" w:eastAsia="方正仿宋_GBK" w:cs="Times New Roman"/>
          <w:color w:val="auto"/>
          <w:sz w:val="32"/>
          <w:szCs w:val="32"/>
          <w:shd w:val="clear" w:color="auto" w:fill="FFFFFF"/>
          <w:lang w:val="en-US" w:eastAsia="zh-CN"/>
        </w:rPr>
        <w:t>专用材料及劳务费增加</w:t>
      </w:r>
      <w:r>
        <w:rPr>
          <w:rFonts w:hint="default" w:ascii="Times New Roman" w:hAnsi="Times New Roman" w:eastAsia="方正仿宋_GBK" w:cs="Times New Roman"/>
          <w:color w:val="auto"/>
          <w:sz w:val="32"/>
          <w:szCs w:val="32"/>
          <w:shd w:val="clear" w:color="auto" w:fill="FFFFFF"/>
        </w:rPr>
        <w:t>。</w:t>
      </w:r>
      <w:r>
        <w:rPr>
          <w:rFonts w:hint="default" w:ascii="Times New Roman" w:hAnsi="Times New Roman" w:eastAsia="方正仿宋_GBK" w:cs="Times New Roman"/>
          <w:sz w:val="32"/>
          <w:szCs w:val="32"/>
          <w:shd w:val="clear" w:color="auto" w:fill="FFFFFF"/>
        </w:rPr>
        <w:t>公用经费用途主要包括</w:t>
      </w:r>
      <w:r>
        <w:rPr>
          <w:rFonts w:hint="default" w:ascii="Times New Roman" w:hAnsi="Times New Roman" w:eastAsia="方正仿宋_GBK" w:cs="Times New Roman"/>
          <w:sz w:val="32"/>
          <w:szCs w:val="32"/>
          <w:shd w:val="clear" w:color="auto" w:fill="FFFFFF"/>
          <w:lang w:val="en-US" w:eastAsia="zh-CN"/>
        </w:rPr>
        <w:t>专用材料费、劳务费及水电邮电费等。</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（五）政府性基金预算收支决算情况说明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lang w:eastAsia="zh-CN"/>
        </w:rPr>
        <w:t>本单位</w:t>
      </w:r>
      <w:r>
        <w:rPr>
          <w:rFonts w:hint="default" w:ascii="Times New Roman" w:hAnsi="Times New Roman" w:eastAsia="方正仿宋_GBK" w:cs="Times New Roman"/>
          <w:sz w:val="32"/>
          <w:szCs w:val="32"/>
          <w:shd w:val="clear" w:color="auto" w:fill="FFFFFF"/>
        </w:rPr>
        <w:t>2023年度无政府性基金预算财政拨款收支。</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（六）国有资本经营预算财政拨款支出决算情况说明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lang w:eastAsia="zh-CN"/>
        </w:rPr>
        <w:t>本单位</w:t>
      </w:r>
      <w:r>
        <w:rPr>
          <w:rFonts w:hint="default" w:ascii="Times New Roman" w:hAnsi="Times New Roman" w:eastAsia="方正仿宋_GBK" w:cs="Times New Roman"/>
          <w:sz w:val="32"/>
          <w:szCs w:val="32"/>
          <w:shd w:val="clear" w:color="auto" w:fill="FFFFFF"/>
        </w:rPr>
        <w:t>2023年度无国有资本经营预算财政拨款支出。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三、“三公”经费情况说明</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outlineLvl w:val="9"/>
        <w:rPr>
          <w:rFonts w:hint="default" w:ascii="Times New Roman" w:hAnsi="Times New Roman" w:eastAsia="楷体" w:cs="Times New Roman"/>
          <w:b/>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lang w:val="en-US" w:eastAsia="zh-CN" w:bidi="ar-SA"/>
        </w:rPr>
        <w:t>（一）“三公”经费支出总体情况说明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lang w:eastAsia="zh-CN"/>
        </w:rPr>
        <w:t>本单位</w:t>
      </w:r>
      <w:r>
        <w:rPr>
          <w:rFonts w:hint="default" w:ascii="Times New Roman" w:hAnsi="Times New Roman" w:eastAsia="方正仿宋_GBK" w:cs="Times New Roman"/>
          <w:sz w:val="32"/>
          <w:szCs w:val="32"/>
          <w:shd w:val="clear" w:color="auto" w:fill="FFFFFF"/>
        </w:rPr>
        <w:t>属于差额拨款单位，财政未保障</w:t>
      </w:r>
      <w:r>
        <w:rPr>
          <w:rFonts w:hint="default" w:ascii="Times New Roman" w:hAnsi="Times New Roman" w:eastAsia="方正仿宋_GBK" w:cs="Times New Roman"/>
          <w:sz w:val="32"/>
          <w:szCs w:val="32"/>
          <w:shd w:val="clear" w:color="auto" w:fill="FFFFFF"/>
          <w:lang w:eastAsia="zh-CN"/>
        </w:rPr>
        <w:t>本单位</w:t>
      </w:r>
      <w:r>
        <w:rPr>
          <w:rFonts w:hint="default" w:ascii="Times New Roman" w:hAnsi="Times New Roman" w:eastAsia="方正仿宋_GBK" w:cs="Times New Roman"/>
          <w:sz w:val="32"/>
          <w:szCs w:val="32"/>
          <w:shd w:val="clear" w:color="auto" w:fill="FFFFFF"/>
        </w:rPr>
        <w:t>“三公”经费。</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rPr>
          <w:rStyle w:val="11"/>
          <w:rFonts w:hint="default" w:ascii="Times New Roman" w:hAnsi="Times New Roman" w:eastAsia="方正楷体_GBK" w:cs="Times New Roman"/>
          <w:b w:val="0"/>
          <w:bCs/>
          <w:sz w:val="32"/>
          <w:szCs w:val="32"/>
          <w:shd w:val="clear" w:color="auto" w:fill="FFFFFF"/>
          <w:lang w:val="en-US" w:eastAsia="zh-CN" w:bidi="ar-SA"/>
        </w:rPr>
      </w:pPr>
      <w:r>
        <w:rPr>
          <w:rStyle w:val="11"/>
          <w:rFonts w:hint="default" w:ascii="Times New Roman" w:hAnsi="Times New Roman" w:eastAsia="方正楷体_GBK" w:cs="Times New Roman"/>
          <w:b w:val="0"/>
          <w:bCs/>
          <w:sz w:val="32"/>
          <w:szCs w:val="32"/>
          <w:shd w:val="clear" w:color="auto" w:fill="FFFFFF"/>
          <w:lang w:val="en-US" w:eastAsia="zh-CN" w:bidi="ar-SA"/>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default" w:ascii="Times New Roman" w:hAnsi="Times New Roman" w:eastAsia="方正仿宋_GBK" w:cs="Times New Roman"/>
          <w:sz w:val="32"/>
          <w:szCs w:val="32"/>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r>
        <w:rPr>
          <w:rFonts w:hint="default" w:ascii="Times New Roman" w:hAnsi="Times New Roman" w:eastAsia="方正仿宋_GBK" w:cs="Times New Roman"/>
          <w:sz w:val="32"/>
          <w:szCs w:val="32"/>
          <w:shd w:val="clear" w:color="auto" w:fill="FFFFFF"/>
        </w:rPr>
        <w:t> </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textAlignment w:val="auto"/>
        <w:outlineLvl w:val="9"/>
        <w:rPr>
          <w:rStyle w:val="11"/>
          <w:rFonts w:hint="default" w:ascii="Times New Roman" w:hAnsi="Times New Roman" w:eastAsia="方正楷体_GBK" w:cs="Times New Roman"/>
          <w:b w:val="0"/>
          <w:bCs/>
          <w:sz w:val="32"/>
          <w:szCs w:val="32"/>
          <w:shd w:val="clear" w:color="auto" w:fill="FFFFFF"/>
          <w:lang w:val="en-US" w:eastAsia="zh-CN" w:bidi="ar-SA"/>
        </w:rPr>
      </w:pPr>
      <w:r>
        <w:rPr>
          <w:rStyle w:val="11"/>
          <w:rFonts w:hint="default" w:ascii="Times New Roman" w:hAnsi="Times New Roman" w:eastAsia="方正楷体_GBK" w:cs="Times New Roman"/>
          <w:b w:val="0"/>
          <w:bCs/>
          <w:sz w:val="32"/>
          <w:szCs w:val="32"/>
          <w:shd w:val="clear" w:color="auto" w:fill="FFFFFF"/>
          <w:lang w:val="en-US" w:eastAsia="zh-CN" w:bidi="ar-SA"/>
        </w:rPr>
        <w:t>（三）“三公”经费实物量情况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 2023年度本单位因公出国（境）共计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个团组，</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人；公务用车购置</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辆，公务车保有量为</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辆；国内公务接待</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批次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人，其中：国内外事接待</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批次，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人；国（境）外公务接待</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批次，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人。2023年本单位人均接待费</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元，车均购置费</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万元，车均维护费</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万元。</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四、其他需要说明的事项</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outlineLvl w:val="9"/>
        <w:rPr>
          <w:rStyle w:val="11"/>
          <w:rFonts w:hint="default" w:ascii="Times New Roman" w:hAnsi="Times New Roman" w:eastAsia="方正楷体_GBK" w:cs="Times New Roman"/>
          <w:b w:val="0"/>
          <w:bCs/>
          <w:sz w:val="32"/>
          <w:szCs w:val="32"/>
          <w:shd w:val="clear" w:color="auto" w:fill="FFFFFF"/>
          <w:lang w:val="en-US" w:eastAsia="zh-CN" w:bidi="ar-SA"/>
        </w:rPr>
      </w:pPr>
      <w:r>
        <w:rPr>
          <w:rStyle w:val="11"/>
          <w:rFonts w:hint="default" w:ascii="Times New Roman" w:hAnsi="Times New Roman" w:eastAsia="方正楷体_GBK" w:cs="Times New Roman"/>
          <w:b w:val="0"/>
          <w:bCs/>
          <w:sz w:val="32"/>
          <w:szCs w:val="32"/>
          <w:shd w:val="clear" w:color="auto" w:fill="FFFFFF"/>
          <w:lang w:val="en-US" w:eastAsia="zh-CN" w:bidi="ar-SA"/>
        </w:rPr>
        <w:t>（一）财政拨款会议费和培训费情况说明</w:t>
      </w:r>
    </w:p>
    <w:p>
      <w:pPr>
        <w:pStyle w:val="15"/>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因</w:t>
      </w:r>
      <w:r>
        <w:rPr>
          <w:rFonts w:hint="eastAsia" w:ascii="Times New Roman" w:hAnsi="Times New Roman" w:eastAsia="方正仿宋_GBK" w:cs="Times New Roman"/>
          <w:b w:val="0"/>
          <w:bCs w:val="0"/>
          <w:sz w:val="32"/>
          <w:szCs w:val="32"/>
          <w:lang w:val="en-US" w:eastAsia="zh-CN"/>
        </w:rPr>
        <w:t>本单位</w:t>
      </w:r>
      <w:r>
        <w:rPr>
          <w:rFonts w:hint="default" w:ascii="Times New Roman" w:hAnsi="Times New Roman" w:eastAsia="方正仿宋_GBK" w:cs="Times New Roman"/>
          <w:b w:val="0"/>
          <w:bCs w:val="0"/>
          <w:sz w:val="32"/>
          <w:szCs w:val="32"/>
        </w:rPr>
        <w:t>为差额拨款单位，财政未保障</w:t>
      </w:r>
      <w:r>
        <w:rPr>
          <w:rFonts w:hint="eastAsia" w:ascii="Times New Roman" w:hAnsi="Times New Roman" w:eastAsia="方正仿宋_GBK" w:cs="Times New Roman"/>
          <w:b w:val="0"/>
          <w:bCs w:val="0"/>
          <w:sz w:val="32"/>
          <w:szCs w:val="32"/>
          <w:lang w:val="en-US" w:eastAsia="zh-CN"/>
        </w:rPr>
        <w:t>本单位</w:t>
      </w:r>
      <w:r>
        <w:rPr>
          <w:rFonts w:hint="default" w:ascii="Times New Roman" w:hAnsi="Times New Roman" w:eastAsia="方正仿宋_GBK" w:cs="Times New Roman"/>
          <w:b w:val="0"/>
          <w:bCs w:val="0"/>
          <w:sz w:val="32"/>
          <w:szCs w:val="32"/>
        </w:rPr>
        <w:t>会议费和培训费。</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outlineLvl w:val="9"/>
        <w:rPr>
          <w:rStyle w:val="11"/>
          <w:rFonts w:hint="default" w:ascii="Times New Roman" w:hAnsi="Times New Roman" w:eastAsia="方正楷体_GBK" w:cs="Times New Roman"/>
          <w:b w:val="0"/>
          <w:bCs/>
          <w:sz w:val="32"/>
          <w:szCs w:val="32"/>
          <w:shd w:val="clear" w:color="auto" w:fill="FFFFFF"/>
          <w:lang w:val="en-US" w:eastAsia="zh-CN" w:bidi="ar-SA"/>
        </w:rPr>
      </w:pPr>
      <w:r>
        <w:rPr>
          <w:rStyle w:val="11"/>
          <w:rFonts w:hint="default" w:ascii="Times New Roman" w:hAnsi="Times New Roman" w:eastAsia="方正楷体_GBK" w:cs="Times New Roman"/>
          <w:b w:val="0"/>
          <w:bCs/>
          <w:sz w:val="32"/>
          <w:szCs w:val="32"/>
          <w:shd w:val="clear" w:color="auto" w:fill="FFFFFF"/>
          <w:lang w:val="en-US" w:eastAsia="zh-CN" w:bidi="ar-SA"/>
        </w:rPr>
        <w:t>（二）机关运行经费情况说明</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按照部门决算列报口径，因</w:t>
      </w:r>
      <w:r>
        <w:rPr>
          <w:rFonts w:hint="eastAsia"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为差额拨款事业单位不在机关运行经费统计范围之内。</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rPr>
          <w:rStyle w:val="11"/>
          <w:rFonts w:hint="default" w:ascii="Times New Roman" w:hAnsi="Times New Roman" w:eastAsia="方正楷体_GBK" w:cs="Times New Roman"/>
          <w:b w:val="0"/>
          <w:bCs/>
          <w:sz w:val="32"/>
          <w:szCs w:val="32"/>
          <w:shd w:val="clear" w:color="auto" w:fill="FFFFFF"/>
          <w:lang w:val="en-US" w:eastAsia="zh-CN" w:bidi="ar-SA"/>
        </w:rPr>
      </w:pPr>
      <w:r>
        <w:rPr>
          <w:rStyle w:val="11"/>
          <w:rFonts w:hint="default" w:ascii="Times New Roman" w:hAnsi="Times New Roman" w:eastAsia="方正楷体_GBK" w:cs="Times New Roman"/>
          <w:b w:val="0"/>
          <w:bCs/>
          <w:sz w:val="32"/>
          <w:szCs w:val="32"/>
          <w:shd w:val="clear" w:color="auto" w:fill="FFFFFF"/>
          <w:lang w:val="en-US" w:eastAsia="zh-CN" w:bidi="ar-SA"/>
        </w:rPr>
        <w:t>（三）国有资产占用情况说明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 截至2023年12月31日，本单位共有车辆</w:t>
      </w: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shd w:val="clear" w:color="auto" w:fill="FFFFFF"/>
        </w:rPr>
        <w:t>辆，其中，副部（省）级及以上领导用车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辆、主要负责人用车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辆、机要通信用车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辆、应急保障用车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辆、执法执勤用车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辆，特种专业技术用车</w:t>
      </w: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shd w:val="clear" w:color="auto" w:fill="FFFFFF"/>
        </w:rPr>
        <w:t>辆，离退休干部用车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辆。单价100万元（含）以上专用设备</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台（套）。</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outlineLvl w:val="9"/>
        <w:rPr>
          <w:rStyle w:val="11"/>
          <w:rFonts w:hint="default" w:ascii="Times New Roman" w:hAnsi="Times New Roman" w:eastAsia="方正楷体_GBK" w:cs="Times New Roman"/>
          <w:b w:val="0"/>
          <w:bCs/>
          <w:sz w:val="32"/>
          <w:szCs w:val="32"/>
          <w:shd w:val="clear" w:color="auto" w:fill="FFFFFF"/>
          <w:lang w:val="en-US" w:eastAsia="zh-CN" w:bidi="ar-SA"/>
        </w:rPr>
      </w:pPr>
      <w:r>
        <w:rPr>
          <w:rStyle w:val="11"/>
          <w:rFonts w:hint="default" w:ascii="Times New Roman" w:hAnsi="Times New Roman" w:eastAsia="方正楷体_GBK" w:cs="Times New Roman"/>
          <w:b w:val="0"/>
          <w:bCs/>
          <w:sz w:val="32"/>
          <w:szCs w:val="32"/>
          <w:shd w:val="clear" w:color="auto" w:fill="FFFFFF"/>
          <w:lang w:val="en-US" w:eastAsia="zh-CN" w:bidi="ar-SA"/>
        </w:rPr>
        <w:t>（四）政府采购支出情况说明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2023年度</w:t>
      </w:r>
      <w:r>
        <w:rPr>
          <w:rFonts w:hint="default" w:ascii="Times New Roman" w:hAnsi="Times New Roman" w:eastAsia="方正仿宋_GBK" w:cs="Times New Roman"/>
          <w:sz w:val="32"/>
          <w:szCs w:val="32"/>
          <w:shd w:val="clear" w:color="auto" w:fill="FFFFFF"/>
          <w:lang w:eastAsia="zh-CN"/>
        </w:rPr>
        <w:t>本单位</w:t>
      </w:r>
      <w:r>
        <w:rPr>
          <w:rFonts w:hint="default" w:ascii="Times New Roman" w:hAnsi="Times New Roman" w:eastAsia="方正仿宋_GBK" w:cs="Times New Roman"/>
          <w:sz w:val="32"/>
          <w:szCs w:val="32"/>
          <w:shd w:val="clear" w:color="auto" w:fill="FFFFFF"/>
        </w:rPr>
        <w:t>未发生政府采购事项，无相关经费支出。</w:t>
      </w:r>
    </w:p>
    <w:p>
      <w:pPr>
        <w:pStyle w:val="9"/>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lang w:val="en-US" w:eastAsia="zh-CN"/>
        </w:rPr>
        <w:t>五、</w:t>
      </w:r>
      <w:r>
        <w:rPr>
          <w:rStyle w:val="11"/>
          <w:rFonts w:hint="eastAsia" w:ascii="方正黑体_GBK" w:hAnsi="方正黑体_GBK" w:eastAsia="方正黑体_GBK" w:cs="方正黑体_GBK"/>
          <w:b w:val="0"/>
          <w:bCs w:val="0"/>
          <w:sz w:val="32"/>
          <w:szCs w:val="32"/>
          <w:shd w:val="clear" w:color="auto" w:fill="FFFFFF"/>
        </w:rPr>
        <w:t>预算绩效管理情况说明</w:t>
      </w:r>
      <w:bookmarkStart w:id="0" w:name="_GoBack"/>
      <w:bookmarkEnd w:id="0"/>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tbl>
      <w:tblPr>
        <w:tblStyle w:val="12"/>
        <w:tblpPr w:leftFromText="180" w:rightFromText="180" w:vertAnchor="text" w:horzAnchor="page" w:tblpX="1885" w:tblpY="182"/>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2023年度项目支出绩效自评情况表（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bl>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kern w:val="0"/>
          <w:sz w:val="32"/>
          <w:szCs w:val="32"/>
          <w:lang w:val="en-US" w:eastAsia="zh-CN" w:bidi="ar-SA"/>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3" w:firstLineChars="200"/>
        <w:textAlignment w:val="auto"/>
        <w:outlineLvl w:val="9"/>
        <w:rPr>
          <w:rStyle w:val="11"/>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仿宋_GBK" w:cs="Times New Roman"/>
          <w:sz w:val="32"/>
          <w:szCs w:val="32"/>
          <w:shd w:val="clear" w:color="auto" w:fill="FFFFFF"/>
        </w:rPr>
        <w:t xml:space="preserve">  </w:t>
      </w:r>
      <w:r>
        <w:rPr>
          <w:rStyle w:val="11"/>
          <w:rFonts w:hint="default" w:ascii="Times New Roman" w:hAnsi="Times New Roman" w:eastAsia="方正黑体_GBK" w:cs="Times New Roman"/>
          <w:b w:val="0"/>
          <w:bCs/>
          <w:sz w:val="32"/>
          <w:szCs w:val="32"/>
          <w:shd w:val="clear" w:color="auto" w:fill="FFFFFF"/>
        </w:rPr>
        <w:t>六、专业名词解释</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lang w:val="en-US" w:eastAsia="zh-CN" w:bidi="ar-SA"/>
        </w:rPr>
        <w:t>（一）财政拨款收入：</w:t>
      </w:r>
      <w:r>
        <w:rPr>
          <w:rFonts w:hint="default" w:ascii="Times New Roman" w:hAnsi="Times New Roman" w:eastAsia="方正仿宋_GBK" w:cs="Times New Roman"/>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lang w:val="en-US" w:eastAsia="zh-CN" w:bidi="ar-SA"/>
        </w:rPr>
        <w:t> （二）事业收入：</w:t>
      </w:r>
      <w:r>
        <w:rPr>
          <w:rFonts w:hint="default" w:ascii="Times New Roman" w:hAnsi="Times New Roman" w:eastAsia="方正仿宋_GBK" w:cs="Times New Roman"/>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lang w:val="en-US" w:eastAsia="zh-CN" w:bidi="ar-SA"/>
        </w:rPr>
        <w:t> （三）经营收入：</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指事业单位在专业业务活动及其辅助活动之外开展非独立核算经营活动取得的现金流入。</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lang w:val="en-US" w:eastAsia="zh-CN" w:bidi="ar-SA"/>
        </w:rPr>
        <w:t>（四）其他收入：</w:t>
      </w:r>
      <w:r>
        <w:rPr>
          <w:rFonts w:hint="default" w:ascii="Times New Roman" w:hAnsi="Times New Roman" w:eastAsia="方正仿宋_GBK" w:cs="Times New Roman"/>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lang w:val="en-US" w:eastAsia="zh-CN" w:bidi="ar-SA"/>
        </w:rPr>
        <w:t>（五）使用非财政拨款结余：</w:t>
      </w:r>
      <w:r>
        <w:rPr>
          <w:rFonts w:hint="default" w:ascii="Times New Roman" w:hAnsi="Times New Roman" w:eastAsia="方正仿宋_GBK" w:cs="Times New Roman"/>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lang w:val="en-US" w:eastAsia="zh-CN" w:bidi="ar-SA"/>
        </w:rPr>
        <w:t> （六）年初结转和结余：</w:t>
      </w:r>
      <w:r>
        <w:rPr>
          <w:rFonts w:hint="default" w:ascii="Times New Roman" w:hAnsi="Times New Roman" w:eastAsia="方正仿宋_GBK" w:cs="Times New Roman"/>
          <w:sz w:val="32"/>
          <w:szCs w:val="32"/>
          <w:shd w:val="clear" w:color="auto" w:fill="FFFFFF"/>
        </w:rPr>
        <w:t>指单位上年结转本年使用的基本支出结转、项目支出结转和结余、经营结余。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lang w:val="en-US" w:eastAsia="zh-CN" w:bidi="ar-SA"/>
        </w:rPr>
        <w:t> （七）结余分配：</w:t>
      </w:r>
      <w:r>
        <w:rPr>
          <w:rFonts w:hint="default" w:ascii="Times New Roman" w:hAnsi="Times New Roman" w:eastAsia="方正仿宋_GBK" w:cs="Times New Roman"/>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lang w:val="en-US" w:eastAsia="zh-CN" w:bidi="ar-SA"/>
        </w:rPr>
        <w:t>（八）年末结转和结余：</w:t>
      </w:r>
      <w:r>
        <w:rPr>
          <w:rFonts w:hint="default" w:ascii="Times New Roman" w:hAnsi="Times New Roman" w:eastAsia="方正仿宋_GBK" w:cs="Times New Roman"/>
          <w:sz w:val="32"/>
          <w:szCs w:val="32"/>
          <w:shd w:val="clear" w:color="auto" w:fill="FFFFFF"/>
        </w:rPr>
        <w:t>指单位结转下年的基本支出结转、项目支出结转和结余、经营结余。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sz w:val="32"/>
          <w:szCs w:val="32"/>
          <w:shd w:val="clear" w:color="auto" w:fill="FFFFFF"/>
          <w:lang w:val="en-US" w:eastAsia="zh-CN" w:bidi="ar-SA"/>
        </w:rPr>
        <w:t> </w:t>
      </w:r>
      <w:r>
        <w:rPr>
          <w:rStyle w:val="11"/>
          <w:rFonts w:hint="default" w:ascii="Times New Roman" w:hAnsi="Times New Roman" w:eastAsia="方正楷体_GBK" w:cs="Times New Roman"/>
          <w:b w:val="0"/>
          <w:bCs/>
          <w:sz w:val="32"/>
          <w:szCs w:val="32"/>
          <w:shd w:val="clear" w:color="auto" w:fill="FFFFFF"/>
          <w:lang w:val="en-US" w:eastAsia="zh-CN" w:bidi="ar-SA"/>
        </w:rPr>
        <w:t>（九）基本支出：</w:t>
      </w:r>
      <w:r>
        <w:rPr>
          <w:rFonts w:hint="default" w:ascii="Times New Roman" w:hAnsi="Times New Roman" w:eastAsia="方正仿宋_GBK" w:cs="Times New Roman"/>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lang w:val="en-US" w:eastAsia="zh-CN" w:bidi="ar-SA"/>
        </w:rPr>
        <w:t>（十）项目支出：</w:t>
      </w:r>
      <w:r>
        <w:rPr>
          <w:rFonts w:hint="default" w:ascii="Times New Roman" w:hAnsi="Times New Roman" w:eastAsia="方正仿宋_GBK" w:cs="Times New Roman"/>
          <w:sz w:val="32"/>
          <w:szCs w:val="32"/>
          <w:shd w:val="clear" w:color="auto" w:fill="FFFFFF"/>
        </w:rPr>
        <w:t>指在基本支出之外为完成特定行政任务和事业发展目标所发生的支出。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lang w:val="en-US" w:eastAsia="zh-CN" w:bidi="ar-SA"/>
        </w:rPr>
        <w:t>（十一）经营支出：</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lang w:val="en-US" w:eastAsia="zh-CN" w:bidi="ar-SA"/>
        </w:rPr>
        <w:t>（十二）“三公”经费：</w:t>
      </w:r>
      <w:r>
        <w:rPr>
          <w:rFonts w:hint="default" w:ascii="Times New Roman" w:hAnsi="Times New Roman" w:eastAsia="方正仿宋_GBK" w:cs="Times New Roman"/>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lang w:val="en-US" w:eastAsia="zh-CN" w:bidi="ar-SA"/>
        </w:rPr>
        <w:t>（十三）机关运行经费：</w:t>
      </w:r>
      <w:r>
        <w:rPr>
          <w:rFonts w:hint="default" w:ascii="Times New Roman" w:hAnsi="Times New Roman" w:eastAsia="方正仿宋_GBK" w:cs="Times New Roman"/>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lang w:val="en-US" w:eastAsia="zh-CN" w:bidi="ar-SA"/>
        </w:rPr>
        <w:t>（十四）工资福利支出（支出经济分类科目类级）：</w:t>
      </w:r>
      <w:r>
        <w:rPr>
          <w:rFonts w:hint="default" w:ascii="Times New Roman" w:hAnsi="Times New Roman" w:eastAsia="方正仿宋_GBK" w:cs="Times New Roman"/>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lang w:val="en-US" w:eastAsia="zh-CN" w:bidi="ar-SA"/>
        </w:rPr>
        <w:t>（十五）商品和服务支出（支出经济分类科目类级）：</w:t>
      </w:r>
      <w:r>
        <w:rPr>
          <w:rFonts w:hint="default" w:ascii="Times New Roman" w:hAnsi="Times New Roman" w:eastAsia="方正仿宋_GBK" w:cs="Times New Roman"/>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1"/>
          <w:rFonts w:hint="default" w:ascii="Times New Roman" w:hAnsi="Times New Roman" w:eastAsia="楷体" w:cs="Times New Roman"/>
          <w:b w:val="0"/>
          <w:bCs/>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lang w:val="en-US" w:eastAsia="zh-CN" w:bidi="ar-SA"/>
        </w:rPr>
        <w:t>（十六）对个人和家庭的补助（支出经济分类科目类级）：</w:t>
      </w:r>
      <w:r>
        <w:rPr>
          <w:rFonts w:hint="default" w:ascii="Times New Roman" w:hAnsi="Times New Roman" w:eastAsia="方正仿宋_GBK" w:cs="Times New Roman"/>
          <w:sz w:val="32"/>
          <w:szCs w:val="32"/>
          <w:shd w:val="clear" w:color="auto" w:fill="FFFFFF"/>
        </w:rPr>
        <w:t>反映用于对个人和家庭的补助支出。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b w:val="0"/>
          <w:bCs/>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rPr>
        <w:t>（十七）其他资本性支出（支出经济分类科目类级）</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3" w:firstLineChars="200"/>
        <w:textAlignment w:val="auto"/>
        <w:outlineLvl w:val="9"/>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sz w:val="32"/>
          <w:szCs w:val="32"/>
          <w:shd w:val="clear" w:color="auto" w:fill="FFFFFF"/>
        </w:rPr>
        <w:t> </w:t>
      </w:r>
      <w:r>
        <w:rPr>
          <w:rStyle w:val="11"/>
          <w:rFonts w:hint="eastAsia" w:ascii="方正黑体_GBK" w:hAnsi="方正黑体_GBK" w:eastAsia="方正黑体_GBK" w:cs="方正黑体_GBK"/>
          <w:b w:val="0"/>
          <w:bCs w:val="0"/>
          <w:sz w:val="32"/>
          <w:szCs w:val="32"/>
          <w:shd w:val="clear" w:color="auto" w:fill="FFFFFF"/>
        </w:rPr>
        <w:t>七、决算公开联系方式及信息反馈渠道</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本单位决算公开信息反馈和联系方式：</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shd w:val="clear" w:color="auto" w:fill="FFFFFF"/>
          <w:lang w:val="en-US" w:eastAsia="zh-CN"/>
        </w:rPr>
        <w:t xml:space="preserve">郭磊  </w:t>
      </w:r>
      <w:r>
        <w:rPr>
          <w:rStyle w:val="11"/>
          <w:rFonts w:hint="default" w:ascii="Times New Roman" w:hAnsi="Times New Roman" w:eastAsia="方正仿宋_GBK" w:cs="Times New Roman"/>
          <w:b w:val="0"/>
          <w:bCs/>
          <w:sz w:val="32"/>
          <w:szCs w:val="32"/>
          <w:shd w:val="clear" w:color="auto" w:fill="FFFFFF"/>
        </w:rPr>
        <w:t>023-76656700</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3" w:firstLineChars="200"/>
        <w:rPr>
          <w:rStyle w:val="11"/>
          <w:rFonts w:hint="default" w:ascii="Times New Roman" w:hAnsi="Times New Roman" w:eastAsia="方正仿宋_GBK" w:cs="Times New Roman"/>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p>
    <w:p>
      <w:pPr>
        <w:rPr>
          <w:rFonts w:hint="default" w:ascii="Times New Roman" w:hAnsi="Times New Roman" w:cs="Times New Roman"/>
          <w:sz w:val="21"/>
          <w:szCs w:val="21"/>
        </w:rPr>
      </w:pPr>
    </w:p>
    <w:tbl>
      <w:tblPr>
        <w:tblStyle w:val="12"/>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eastAsiaTheme="minorEastAsia"/>
                <w:b/>
                <w:color w:val="000000"/>
                <w:sz w:val="20"/>
                <w:szCs w:val="20"/>
              </w:rPr>
            </w:pPr>
            <w:r>
              <w:rPr>
                <w:rFonts w:hint="default" w:ascii="Times New Roman" w:hAnsi="Times New Roman" w:cs="Times New Roman"/>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eastAsiaTheme="minorEastAsia"/>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sz w:val="20"/>
                <w:szCs w:val="20"/>
              </w:rPr>
              <w:t>公开单位：</w:t>
            </w:r>
            <w:r>
              <w:rPr>
                <w:rFonts w:hint="default" w:ascii="Times New Roman" w:hAnsi="Times New Roman" w:cs="Times New Roman" w:eastAsiaTheme="minorEastAsia"/>
                <w:sz w:val="20"/>
                <w:szCs w:val="20"/>
                <w:u w:color="auto"/>
              </w:rPr>
              <w:t>重庆市秀山土家族苗族自治县平凯街道社区卫生服务中心</w:t>
            </w: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eastAsiaTheme="minorEastAsia"/>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单位：</w:t>
            </w:r>
            <w:r>
              <w:rPr>
                <w:rFonts w:hint="default" w:ascii="Times New Roman" w:hAnsi="Times New Roman" w:cs="Times New Roman" w:eastAsiaTheme="minorEastAsia"/>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978.78</w:t>
            </w:r>
            <w:r>
              <w:rPr>
                <w:rFonts w:hint="default" w:ascii="Times New Roman" w:hAnsi="Times New Roman" w:cs="Times New Roman" w:eastAsiaTheme="minorEastAsia"/>
                <w:color w:val="000000"/>
                <w:sz w:val="20"/>
                <w:szCs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42.00</w:t>
            </w: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1,036.96</w:t>
            </w:r>
            <w:r>
              <w:rPr>
                <w:rFonts w:hint="default" w:ascii="Times New Roman" w:hAnsi="Times New Roman" w:cs="Times New Roman" w:eastAsiaTheme="minorEastAsia"/>
                <w:color w:val="000000"/>
                <w:sz w:val="20"/>
                <w:szCs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159.52</w:t>
            </w:r>
            <w:r>
              <w:rPr>
                <w:rFonts w:hint="default" w:ascii="Times New Roman" w:hAnsi="Times New Roman" w:cs="Times New Roman" w:eastAsiaTheme="minorEastAsia"/>
                <w:color w:val="000000"/>
                <w:sz w:val="20"/>
                <w:szCs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76.69</w:t>
            </w: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eastAsiaTheme="minorEastAsia"/>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eastAsiaTheme="minorEastAsia"/>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1,987.28</w:t>
            </w: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eastAsiaTheme="minorEastAsia"/>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eastAsiaTheme="minorEastAsia"/>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eastAsiaTheme="minorEastAsia"/>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eastAsiaTheme="minorEastAsia"/>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eastAsiaTheme="minorEastAsia"/>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eastAsiaTheme="minorEastAsia"/>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eastAsiaTheme="minorEastAsia"/>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eastAsiaTheme="minorEastAsia"/>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eastAsiaTheme="minorEastAsia"/>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eastAsiaTheme="minorEastAsia"/>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eastAsiaTheme="minorEastAsia"/>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eastAsiaTheme="minorEastAsia"/>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eastAsiaTheme="minorEastAsia"/>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eastAsiaTheme="minorEastAsia"/>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eastAsiaTheme="minorEastAsia"/>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eastAsiaTheme="minorEastAsia"/>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eastAsiaTheme="minorEastAsia"/>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eastAsiaTheme="minorEastAsia"/>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eastAsiaTheme="minorEastAsia"/>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eastAsiaTheme="minorEastAsia"/>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18.93</w:t>
            </w: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eastAsiaTheme="minorEastAsia"/>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eastAsiaTheme="minorEastAsia"/>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eastAsiaTheme="minorEastAsia"/>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eastAsiaTheme="minorEastAsia"/>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eastAsiaTheme="minorEastAsia"/>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eastAsiaTheme="minorEastAsia"/>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eastAsiaTheme="minorEastAsia"/>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eastAsiaTheme="minorEastAsia"/>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ascii="Times New Roman" w:hAnsi="Times New Roman" w:cs="Times New Roman" w:eastAsiaTheme="minorEastAsia"/>
                <w:b/>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eastAsiaTheme="minorEastAsia"/>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eastAsiaTheme="minorEastAsia"/>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eastAsiaTheme="minorEastAsia"/>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eastAsiaTheme="minorEastAsia"/>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eastAsiaTheme="minorEastAsia"/>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2,175.26</w:t>
            </w:r>
            <w:r>
              <w:rPr>
                <w:rFonts w:hint="default" w:ascii="Times New Roman" w:hAnsi="Times New Roman" w:cs="Times New Roman" w:eastAsiaTheme="minorEastAsia"/>
                <w:color w:val="000000"/>
                <w:sz w:val="20"/>
                <w:szCs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2,124.90</w:t>
            </w: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50.36</w:t>
            </w: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2,175.26</w:t>
            </w:r>
            <w:r>
              <w:rPr>
                <w:rFonts w:hint="default" w:ascii="Times New Roman" w:hAnsi="Times New Roman" w:cs="Times New Roman" w:eastAsiaTheme="minorEastAsia"/>
                <w:color w:val="000000"/>
                <w:sz w:val="20"/>
                <w:szCs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2,175.26</w:t>
            </w:r>
            <w:r>
              <w:rPr>
                <w:rFonts w:hint="default" w:ascii="Times New Roman" w:hAnsi="Times New Roman" w:cs="Times New Roman" w:eastAsiaTheme="minorEastAsia"/>
                <w:color w:val="000000"/>
                <w:sz w:val="20"/>
                <w:szCs w:val="20"/>
                <w:u w:color="auto"/>
              </w:rPr>
              <w:t xml:space="preserve"> </w:t>
            </w:r>
          </w:p>
        </w:tc>
      </w:tr>
    </w:tbl>
    <w:p>
      <w:pPr>
        <w:spacing w:line="240" w:lineRule="exact"/>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备注：1.本表反映单位本年度的总收支和年末结转结余情况。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tbl>
      <w:tblPr>
        <w:tblStyle w:val="12"/>
        <w:tblW w:w="15400" w:type="dxa"/>
        <w:tblInd w:w="0" w:type="dxa"/>
        <w:tblLayout w:type="fixed"/>
        <w:tblCellMar>
          <w:top w:w="0" w:type="dxa"/>
          <w:left w:w="0" w:type="dxa"/>
          <w:bottom w:w="0" w:type="dxa"/>
          <w:right w:w="0" w:type="dxa"/>
        </w:tblCellMar>
      </w:tblPr>
      <w:tblGrid>
        <w:gridCol w:w="1704"/>
        <w:gridCol w:w="3176"/>
        <w:gridCol w:w="1235"/>
        <w:gridCol w:w="1234"/>
        <w:gridCol w:w="1236"/>
        <w:gridCol w:w="1234"/>
        <w:gridCol w:w="1"/>
        <w:gridCol w:w="1366"/>
        <w:gridCol w:w="1310"/>
        <w:gridCol w:w="1441"/>
        <w:gridCol w:w="1463"/>
      </w:tblGrid>
      <w:tr>
        <w:tblPrEx>
          <w:tblLayout w:type="fixed"/>
          <w:tblCellMar>
            <w:top w:w="0" w:type="dxa"/>
            <w:left w:w="0" w:type="dxa"/>
            <w:bottom w:w="0" w:type="dxa"/>
            <w:right w:w="0" w:type="dxa"/>
          </w:tblCellMar>
        </w:tblPrEx>
        <w:trPr>
          <w:trHeight w:val="90" w:hRule="atLeast"/>
        </w:trPr>
        <w:tc>
          <w:tcPr>
            <w:tcW w:w="15400" w:type="dxa"/>
            <w:gridSpan w:val="11"/>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60" w:lineRule="exact"/>
              <w:jc w:val="center"/>
              <w:textAlignment w:val="bottom"/>
              <w:outlineLvl w:val="9"/>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收入决算表</w:t>
            </w:r>
          </w:p>
        </w:tc>
      </w:tr>
      <w:tr>
        <w:tblPrEx>
          <w:tblLayout w:type="fixed"/>
          <w:tblCellMar>
            <w:top w:w="0" w:type="dxa"/>
            <w:left w:w="0" w:type="dxa"/>
            <w:bottom w:w="0" w:type="dxa"/>
            <w:right w:w="0" w:type="dxa"/>
          </w:tblCellMar>
        </w:tblPrEx>
        <w:trPr>
          <w:trHeight w:val="90" w:hRule="atLeast"/>
        </w:trPr>
        <w:tc>
          <w:tcPr>
            <w:tcW w:w="4880" w:type="dxa"/>
            <w:gridSpan w:val="2"/>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sz w:val="20"/>
                <w:u w:color="auto"/>
              </w:rPr>
              <w:t>重庆市秀山土家族苗族自治县平凯街道社区卫生服务中心</w:t>
            </w:r>
          </w:p>
        </w:tc>
        <w:tc>
          <w:tcPr>
            <w:tcW w:w="123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color w:val="000000"/>
                <w:sz w:val="20"/>
                <w:szCs w:val="20"/>
              </w:rPr>
            </w:pPr>
          </w:p>
        </w:tc>
        <w:tc>
          <w:tcPr>
            <w:tcW w:w="123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color w:val="000000"/>
                <w:sz w:val="20"/>
                <w:szCs w:val="20"/>
              </w:rPr>
            </w:pPr>
          </w:p>
        </w:tc>
        <w:tc>
          <w:tcPr>
            <w:tcW w:w="123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color w:val="000000"/>
                <w:sz w:val="20"/>
                <w:szCs w:val="20"/>
              </w:rPr>
            </w:pPr>
          </w:p>
        </w:tc>
        <w:tc>
          <w:tcPr>
            <w:tcW w:w="123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color w:val="000000"/>
                <w:sz w:val="20"/>
                <w:szCs w:val="20"/>
              </w:rPr>
            </w:pPr>
          </w:p>
        </w:tc>
        <w:tc>
          <w:tcPr>
            <w:tcW w:w="1367" w:type="dxa"/>
            <w:gridSpan w:val="2"/>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color w:val="000000"/>
                <w:sz w:val="20"/>
                <w:szCs w:val="20"/>
              </w:rPr>
            </w:pPr>
          </w:p>
        </w:tc>
        <w:tc>
          <w:tcPr>
            <w:tcW w:w="131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color w:val="000000"/>
                <w:sz w:val="20"/>
                <w:szCs w:val="20"/>
              </w:rPr>
            </w:pPr>
          </w:p>
        </w:tc>
        <w:tc>
          <w:tcPr>
            <w:tcW w:w="144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color w:val="000000"/>
                <w:sz w:val="20"/>
                <w:szCs w:val="20"/>
              </w:rPr>
            </w:pPr>
          </w:p>
        </w:tc>
        <w:tc>
          <w:tcPr>
            <w:tcW w:w="146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jc w:val="right"/>
              <w:textAlignment w:val="bottom"/>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公开02表</w:t>
            </w:r>
          </w:p>
        </w:tc>
      </w:tr>
      <w:tr>
        <w:tblPrEx>
          <w:tblLayout w:type="fixed"/>
          <w:tblCellMar>
            <w:top w:w="0" w:type="dxa"/>
            <w:left w:w="0" w:type="dxa"/>
            <w:bottom w:w="0" w:type="dxa"/>
            <w:right w:w="0" w:type="dxa"/>
          </w:tblCellMar>
        </w:tblPrEx>
        <w:trPr>
          <w:trHeight w:val="90" w:hRule="atLeast"/>
        </w:trPr>
        <w:tc>
          <w:tcPr>
            <w:tcW w:w="4880" w:type="dxa"/>
            <w:gridSpan w:val="2"/>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color w:val="000000"/>
                <w:sz w:val="20"/>
                <w:szCs w:val="20"/>
              </w:rPr>
            </w:pPr>
          </w:p>
        </w:tc>
        <w:tc>
          <w:tcPr>
            <w:tcW w:w="1235"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color w:val="000000"/>
                <w:sz w:val="20"/>
                <w:szCs w:val="20"/>
              </w:rPr>
            </w:pPr>
          </w:p>
        </w:tc>
        <w:tc>
          <w:tcPr>
            <w:tcW w:w="123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color w:val="000000"/>
                <w:sz w:val="20"/>
                <w:szCs w:val="20"/>
              </w:rPr>
            </w:pPr>
          </w:p>
        </w:tc>
        <w:tc>
          <w:tcPr>
            <w:tcW w:w="123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color w:val="000000"/>
                <w:sz w:val="20"/>
                <w:szCs w:val="20"/>
              </w:rPr>
            </w:pPr>
          </w:p>
        </w:tc>
        <w:tc>
          <w:tcPr>
            <w:tcW w:w="1234"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color w:val="000000"/>
                <w:sz w:val="20"/>
                <w:szCs w:val="20"/>
              </w:rPr>
            </w:pPr>
          </w:p>
        </w:tc>
        <w:tc>
          <w:tcPr>
            <w:tcW w:w="1367" w:type="dxa"/>
            <w:gridSpan w:val="2"/>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color w:val="000000"/>
                <w:sz w:val="20"/>
                <w:szCs w:val="20"/>
              </w:rPr>
            </w:pPr>
          </w:p>
        </w:tc>
        <w:tc>
          <w:tcPr>
            <w:tcW w:w="1310"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color w:val="000000"/>
                <w:sz w:val="20"/>
                <w:szCs w:val="20"/>
              </w:rPr>
            </w:pPr>
          </w:p>
        </w:tc>
        <w:tc>
          <w:tcPr>
            <w:tcW w:w="144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color w:val="000000"/>
                <w:sz w:val="20"/>
                <w:szCs w:val="20"/>
              </w:rPr>
            </w:pPr>
          </w:p>
        </w:tc>
        <w:tc>
          <w:tcPr>
            <w:tcW w:w="146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jc w:val="right"/>
              <w:textAlignment w:val="bottom"/>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90" w:hRule="atLeast"/>
        </w:trPr>
        <w:tc>
          <w:tcPr>
            <w:tcW w:w="4880"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jc w:val="center"/>
              <w:textAlignment w:val="bottom"/>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23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本年收入合计</w:t>
            </w:r>
          </w:p>
        </w:tc>
        <w:tc>
          <w:tcPr>
            <w:tcW w:w="123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财政拨款收入</w:t>
            </w:r>
          </w:p>
        </w:tc>
        <w:tc>
          <w:tcPr>
            <w:tcW w:w="12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上级补助收入</w:t>
            </w:r>
          </w:p>
        </w:tc>
        <w:tc>
          <w:tcPr>
            <w:tcW w:w="2601" w:type="dxa"/>
            <w:gridSpan w:val="3"/>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jc w:val="center"/>
              <w:textAlignment w:val="bottom"/>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事业收入</w:t>
            </w:r>
          </w:p>
        </w:tc>
        <w:tc>
          <w:tcPr>
            <w:tcW w:w="131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经营收入</w:t>
            </w:r>
          </w:p>
        </w:tc>
        <w:tc>
          <w:tcPr>
            <w:tcW w:w="144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附属单位上缴收入</w:t>
            </w:r>
          </w:p>
        </w:tc>
        <w:tc>
          <w:tcPr>
            <w:tcW w:w="146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其他收入</w:t>
            </w:r>
          </w:p>
        </w:tc>
      </w:tr>
      <w:tr>
        <w:tblPrEx>
          <w:tblLayout w:type="fixed"/>
          <w:tblCellMar>
            <w:top w:w="0" w:type="dxa"/>
            <w:left w:w="0" w:type="dxa"/>
            <w:bottom w:w="0" w:type="dxa"/>
            <w:right w:w="0" w:type="dxa"/>
          </w:tblCellMar>
        </w:tblPrEx>
        <w:trPr>
          <w:trHeight w:val="312" w:hRule="atLeast"/>
        </w:trPr>
        <w:tc>
          <w:tcPr>
            <w:tcW w:w="1704"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176"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23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2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2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235" w:type="dxa"/>
            <w:gridSpan w:val="2"/>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其中：教育收费</w:t>
            </w:r>
          </w:p>
        </w:tc>
        <w:tc>
          <w:tcPr>
            <w:tcW w:w="131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4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12" w:hRule="atLeast"/>
        </w:trPr>
        <w:tc>
          <w:tcPr>
            <w:tcW w:w="1704"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3176"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23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2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2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235" w:type="dxa"/>
            <w:gridSpan w:val="2"/>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31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4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12" w:hRule="atLeast"/>
        </w:trPr>
        <w:tc>
          <w:tcPr>
            <w:tcW w:w="1704"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3176"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23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2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2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235" w:type="dxa"/>
            <w:gridSpan w:val="2"/>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31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4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12" w:hRule="atLeast"/>
        </w:trPr>
        <w:tc>
          <w:tcPr>
            <w:tcW w:w="1704"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3176"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23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2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2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235" w:type="dxa"/>
            <w:gridSpan w:val="2"/>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31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4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90" w:hRule="atLeast"/>
        </w:trPr>
        <w:tc>
          <w:tcPr>
            <w:tcW w:w="488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2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2,175.26</w:t>
            </w:r>
            <w:r>
              <w:rPr>
                <w:rFonts w:hint="default" w:ascii="Times New Roman" w:hAnsi="Times New Roman" w:cs="Times New Roman"/>
                <w:b/>
                <w:color w:val="000000"/>
                <w:sz w:val="20"/>
                <w:u w:color="auto"/>
              </w:rPr>
              <w:t xml:space="preserve"> </w:t>
            </w:r>
          </w:p>
        </w:tc>
        <w:tc>
          <w:tcPr>
            <w:tcW w:w="12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978.78</w:t>
            </w:r>
            <w:r>
              <w:rPr>
                <w:rFonts w:hint="default" w:ascii="Times New Roman" w:hAnsi="Times New Roman" w:cs="Times New Roman"/>
                <w:b/>
                <w:color w:val="000000"/>
                <w:sz w:val="20"/>
                <w:u w:color="auto"/>
              </w:rPr>
              <w:t xml:space="preserve"> </w:t>
            </w:r>
          </w:p>
        </w:tc>
        <w:tc>
          <w:tcPr>
            <w:tcW w:w="1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23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1,036.96</w:t>
            </w:r>
            <w:r>
              <w:rPr>
                <w:rFonts w:hint="default" w:ascii="Times New Roman" w:hAnsi="Times New Roman" w:cs="Times New Roman"/>
                <w:b/>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4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159.52</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201</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一般公共服务支出</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42.00</w:t>
            </w:r>
            <w:r>
              <w:rPr>
                <w:rFonts w:hint="default" w:ascii="Times New Roman" w:hAnsi="Times New Roman" w:cs="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42.00</w:t>
            </w:r>
            <w:r>
              <w:rPr>
                <w:rFonts w:hint="default" w:ascii="Times New Roman" w:hAnsi="Times New Roman" w:cs="Times New Roman"/>
                <w:b/>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20123</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民族事务</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42.00</w:t>
            </w:r>
            <w:r>
              <w:rPr>
                <w:rFonts w:hint="default" w:ascii="Times New Roman" w:hAnsi="Times New Roman" w:cs="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42.00</w:t>
            </w:r>
            <w:r>
              <w:rPr>
                <w:rFonts w:hint="default" w:ascii="Times New Roman" w:hAnsi="Times New Roman" w:cs="Times New Roman"/>
                <w:b/>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2012304</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民族工作专项</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42.00</w:t>
            </w:r>
            <w:r>
              <w:rPr>
                <w:rFonts w:hint="default" w:ascii="Times New Roman" w:hAnsi="Times New Roman" w:cs="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42.00</w:t>
            </w:r>
            <w:r>
              <w:rPr>
                <w:rFonts w:hint="default" w:ascii="Times New Roman" w:hAnsi="Times New Roman" w:cs="Times New Roman"/>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76.69</w:t>
            </w:r>
            <w:r>
              <w:rPr>
                <w:rFonts w:hint="default" w:ascii="Times New Roman" w:hAnsi="Times New Roman" w:cs="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76.69</w:t>
            </w:r>
            <w:r>
              <w:rPr>
                <w:rFonts w:hint="default" w:ascii="Times New Roman" w:hAnsi="Times New Roman" w:cs="Times New Roman"/>
                <w:b/>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76.69</w:t>
            </w:r>
            <w:r>
              <w:rPr>
                <w:rFonts w:hint="default" w:ascii="Times New Roman" w:hAnsi="Times New Roman" w:cs="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76.69</w:t>
            </w:r>
            <w:r>
              <w:rPr>
                <w:rFonts w:hint="default" w:ascii="Times New Roman" w:hAnsi="Times New Roman" w:cs="Times New Roman"/>
                <w:b/>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2080502</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事业单位离退休</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4.54</w:t>
            </w:r>
            <w:r>
              <w:rPr>
                <w:rFonts w:hint="default" w:ascii="Times New Roman" w:hAnsi="Times New Roman" w:cs="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4.54</w:t>
            </w:r>
            <w:r>
              <w:rPr>
                <w:rFonts w:hint="default" w:ascii="Times New Roman" w:hAnsi="Times New Roman" w:cs="Times New Roman"/>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25.08</w:t>
            </w:r>
            <w:r>
              <w:rPr>
                <w:rFonts w:hint="default" w:ascii="Times New Roman" w:hAnsi="Times New Roman" w:cs="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25.08</w:t>
            </w:r>
            <w:r>
              <w:rPr>
                <w:rFonts w:hint="default" w:ascii="Times New Roman" w:hAnsi="Times New Roman" w:cs="Times New Roman"/>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12.45</w:t>
            </w:r>
            <w:r>
              <w:rPr>
                <w:rFonts w:hint="default" w:ascii="Times New Roman" w:hAnsi="Times New Roman" w:cs="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12.45</w:t>
            </w:r>
            <w:r>
              <w:rPr>
                <w:rFonts w:hint="default" w:ascii="Times New Roman" w:hAnsi="Times New Roman" w:cs="Times New Roman"/>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2080599</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其他行政事业单位养老支出</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34.62</w:t>
            </w:r>
            <w:r>
              <w:rPr>
                <w:rFonts w:hint="default" w:ascii="Times New Roman" w:hAnsi="Times New Roman" w:cs="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34.62</w:t>
            </w:r>
            <w:r>
              <w:rPr>
                <w:rFonts w:hint="default" w:ascii="Times New Roman" w:hAnsi="Times New Roman" w:cs="Times New Roman"/>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2,037.65</w:t>
            </w:r>
            <w:r>
              <w:rPr>
                <w:rFonts w:hint="default" w:ascii="Times New Roman" w:hAnsi="Times New Roman" w:cs="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841.17</w:t>
            </w:r>
            <w:r>
              <w:rPr>
                <w:rFonts w:hint="default" w:ascii="Times New Roman" w:hAnsi="Times New Roman" w:cs="Times New Roman"/>
                <w:b/>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1,036.96</w:t>
            </w:r>
            <w:r>
              <w:rPr>
                <w:rFonts w:hint="default" w:ascii="Times New Roman" w:hAnsi="Times New Roman" w:cs="Times New Roman"/>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159.52</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21001</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卫生健康管理事务</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0.75</w:t>
            </w:r>
            <w:r>
              <w:rPr>
                <w:rFonts w:hint="default" w:ascii="Times New Roman" w:hAnsi="Times New Roman" w:cs="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0.75</w:t>
            </w:r>
            <w:r>
              <w:rPr>
                <w:rFonts w:hint="default" w:ascii="Times New Roman" w:hAnsi="Times New Roman" w:cs="Times New Roman"/>
                <w:b/>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2100199</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其他卫生健康管理事务支出</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0.75</w:t>
            </w:r>
            <w:r>
              <w:rPr>
                <w:rFonts w:hint="default" w:ascii="Times New Roman" w:hAnsi="Times New Roman" w:cs="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0.75</w:t>
            </w:r>
            <w:r>
              <w:rPr>
                <w:rFonts w:hint="default" w:ascii="Times New Roman" w:hAnsi="Times New Roman" w:cs="Times New Roman"/>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21003</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基层医疗卫生机构</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1,575.49</w:t>
            </w:r>
            <w:r>
              <w:rPr>
                <w:rFonts w:hint="default" w:ascii="Times New Roman" w:hAnsi="Times New Roman" w:cs="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379.01</w:t>
            </w:r>
            <w:r>
              <w:rPr>
                <w:rFonts w:hint="default" w:ascii="Times New Roman" w:hAnsi="Times New Roman" w:cs="Times New Roman"/>
                <w:b/>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1,036.96</w:t>
            </w:r>
            <w:r>
              <w:rPr>
                <w:rFonts w:hint="default" w:ascii="Times New Roman" w:hAnsi="Times New Roman" w:cs="Times New Roman"/>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159.52</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2100301</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城市社区卫生机构</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1,488.53</w:t>
            </w:r>
            <w:r>
              <w:rPr>
                <w:rFonts w:hint="default" w:ascii="Times New Roman" w:hAnsi="Times New Roman" w:cs="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292.05</w:t>
            </w:r>
            <w:r>
              <w:rPr>
                <w:rFonts w:hint="default" w:ascii="Times New Roman" w:hAnsi="Times New Roman" w:cs="Times New Roman"/>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1,036.96</w:t>
            </w: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159.52</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2100302</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乡镇卫生院</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78.96</w:t>
            </w:r>
            <w:r>
              <w:rPr>
                <w:rFonts w:hint="default" w:ascii="Times New Roman" w:hAnsi="Times New Roman" w:cs="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78.96</w:t>
            </w:r>
            <w:r>
              <w:rPr>
                <w:rFonts w:hint="default" w:ascii="Times New Roman" w:hAnsi="Times New Roman" w:cs="Times New Roman"/>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2100399</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其他基层医疗卫生机构支出</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8.00</w:t>
            </w:r>
            <w:r>
              <w:rPr>
                <w:rFonts w:hint="default" w:ascii="Times New Roman" w:hAnsi="Times New Roman" w:cs="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8.00</w:t>
            </w:r>
            <w:r>
              <w:rPr>
                <w:rFonts w:hint="default" w:ascii="Times New Roman" w:hAnsi="Times New Roman" w:cs="Times New Roman"/>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21004</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公共卫生</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446.03</w:t>
            </w:r>
            <w:r>
              <w:rPr>
                <w:rFonts w:hint="default" w:ascii="Times New Roman" w:hAnsi="Times New Roman" w:cs="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446.03</w:t>
            </w:r>
            <w:r>
              <w:rPr>
                <w:rFonts w:hint="default" w:ascii="Times New Roman" w:hAnsi="Times New Roman" w:cs="Times New Roman"/>
                <w:b/>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2100408</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基本公共卫生服务</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417.08</w:t>
            </w:r>
            <w:r>
              <w:rPr>
                <w:rFonts w:hint="default" w:ascii="Times New Roman" w:hAnsi="Times New Roman" w:cs="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417.08</w:t>
            </w:r>
            <w:r>
              <w:rPr>
                <w:rFonts w:hint="default" w:ascii="Times New Roman" w:hAnsi="Times New Roman" w:cs="Times New Roman"/>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2100410</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突发公共卫生事件应急处理</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28.95</w:t>
            </w:r>
            <w:r>
              <w:rPr>
                <w:rFonts w:hint="default" w:ascii="Times New Roman" w:hAnsi="Times New Roman" w:cs="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28.95</w:t>
            </w:r>
            <w:r>
              <w:rPr>
                <w:rFonts w:hint="default" w:ascii="Times New Roman" w:hAnsi="Times New Roman" w:cs="Times New Roman"/>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15.37</w:t>
            </w:r>
            <w:r>
              <w:rPr>
                <w:rFonts w:hint="default" w:ascii="Times New Roman" w:hAnsi="Times New Roman" w:cs="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15.37</w:t>
            </w:r>
            <w:r>
              <w:rPr>
                <w:rFonts w:hint="default" w:ascii="Times New Roman" w:hAnsi="Times New Roman" w:cs="Times New Roman"/>
                <w:b/>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15.37</w:t>
            </w:r>
            <w:r>
              <w:rPr>
                <w:rFonts w:hint="default" w:ascii="Times New Roman" w:hAnsi="Times New Roman" w:cs="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15.37</w:t>
            </w:r>
            <w:r>
              <w:rPr>
                <w:rFonts w:hint="default" w:ascii="Times New Roman" w:hAnsi="Times New Roman" w:cs="Times New Roman"/>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18.93</w:t>
            </w:r>
            <w:r>
              <w:rPr>
                <w:rFonts w:hint="default" w:ascii="Times New Roman" w:hAnsi="Times New Roman" w:cs="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18.93</w:t>
            </w:r>
            <w:r>
              <w:rPr>
                <w:rFonts w:hint="default" w:ascii="Times New Roman" w:hAnsi="Times New Roman" w:cs="Times New Roman"/>
                <w:b/>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18.93</w:t>
            </w:r>
            <w:r>
              <w:rPr>
                <w:rFonts w:hint="default" w:ascii="Times New Roman" w:hAnsi="Times New Roman" w:cs="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18.93</w:t>
            </w:r>
            <w:r>
              <w:rPr>
                <w:rFonts w:hint="default" w:ascii="Times New Roman" w:hAnsi="Times New Roman" w:cs="Times New Roman"/>
                <w:b/>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7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31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18.93</w:t>
            </w:r>
            <w:r>
              <w:rPr>
                <w:rFonts w:hint="default" w:ascii="Times New Roman" w:hAnsi="Times New Roman" w:cs="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18.93</w:t>
            </w:r>
            <w:r>
              <w:rPr>
                <w:rFonts w:hint="default" w:ascii="Times New Roman" w:hAnsi="Times New Roman" w:cs="Times New Roman"/>
                <w:color w:val="000000"/>
                <w:sz w:val="20"/>
                <w:u w:color="auto"/>
              </w:rPr>
              <w:t xml:space="preserve"> </w:t>
            </w:r>
          </w:p>
        </w:tc>
        <w:tc>
          <w:tcPr>
            <w:tcW w:w="12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bl>
    <w:p>
      <w:pPr>
        <w:ind w:left="600" w:hanging="600" w:hangingChars="300"/>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备注：1.本表反映单位本年度取得的各项收入情况。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tbl>
      <w:tblPr>
        <w:tblStyle w:val="12"/>
        <w:tblW w:w="14980" w:type="dxa"/>
        <w:tblInd w:w="0" w:type="dxa"/>
        <w:tblLayout w:type="fixed"/>
        <w:tblCellMar>
          <w:top w:w="0" w:type="dxa"/>
          <w:left w:w="0" w:type="dxa"/>
          <w:bottom w:w="0" w:type="dxa"/>
          <w:right w:w="0" w:type="dxa"/>
        </w:tblCellMar>
      </w:tblPr>
      <w:tblGrid>
        <w:gridCol w:w="1757"/>
        <w:gridCol w:w="3267"/>
        <w:gridCol w:w="1658"/>
        <w:gridCol w:w="1656"/>
        <w:gridCol w:w="1658"/>
        <w:gridCol w:w="1641"/>
        <w:gridCol w:w="1641"/>
        <w:gridCol w:w="1702"/>
      </w:tblGrid>
      <w:tr>
        <w:tblPrEx>
          <w:tblLayout w:type="fixed"/>
          <w:tblCellMar>
            <w:top w:w="0" w:type="dxa"/>
            <w:left w:w="0" w:type="dxa"/>
            <w:bottom w:w="0" w:type="dxa"/>
            <w:right w:w="0" w:type="dxa"/>
          </w:tblCellMar>
        </w:tblPrEx>
        <w:trPr>
          <w:trHeight w:val="90" w:hRule="atLeast"/>
        </w:trPr>
        <w:tc>
          <w:tcPr>
            <w:tcW w:w="14980" w:type="dxa"/>
            <w:gridSpan w:val="8"/>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20" w:lineRule="exact"/>
              <w:jc w:val="center"/>
              <w:textAlignment w:val="auto"/>
              <w:outlineLvl w:val="9"/>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32"/>
                <w:szCs w:val="32"/>
              </w:rPr>
              <w:br w:type="page"/>
            </w:r>
            <w:r>
              <w:rPr>
                <w:rFonts w:hint="default" w:ascii="Times New Roman" w:hAnsi="Times New Roman" w:cs="Times New Roman" w:eastAsiaTheme="minorEastAsia"/>
                <w:b/>
                <w:color w:val="000000"/>
                <w:sz w:val="32"/>
                <w:szCs w:val="32"/>
              </w:rPr>
              <w:t>支出决算表</w:t>
            </w:r>
          </w:p>
        </w:tc>
      </w:tr>
      <w:tr>
        <w:tblPrEx>
          <w:tblLayout w:type="fixed"/>
          <w:tblCellMar>
            <w:top w:w="0" w:type="dxa"/>
            <w:left w:w="0" w:type="dxa"/>
            <w:bottom w:w="0" w:type="dxa"/>
            <w:right w:w="0" w:type="dxa"/>
          </w:tblCellMar>
        </w:tblPrEx>
        <w:trPr>
          <w:trHeight w:val="90" w:hRule="atLeast"/>
        </w:trPr>
        <w:tc>
          <w:tcPr>
            <w:tcW w:w="5024" w:type="dxa"/>
            <w:gridSpan w:val="2"/>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sz w:val="20"/>
                <w:szCs w:val="20"/>
              </w:rPr>
              <w:t>公开单位</w:t>
            </w:r>
            <w:r>
              <w:rPr>
                <w:rFonts w:hint="default" w:ascii="Times New Roman" w:hAnsi="Times New Roman" w:cs="Times New Roman" w:eastAsiaTheme="minorEastAsia"/>
                <w:color w:val="000000"/>
                <w:sz w:val="20"/>
                <w:szCs w:val="20"/>
              </w:rPr>
              <w:t xml:space="preserve">： </w:t>
            </w:r>
            <w:r>
              <w:rPr>
                <w:rFonts w:hint="default" w:ascii="Times New Roman" w:hAnsi="Times New Roman" w:cs="Times New Roman" w:eastAsiaTheme="minorEastAsia"/>
                <w:color w:val="000000"/>
                <w:sz w:val="20"/>
                <w:szCs w:val="20"/>
                <w:u w:color="auto"/>
              </w:rPr>
              <w:t xml:space="preserve">重庆市秀山土家族苗族自治县平凯街道社区卫生服务中心 </w:t>
            </w:r>
          </w:p>
        </w:tc>
        <w:tc>
          <w:tcPr>
            <w:tcW w:w="165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eastAsiaTheme="minorEastAsia"/>
                <w:color w:val="000000"/>
                <w:sz w:val="20"/>
                <w:szCs w:val="20"/>
              </w:rPr>
            </w:pPr>
          </w:p>
        </w:tc>
        <w:tc>
          <w:tcPr>
            <w:tcW w:w="165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eastAsiaTheme="minorEastAsia"/>
                <w:color w:val="000000"/>
                <w:sz w:val="20"/>
                <w:szCs w:val="20"/>
              </w:rPr>
            </w:pPr>
          </w:p>
        </w:tc>
        <w:tc>
          <w:tcPr>
            <w:tcW w:w="165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eastAsiaTheme="minorEastAsia"/>
                <w:color w:val="000000"/>
                <w:sz w:val="20"/>
                <w:szCs w:val="20"/>
              </w:rPr>
            </w:pPr>
          </w:p>
        </w:tc>
        <w:tc>
          <w:tcPr>
            <w:tcW w:w="164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eastAsiaTheme="minorEastAsia"/>
                <w:color w:val="000000"/>
                <w:sz w:val="20"/>
                <w:szCs w:val="20"/>
              </w:rPr>
            </w:pPr>
          </w:p>
        </w:tc>
        <w:tc>
          <w:tcPr>
            <w:tcW w:w="164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eastAsiaTheme="minorEastAsia"/>
                <w:color w:val="000000"/>
                <w:sz w:val="20"/>
                <w:szCs w:val="20"/>
              </w:rPr>
            </w:pPr>
          </w:p>
        </w:tc>
        <w:tc>
          <w:tcPr>
            <w:tcW w:w="170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jc w:val="right"/>
              <w:textAlignment w:val="bottom"/>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公开03表</w:t>
            </w:r>
          </w:p>
        </w:tc>
      </w:tr>
      <w:tr>
        <w:tblPrEx>
          <w:tblLayout w:type="fixed"/>
          <w:tblCellMar>
            <w:top w:w="0" w:type="dxa"/>
            <w:left w:w="0" w:type="dxa"/>
            <w:bottom w:w="0" w:type="dxa"/>
            <w:right w:w="0" w:type="dxa"/>
          </w:tblCellMar>
        </w:tblPrEx>
        <w:trPr>
          <w:trHeight w:val="90" w:hRule="atLeast"/>
        </w:trPr>
        <w:tc>
          <w:tcPr>
            <w:tcW w:w="5024" w:type="dxa"/>
            <w:gridSpan w:val="2"/>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eastAsiaTheme="minorEastAsia"/>
                <w:color w:val="000000"/>
                <w:sz w:val="20"/>
                <w:szCs w:val="20"/>
              </w:rPr>
            </w:pPr>
          </w:p>
        </w:tc>
        <w:tc>
          <w:tcPr>
            <w:tcW w:w="165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eastAsiaTheme="minorEastAsia"/>
                <w:color w:val="000000"/>
                <w:sz w:val="20"/>
                <w:szCs w:val="20"/>
              </w:rPr>
            </w:pPr>
          </w:p>
        </w:tc>
        <w:tc>
          <w:tcPr>
            <w:tcW w:w="165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eastAsiaTheme="minorEastAsia"/>
                <w:color w:val="000000"/>
                <w:sz w:val="20"/>
                <w:szCs w:val="20"/>
              </w:rPr>
            </w:pPr>
          </w:p>
        </w:tc>
        <w:tc>
          <w:tcPr>
            <w:tcW w:w="165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eastAsiaTheme="minorEastAsia"/>
                <w:color w:val="000000"/>
                <w:sz w:val="20"/>
                <w:szCs w:val="20"/>
              </w:rPr>
            </w:pPr>
          </w:p>
        </w:tc>
        <w:tc>
          <w:tcPr>
            <w:tcW w:w="164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eastAsiaTheme="minorEastAsia"/>
                <w:color w:val="000000"/>
                <w:sz w:val="20"/>
                <w:szCs w:val="20"/>
              </w:rPr>
            </w:pPr>
          </w:p>
        </w:tc>
        <w:tc>
          <w:tcPr>
            <w:tcW w:w="164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outlineLvl w:val="9"/>
              <w:rPr>
                <w:rFonts w:hint="default" w:ascii="Times New Roman" w:hAnsi="Times New Roman" w:cs="Times New Roman" w:eastAsiaTheme="minorEastAsia"/>
                <w:color w:val="000000"/>
                <w:sz w:val="20"/>
                <w:szCs w:val="20"/>
              </w:rPr>
            </w:pPr>
          </w:p>
        </w:tc>
        <w:tc>
          <w:tcPr>
            <w:tcW w:w="170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40" w:lineRule="exact"/>
              <w:jc w:val="right"/>
              <w:textAlignment w:val="bottom"/>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单位：</w:t>
            </w:r>
            <w:r>
              <w:rPr>
                <w:rFonts w:hint="default" w:ascii="Times New Roman" w:hAnsi="Times New Roman" w:cs="Times New Roman" w:eastAsiaTheme="minorEastAsia"/>
                <w:sz w:val="20"/>
                <w:szCs w:val="20"/>
              </w:rPr>
              <w:t>万元</w:t>
            </w:r>
          </w:p>
        </w:tc>
      </w:tr>
      <w:tr>
        <w:tblPrEx>
          <w:tblLayout w:type="fixed"/>
          <w:tblCellMar>
            <w:top w:w="0" w:type="dxa"/>
            <w:left w:w="0" w:type="dxa"/>
            <w:bottom w:w="0" w:type="dxa"/>
            <w:right w:w="0" w:type="dxa"/>
          </w:tblCellMar>
        </w:tblPrEx>
        <w:trPr>
          <w:trHeight w:val="90" w:hRule="atLeast"/>
        </w:trPr>
        <w:tc>
          <w:tcPr>
            <w:tcW w:w="5024"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exact"/>
              <w:jc w:val="center"/>
              <w:textAlignment w:val="bottom"/>
              <w:outlineLvl w:val="9"/>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rPr>
              <w:t>项目</w:t>
            </w:r>
          </w:p>
        </w:tc>
        <w:tc>
          <w:tcPr>
            <w:tcW w:w="165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rPr>
              <w:t>本年支出合计</w:t>
            </w:r>
          </w:p>
        </w:tc>
        <w:tc>
          <w:tcPr>
            <w:tcW w:w="165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rPr>
              <w:t>基本支出</w:t>
            </w:r>
          </w:p>
        </w:tc>
        <w:tc>
          <w:tcPr>
            <w:tcW w:w="165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rPr>
              <w:t>项目支出</w:t>
            </w:r>
          </w:p>
        </w:tc>
        <w:tc>
          <w:tcPr>
            <w:tcW w:w="164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rPr>
              <w:t>上缴上级支出</w:t>
            </w:r>
          </w:p>
        </w:tc>
        <w:tc>
          <w:tcPr>
            <w:tcW w:w="164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rPr>
              <w:t>经营支出</w:t>
            </w:r>
          </w:p>
        </w:tc>
        <w:tc>
          <w:tcPr>
            <w:tcW w:w="170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rPr>
              <w:t>对附属单位补助支出</w:t>
            </w:r>
          </w:p>
        </w:tc>
      </w:tr>
      <w:tr>
        <w:tblPrEx>
          <w:tblLayout w:type="fixed"/>
          <w:tblCellMar>
            <w:top w:w="0" w:type="dxa"/>
            <w:left w:w="0" w:type="dxa"/>
            <w:bottom w:w="0" w:type="dxa"/>
            <w:right w:w="0" w:type="dxa"/>
          </w:tblCellMar>
        </w:tblPrEx>
        <w:trPr>
          <w:trHeight w:val="312" w:hRule="atLeast"/>
        </w:trPr>
        <w:tc>
          <w:tcPr>
            <w:tcW w:w="17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rPr>
              <w:t>功能分类科目编码</w:t>
            </w:r>
          </w:p>
        </w:tc>
        <w:tc>
          <w:tcPr>
            <w:tcW w:w="3267"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outlineLvl w:val="9"/>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rPr>
              <w:t>项目（按“项”级功能分类科目）</w:t>
            </w:r>
          </w:p>
        </w:tc>
        <w:tc>
          <w:tcPr>
            <w:tcW w:w="165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65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6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6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7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r>
      <w:tr>
        <w:tblPrEx>
          <w:tblLayout w:type="fixed"/>
          <w:tblCellMar>
            <w:top w:w="0" w:type="dxa"/>
            <w:left w:w="0" w:type="dxa"/>
            <w:bottom w:w="0" w:type="dxa"/>
            <w:right w:w="0" w:type="dxa"/>
          </w:tblCellMar>
        </w:tblPrEx>
        <w:trPr>
          <w:trHeight w:val="312" w:hRule="atLeast"/>
        </w:trPr>
        <w:tc>
          <w:tcPr>
            <w:tcW w:w="17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3267"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65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65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6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6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7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r>
      <w:tr>
        <w:tblPrEx>
          <w:tblLayout w:type="fixed"/>
          <w:tblCellMar>
            <w:top w:w="0" w:type="dxa"/>
            <w:left w:w="0" w:type="dxa"/>
            <w:bottom w:w="0" w:type="dxa"/>
            <w:right w:w="0" w:type="dxa"/>
          </w:tblCellMar>
        </w:tblPrEx>
        <w:trPr>
          <w:trHeight w:val="312" w:hRule="atLeast"/>
        </w:trPr>
        <w:tc>
          <w:tcPr>
            <w:tcW w:w="17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3267"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65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65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6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6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7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r>
      <w:tr>
        <w:tblPrEx>
          <w:tblLayout w:type="fixed"/>
          <w:tblCellMar>
            <w:top w:w="0" w:type="dxa"/>
            <w:left w:w="0" w:type="dxa"/>
            <w:bottom w:w="0" w:type="dxa"/>
            <w:right w:w="0" w:type="dxa"/>
          </w:tblCellMar>
        </w:tblPrEx>
        <w:trPr>
          <w:trHeight w:val="312" w:hRule="atLeast"/>
        </w:trPr>
        <w:tc>
          <w:tcPr>
            <w:tcW w:w="17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3267"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65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65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6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6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c>
          <w:tcPr>
            <w:tcW w:w="17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outlineLvl w:val="9"/>
              <w:rPr>
                <w:rFonts w:hint="default" w:ascii="Times New Roman" w:hAnsi="Times New Roman" w:cs="Times New Roman" w:eastAsiaTheme="minorEastAsia"/>
                <w:b/>
                <w:color w:val="000000"/>
                <w:sz w:val="20"/>
                <w:szCs w:val="20"/>
              </w:rPr>
            </w:pPr>
          </w:p>
        </w:tc>
      </w:tr>
      <w:tr>
        <w:tblPrEx>
          <w:tblLayout w:type="fixed"/>
          <w:tblCellMar>
            <w:top w:w="0" w:type="dxa"/>
            <w:left w:w="0" w:type="dxa"/>
            <w:bottom w:w="0" w:type="dxa"/>
            <w:right w:w="0" w:type="dxa"/>
          </w:tblCellMar>
        </w:tblPrEx>
        <w:trPr>
          <w:trHeight w:val="90" w:hRule="atLeast"/>
        </w:trPr>
        <w:tc>
          <w:tcPr>
            <w:tcW w:w="502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jc w:val="center"/>
              <w:textAlignment w:val="center"/>
              <w:outlineLvl w:val="9"/>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rPr>
              <w:t>合计</w:t>
            </w:r>
          </w:p>
        </w:tc>
        <w:tc>
          <w:tcPr>
            <w:tcW w:w="16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bCs/>
                <w:color w:val="000000"/>
                <w:sz w:val="20"/>
                <w:szCs w:val="20"/>
              </w:rPr>
              <w:t>2,124.90</w:t>
            </w:r>
            <w:r>
              <w:rPr>
                <w:rFonts w:hint="default" w:ascii="Times New Roman" w:hAnsi="Times New Roman" w:cs="Times New Roman" w:eastAsiaTheme="minorEastAsia"/>
                <w:b/>
                <w:color w:val="000000"/>
                <w:sz w:val="20"/>
                <w:szCs w:val="20"/>
                <w:u w:color="auto"/>
              </w:rPr>
              <w:t xml:space="preserve"> </w:t>
            </w:r>
          </w:p>
        </w:tc>
        <w:tc>
          <w:tcPr>
            <w:tcW w:w="165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bCs/>
                <w:color w:val="000000"/>
                <w:sz w:val="20"/>
                <w:szCs w:val="20"/>
              </w:rPr>
              <w:t>2,053.95</w:t>
            </w:r>
            <w:r>
              <w:rPr>
                <w:rFonts w:hint="default" w:ascii="Times New Roman" w:hAnsi="Times New Roman" w:cs="Times New Roman" w:eastAsiaTheme="minorEastAsia"/>
                <w:b/>
                <w:color w:val="000000"/>
                <w:sz w:val="20"/>
                <w:szCs w:val="20"/>
                <w:u w:color="auto"/>
              </w:rPr>
              <w:t xml:space="preserve"> </w:t>
            </w:r>
          </w:p>
        </w:tc>
        <w:tc>
          <w:tcPr>
            <w:tcW w:w="16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bCs/>
                <w:color w:val="000000"/>
                <w:sz w:val="20"/>
                <w:szCs w:val="20"/>
              </w:rPr>
              <w:t>70.95</w:t>
            </w:r>
            <w:r>
              <w:rPr>
                <w:rFonts w:hint="default" w:ascii="Times New Roman" w:hAnsi="Times New Roman" w:cs="Times New Roman" w:eastAsiaTheme="minorEastAsia"/>
                <w:b/>
                <w:color w:val="000000"/>
                <w:sz w:val="20"/>
                <w:szCs w:val="20"/>
                <w:u w:color="auto"/>
              </w:rPr>
              <w:t xml:space="preserve"> </w:t>
            </w:r>
          </w:p>
        </w:tc>
        <w:tc>
          <w:tcPr>
            <w:tcW w:w="16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u w:color="auto"/>
              </w:rPr>
              <w:t xml:space="preserve"> </w:t>
            </w:r>
          </w:p>
        </w:tc>
        <w:tc>
          <w:tcPr>
            <w:tcW w:w="16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u w:color="auto"/>
              </w:rPr>
              <w:t xml:space="preserve"> </w:t>
            </w:r>
          </w:p>
        </w:tc>
        <w:tc>
          <w:tcPr>
            <w:tcW w:w="17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b/>
                <w:color w:val="000000"/>
                <w:sz w:val="20"/>
                <w:szCs w:val="20"/>
              </w:rPr>
            </w:pPr>
            <w:r>
              <w:rPr>
                <w:rFonts w:hint="default" w:ascii="Times New Roman" w:hAnsi="Times New Roman" w:cs="Times New Roman" w:eastAsiaTheme="minorEastAsia"/>
                <w:b/>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201</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一般公共服务支出</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42.00</w:t>
            </w:r>
            <w:r>
              <w:rPr>
                <w:rFonts w:hint="default" w:ascii="Times New Roman" w:hAnsi="Times New Roman" w:cs="Times New Roman" w:eastAsiaTheme="minorEastAsia"/>
                <w:b/>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42.00</w:t>
            </w:r>
            <w:r>
              <w:rPr>
                <w:rFonts w:hint="default" w:ascii="Times New Roman" w:hAnsi="Times New Roman" w:cs="Times New Roman" w:eastAsiaTheme="minorEastAsia"/>
                <w:b/>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20123</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民族事务</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42.00</w:t>
            </w:r>
            <w:r>
              <w:rPr>
                <w:rFonts w:hint="default" w:ascii="Times New Roman" w:hAnsi="Times New Roman" w:cs="Times New Roman" w:eastAsiaTheme="minorEastAsia"/>
                <w:b/>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42.00</w:t>
            </w:r>
            <w:r>
              <w:rPr>
                <w:rFonts w:hint="default" w:ascii="Times New Roman" w:hAnsi="Times New Roman" w:cs="Times New Roman" w:eastAsiaTheme="minorEastAsia"/>
                <w:b/>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2012304</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民族工作专项</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42.00</w:t>
            </w:r>
            <w:r>
              <w:rPr>
                <w:rFonts w:hint="default" w:ascii="Times New Roman" w:hAnsi="Times New Roman" w:cs="Times New Roman" w:eastAsiaTheme="minorEastAsia"/>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42.00</w:t>
            </w: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208</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社会保障和就业支出</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76.69</w:t>
            </w:r>
            <w:r>
              <w:rPr>
                <w:rFonts w:hint="default" w:ascii="Times New Roman" w:hAnsi="Times New Roman" w:cs="Times New Roman" w:eastAsiaTheme="minorEastAsia"/>
                <w:b/>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76.69</w:t>
            </w:r>
            <w:r>
              <w:rPr>
                <w:rFonts w:hint="default" w:ascii="Times New Roman" w:hAnsi="Times New Roman" w:cs="Times New Roman" w:eastAsiaTheme="minorEastAsia"/>
                <w:b/>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20805</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行政事业单位养老支出</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76.69</w:t>
            </w:r>
            <w:r>
              <w:rPr>
                <w:rFonts w:hint="default" w:ascii="Times New Roman" w:hAnsi="Times New Roman" w:cs="Times New Roman" w:eastAsiaTheme="minorEastAsia"/>
                <w:b/>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76.69</w:t>
            </w:r>
            <w:r>
              <w:rPr>
                <w:rFonts w:hint="default" w:ascii="Times New Roman" w:hAnsi="Times New Roman" w:cs="Times New Roman" w:eastAsiaTheme="minorEastAsia"/>
                <w:b/>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2080502</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事业单位离退休</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4.54</w:t>
            </w:r>
            <w:r>
              <w:rPr>
                <w:rFonts w:hint="default" w:ascii="Times New Roman" w:hAnsi="Times New Roman" w:cs="Times New Roman" w:eastAsiaTheme="minorEastAsia"/>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4.54</w:t>
            </w:r>
            <w:r>
              <w:rPr>
                <w:rFonts w:hint="default" w:ascii="Times New Roman" w:hAnsi="Times New Roman" w:cs="Times New Roman" w:eastAsiaTheme="minorEastAsia"/>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2080505</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机关事业单位基本养老保险缴费支出</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25.08</w:t>
            </w:r>
            <w:r>
              <w:rPr>
                <w:rFonts w:hint="default" w:ascii="Times New Roman" w:hAnsi="Times New Roman" w:cs="Times New Roman" w:eastAsiaTheme="minorEastAsia"/>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25.08</w:t>
            </w:r>
            <w:r>
              <w:rPr>
                <w:rFonts w:hint="default" w:ascii="Times New Roman" w:hAnsi="Times New Roman" w:cs="Times New Roman" w:eastAsiaTheme="minorEastAsia"/>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2080506</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机关事业单位职业年金缴费支出</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12.45</w:t>
            </w:r>
            <w:r>
              <w:rPr>
                <w:rFonts w:hint="default" w:ascii="Times New Roman" w:hAnsi="Times New Roman" w:cs="Times New Roman" w:eastAsiaTheme="minorEastAsia"/>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12.45</w:t>
            </w:r>
            <w:r>
              <w:rPr>
                <w:rFonts w:hint="default" w:ascii="Times New Roman" w:hAnsi="Times New Roman" w:cs="Times New Roman" w:eastAsiaTheme="minorEastAsia"/>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2080599</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其他行政事业单位养老支出</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34.62</w:t>
            </w:r>
            <w:r>
              <w:rPr>
                <w:rFonts w:hint="default" w:ascii="Times New Roman" w:hAnsi="Times New Roman" w:cs="Times New Roman" w:eastAsiaTheme="minorEastAsia"/>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34.62</w:t>
            </w:r>
            <w:r>
              <w:rPr>
                <w:rFonts w:hint="default" w:ascii="Times New Roman" w:hAnsi="Times New Roman" w:cs="Times New Roman" w:eastAsiaTheme="minorEastAsia"/>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210</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卫生健康支出</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1,987.28</w:t>
            </w:r>
            <w:r>
              <w:rPr>
                <w:rFonts w:hint="default" w:ascii="Times New Roman" w:hAnsi="Times New Roman" w:cs="Times New Roman" w:eastAsiaTheme="minorEastAsia"/>
                <w:b/>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1,958.33</w:t>
            </w:r>
            <w:r>
              <w:rPr>
                <w:rFonts w:hint="default" w:ascii="Times New Roman" w:hAnsi="Times New Roman" w:cs="Times New Roman" w:eastAsiaTheme="minorEastAsia"/>
                <w:b/>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28.95</w:t>
            </w:r>
            <w:r>
              <w:rPr>
                <w:rFonts w:hint="default" w:ascii="Times New Roman" w:hAnsi="Times New Roman" w:cs="Times New Roman" w:eastAsiaTheme="minorEastAsia"/>
                <w:b/>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21001</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卫生健康管理事务</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0.75</w:t>
            </w:r>
            <w:r>
              <w:rPr>
                <w:rFonts w:hint="default" w:ascii="Times New Roman" w:hAnsi="Times New Roman" w:cs="Times New Roman" w:eastAsiaTheme="minorEastAsia"/>
                <w:b/>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0.75</w:t>
            </w:r>
            <w:r>
              <w:rPr>
                <w:rFonts w:hint="default" w:ascii="Times New Roman" w:hAnsi="Times New Roman" w:cs="Times New Roman" w:eastAsiaTheme="minorEastAsia"/>
                <w:b/>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2100199</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其他卫生健康管理事务支出</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0.75</w:t>
            </w:r>
            <w:r>
              <w:rPr>
                <w:rFonts w:hint="default" w:ascii="Times New Roman" w:hAnsi="Times New Roman" w:cs="Times New Roman" w:eastAsiaTheme="minorEastAsia"/>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0.75</w:t>
            </w:r>
            <w:r>
              <w:rPr>
                <w:rFonts w:hint="default" w:ascii="Times New Roman" w:hAnsi="Times New Roman" w:cs="Times New Roman" w:eastAsiaTheme="minorEastAsia"/>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21003</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基层医疗卫生机构</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1,525.12</w:t>
            </w:r>
            <w:r>
              <w:rPr>
                <w:rFonts w:hint="default" w:ascii="Times New Roman" w:hAnsi="Times New Roman" w:cs="Times New Roman" w:eastAsiaTheme="minorEastAsia"/>
                <w:b/>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1,525.12</w:t>
            </w:r>
            <w:r>
              <w:rPr>
                <w:rFonts w:hint="default" w:ascii="Times New Roman" w:hAnsi="Times New Roman" w:cs="Times New Roman" w:eastAsiaTheme="minorEastAsia"/>
                <w:b/>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2100301</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城市社区卫生机构</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1,438.16</w:t>
            </w:r>
            <w:r>
              <w:rPr>
                <w:rFonts w:hint="default" w:ascii="Times New Roman" w:hAnsi="Times New Roman" w:cs="Times New Roman" w:eastAsiaTheme="minorEastAsia"/>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1,438.16</w:t>
            </w:r>
            <w:r>
              <w:rPr>
                <w:rFonts w:hint="default" w:ascii="Times New Roman" w:hAnsi="Times New Roman" w:cs="Times New Roman" w:eastAsiaTheme="minorEastAsia"/>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2100302</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乡镇卫生院</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78.96</w:t>
            </w:r>
            <w:r>
              <w:rPr>
                <w:rFonts w:hint="default" w:ascii="Times New Roman" w:hAnsi="Times New Roman" w:cs="Times New Roman" w:eastAsiaTheme="minorEastAsia"/>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78.96</w:t>
            </w:r>
            <w:r>
              <w:rPr>
                <w:rFonts w:hint="default" w:ascii="Times New Roman" w:hAnsi="Times New Roman" w:cs="Times New Roman" w:eastAsiaTheme="minorEastAsia"/>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2100399</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其他基层医疗卫生机构支出</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8.00</w:t>
            </w:r>
            <w:r>
              <w:rPr>
                <w:rFonts w:hint="default" w:ascii="Times New Roman" w:hAnsi="Times New Roman" w:cs="Times New Roman" w:eastAsiaTheme="minorEastAsia"/>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8.00</w:t>
            </w:r>
            <w:r>
              <w:rPr>
                <w:rFonts w:hint="default" w:ascii="Times New Roman" w:hAnsi="Times New Roman" w:cs="Times New Roman" w:eastAsiaTheme="minorEastAsia"/>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21004</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公共卫生</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446.03</w:t>
            </w:r>
            <w:r>
              <w:rPr>
                <w:rFonts w:hint="default" w:ascii="Times New Roman" w:hAnsi="Times New Roman" w:cs="Times New Roman" w:eastAsiaTheme="minorEastAsia"/>
                <w:b/>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417.08</w:t>
            </w:r>
            <w:r>
              <w:rPr>
                <w:rFonts w:hint="default" w:ascii="Times New Roman" w:hAnsi="Times New Roman" w:cs="Times New Roman" w:eastAsiaTheme="minorEastAsia"/>
                <w:b/>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28.95</w:t>
            </w:r>
            <w:r>
              <w:rPr>
                <w:rFonts w:hint="default" w:ascii="Times New Roman" w:hAnsi="Times New Roman" w:cs="Times New Roman" w:eastAsiaTheme="minorEastAsia"/>
                <w:b/>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2100408</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基本公共卫生服务</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417.08</w:t>
            </w:r>
            <w:r>
              <w:rPr>
                <w:rFonts w:hint="default" w:ascii="Times New Roman" w:hAnsi="Times New Roman" w:cs="Times New Roman" w:eastAsiaTheme="minorEastAsia"/>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417.08</w:t>
            </w:r>
            <w:r>
              <w:rPr>
                <w:rFonts w:hint="default" w:ascii="Times New Roman" w:hAnsi="Times New Roman" w:cs="Times New Roman" w:eastAsiaTheme="minorEastAsia"/>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2100410</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突发公共卫生事件应急处理</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28.95</w:t>
            </w:r>
            <w:r>
              <w:rPr>
                <w:rFonts w:hint="default" w:ascii="Times New Roman" w:hAnsi="Times New Roman" w:cs="Times New Roman" w:eastAsiaTheme="minorEastAsia"/>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28.95</w:t>
            </w: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21011</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行政事业单位医疗</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15.37</w:t>
            </w:r>
            <w:r>
              <w:rPr>
                <w:rFonts w:hint="default" w:ascii="Times New Roman" w:hAnsi="Times New Roman" w:cs="Times New Roman" w:eastAsiaTheme="minorEastAsia"/>
                <w:b/>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15.37</w:t>
            </w:r>
            <w:r>
              <w:rPr>
                <w:rFonts w:hint="default" w:ascii="Times New Roman" w:hAnsi="Times New Roman" w:cs="Times New Roman" w:eastAsiaTheme="minorEastAsia"/>
                <w:b/>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2101102</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事业单位医疗</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15.37</w:t>
            </w:r>
            <w:r>
              <w:rPr>
                <w:rFonts w:hint="default" w:ascii="Times New Roman" w:hAnsi="Times New Roman" w:cs="Times New Roman" w:eastAsiaTheme="minorEastAsia"/>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15.37</w:t>
            </w:r>
            <w:r>
              <w:rPr>
                <w:rFonts w:hint="default" w:ascii="Times New Roman" w:hAnsi="Times New Roman" w:cs="Times New Roman" w:eastAsiaTheme="minorEastAsia"/>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221</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住房保障支出</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18.93</w:t>
            </w:r>
            <w:r>
              <w:rPr>
                <w:rFonts w:hint="default" w:ascii="Times New Roman" w:hAnsi="Times New Roman" w:cs="Times New Roman" w:eastAsiaTheme="minorEastAsia"/>
                <w:b/>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18.93</w:t>
            </w:r>
            <w:r>
              <w:rPr>
                <w:rFonts w:hint="default" w:ascii="Times New Roman" w:hAnsi="Times New Roman" w:cs="Times New Roman" w:eastAsiaTheme="minorEastAsia"/>
                <w:b/>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22102</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住房改革支出</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18.93</w:t>
            </w:r>
            <w:r>
              <w:rPr>
                <w:rFonts w:hint="default" w:ascii="Times New Roman" w:hAnsi="Times New Roman" w:cs="Times New Roman" w:eastAsiaTheme="minorEastAsia"/>
                <w:b/>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b/>
                <w:color w:val="000000"/>
                <w:sz w:val="20"/>
                <w:szCs w:val="20"/>
              </w:rPr>
              <w:t>18.93</w:t>
            </w:r>
            <w:r>
              <w:rPr>
                <w:rFonts w:hint="default" w:ascii="Times New Roman" w:hAnsi="Times New Roman" w:cs="Times New Roman" w:eastAsiaTheme="minorEastAsia"/>
                <w:b/>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r>
        <w:tblPrEx>
          <w:tblLayout w:type="fixed"/>
          <w:tblCellMar>
            <w:top w:w="0" w:type="dxa"/>
            <w:left w:w="0" w:type="dxa"/>
            <w:bottom w:w="0" w:type="dxa"/>
            <w:right w:w="0" w:type="dxa"/>
          </w:tblCellMar>
        </w:tblPrEx>
        <w:trPr>
          <w:trHeight w:val="90" w:hRule="atLeast"/>
        </w:trPr>
        <w:tc>
          <w:tcPr>
            <w:tcW w:w="17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2210201</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40" w:lineRule="exac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住房公积金</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18.93</w:t>
            </w:r>
            <w:r>
              <w:rPr>
                <w:rFonts w:hint="default" w:ascii="Times New Roman" w:hAnsi="Times New Roman" w:cs="Times New Roman" w:eastAsiaTheme="minorEastAsia"/>
                <w:color w:val="000000"/>
                <w:sz w:val="20"/>
                <w:szCs w:val="20"/>
                <w:u w:color="auto"/>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rPr>
              <w:t>18.93</w:t>
            </w:r>
            <w:r>
              <w:rPr>
                <w:rFonts w:hint="default" w:ascii="Times New Roman" w:hAnsi="Times New Roman" w:cs="Times New Roman" w:eastAsiaTheme="minorEastAsia"/>
                <w:color w:val="000000"/>
                <w:sz w:val="20"/>
                <w:szCs w:val="20"/>
                <w:u w:color="auto"/>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6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c>
          <w:tcPr>
            <w:tcW w:w="17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40" w:lineRule="exact"/>
              <w:jc w:val="right"/>
              <w:textAlignment w:val="center"/>
              <w:outlineLvl w:val="9"/>
              <w:rPr>
                <w:rFonts w:hint="default" w:ascii="Times New Roman" w:hAnsi="Times New Roman" w:cs="Times New Roman" w:eastAsiaTheme="minorEastAsia"/>
                <w:color w:val="000000"/>
                <w:sz w:val="20"/>
                <w:szCs w:val="20"/>
              </w:rPr>
            </w:pPr>
            <w:r>
              <w:rPr>
                <w:rFonts w:hint="default" w:ascii="Times New Roman" w:hAnsi="Times New Roman" w:cs="Times New Roman" w:eastAsiaTheme="minorEastAsia"/>
                <w:color w:val="000000"/>
                <w:sz w:val="20"/>
                <w:szCs w:val="20"/>
                <w:u w:color="auto"/>
              </w:rPr>
              <w:t xml:space="preserve"> </w:t>
            </w:r>
          </w:p>
        </w:tc>
      </w:tr>
    </w:tbl>
    <w:p>
      <w:pPr>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备注：1.本表反映单位本年度各项支出情况。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tbl>
      <w:tblPr>
        <w:tblStyle w:val="12"/>
        <w:tblW w:w="14732" w:type="dxa"/>
        <w:tblInd w:w="0" w:type="dxa"/>
        <w:tblLayout w:type="fixed"/>
        <w:tblCellMar>
          <w:top w:w="0" w:type="dxa"/>
          <w:left w:w="0" w:type="dxa"/>
          <w:bottom w:w="0" w:type="dxa"/>
          <w:right w:w="0" w:type="dxa"/>
        </w:tblCellMar>
      </w:tblPr>
      <w:tblGrid>
        <w:gridCol w:w="2979"/>
        <w:gridCol w:w="1526"/>
        <w:gridCol w:w="3191"/>
        <w:gridCol w:w="1700"/>
        <w:gridCol w:w="1700"/>
        <w:gridCol w:w="1700"/>
        <w:gridCol w:w="193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jc w:val="center"/>
              <w:rPr>
                <w:rFonts w:hint="default" w:ascii="Times New Roman" w:hAnsi="Times New Roman" w:cs="Times New Roman"/>
                <w:b/>
                <w:color w:val="000000"/>
                <w:sz w:val="32"/>
                <w:szCs w:val="32"/>
              </w:rPr>
            </w:pPr>
            <w:r>
              <w:rPr>
                <w:rFonts w:hint="default" w:ascii="Times New Roman" w:hAnsi="Times New Roman" w:cs="Times New Roman"/>
                <w:sz w:val="21"/>
                <w:szCs w:val="21"/>
              </w:rPr>
              <w:br w:type="page"/>
            </w:r>
            <w:r>
              <w:rPr>
                <w:rFonts w:hint="default" w:ascii="Times New Roman" w:hAnsi="Times New Roman" w:cs="Times New Roman"/>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450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重庆市秀山土家族苗族自治县平凯街道社区卫生服务中心</w:t>
            </w:r>
          </w:p>
        </w:tc>
        <w:tc>
          <w:tcPr>
            <w:tcW w:w="319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450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90" w:hRule="atLeast"/>
        </w:trPr>
        <w:tc>
          <w:tcPr>
            <w:tcW w:w="450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收     入</w:t>
            </w:r>
          </w:p>
        </w:tc>
        <w:tc>
          <w:tcPr>
            <w:tcW w:w="1022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项目</w:t>
            </w:r>
          </w:p>
        </w:tc>
        <w:tc>
          <w:tcPr>
            <w:tcW w:w="15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决算数</w:t>
            </w:r>
          </w:p>
        </w:tc>
        <w:tc>
          <w:tcPr>
            <w:tcW w:w="31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功能分类科目</w:t>
            </w:r>
          </w:p>
        </w:tc>
        <w:tc>
          <w:tcPr>
            <w:tcW w:w="70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5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31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一般公共预算财政拨款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政府性基金预算财政拨款</w:t>
            </w:r>
          </w:p>
        </w:tc>
        <w:tc>
          <w:tcPr>
            <w:tcW w:w="19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978.78</w:t>
            </w: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一、一般公共服务支出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42.00</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42.00</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二、外交支出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三、国有资本经营预算财政拨款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三、国防支出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四、公共安全支出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五、教育支出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六、科学技术支出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八、社会保障和就业支出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76.69</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76.69</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九、卫生健康支出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809.36</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809.36</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十、节能环保支出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十一、城乡社区支出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十二、农林水支出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十三、交通运输支出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十五、商业服务业等支出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十六、金融支出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十七、援助其他地区支出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十九、住房保障支出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18.93</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18.93</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二十、粮油物资储备支出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二十三、其他支出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二十四、债务还本支出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二十五、债务付息支出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本年收入合计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978.78</w:t>
            </w: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本年支出合计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946.97</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946.97</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年初财政拨款结转和结余</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31.82</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31.82</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总计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978.78</w:t>
            </w: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总计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978.78</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978.78</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bl>
    <w:p>
      <w:pPr>
        <w:spacing w:line="240" w:lineRule="exact"/>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备注：1.本表反映单位本年度一般公共预算财政拨款、政府性基金预算财政拨款及国有资本经营预算财政拨款的总收支和年末结转结余情况。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r>
        <w:rPr>
          <w:rFonts w:hint="default" w:ascii="Times New Roman" w:hAnsi="Times New Roman" w:cs="Times New Roman"/>
          <w:sz w:val="21"/>
          <w:szCs w:val="21"/>
        </w:rPr>
        <w:br w:type="page"/>
      </w:r>
    </w:p>
    <w:tbl>
      <w:tblPr>
        <w:tblStyle w:val="12"/>
        <w:tblW w:w="15420" w:type="dxa"/>
        <w:tblInd w:w="0" w:type="dxa"/>
        <w:tblLayout w:type="fixed"/>
        <w:tblCellMar>
          <w:top w:w="0" w:type="dxa"/>
          <w:left w:w="0" w:type="dxa"/>
          <w:bottom w:w="0" w:type="dxa"/>
          <w:right w:w="0" w:type="dxa"/>
        </w:tblCellMar>
      </w:tblPr>
      <w:tblGrid>
        <w:gridCol w:w="1862"/>
        <w:gridCol w:w="3559"/>
        <w:gridCol w:w="3327"/>
        <w:gridCol w:w="1"/>
        <w:gridCol w:w="3328"/>
        <w:gridCol w:w="3343"/>
      </w:tblGrid>
      <w:tr>
        <w:tblPrEx>
          <w:tblLayout w:type="fixed"/>
          <w:tblCellMar>
            <w:top w:w="0" w:type="dxa"/>
            <w:left w:w="0" w:type="dxa"/>
            <w:bottom w:w="0" w:type="dxa"/>
            <w:right w:w="0" w:type="dxa"/>
          </w:tblCellMar>
        </w:tblPrEx>
        <w:trPr>
          <w:trHeight w:val="231" w:hRule="atLeast"/>
        </w:trPr>
        <w:tc>
          <w:tcPr>
            <w:tcW w:w="15420" w:type="dxa"/>
            <w:gridSpan w:val="6"/>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60" w:lineRule="exact"/>
              <w:jc w:val="center"/>
              <w:textAlignment w:val="bottom"/>
              <w:outlineLvl w:val="9"/>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119" w:hRule="atLeast"/>
        </w:trPr>
        <w:tc>
          <w:tcPr>
            <w:tcW w:w="5421" w:type="dxa"/>
            <w:gridSpan w:val="2"/>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80" w:lineRule="exact"/>
              <w:outlineLvl w:val="9"/>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重庆市秀山土家族苗族自治县平凯街道社区卫生服务中心</w:t>
            </w:r>
          </w:p>
        </w:tc>
        <w:tc>
          <w:tcPr>
            <w:tcW w:w="332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80" w:lineRule="exact"/>
              <w:outlineLvl w:val="9"/>
              <w:rPr>
                <w:rFonts w:hint="default" w:ascii="Times New Roman" w:hAnsi="Times New Roman" w:cs="Times New Roman"/>
                <w:color w:val="000000"/>
                <w:sz w:val="20"/>
                <w:szCs w:val="20"/>
              </w:rPr>
            </w:pPr>
          </w:p>
        </w:tc>
        <w:tc>
          <w:tcPr>
            <w:tcW w:w="3329" w:type="dxa"/>
            <w:gridSpan w:val="2"/>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80" w:lineRule="exact"/>
              <w:outlineLvl w:val="9"/>
              <w:rPr>
                <w:rFonts w:hint="default" w:ascii="Times New Roman" w:hAnsi="Times New Roman" w:cs="Times New Roman"/>
                <w:color w:val="000000"/>
                <w:sz w:val="20"/>
                <w:szCs w:val="20"/>
              </w:rPr>
            </w:pPr>
          </w:p>
        </w:tc>
        <w:tc>
          <w:tcPr>
            <w:tcW w:w="334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80" w:lineRule="exact"/>
              <w:jc w:val="right"/>
              <w:textAlignment w:val="bottom"/>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公开05表</w:t>
            </w:r>
          </w:p>
        </w:tc>
      </w:tr>
      <w:tr>
        <w:tblPrEx>
          <w:tblLayout w:type="fixed"/>
          <w:tblCellMar>
            <w:top w:w="0" w:type="dxa"/>
            <w:left w:w="0" w:type="dxa"/>
            <w:bottom w:w="0" w:type="dxa"/>
            <w:right w:w="0" w:type="dxa"/>
          </w:tblCellMar>
        </w:tblPrEx>
        <w:trPr>
          <w:trHeight w:val="119" w:hRule="atLeast"/>
        </w:trPr>
        <w:tc>
          <w:tcPr>
            <w:tcW w:w="5421" w:type="dxa"/>
            <w:gridSpan w:val="2"/>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80" w:lineRule="exact"/>
              <w:outlineLvl w:val="9"/>
              <w:rPr>
                <w:rFonts w:hint="default" w:ascii="Times New Roman" w:hAnsi="Times New Roman" w:cs="Times New Roman"/>
                <w:color w:val="000000"/>
                <w:sz w:val="20"/>
                <w:szCs w:val="20"/>
              </w:rPr>
            </w:pPr>
          </w:p>
        </w:tc>
        <w:tc>
          <w:tcPr>
            <w:tcW w:w="332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80" w:lineRule="exact"/>
              <w:outlineLvl w:val="9"/>
              <w:rPr>
                <w:rFonts w:hint="default" w:ascii="Times New Roman" w:hAnsi="Times New Roman" w:cs="Times New Roman"/>
                <w:color w:val="000000"/>
                <w:sz w:val="20"/>
                <w:szCs w:val="20"/>
              </w:rPr>
            </w:pPr>
          </w:p>
        </w:tc>
        <w:tc>
          <w:tcPr>
            <w:tcW w:w="3329" w:type="dxa"/>
            <w:gridSpan w:val="2"/>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80" w:lineRule="exact"/>
              <w:outlineLvl w:val="9"/>
              <w:rPr>
                <w:rFonts w:hint="default" w:ascii="Times New Roman" w:hAnsi="Times New Roman" w:cs="Times New Roman"/>
                <w:color w:val="000000"/>
                <w:sz w:val="20"/>
                <w:szCs w:val="20"/>
              </w:rPr>
            </w:pPr>
          </w:p>
        </w:tc>
        <w:tc>
          <w:tcPr>
            <w:tcW w:w="334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80" w:lineRule="exact"/>
              <w:jc w:val="right"/>
              <w:textAlignment w:val="bottom"/>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122" w:hRule="atLeast"/>
        </w:trPr>
        <w:tc>
          <w:tcPr>
            <w:tcW w:w="54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jc w:val="center"/>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9999" w:type="dxa"/>
            <w:gridSpan w:val="4"/>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jc w:val="center"/>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r>
      <w:tr>
        <w:tblPrEx>
          <w:tblLayout w:type="fixed"/>
          <w:tblCellMar>
            <w:top w:w="0" w:type="dxa"/>
            <w:left w:w="0" w:type="dxa"/>
            <w:bottom w:w="0" w:type="dxa"/>
            <w:right w:w="0" w:type="dxa"/>
          </w:tblCellMar>
        </w:tblPrEx>
        <w:trPr>
          <w:trHeight w:val="312" w:hRule="atLeast"/>
        </w:trPr>
        <w:tc>
          <w:tcPr>
            <w:tcW w:w="186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jc w:val="center"/>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55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jc w:val="center"/>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3328"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jc w:val="center"/>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328"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jc w:val="center"/>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334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jc w:val="center"/>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r>
      <w:tr>
        <w:tblPrEx>
          <w:tblLayout w:type="fixed"/>
          <w:tblCellMar>
            <w:top w:w="0" w:type="dxa"/>
            <w:left w:w="0" w:type="dxa"/>
            <w:bottom w:w="0" w:type="dxa"/>
            <w:right w:w="0" w:type="dxa"/>
          </w:tblCellMar>
        </w:tblPrEx>
        <w:trPr>
          <w:trHeight w:val="312" w:hRule="atLeast"/>
        </w:trPr>
        <w:tc>
          <w:tcPr>
            <w:tcW w:w="186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jc w:val="center"/>
              <w:outlineLvl w:val="9"/>
              <w:rPr>
                <w:rFonts w:hint="default" w:ascii="Times New Roman" w:hAnsi="Times New Roman" w:cs="Times New Roman"/>
                <w:b/>
                <w:color w:val="000000"/>
                <w:sz w:val="20"/>
                <w:szCs w:val="20"/>
              </w:rPr>
            </w:pPr>
          </w:p>
        </w:tc>
        <w:tc>
          <w:tcPr>
            <w:tcW w:w="355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jc w:val="center"/>
              <w:outlineLvl w:val="9"/>
              <w:rPr>
                <w:rFonts w:hint="default" w:ascii="Times New Roman" w:hAnsi="Times New Roman" w:cs="Times New Roman"/>
                <w:b/>
                <w:color w:val="000000"/>
                <w:sz w:val="20"/>
                <w:szCs w:val="20"/>
              </w:rPr>
            </w:pPr>
          </w:p>
        </w:tc>
        <w:tc>
          <w:tcPr>
            <w:tcW w:w="3328"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jc w:val="center"/>
              <w:outlineLvl w:val="9"/>
              <w:rPr>
                <w:rFonts w:hint="default" w:ascii="Times New Roman" w:hAnsi="Times New Roman" w:cs="Times New Roman"/>
                <w:b/>
                <w:color w:val="000000"/>
                <w:sz w:val="20"/>
                <w:szCs w:val="20"/>
              </w:rPr>
            </w:pPr>
          </w:p>
        </w:tc>
        <w:tc>
          <w:tcPr>
            <w:tcW w:w="332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jc w:val="center"/>
              <w:outlineLvl w:val="9"/>
              <w:rPr>
                <w:rFonts w:hint="default" w:ascii="Times New Roman" w:hAnsi="Times New Roman" w:cs="Times New Roman"/>
                <w:b/>
                <w:color w:val="000000"/>
                <w:sz w:val="20"/>
                <w:szCs w:val="20"/>
              </w:rPr>
            </w:pPr>
          </w:p>
        </w:tc>
        <w:tc>
          <w:tcPr>
            <w:tcW w:w="334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jc w:val="center"/>
              <w:outlineLvl w:val="9"/>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12" w:hRule="atLeast"/>
        </w:trPr>
        <w:tc>
          <w:tcPr>
            <w:tcW w:w="186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jc w:val="center"/>
              <w:outlineLvl w:val="9"/>
              <w:rPr>
                <w:rFonts w:hint="default" w:ascii="Times New Roman" w:hAnsi="Times New Roman" w:cs="Times New Roman"/>
                <w:b/>
                <w:color w:val="000000"/>
                <w:sz w:val="20"/>
                <w:szCs w:val="20"/>
              </w:rPr>
            </w:pPr>
          </w:p>
        </w:tc>
        <w:tc>
          <w:tcPr>
            <w:tcW w:w="355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jc w:val="center"/>
              <w:outlineLvl w:val="9"/>
              <w:rPr>
                <w:rFonts w:hint="default" w:ascii="Times New Roman" w:hAnsi="Times New Roman" w:cs="Times New Roman"/>
                <w:b/>
                <w:color w:val="000000"/>
                <w:sz w:val="20"/>
                <w:szCs w:val="20"/>
              </w:rPr>
            </w:pPr>
          </w:p>
        </w:tc>
        <w:tc>
          <w:tcPr>
            <w:tcW w:w="3328"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jc w:val="center"/>
              <w:outlineLvl w:val="9"/>
              <w:rPr>
                <w:rFonts w:hint="default" w:ascii="Times New Roman" w:hAnsi="Times New Roman" w:cs="Times New Roman"/>
                <w:b/>
                <w:color w:val="000000"/>
                <w:sz w:val="20"/>
                <w:szCs w:val="20"/>
              </w:rPr>
            </w:pPr>
          </w:p>
        </w:tc>
        <w:tc>
          <w:tcPr>
            <w:tcW w:w="332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jc w:val="center"/>
              <w:outlineLvl w:val="9"/>
              <w:rPr>
                <w:rFonts w:hint="default" w:ascii="Times New Roman" w:hAnsi="Times New Roman" w:cs="Times New Roman"/>
                <w:b/>
                <w:color w:val="000000"/>
                <w:sz w:val="20"/>
                <w:szCs w:val="20"/>
              </w:rPr>
            </w:pPr>
          </w:p>
        </w:tc>
        <w:tc>
          <w:tcPr>
            <w:tcW w:w="334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jc w:val="center"/>
              <w:outlineLvl w:val="9"/>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122" w:hRule="atLeast"/>
        </w:trPr>
        <w:tc>
          <w:tcPr>
            <w:tcW w:w="5421"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jc w:val="center"/>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946.97</w:t>
            </w:r>
            <w:r>
              <w:rPr>
                <w:rFonts w:hint="default" w:ascii="Times New Roman" w:hAnsi="Times New Roman" w:cs="Times New Roman"/>
                <w:b/>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876.02</w:t>
            </w:r>
            <w:r>
              <w:rPr>
                <w:rFonts w:hint="default" w:ascii="Times New Roman" w:hAnsi="Times New Roman" w:cs="Times New Roman"/>
                <w:b/>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70.95</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201</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一般公共服务支出</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42.00</w:t>
            </w:r>
            <w:r>
              <w:rPr>
                <w:rFonts w:hint="default" w:ascii="Times New Roman" w:hAnsi="Times New Roman" w:cs="Times New Roman"/>
                <w:b/>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42.00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20123</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民族事务</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42.00</w:t>
            </w:r>
            <w:r>
              <w:rPr>
                <w:rFonts w:hint="default" w:ascii="Times New Roman" w:hAnsi="Times New Roman" w:cs="Times New Roman"/>
                <w:b/>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42.00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2012304</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民族工作专项</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42.00</w:t>
            </w:r>
            <w:r>
              <w:rPr>
                <w:rFonts w:hint="default" w:ascii="Times New Roman" w:hAnsi="Times New Roman" w:cs="Times New Roman"/>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42.00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76.69</w:t>
            </w:r>
            <w:r>
              <w:rPr>
                <w:rFonts w:hint="default" w:ascii="Times New Roman" w:hAnsi="Times New Roman" w:cs="Times New Roman"/>
                <w:b/>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76.69</w:t>
            </w:r>
            <w:r>
              <w:rPr>
                <w:rFonts w:hint="default" w:ascii="Times New Roman" w:hAnsi="Times New Roman" w:cs="Times New Roman"/>
                <w:b/>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76.69</w:t>
            </w:r>
            <w:r>
              <w:rPr>
                <w:rFonts w:hint="default" w:ascii="Times New Roman" w:hAnsi="Times New Roman" w:cs="Times New Roman"/>
                <w:b/>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76.69</w:t>
            </w:r>
            <w:r>
              <w:rPr>
                <w:rFonts w:hint="default" w:ascii="Times New Roman" w:hAnsi="Times New Roman" w:cs="Times New Roman"/>
                <w:b/>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2080502</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事业单位离退休</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4.54</w:t>
            </w:r>
            <w:r>
              <w:rPr>
                <w:rFonts w:hint="default" w:ascii="Times New Roman" w:hAnsi="Times New Roman" w:cs="Times New Roman"/>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4.54</w:t>
            </w:r>
            <w:r>
              <w:rPr>
                <w:rFonts w:hint="default" w:ascii="Times New Roman" w:hAnsi="Times New Roman" w:cs="Times New Roman"/>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25.08</w:t>
            </w:r>
            <w:r>
              <w:rPr>
                <w:rFonts w:hint="default" w:ascii="Times New Roman" w:hAnsi="Times New Roman" w:cs="Times New Roman"/>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25.08</w:t>
            </w:r>
            <w:r>
              <w:rPr>
                <w:rFonts w:hint="default" w:ascii="Times New Roman" w:hAnsi="Times New Roman" w:cs="Times New Roman"/>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12.45</w:t>
            </w:r>
            <w:r>
              <w:rPr>
                <w:rFonts w:hint="default" w:ascii="Times New Roman" w:hAnsi="Times New Roman" w:cs="Times New Roman"/>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12.45</w:t>
            </w:r>
            <w:r>
              <w:rPr>
                <w:rFonts w:hint="default" w:ascii="Times New Roman" w:hAnsi="Times New Roman" w:cs="Times New Roman"/>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2080599</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其他行政事业单位养老支出</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34.62</w:t>
            </w:r>
            <w:r>
              <w:rPr>
                <w:rFonts w:hint="default" w:ascii="Times New Roman" w:hAnsi="Times New Roman" w:cs="Times New Roman"/>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34.62</w:t>
            </w:r>
            <w:r>
              <w:rPr>
                <w:rFonts w:hint="default" w:ascii="Times New Roman" w:hAnsi="Times New Roman" w:cs="Times New Roman"/>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809.36</w:t>
            </w:r>
            <w:r>
              <w:rPr>
                <w:rFonts w:hint="default" w:ascii="Times New Roman" w:hAnsi="Times New Roman" w:cs="Times New Roman"/>
                <w:b/>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780.41</w:t>
            </w:r>
            <w:r>
              <w:rPr>
                <w:rFonts w:hint="default" w:ascii="Times New Roman" w:hAnsi="Times New Roman" w:cs="Times New Roman"/>
                <w:b/>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28.95</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21001</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卫生健康管理事务</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0.75</w:t>
            </w:r>
            <w:r>
              <w:rPr>
                <w:rFonts w:hint="default" w:ascii="Times New Roman" w:hAnsi="Times New Roman" w:cs="Times New Roman"/>
                <w:b/>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0.75</w:t>
            </w:r>
            <w:r>
              <w:rPr>
                <w:rFonts w:hint="default" w:ascii="Times New Roman" w:hAnsi="Times New Roman" w:cs="Times New Roman"/>
                <w:b/>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2100199</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其他卫生健康管理事务支出</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0.75</w:t>
            </w:r>
            <w:r>
              <w:rPr>
                <w:rFonts w:hint="default" w:ascii="Times New Roman" w:hAnsi="Times New Roman" w:cs="Times New Roman"/>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0.75</w:t>
            </w:r>
            <w:r>
              <w:rPr>
                <w:rFonts w:hint="default" w:ascii="Times New Roman" w:hAnsi="Times New Roman" w:cs="Times New Roman"/>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21003</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基层医疗卫生机构</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347.20</w:t>
            </w:r>
            <w:r>
              <w:rPr>
                <w:rFonts w:hint="default" w:ascii="Times New Roman" w:hAnsi="Times New Roman" w:cs="Times New Roman"/>
                <w:b/>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347.20</w:t>
            </w:r>
            <w:r>
              <w:rPr>
                <w:rFonts w:hint="default" w:ascii="Times New Roman" w:hAnsi="Times New Roman" w:cs="Times New Roman"/>
                <w:b/>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2100301</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城市社区卫生机构</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260.24</w:t>
            </w:r>
            <w:r>
              <w:rPr>
                <w:rFonts w:hint="default" w:ascii="Times New Roman" w:hAnsi="Times New Roman" w:cs="Times New Roman"/>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260.24</w:t>
            </w:r>
            <w:r>
              <w:rPr>
                <w:rFonts w:hint="default" w:ascii="Times New Roman" w:hAnsi="Times New Roman" w:cs="Times New Roman"/>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2100302</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乡镇卫生院</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78.96</w:t>
            </w:r>
            <w:r>
              <w:rPr>
                <w:rFonts w:hint="default" w:ascii="Times New Roman" w:hAnsi="Times New Roman" w:cs="Times New Roman"/>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78.96</w:t>
            </w:r>
            <w:r>
              <w:rPr>
                <w:rFonts w:hint="default" w:ascii="Times New Roman" w:hAnsi="Times New Roman" w:cs="Times New Roman"/>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2100399</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其他基层医疗卫生机构支出</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8.00</w:t>
            </w:r>
            <w:r>
              <w:rPr>
                <w:rFonts w:hint="default" w:ascii="Times New Roman" w:hAnsi="Times New Roman" w:cs="Times New Roman"/>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8.00</w:t>
            </w:r>
            <w:r>
              <w:rPr>
                <w:rFonts w:hint="default" w:ascii="Times New Roman" w:hAnsi="Times New Roman" w:cs="Times New Roman"/>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21004</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公共卫生</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446.03</w:t>
            </w:r>
            <w:r>
              <w:rPr>
                <w:rFonts w:hint="default" w:ascii="Times New Roman" w:hAnsi="Times New Roman" w:cs="Times New Roman"/>
                <w:b/>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417.08</w:t>
            </w:r>
            <w:r>
              <w:rPr>
                <w:rFonts w:hint="default" w:ascii="Times New Roman" w:hAnsi="Times New Roman" w:cs="Times New Roman"/>
                <w:b/>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28.95</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2100408</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基本公共卫生服务</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417.08</w:t>
            </w:r>
            <w:r>
              <w:rPr>
                <w:rFonts w:hint="default" w:ascii="Times New Roman" w:hAnsi="Times New Roman" w:cs="Times New Roman"/>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417.08</w:t>
            </w:r>
            <w:r>
              <w:rPr>
                <w:rFonts w:hint="default" w:ascii="Times New Roman" w:hAnsi="Times New Roman" w:cs="Times New Roman"/>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2100410</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突发公共卫生事件应急处理</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28.95</w:t>
            </w:r>
            <w:r>
              <w:rPr>
                <w:rFonts w:hint="default" w:ascii="Times New Roman" w:hAnsi="Times New Roman" w:cs="Times New Roman"/>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28.95</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15.37</w:t>
            </w:r>
            <w:r>
              <w:rPr>
                <w:rFonts w:hint="default" w:ascii="Times New Roman" w:hAnsi="Times New Roman" w:cs="Times New Roman"/>
                <w:b/>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15.37</w:t>
            </w:r>
            <w:r>
              <w:rPr>
                <w:rFonts w:hint="default" w:ascii="Times New Roman" w:hAnsi="Times New Roman" w:cs="Times New Roman"/>
                <w:b/>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15.37</w:t>
            </w:r>
            <w:r>
              <w:rPr>
                <w:rFonts w:hint="default" w:ascii="Times New Roman" w:hAnsi="Times New Roman" w:cs="Times New Roman"/>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15.37</w:t>
            </w:r>
            <w:r>
              <w:rPr>
                <w:rFonts w:hint="default" w:ascii="Times New Roman" w:hAnsi="Times New Roman" w:cs="Times New Roman"/>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18.93</w:t>
            </w:r>
            <w:r>
              <w:rPr>
                <w:rFonts w:hint="default" w:ascii="Times New Roman" w:hAnsi="Times New Roman" w:cs="Times New Roman"/>
                <w:b/>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18.93</w:t>
            </w:r>
            <w:r>
              <w:rPr>
                <w:rFonts w:hint="default" w:ascii="Times New Roman" w:hAnsi="Times New Roman" w:cs="Times New Roman"/>
                <w:b/>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122"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18.93</w:t>
            </w:r>
            <w:r>
              <w:rPr>
                <w:rFonts w:hint="default" w:ascii="Times New Roman" w:hAnsi="Times New Roman" w:cs="Times New Roman"/>
                <w:b/>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18.93</w:t>
            </w:r>
            <w:r>
              <w:rPr>
                <w:rFonts w:hint="default" w:ascii="Times New Roman" w:hAnsi="Times New Roman" w:cs="Times New Roman"/>
                <w:b/>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125" w:hRule="atLeast"/>
        </w:trPr>
        <w:tc>
          <w:tcPr>
            <w:tcW w:w="18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3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outlineLvl w:val="9"/>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332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18.93</w:t>
            </w:r>
            <w:r>
              <w:rPr>
                <w:rFonts w:hint="default" w:ascii="Times New Roman" w:hAnsi="Times New Roman" w:cs="Times New Roman"/>
                <w:color w:val="000000"/>
                <w:sz w:val="20"/>
                <w:u w:color="auto"/>
              </w:rPr>
              <w:t xml:space="preserve"> </w:t>
            </w:r>
          </w:p>
        </w:tc>
        <w:tc>
          <w:tcPr>
            <w:tcW w:w="33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18.93</w:t>
            </w:r>
            <w:r>
              <w:rPr>
                <w:rFonts w:hint="default" w:ascii="Times New Roman" w:hAnsi="Times New Roman" w:cs="Times New Roman"/>
                <w:color w:val="000000"/>
                <w:sz w:val="20"/>
                <w:u w:color="auto"/>
              </w:rPr>
              <w:t xml:space="preserve"> </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outlineLvl w:val="9"/>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bl>
    <w:p>
      <w:pPr>
        <w:jc w:val="left"/>
        <w:rPr>
          <w:rFonts w:hint="default" w:ascii="Times New Roman" w:hAnsi="Times New Roman" w:cs="Times New Roman"/>
          <w:sz w:val="21"/>
          <w:szCs w:val="21"/>
        </w:rPr>
      </w:pPr>
      <w:r>
        <w:rPr>
          <w:rFonts w:hint="default" w:ascii="Times New Roman" w:hAnsi="Times New Roman" w:cs="Times New Roman"/>
          <w:sz w:val="20"/>
          <w:szCs w:val="20"/>
        </w:rPr>
        <w:t>备注：1.本表反映单位本年度一般公共预算财政拨款支出情况。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tbl>
      <w:tblPr>
        <w:tblStyle w:val="12"/>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00" w:lineRule="exact"/>
              <w:ind w:firstLine="630" w:firstLineChars="300"/>
              <w:jc w:val="center"/>
              <w:textAlignment w:val="auto"/>
              <w:outlineLvl w:val="9"/>
              <w:rPr>
                <w:rFonts w:hint="default" w:ascii="Times New Roman" w:hAnsi="Times New Roman" w:cs="Times New Roman"/>
                <w:b/>
                <w:color w:val="000000"/>
                <w:sz w:val="32"/>
                <w:szCs w:val="32"/>
              </w:rPr>
            </w:pPr>
            <w:r>
              <w:rPr>
                <w:rFonts w:hint="default" w:ascii="Times New Roman" w:hAnsi="Times New Roman" w:cs="Times New Roman"/>
                <w:sz w:val="21"/>
                <w:szCs w:val="21"/>
              </w:rPr>
              <w:br w:type="page"/>
            </w:r>
            <w:r>
              <w:rPr>
                <w:rFonts w:hint="default" w:ascii="Times New Roman" w:hAnsi="Times New Roman" w:cs="Times New Roman"/>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345" w:type="dxa"/>
            <w:gridSpan w:val="2"/>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r>
              <w:rPr>
                <w:rFonts w:hint="default" w:ascii="Times New Roman" w:hAnsi="Times New Roman" w:cs="Times New Roman"/>
                <w:sz w:val="18"/>
                <w:szCs w:val="18"/>
              </w:rPr>
              <w:t>公开单位</w:t>
            </w:r>
            <w:r>
              <w:rPr>
                <w:rFonts w:hint="default" w:ascii="Times New Roman" w:hAnsi="Times New Roman" w:cs="Times New Roman"/>
                <w:color w:val="000000"/>
                <w:sz w:val="18"/>
                <w:szCs w:val="18"/>
              </w:rPr>
              <w:t xml:space="preserve">： </w:t>
            </w:r>
            <w:r>
              <w:rPr>
                <w:rFonts w:hint="default" w:ascii="Times New Roman" w:hAnsi="Times New Roman" w:cs="Times New Roman"/>
                <w:color w:val="000000"/>
                <w:sz w:val="18"/>
                <w:szCs w:val="18"/>
                <w:u w:color="auto"/>
              </w:rPr>
              <w:t>重庆市秀山土家族苗族自治县平凯街道社区卫生服务中心</w:t>
            </w:r>
          </w:p>
        </w:tc>
        <w:tc>
          <w:tcPr>
            <w:tcW w:w="137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jc w:val="right"/>
              <w:textAlignment w:val="bottom"/>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公开06表</w:t>
            </w:r>
          </w:p>
        </w:tc>
      </w:tr>
      <w:tr>
        <w:tblPrEx>
          <w:tblLayout w:type="fixed"/>
          <w:tblCellMar>
            <w:top w:w="0" w:type="dxa"/>
            <w:left w:w="0" w:type="dxa"/>
            <w:bottom w:w="0" w:type="dxa"/>
            <w:right w:w="0" w:type="dxa"/>
          </w:tblCellMar>
        </w:tblPrEx>
        <w:trPr>
          <w:trHeight w:val="90" w:hRule="atLeast"/>
        </w:trPr>
        <w:tc>
          <w:tcPr>
            <w:tcW w:w="3345" w:type="dxa"/>
            <w:gridSpan w:val="2"/>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137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jc w:val="right"/>
              <w:textAlignment w:val="bottom"/>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单位：</w:t>
            </w:r>
            <w:r>
              <w:rPr>
                <w:rFonts w:hint="default" w:ascii="Times New Roman" w:hAnsi="Times New Roman" w:cs="Times New Roman"/>
                <w:sz w:val="18"/>
                <w:szCs w:val="18"/>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outlineLvl w:val="9"/>
              <w:rPr>
                <w:rFonts w:hint="default" w:ascii="Times New Roman" w:hAnsi="Times New Roman" w:cs="Times New Roman"/>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outlineLvl w:val="9"/>
              <w:rPr>
                <w:rFonts w:hint="default" w:ascii="Times New Roman" w:hAnsi="Times New Roman" w:cs="Times New Roman"/>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outlineLvl w:val="9"/>
              <w:rPr>
                <w:rFonts w:hint="default" w:ascii="Times New Roman" w:hAnsi="Times New Roman" w:cs="Times New Roman"/>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outlineLvl w:val="9"/>
              <w:rPr>
                <w:rFonts w:hint="default" w:ascii="Times New Roman" w:hAnsi="Times New Roman" w:cs="Times New Roman"/>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outlineLvl w:val="9"/>
              <w:rPr>
                <w:rFonts w:hint="default" w:ascii="Times New Roman" w:hAnsi="Times New Roman" w:cs="Times New Roman"/>
                <w:b/>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outlineLvl w:val="9"/>
              <w:rPr>
                <w:rFonts w:hint="default" w:ascii="Times New Roman" w:hAnsi="Times New Roman" w:cs="Times New Roman"/>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outlineLvl w:val="9"/>
              <w:rPr>
                <w:rFonts w:hint="default" w:ascii="Times New Roman" w:hAnsi="Times New Roman" w:cs="Times New Roman"/>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outlineLvl w:val="9"/>
              <w:rPr>
                <w:rFonts w:hint="default" w:ascii="Times New Roman" w:hAnsi="Times New Roman" w:cs="Times New Roman"/>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outlineLvl w:val="9"/>
              <w:rPr>
                <w:rFonts w:hint="default" w:ascii="Times New Roman" w:hAnsi="Times New Roman" w:cs="Times New Roman"/>
                <w:b/>
                <w:color w:val="000000"/>
                <w:sz w:val="18"/>
                <w:szCs w:val="18"/>
              </w:rPr>
            </w:pPr>
          </w:p>
        </w:tc>
      </w:tr>
      <w:tr>
        <w:tblPrEx>
          <w:tblLayout w:type="fixed"/>
          <w:tblCellMar>
            <w:top w:w="0" w:type="dxa"/>
            <w:left w:w="0" w:type="dxa"/>
            <w:bottom w:w="0" w:type="dxa"/>
            <w:right w:w="0" w:type="dxa"/>
          </w:tblCellMar>
        </w:tblPrEx>
        <w:trPr>
          <w:trHeight w:val="192"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600.24</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153.30</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152.58</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40.24</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11.84</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317.52</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0.16</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25.08</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5.01</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12.45</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4.08</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15.37</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0.46</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18.93</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4.75</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1.00</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122.47</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86.96</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117.94</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57.10</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4.54</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outlineLvl w:val="9"/>
              <w:rPr>
                <w:rFonts w:hint="default" w:ascii="Times New Roman" w:hAnsi="Times New Roman"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outlineLvl w:val="9"/>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jc w:val="right"/>
              <w:textAlignment w:val="bottom"/>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722.71</w:t>
            </w:r>
            <w:r>
              <w:rPr>
                <w:rFonts w:hint="default" w:ascii="Times New Roman" w:hAnsi="Times New Roman" w:cs="Times New Roman"/>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outlineLvl w:val="9"/>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153.30</w:t>
            </w:r>
            <w:r>
              <w:rPr>
                <w:rFonts w:hint="default" w:ascii="Times New Roman" w:hAnsi="Times New Roman" w:cs="Times New Roman"/>
                <w:color w:val="000000"/>
                <w:sz w:val="18"/>
                <w:u w:color="auto"/>
              </w:rPr>
              <w:t xml:space="preserve"> </w:t>
            </w:r>
          </w:p>
        </w:tc>
      </w:tr>
    </w:tbl>
    <w:p>
      <w:pPr>
        <w:keepNext w:val="0"/>
        <w:keepLines w:val="0"/>
        <w:pageBreakBefore w:val="0"/>
        <w:widowControl/>
        <w:kinsoku/>
        <w:wordWrap/>
        <w:overflowPunct/>
        <w:topLinePunct w:val="0"/>
        <w:autoSpaceDE/>
        <w:autoSpaceDN/>
        <w:bidi w:val="0"/>
        <w:adjustRightInd/>
        <w:snapToGrid/>
        <w:spacing w:line="240" w:lineRule="exact"/>
        <w:textAlignment w:val="auto"/>
        <w:outlineLvl w:val="9"/>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备注：1.本表反映单位本年度一般公共预算财政拨款基本支出明细情况。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r>
        <w:rPr>
          <w:rFonts w:hint="default" w:ascii="Times New Roman" w:hAnsi="Times New Roman" w:cs="Times New Roman"/>
          <w:sz w:val="21"/>
          <w:szCs w:val="21"/>
        </w:rPr>
        <w:br w:type="page"/>
      </w:r>
    </w:p>
    <w:tbl>
      <w:tblPr>
        <w:tblStyle w:val="12"/>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重庆市秀山土家族苗族自治县平凯街道社区卫生服务中心</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r>
    </w:tbl>
    <w:p>
      <w:pPr>
        <w:rPr>
          <w:rFonts w:hint="default" w:ascii="Times New Roman" w:hAnsi="Times New Roman" w:cs="Times New Roman"/>
          <w:sz w:val="21"/>
          <w:szCs w:val="21"/>
        </w:rPr>
      </w:pPr>
      <w:r>
        <w:rPr>
          <w:rFonts w:hint="default" w:ascii="Times New Roman" w:hAnsi="Times New Roman" w:cs="Times New Roman"/>
          <w:sz w:val="20"/>
          <w:szCs w:val="20"/>
        </w:rPr>
        <w:t>备注：本表反映单位本年度政府性基金预算财政拨款收入支出及结转和结余情况。本单位无政府性基金收支，故本表无数据。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rPr>
          <w:rFonts w:hint="default" w:ascii="Times New Roman" w:hAnsi="Times New Roman" w:cs="Times New Roman"/>
          <w:sz w:val="21"/>
          <w:szCs w:val="21"/>
        </w:rPr>
      </w:pPr>
      <w:r>
        <w:rPr>
          <w:rFonts w:hint="default" w:ascii="Times New Roman" w:hAnsi="Times New Roman" w:cs="Times New Roman"/>
          <w:sz w:val="21"/>
          <w:szCs w:val="21"/>
        </w:rPr>
        <w:br w:type="page"/>
      </w:r>
    </w:p>
    <w:tbl>
      <w:tblPr>
        <w:tblStyle w:val="12"/>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重庆市秀山土家族苗族自治县平凯街道社区卫生服务中心</w:t>
            </w: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b/>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r>
    </w:tbl>
    <w:p>
      <w:pPr>
        <w:rPr>
          <w:rFonts w:hint="default" w:ascii="Times New Roman" w:hAnsi="Times New Roman" w:cs="Times New Roman"/>
          <w:sz w:val="21"/>
          <w:szCs w:val="21"/>
        </w:rPr>
      </w:pPr>
      <w:r>
        <w:rPr>
          <w:rFonts w:hint="default" w:ascii="Times New Roman" w:hAnsi="Times New Roman" w:cs="Times New Roman"/>
          <w:sz w:val="20"/>
          <w:szCs w:val="20"/>
        </w:rPr>
        <w:t>备注：本表反映单位本年度国有资本经营预算财政拨款支出情况。本单位无国有资本经营收支，故本表无数据。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rPr>
          <w:rFonts w:hint="default" w:ascii="Times New Roman" w:hAnsi="Times New Roman" w:cs="Times New Roman"/>
          <w:sz w:val="21"/>
          <w:szCs w:val="21"/>
        </w:rPr>
      </w:pPr>
      <w:r>
        <w:rPr>
          <w:rFonts w:hint="default" w:ascii="Times New Roman" w:hAnsi="Times New Roman" w:cs="Times New Roman"/>
          <w:sz w:val="21"/>
          <w:szCs w:val="21"/>
        </w:rPr>
        <w:br w:type="page"/>
      </w:r>
    </w:p>
    <w:tbl>
      <w:tblPr>
        <w:tblStyle w:val="12"/>
        <w:tblW w:w="15378" w:type="dxa"/>
        <w:tblInd w:w="0" w:type="dxa"/>
        <w:tblLayout w:type="fixed"/>
        <w:tblCellMar>
          <w:top w:w="0" w:type="dxa"/>
          <w:left w:w="0" w:type="dxa"/>
          <w:bottom w:w="0" w:type="dxa"/>
          <w:right w:w="0" w:type="dxa"/>
        </w:tblCellMar>
      </w:tblPr>
      <w:tblGrid>
        <w:gridCol w:w="4167"/>
        <w:gridCol w:w="2236"/>
        <w:gridCol w:w="2184"/>
        <w:gridCol w:w="4660"/>
        <w:gridCol w:w="2131"/>
      </w:tblGrid>
      <w:tr>
        <w:tblPrEx>
          <w:tblLayout w:type="fixed"/>
          <w:tblCellMar>
            <w:top w:w="0" w:type="dxa"/>
            <w:left w:w="0" w:type="dxa"/>
            <w:bottom w:w="0" w:type="dxa"/>
            <w:right w:w="0" w:type="dxa"/>
          </w:tblCellMar>
        </w:tblPrEx>
        <w:trPr>
          <w:trHeight w:val="175"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机构运行信息表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sz w:val="20"/>
                <w:szCs w:val="20"/>
              </w:rPr>
            </w:pPr>
          </w:p>
        </w:tc>
        <w:tc>
          <w:tcPr>
            <w:tcW w:w="223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ascii="Times New Roman" w:hAnsi="Times New Roman" w:cs="Times New Roman"/>
                <w:color w:val="000000"/>
                <w:sz w:val="20"/>
                <w:szCs w:val="20"/>
              </w:rPr>
            </w:pPr>
          </w:p>
        </w:tc>
        <w:tc>
          <w:tcPr>
            <w:tcW w:w="218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ascii="Times New Roman" w:hAnsi="Times New Roman" w:cs="Times New Roman"/>
                <w:color w:val="000000"/>
                <w:sz w:val="20"/>
                <w:szCs w:val="20"/>
              </w:rPr>
            </w:pPr>
          </w:p>
        </w:tc>
        <w:tc>
          <w:tcPr>
            <w:tcW w:w="4660"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sz w:val="20"/>
                <w:szCs w:val="20"/>
              </w:rPr>
            </w:pPr>
          </w:p>
        </w:tc>
        <w:tc>
          <w:tcPr>
            <w:tcW w:w="213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公开09表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textAlignment w:val="bottom"/>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重庆市秀山土家族苗族自治县平凯街道社区卫生服务中心</w:t>
            </w:r>
          </w:p>
        </w:tc>
        <w:tc>
          <w:tcPr>
            <w:tcW w:w="2236"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center"/>
              <w:rPr>
                <w:rFonts w:hint="default" w:ascii="Times New Roman" w:hAnsi="Times New Roman" w:cs="Times New Roman"/>
                <w:color w:val="000000"/>
                <w:sz w:val="20"/>
                <w:szCs w:val="20"/>
              </w:rPr>
            </w:pPr>
          </w:p>
        </w:tc>
        <w:tc>
          <w:tcPr>
            <w:tcW w:w="218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ascii="Times New Roman" w:hAnsi="Times New Roman" w:cs="Times New Roman"/>
                <w:color w:val="000000"/>
                <w:sz w:val="20"/>
                <w:szCs w:val="20"/>
              </w:rPr>
            </w:pPr>
          </w:p>
        </w:tc>
        <w:tc>
          <w:tcPr>
            <w:tcW w:w="4660"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sz w:val="20"/>
                <w:szCs w:val="20"/>
              </w:rPr>
            </w:pPr>
          </w:p>
        </w:tc>
        <w:tc>
          <w:tcPr>
            <w:tcW w:w="2131"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  目</w:t>
            </w:r>
          </w:p>
        </w:tc>
        <w:tc>
          <w:tcPr>
            <w:tcW w:w="223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预算数</w:t>
            </w:r>
          </w:p>
        </w:tc>
        <w:tc>
          <w:tcPr>
            <w:tcW w:w="218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决算数</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  目</w:t>
            </w:r>
          </w:p>
        </w:tc>
        <w:tc>
          <w:tcPr>
            <w:tcW w:w="213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决算数</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一、“三公”经费支出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四、机关运行经费</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（一）支出合计</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（一）行政单位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1．因公出国（境）费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（二）参照公务员法管理事业单位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2．公务用车购置及运行维护费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五、资产信息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（1）公务用车购置费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（一）车辆数合计（辆）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（2）公务用车运行维护费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1．副部（省）级及以上领导用车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3．公务接待费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2．主要领导干部用车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（1）国内接待费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3．机要通信用车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其中：外事接待费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4．应急保障用车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（2）国（境）外接待费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5．执法执勤用车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（二）相关统计数</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6．特种专业技术用车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1．因公出国（境）团组数（个）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7．离退休干部用车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2．因公出国（境）人次数（人）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8．其他用车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3．公务用车购置数（辆）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（二）单价100万元（含）以上设备（不含车辆）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4．公务用车保有量（辆）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六、政府采购支出信息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5．国内公务接待批次（个）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（一）政府采购支出合计</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其中：外事接待批次（个）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1．政府采购货物支出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6．国内公务接待人次（人）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2．政府采购工程支出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其中：外事接待人次（人）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3．政府采购服务支出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7．国（境）外公务接待批次（个）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（二）政府采购授予中小企业合同金额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8．国（境）外公务接待人次（人）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其中：授予小微企业合同金额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69"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二、会议费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r>
      <w:tr>
        <w:tblPrEx>
          <w:tblLayout w:type="fixed"/>
          <w:tblCellMar>
            <w:top w:w="0" w:type="dxa"/>
            <w:left w:w="0" w:type="dxa"/>
            <w:bottom w:w="0" w:type="dxa"/>
            <w:right w:w="0" w:type="dxa"/>
          </w:tblCellMar>
        </w:tblPrEx>
        <w:trPr>
          <w:trHeight w:val="24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三、培训费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r>
    </w:tbl>
    <w:p>
      <w:pPr>
        <w:rPr>
          <w:rFonts w:hint="default" w:ascii="Times New Roman" w:hAnsi="Times New Roman" w:cs="Times New Roman"/>
          <w:sz w:val="21"/>
          <w:szCs w:val="21"/>
        </w:rPr>
      </w:pPr>
      <w:r>
        <w:rPr>
          <w:rFonts w:hint="default" w:ascii="Times New Roman" w:hAnsi="Times New Roman" w:cs="Times New Roman"/>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RkMzE3ZDk2MjdkOGQyNjJkNDZlMDIzNmU2MmQzZTMifQ=="/>
    <w:docVar w:name="KSO_WPS_MARK_KEY" w:val="28094b65-c285-40c0-89f1-ed6abc66ebc9"/>
  </w:docVars>
  <w:rsids>
    <w:rsidRoot w:val="00B03CCD"/>
    <w:rsid w:val="002B254B"/>
    <w:rsid w:val="004F0557"/>
    <w:rsid w:val="00550ABE"/>
    <w:rsid w:val="00770383"/>
    <w:rsid w:val="007819D4"/>
    <w:rsid w:val="007956B7"/>
    <w:rsid w:val="007B419D"/>
    <w:rsid w:val="009B67B8"/>
    <w:rsid w:val="009D2B67"/>
    <w:rsid w:val="00B03CCD"/>
    <w:rsid w:val="00C20C3E"/>
    <w:rsid w:val="00D00710"/>
    <w:rsid w:val="00F73F90"/>
    <w:rsid w:val="01474EBF"/>
    <w:rsid w:val="01F3521E"/>
    <w:rsid w:val="03B87EA0"/>
    <w:rsid w:val="03E3214F"/>
    <w:rsid w:val="044C50BA"/>
    <w:rsid w:val="04752C73"/>
    <w:rsid w:val="04EC5E9D"/>
    <w:rsid w:val="05B84795"/>
    <w:rsid w:val="05BC6D49"/>
    <w:rsid w:val="06194FF1"/>
    <w:rsid w:val="06A2550B"/>
    <w:rsid w:val="06DD3AC5"/>
    <w:rsid w:val="06F80EE2"/>
    <w:rsid w:val="07001CCA"/>
    <w:rsid w:val="0735725B"/>
    <w:rsid w:val="075678DB"/>
    <w:rsid w:val="079D7CC7"/>
    <w:rsid w:val="08051BCA"/>
    <w:rsid w:val="086C12F4"/>
    <w:rsid w:val="08705944"/>
    <w:rsid w:val="08BA052C"/>
    <w:rsid w:val="08DB07BA"/>
    <w:rsid w:val="0969353F"/>
    <w:rsid w:val="098305D0"/>
    <w:rsid w:val="09ED30DC"/>
    <w:rsid w:val="0A3317EA"/>
    <w:rsid w:val="0A5C4B69"/>
    <w:rsid w:val="0A86124A"/>
    <w:rsid w:val="0AB54CC0"/>
    <w:rsid w:val="0B2A65A6"/>
    <w:rsid w:val="0B9335CE"/>
    <w:rsid w:val="0BF2311A"/>
    <w:rsid w:val="0C0076AF"/>
    <w:rsid w:val="0C7927C4"/>
    <w:rsid w:val="0C9B098C"/>
    <w:rsid w:val="0D673E11"/>
    <w:rsid w:val="0DDA54E4"/>
    <w:rsid w:val="0E3A5F83"/>
    <w:rsid w:val="0E6850BA"/>
    <w:rsid w:val="0F836721"/>
    <w:rsid w:val="0FA25D96"/>
    <w:rsid w:val="0FB9073A"/>
    <w:rsid w:val="107B59E5"/>
    <w:rsid w:val="10EC0126"/>
    <w:rsid w:val="10F70B9A"/>
    <w:rsid w:val="111445C7"/>
    <w:rsid w:val="114278C6"/>
    <w:rsid w:val="1158083A"/>
    <w:rsid w:val="11643A4B"/>
    <w:rsid w:val="11832BAE"/>
    <w:rsid w:val="11CE5B2B"/>
    <w:rsid w:val="11ED0F98"/>
    <w:rsid w:val="11F03528"/>
    <w:rsid w:val="12C921C4"/>
    <w:rsid w:val="13746C3C"/>
    <w:rsid w:val="13871C70"/>
    <w:rsid w:val="139A49D8"/>
    <w:rsid w:val="13A71CB4"/>
    <w:rsid w:val="13AF1D43"/>
    <w:rsid w:val="13CE1647"/>
    <w:rsid w:val="13FD55AB"/>
    <w:rsid w:val="14200702"/>
    <w:rsid w:val="146414DF"/>
    <w:rsid w:val="147F3FFD"/>
    <w:rsid w:val="14AA19B9"/>
    <w:rsid w:val="153A34F3"/>
    <w:rsid w:val="163A6CEE"/>
    <w:rsid w:val="173708E3"/>
    <w:rsid w:val="17C374FC"/>
    <w:rsid w:val="182E4AB6"/>
    <w:rsid w:val="186D49E2"/>
    <w:rsid w:val="189079DC"/>
    <w:rsid w:val="189B0D0B"/>
    <w:rsid w:val="18B43F7C"/>
    <w:rsid w:val="194A1770"/>
    <w:rsid w:val="19B906A4"/>
    <w:rsid w:val="1B2F2C3E"/>
    <w:rsid w:val="1B6F15B6"/>
    <w:rsid w:val="1BAA2EDC"/>
    <w:rsid w:val="1C050CF2"/>
    <w:rsid w:val="1CA55E64"/>
    <w:rsid w:val="1CE715FC"/>
    <w:rsid w:val="1CFF1963"/>
    <w:rsid w:val="1D014A01"/>
    <w:rsid w:val="1D022362"/>
    <w:rsid w:val="1D1B04B0"/>
    <w:rsid w:val="1DA52501"/>
    <w:rsid w:val="1DBD6767"/>
    <w:rsid w:val="1DC52125"/>
    <w:rsid w:val="1DD26311"/>
    <w:rsid w:val="1E277015"/>
    <w:rsid w:val="1E374ACB"/>
    <w:rsid w:val="1E6873B2"/>
    <w:rsid w:val="1ECF0A66"/>
    <w:rsid w:val="1ED4748D"/>
    <w:rsid w:val="1EF67CA4"/>
    <w:rsid w:val="1F020D3A"/>
    <w:rsid w:val="1F2C5189"/>
    <w:rsid w:val="1F3B4DD7"/>
    <w:rsid w:val="1F423E3A"/>
    <w:rsid w:val="1F4B0B02"/>
    <w:rsid w:val="1FBB35CD"/>
    <w:rsid w:val="1FCD26AF"/>
    <w:rsid w:val="1FDC732C"/>
    <w:rsid w:val="201D6B99"/>
    <w:rsid w:val="20642787"/>
    <w:rsid w:val="21556F04"/>
    <w:rsid w:val="22403BD3"/>
    <w:rsid w:val="2241057A"/>
    <w:rsid w:val="23300C3C"/>
    <w:rsid w:val="24B92327"/>
    <w:rsid w:val="24C14514"/>
    <w:rsid w:val="2533755C"/>
    <w:rsid w:val="25791755"/>
    <w:rsid w:val="26396DF4"/>
    <w:rsid w:val="27167136"/>
    <w:rsid w:val="271B442C"/>
    <w:rsid w:val="27B23302"/>
    <w:rsid w:val="28370119"/>
    <w:rsid w:val="29310A5F"/>
    <w:rsid w:val="29C37A35"/>
    <w:rsid w:val="2A0267E4"/>
    <w:rsid w:val="2A076083"/>
    <w:rsid w:val="2A73162E"/>
    <w:rsid w:val="2B167953"/>
    <w:rsid w:val="2B200583"/>
    <w:rsid w:val="2B8209DE"/>
    <w:rsid w:val="2C104D4F"/>
    <w:rsid w:val="2C263299"/>
    <w:rsid w:val="2C636760"/>
    <w:rsid w:val="2C6762A3"/>
    <w:rsid w:val="2D2E3FC9"/>
    <w:rsid w:val="2E2D26F7"/>
    <w:rsid w:val="2E8A24EB"/>
    <w:rsid w:val="2FCA4B37"/>
    <w:rsid w:val="2FE029D7"/>
    <w:rsid w:val="2FF06E00"/>
    <w:rsid w:val="305051D4"/>
    <w:rsid w:val="30586FEC"/>
    <w:rsid w:val="30DB5A35"/>
    <w:rsid w:val="315F0B22"/>
    <w:rsid w:val="319B0B64"/>
    <w:rsid w:val="319B691A"/>
    <w:rsid w:val="31B8133D"/>
    <w:rsid w:val="31BE2CDD"/>
    <w:rsid w:val="31D84415"/>
    <w:rsid w:val="32285F6F"/>
    <w:rsid w:val="32645E50"/>
    <w:rsid w:val="32770556"/>
    <w:rsid w:val="329C0913"/>
    <w:rsid w:val="32AA0460"/>
    <w:rsid w:val="32D116D8"/>
    <w:rsid w:val="33351CEC"/>
    <w:rsid w:val="3337290D"/>
    <w:rsid w:val="336C495B"/>
    <w:rsid w:val="33E31118"/>
    <w:rsid w:val="33EF7674"/>
    <w:rsid w:val="342D7BC6"/>
    <w:rsid w:val="352930DB"/>
    <w:rsid w:val="35573069"/>
    <w:rsid w:val="355F6038"/>
    <w:rsid w:val="35884265"/>
    <w:rsid w:val="358C217E"/>
    <w:rsid w:val="36772131"/>
    <w:rsid w:val="36C9128A"/>
    <w:rsid w:val="37841E99"/>
    <w:rsid w:val="37BF1123"/>
    <w:rsid w:val="383C3F15"/>
    <w:rsid w:val="38BE4696"/>
    <w:rsid w:val="3939115E"/>
    <w:rsid w:val="39B82A39"/>
    <w:rsid w:val="39C42CA8"/>
    <w:rsid w:val="39DC4FD6"/>
    <w:rsid w:val="39F03D7A"/>
    <w:rsid w:val="39F33306"/>
    <w:rsid w:val="3A2C1C67"/>
    <w:rsid w:val="3A7071D5"/>
    <w:rsid w:val="3A917C1F"/>
    <w:rsid w:val="3AB26110"/>
    <w:rsid w:val="3ADD7F09"/>
    <w:rsid w:val="3AE23A0D"/>
    <w:rsid w:val="3B1705E5"/>
    <w:rsid w:val="3B18334B"/>
    <w:rsid w:val="3B36794F"/>
    <w:rsid w:val="3B6F6EE0"/>
    <w:rsid w:val="3C566AD6"/>
    <w:rsid w:val="3C594871"/>
    <w:rsid w:val="3C6A5B02"/>
    <w:rsid w:val="3D2757A1"/>
    <w:rsid w:val="3D3D4FC4"/>
    <w:rsid w:val="3DDF3AB1"/>
    <w:rsid w:val="3E1D0952"/>
    <w:rsid w:val="3E42660A"/>
    <w:rsid w:val="3E5D2836"/>
    <w:rsid w:val="3E7555B1"/>
    <w:rsid w:val="3E787ED9"/>
    <w:rsid w:val="3E830AC8"/>
    <w:rsid w:val="3F032E93"/>
    <w:rsid w:val="3F0527E5"/>
    <w:rsid w:val="3F694D83"/>
    <w:rsid w:val="3F885DCC"/>
    <w:rsid w:val="3FBD1C2D"/>
    <w:rsid w:val="3FCD675E"/>
    <w:rsid w:val="4004000C"/>
    <w:rsid w:val="401E0A99"/>
    <w:rsid w:val="40BD5482"/>
    <w:rsid w:val="411B6CE5"/>
    <w:rsid w:val="412070D7"/>
    <w:rsid w:val="41314E40"/>
    <w:rsid w:val="41E0734B"/>
    <w:rsid w:val="42563B39"/>
    <w:rsid w:val="425765BB"/>
    <w:rsid w:val="426C1EA8"/>
    <w:rsid w:val="42736402"/>
    <w:rsid w:val="42E86A87"/>
    <w:rsid w:val="43307B09"/>
    <w:rsid w:val="43662097"/>
    <w:rsid w:val="43677E30"/>
    <w:rsid w:val="439A3EB9"/>
    <w:rsid w:val="43BB152F"/>
    <w:rsid w:val="441970EA"/>
    <w:rsid w:val="44C37687"/>
    <w:rsid w:val="45887D86"/>
    <w:rsid w:val="45CB699A"/>
    <w:rsid w:val="45D5477A"/>
    <w:rsid w:val="45EE0DE6"/>
    <w:rsid w:val="465B470D"/>
    <w:rsid w:val="469D6AD4"/>
    <w:rsid w:val="46A840D3"/>
    <w:rsid w:val="471E6C84"/>
    <w:rsid w:val="4748792B"/>
    <w:rsid w:val="475D719D"/>
    <w:rsid w:val="47674801"/>
    <w:rsid w:val="47F8566E"/>
    <w:rsid w:val="48225EF7"/>
    <w:rsid w:val="488F422B"/>
    <w:rsid w:val="48E36915"/>
    <w:rsid w:val="48EB6572"/>
    <w:rsid w:val="4917317A"/>
    <w:rsid w:val="495C4A24"/>
    <w:rsid w:val="497135DF"/>
    <w:rsid w:val="49C201BF"/>
    <w:rsid w:val="4A263DF2"/>
    <w:rsid w:val="4A2A4804"/>
    <w:rsid w:val="4A6F6675"/>
    <w:rsid w:val="4B135857"/>
    <w:rsid w:val="4B16447D"/>
    <w:rsid w:val="4B7951CB"/>
    <w:rsid w:val="4B7C315C"/>
    <w:rsid w:val="4B8E5A1C"/>
    <w:rsid w:val="4C0248D7"/>
    <w:rsid w:val="4C7A204A"/>
    <w:rsid w:val="4CD94C07"/>
    <w:rsid w:val="4DAC4ACA"/>
    <w:rsid w:val="4DBE01D2"/>
    <w:rsid w:val="4E7B4B1B"/>
    <w:rsid w:val="4F0C6BA3"/>
    <w:rsid w:val="4F186D58"/>
    <w:rsid w:val="4FA42CBF"/>
    <w:rsid w:val="50F06B6E"/>
    <w:rsid w:val="51D21804"/>
    <w:rsid w:val="51F81B44"/>
    <w:rsid w:val="52234D33"/>
    <w:rsid w:val="522F6E0C"/>
    <w:rsid w:val="52463BA1"/>
    <w:rsid w:val="525B5946"/>
    <w:rsid w:val="52F163D4"/>
    <w:rsid w:val="531A2DB4"/>
    <w:rsid w:val="53C0244D"/>
    <w:rsid w:val="53DD4D4E"/>
    <w:rsid w:val="53E578CE"/>
    <w:rsid w:val="541330F0"/>
    <w:rsid w:val="54272666"/>
    <w:rsid w:val="543B029D"/>
    <w:rsid w:val="54861779"/>
    <w:rsid w:val="54E304CD"/>
    <w:rsid w:val="552256E1"/>
    <w:rsid w:val="554E5773"/>
    <w:rsid w:val="555A3CBC"/>
    <w:rsid w:val="5582012B"/>
    <w:rsid w:val="558E4E05"/>
    <w:rsid w:val="55BE2E85"/>
    <w:rsid w:val="5648224C"/>
    <w:rsid w:val="56530F5D"/>
    <w:rsid w:val="567700D3"/>
    <w:rsid w:val="56FF7E9E"/>
    <w:rsid w:val="578867FC"/>
    <w:rsid w:val="57941938"/>
    <w:rsid w:val="5842572D"/>
    <w:rsid w:val="587671F9"/>
    <w:rsid w:val="58CF669D"/>
    <w:rsid w:val="5A3B59D6"/>
    <w:rsid w:val="5A99444E"/>
    <w:rsid w:val="5AD134D8"/>
    <w:rsid w:val="5B9C7227"/>
    <w:rsid w:val="5C263CE4"/>
    <w:rsid w:val="5C5D2777"/>
    <w:rsid w:val="5C650607"/>
    <w:rsid w:val="5CF66BF3"/>
    <w:rsid w:val="5D290C69"/>
    <w:rsid w:val="5D5754F4"/>
    <w:rsid w:val="5DA164DF"/>
    <w:rsid w:val="5F2D4A41"/>
    <w:rsid w:val="60226994"/>
    <w:rsid w:val="60407AC6"/>
    <w:rsid w:val="60C74F6C"/>
    <w:rsid w:val="61025A59"/>
    <w:rsid w:val="613D5BBC"/>
    <w:rsid w:val="61536C39"/>
    <w:rsid w:val="615C7A3C"/>
    <w:rsid w:val="6162640E"/>
    <w:rsid w:val="61825624"/>
    <w:rsid w:val="61FA768E"/>
    <w:rsid w:val="62944DD7"/>
    <w:rsid w:val="6319381F"/>
    <w:rsid w:val="633727CE"/>
    <w:rsid w:val="639B4C0E"/>
    <w:rsid w:val="63C25DC5"/>
    <w:rsid w:val="63C62057"/>
    <w:rsid w:val="64571EF5"/>
    <w:rsid w:val="64FB113D"/>
    <w:rsid w:val="656152C6"/>
    <w:rsid w:val="6587477F"/>
    <w:rsid w:val="658C3A08"/>
    <w:rsid w:val="659E5E82"/>
    <w:rsid w:val="65C031CA"/>
    <w:rsid w:val="65CE6852"/>
    <w:rsid w:val="66267C04"/>
    <w:rsid w:val="663F505A"/>
    <w:rsid w:val="66EE5541"/>
    <w:rsid w:val="67924660"/>
    <w:rsid w:val="67CF2341"/>
    <w:rsid w:val="68407834"/>
    <w:rsid w:val="6883293E"/>
    <w:rsid w:val="688412AD"/>
    <w:rsid w:val="68EB1B71"/>
    <w:rsid w:val="68FE2D90"/>
    <w:rsid w:val="69F218A6"/>
    <w:rsid w:val="6A29055B"/>
    <w:rsid w:val="6A6C7940"/>
    <w:rsid w:val="6AAD2300"/>
    <w:rsid w:val="6AE009BD"/>
    <w:rsid w:val="6AEC0CA1"/>
    <w:rsid w:val="6B474EF5"/>
    <w:rsid w:val="6C0A5AC5"/>
    <w:rsid w:val="6C560CAE"/>
    <w:rsid w:val="6C576495"/>
    <w:rsid w:val="6D903FF5"/>
    <w:rsid w:val="6DA955B8"/>
    <w:rsid w:val="6DB15815"/>
    <w:rsid w:val="6DE346AB"/>
    <w:rsid w:val="6DE5391A"/>
    <w:rsid w:val="6E292FA7"/>
    <w:rsid w:val="6EFD1324"/>
    <w:rsid w:val="6F5A53AC"/>
    <w:rsid w:val="6FAC003D"/>
    <w:rsid w:val="6FE55E12"/>
    <w:rsid w:val="6FFB2E76"/>
    <w:rsid w:val="70026ECA"/>
    <w:rsid w:val="70555792"/>
    <w:rsid w:val="708F6F7F"/>
    <w:rsid w:val="70D94BD3"/>
    <w:rsid w:val="718D3992"/>
    <w:rsid w:val="71AD4643"/>
    <w:rsid w:val="71C34D91"/>
    <w:rsid w:val="728604E3"/>
    <w:rsid w:val="72AD06FE"/>
    <w:rsid w:val="72B27791"/>
    <w:rsid w:val="72DB435C"/>
    <w:rsid w:val="72E2613A"/>
    <w:rsid w:val="72F771F4"/>
    <w:rsid w:val="73057196"/>
    <w:rsid w:val="73934AD2"/>
    <w:rsid w:val="74014217"/>
    <w:rsid w:val="74B66F8A"/>
    <w:rsid w:val="74D9437A"/>
    <w:rsid w:val="750837F0"/>
    <w:rsid w:val="754758CF"/>
    <w:rsid w:val="75631FE0"/>
    <w:rsid w:val="764F62AB"/>
    <w:rsid w:val="765C45EC"/>
    <w:rsid w:val="768A7619"/>
    <w:rsid w:val="772E1EBA"/>
    <w:rsid w:val="77874324"/>
    <w:rsid w:val="77EB5703"/>
    <w:rsid w:val="781926BC"/>
    <w:rsid w:val="785945A5"/>
    <w:rsid w:val="787578A3"/>
    <w:rsid w:val="796D60A4"/>
    <w:rsid w:val="79A031D5"/>
    <w:rsid w:val="7A1525F7"/>
    <w:rsid w:val="7A61011C"/>
    <w:rsid w:val="7AA87AD4"/>
    <w:rsid w:val="7B420052"/>
    <w:rsid w:val="7BD06A28"/>
    <w:rsid w:val="7C3A7C0B"/>
    <w:rsid w:val="7C5248E4"/>
    <w:rsid w:val="7C566698"/>
    <w:rsid w:val="7C5866A3"/>
    <w:rsid w:val="7D7406BB"/>
    <w:rsid w:val="7DE94331"/>
    <w:rsid w:val="7E5D5B6B"/>
    <w:rsid w:val="7F123AF3"/>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 w:type="paragraph" w:styleId="19">
    <w:name w:val="List Paragraph"/>
    <w:basedOn w:val="1"/>
    <w:qFormat/>
    <w:uiPriority w:val="34"/>
    <w:pPr>
      <w:ind w:firstLine="420" w:firstLineChars="200"/>
    </w:pPr>
  </w:style>
  <w:style w:type="character" w:customStyle="1" w:styleId="20">
    <w:name w:val="font61"/>
    <w:basedOn w:val="10"/>
    <w:qFormat/>
    <w:uiPriority w:val="0"/>
    <w:rPr>
      <w:rFonts w:hint="eastAsia" w:ascii="方正小标宋_GBK" w:hAnsi="方正小标宋_GBK" w:eastAsia="方正小标宋_GBK" w:cs="方正小标宋_GBK"/>
      <w:color w:val="000000"/>
      <w:sz w:val="28"/>
      <w:szCs w:val="28"/>
      <w:u w:val="none"/>
    </w:rPr>
  </w:style>
  <w:style w:type="character" w:customStyle="1" w:styleId="21">
    <w:name w:val="font31"/>
    <w:basedOn w:val="10"/>
    <w:qFormat/>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8401</Words>
  <Characters>10557</Characters>
  <Lines>190</Lines>
  <Paragraphs>53</Paragraphs>
  <TotalTime>2</TotalTime>
  <ScaleCrop>false</ScaleCrop>
  <LinksUpToDate>false</LinksUpToDate>
  <CharactersWithSpaces>11732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2024-09-29T07:17:09Z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FA66062658DB40F78C71BE2B07347D3E</vt:lpwstr>
  </property>
</Properties>
</file>