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line="560" w:lineRule="exact"/>
        <w:jc w:val="center"/>
        <w:textAlignment w:val="auto"/>
        <w:outlineLvl w:val="9"/>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rPr>
        <w:t>重庆市秀山土家族苗族自治县基层卫生管理中心</w:t>
      </w:r>
      <w:r>
        <w:rPr>
          <w:rFonts w:hint="eastAsia" w:ascii="方正小标宋_GBK" w:hAnsi="方正小标宋_GBK" w:eastAsia="方正小标宋_GBK" w:cs="方正小标宋_GBK"/>
          <w:sz w:val="44"/>
          <w:szCs w:val="44"/>
          <w:shd w:val="clear" w:color="auto" w:fill="FFFFFF"/>
        </w:rPr>
        <w:t>2023年度决算公开说明</w:t>
      </w:r>
    </w:p>
    <w:p>
      <w:pPr>
        <w:pStyle w:val="8"/>
        <w:keepNext w:val="0"/>
        <w:keepLines w:val="0"/>
        <w:pageBreakBefore w:val="0"/>
        <w:widowControl/>
        <w:kinsoku/>
        <w:wordWrap/>
        <w:overflowPunct/>
        <w:topLinePunct w:val="0"/>
        <w:autoSpaceDE/>
        <w:autoSpaceDN/>
        <w:bidi w:val="0"/>
        <w:adjustRightInd/>
        <w:snapToGrid/>
        <w:spacing w:before="0" w:beforeAutospacing="0" w:line="560" w:lineRule="exact"/>
        <w:jc w:val="center"/>
        <w:textAlignment w:val="auto"/>
        <w:outlineLvl w:val="9"/>
        <w:rPr>
          <w:rFonts w:hint="default" w:ascii="方正小标宋_GBK" w:hAnsi="方正小标宋_GBK" w:eastAsia="方正小标宋_GBK" w:cs="方正小标宋_GBK"/>
          <w:sz w:val="44"/>
          <w:szCs w:val="44"/>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黑体_GBK" w:hAnsi="方正黑体_GBK" w:eastAsia="方正黑体_GBK" w:cs="方正黑体_GBK"/>
          <w:b w:val="0"/>
          <w:bCs/>
          <w:sz w:val="32"/>
          <w:szCs w:val="32"/>
        </w:rPr>
      </w:pPr>
      <w:r>
        <w:rPr>
          <w:rStyle w:val="10"/>
          <w:rFonts w:hint="eastAsia" w:ascii="方正黑体_GBK" w:hAnsi="方正黑体_GBK" w:eastAsia="方正黑体_GBK" w:cs="方正黑体_GBK"/>
          <w:b w:val="0"/>
          <w:bCs/>
          <w:sz w:val="32"/>
          <w:szCs w:val="32"/>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Autospacing="0" w:line="560" w:lineRule="exact"/>
        <w:ind w:firstLine="640" w:firstLineChars="200"/>
        <w:jc w:val="both"/>
        <w:textAlignment w:val="auto"/>
        <w:outlineLvl w:val="9"/>
        <w:rPr>
          <w:rStyle w:val="10"/>
          <w:rFonts w:hint="eastAsia" w:ascii="方正仿宋_GBK" w:hAnsi="方正仿宋_GBK" w:eastAsia="方正仿宋_GBK" w:cs="方正仿宋_GBK"/>
          <w:b w:val="0"/>
          <w:bCs/>
          <w:sz w:val="32"/>
          <w:szCs w:val="32"/>
          <w:shd w:val="clear" w:color="auto" w:fill="FFFFFF"/>
        </w:rPr>
      </w:pPr>
      <w:r>
        <w:rPr>
          <w:rStyle w:val="10"/>
          <w:rFonts w:hint="eastAsia" w:ascii="方正仿宋_GBK" w:hAnsi="方正仿宋_GBK" w:eastAsia="方正仿宋_GBK" w:cs="方正仿宋_GBK"/>
          <w:b w:val="0"/>
          <w:bCs/>
          <w:sz w:val="32"/>
          <w:szCs w:val="32"/>
          <w:shd w:val="clear" w:color="auto" w:fill="FFFFFF"/>
        </w:rPr>
        <w:t>负责组织基层医疗机构贯彻落实有关规章和政策措施、规划标准，参与制定基层医疗机构发展规划；负责拟定基层医疗卫生机构绩效考核分配实施方案；负责乡镇卫生院和村卫生室实施国家基本药物制度补助资金的考核和资金分配；负责基层医疗卫生机构财务管理工作；负责乡村医生注册、考核、聘任等相关管理工作；负责基层医疗卫生机构便民惠民服务工作；牵头乡村振兴工作；牵头东西部协作、合川对口帮扶工作；指导基层卫生健康服务体系建设；指导村卫生室及乡村医生管理工作。</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rPr>
      </w:pPr>
      <w:r>
        <w:rPr>
          <w:rStyle w:val="10"/>
          <w:rFonts w:hint="eastAsia" w:ascii="方正楷体_GBK" w:hAnsi="方正楷体_GBK" w:eastAsia="方正楷体_GBK" w:cs="方正楷体_GBK"/>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仿宋_GBK" w:hAnsi="方正仿宋_GBK" w:eastAsia="方正仿宋_GBK" w:cs="方正仿宋_GBK"/>
          <w:b w:val="0"/>
          <w:bCs/>
          <w:sz w:val="32"/>
          <w:szCs w:val="32"/>
          <w:shd w:val="clear" w:color="auto" w:fill="FFFFFF"/>
          <w:lang w:eastAsia="zh-CN"/>
        </w:rPr>
      </w:pPr>
      <w:r>
        <w:rPr>
          <w:rStyle w:val="10"/>
          <w:rFonts w:hint="eastAsia" w:ascii="方正仿宋_GBK" w:hAnsi="方正仿宋_GBK" w:eastAsia="方正仿宋_GBK" w:cs="方正仿宋_GBK"/>
          <w:b w:val="0"/>
          <w:bCs/>
          <w:sz w:val="32"/>
          <w:szCs w:val="32"/>
          <w:shd w:val="clear" w:color="auto" w:fill="FFFFFF"/>
          <w:lang w:eastAsia="zh-CN"/>
        </w:rPr>
        <w:t>本单位为秀山土家族苗族自治县卫生健康委员会委属代管单位，是二级预算单位。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二、单位决算情况说明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shd w:val="clear" w:color="auto" w:fill="FFFFFF"/>
          <w:lang w:eastAsia="zh-CN"/>
        </w:rPr>
      </w:pPr>
      <w:r>
        <w:rPr>
          <w:rStyle w:val="10"/>
          <w:rFonts w:ascii="Times New Roman" w:hAnsi="Times New Roman" w:eastAsia="方正仿宋_GBK" w:cs="方正仿宋_GBK"/>
          <w:b w:val="0"/>
          <w:bCs/>
          <w:sz w:val="32"/>
          <w:szCs w:val="32"/>
          <w:shd w:val="clear" w:color="auto" w:fill="FFFFFF"/>
        </w:rPr>
        <w:t>1.总体情况。</w:t>
      </w:r>
      <w:r>
        <w:rPr>
          <w:rFonts w:ascii="Times New Roman" w:hAnsi="Times New Roman" w:eastAsia="方正仿宋_GBK" w:cs="方正仿宋_GBK"/>
          <w:b w:val="0"/>
          <w:bCs/>
          <w:sz w:val="32"/>
          <w:szCs w:val="32"/>
          <w:shd w:val="clear" w:color="auto" w:fill="FFFFFF"/>
        </w:rPr>
        <w:t>2023年度收入总计258.32万元，支出总计</w:t>
      </w:r>
      <w:r>
        <w:rPr>
          <w:rFonts w:ascii="Times New Roman" w:hAnsi="Times New Roman" w:eastAsia="方正仿宋_GBK" w:cs="方正仿宋_GBK"/>
          <w:b w:val="0"/>
          <w:bCs/>
          <w:sz w:val="32"/>
          <w:szCs w:val="32"/>
        </w:rPr>
        <w:t>258.32</w:t>
      </w:r>
      <w:r>
        <w:rPr>
          <w:rFonts w:ascii="Times New Roman" w:hAnsi="Times New Roman" w:eastAsia="方正仿宋_GBK" w:cs="方正仿宋_GBK"/>
          <w:b w:val="0"/>
          <w:bCs/>
          <w:sz w:val="32"/>
          <w:szCs w:val="32"/>
          <w:shd w:val="clear" w:color="auto" w:fill="FFFFFF"/>
        </w:rPr>
        <w:t>万元。收支较上年决算数增加258.32万元，增长100.00%，主要原因是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Style w:val="10"/>
          <w:rFonts w:ascii="Times New Roman" w:hAnsi="Times New Roman" w:eastAsia="方正仿宋_GBK" w:cs="方正仿宋_GBK"/>
          <w:b w:val="0"/>
          <w:bCs/>
          <w:sz w:val="32"/>
          <w:szCs w:val="32"/>
          <w:shd w:val="clear" w:color="auto" w:fill="FFFFFF"/>
        </w:rPr>
        <w:t>2.收入情况。</w:t>
      </w:r>
      <w:r>
        <w:rPr>
          <w:rFonts w:ascii="Times New Roman" w:hAnsi="Times New Roman" w:eastAsia="方正仿宋_GBK" w:cs="方正仿宋_GBK"/>
          <w:b w:val="0"/>
          <w:bCs/>
          <w:sz w:val="32"/>
          <w:szCs w:val="32"/>
          <w:shd w:val="clear" w:color="auto" w:fill="FFFFFF"/>
        </w:rPr>
        <w:t>2023年度收入合计258.32万元，较上年决算数增加258.32万元，增长100.00%，主要原因是</w:t>
      </w:r>
      <w:r>
        <w:rPr>
          <w:rFonts w:hint="eastAsia" w:ascii="Times New Roman" w:hAnsi="Times New Roman" w:eastAsia="方正仿宋_GBK" w:cs="方正仿宋_GBK"/>
          <w:b w:val="0"/>
          <w:bCs/>
          <w:sz w:val="32"/>
          <w:szCs w:val="32"/>
          <w:shd w:val="clear" w:color="auto" w:fill="FFFFFF"/>
          <w:lang w:eastAsia="zh-CN"/>
        </w:rPr>
        <w:t>本单位为新增单位，无上年数据对比。</w:t>
      </w:r>
      <w:r>
        <w:rPr>
          <w:rFonts w:ascii="Times New Roman" w:hAnsi="Times New Roman" w:eastAsia="方正仿宋_GBK" w:cs="方正仿宋_GBK"/>
          <w:b w:val="0"/>
          <w:bCs/>
          <w:sz w:val="32"/>
          <w:szCs w:val="32"/>
          <w:shd w:val="clear" w:color="auto" w:fill="FFFFFF"/>
        </w:rPr>
        <w:t>其中：财政拨款收入</w:t>
      </w:r>
      <w:r>
        <w:rPr>
          <w:rFonts w:ascii="Times New Roman" w:hAnsi="Times New Roman" w:eastAsia="方正仿宋_GBK" w:cs="方正仿宋_GBK"/>
          <w:b w:val="0"/>
          <w:bCs/>
          <w:sz w:val="32"/>
          <w:szCs w:val="32"/>
        </w:rPr>
        <w:t>258.32</w:t>
      </w:r>
      <w:r>
        <w:rPr>
          <w:rFonts w:ascii="Times New Roman" w:hAnsi="Times New Roman" w:eastAsia="方正仿宋_GBK" w:cs="方正仿宋_GBK"/>
          <w:b w:val="0"/>
          <w:bCs/>
          <w:sz w:val="32"/>
          <w:szCs w:val="32"/>
          <w:shd w:val="clear" w:color="auto" w:fill="FFFFFF"/>
        </w:rPr>
        <w:t>万元，占</w:t>
      </w:r>
      <w:r>
        <w:rPr>
          <w:rFonts w:ascii="Times New Roman" w:hAnsi="Times New Roman" w:eastAsia="方正仿宋_GBK" w:cs="方正仿宋_GBK"/>
          <w:b w:val="0"/>
          <w:bCs/>
          <w:sz w:val="32"/>
          <w:szCs w:val="32"/>
        </w:rPr>
        <w:t>100.00</w:t>
      </w:r>
      <w:r>
        <w:rPr>
          <w:rFonts w:ascii="Times New Roman" w:hAnsi="Times New Roman" w:eastAsia="方正仿宋_GBK" w:cs="方正仿宋_GBK"/>
          <w:b w:val="0"/>
          <w:bCs/>
          <w:sz w:val="32"/>
          <w:szCs w:val="32"/>
          <w:shd w:val="clear" w:color="auto" w:fill="FFFFFF"/>
        </w:rPr>
        <w:t>%；事业收入</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万元，占0.00%；经营收入</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万元，占0.00%；其他收入</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万元，占0.00%。此外，使用非财政拨款结余和专用结余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万元，年初结转和结余</w:t>
      </w:r>
      <w:r>
        <w:rPr>
          <w:rFonts w:ascii="Times New Roman" w:hAnsi="Times New Roman" w:eastAsia="方正仿宋_GBK" w:cs="方正仿宋_GBK"/>
          <w:b w:val="0"/>
          <w:bCs/>
          <w:sz w:val="32"/>
          <w:szCs w:val="32"/>
        </w:rPr>
        <w:t>0.00</w:t>
      </w:r>
      <w:r>
        <w:rPr>
          <w:rFonts w:ascii="Times New Roman" w:hAnsi="Times New Roman"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rPr>
      </w:pPr>
      <w:r>
        <w:rPr>
          <w:rStyle w:val="10"/>
          <w:rFonts w:ascii="Times New Roman" w:hAnsi="Times New Roman" w:eastAsia="方正仿宋_GBK" w:cs="方正仿宋_GBK"/>
          <w:b w:val="0"/>
          <w:bCs/>
          <w:sz w:val="32"/>
          <w:szCs w:val="32"/>
          <w:shd w:val="clear" w:color="auto" w:fill="FFFFFF"/>
        </w:rPr>
        <w:t>3.支出情况。</w:t>
      </w:r>
      <w:r>
        <w:rPr>
          <w:rFonts w:ascii="Times New Roman" w:hAnsi="Times New Roman" w:eastAsia="方正仿宋_GBK" w:cs="方正仿宋_GBK"/>
          <w:b w:val="0"/>
          <w:bCs/>
          <w:sz w:val="32"/>
          <w:szCs w:val="32"/>
        </w:rPr>
        <w:t>2023年度支出合计258.32万元，较上年决算数增加258.32万元，增长100.00%，主要原因是</w:t>
      </w:r>
      <w:r>
        <w:rPr>
          <w:rFonts w:hint="eastAsia" w:ascii="Times New Roman" w:hAnsi="Times New Roman" w:eastAsia="方正仿宋_GBK" w:cs="方正仿宋_GBK"/>
          <w:b w:val="0"/>
          <w:bCs/>
          <w:sz w:val="32"/>
          <w:szCs w:val="32"/>
          <w:lang w:eastAsia="zh-CN"/>
        </w:rPr>
        <w:t>本单位为新增单位，无上年数据对比。</w:t>
      </w:r>
      <w:r>
        <w:rPr>
          <w:rFonts w:ascii="Times New Roman" w:hAnsi="Times New Roman" w:eastAsia="方正仿宋_GBK" w:cs="方正仿宋_GBK"/>
          <w:b w:val="0"/>
          <w:bCs/>
          <w:sz w:val="32"/>
          <w:szCs w:val="32"/>
        </w:rPr>
        <w:t>其中：基本支出258.32万元，占100.00%；项目支出0.00万元，占0.00%；经营支出0.00万元，占0.00%。此外，结余分配0.00万元。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rPr>
      </w:pPr>
      <w:r>
        <w:rPr>
          <w:rStyle w:val="10"/>
          <w:rFonts w:ascii="Times New Roman" w:hAnsi="Times New Roman" w:eastAsia="方正仿宋_GBK" w:cs="方正仿宋_GBK"/>
          <w:b w:val="0"/>
          <w:bCs/>
          <w:sz w:val="32"/>
          <w:szCs w:val="32"/>
          <w:shd w:val="clear" w:color="auto" w:fill="FFFFFF"/>
        </w:rPr>
        <w:t>4.结转结余情况。</w:t>
      </w:r>
      <w:r>
        <w:rPr>
          <w:rFonts w:ascii="Times New Roman" w:hAnsi="Times New Roman" w:eastAsia="方正仿宋_GBK" w:cs="方正仿宋_GBK"/>
          <w:b w:val="0"/>
          <w:bCs/>
          <w:sz w:val="32"/>
          <w:szCs w:val="32"/>
        </w:rPr>
        <w:t>2023年度年末结转和结余0.00万元，较上年决算数无增减，主要原因是</w:t>
      </w:r>
      <w:r>
        <w:rPr>
          <w:rFonts w:hint="eastAsia" w:ascii="Times New Roman" w:hAnsi="Times New Roman" w:eastAsia="方正仿宋_GBK" w:cs="方正仿宋_GBK"/>
          <w:b w:val="0"/>
          <w:bCs/>
          <w:sz w:val="32"/>
          <w:szCs w:val="32"/>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pacing w:line="560" w:lineRule="exact"/>
        <w:ind w:firstLine="643"/>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rPr>
      </w:pPr>
      <w:r>
        <w:rPr>
          <w:rFonts w:ascii="Times New Roman" w:hAnsi="Times New Roman" w:eastAsia="方正仿宋_GBK" w:cs="方正仿宋_GBK"/>
          <w:b w:val="0"/>
          <w:bCs/>
          <w:sz w:val="32"/>
          <w:szCs w:val="32"/>
        </w:rPr>
        <w:t>2023年度财政拨款收、支总计258.32万元。与2022年相比，财政拨款收、支总计各增加258.32万元，增长100.00%。主要原因是</w:t>
      </w:r>
      <w:r>
        <w:rPr>
          <w:rFonts w:hint="eastAsia" w:ascii="Times New Roman" w:hAnsi="Times New Roman" w:eastAsia="方正仿宋_GBK" w:cs="方正仿宋_GBK"/>
          <w:b w:val="0"/>
          <w:bCs/>
          <w:sz w:val="32"/>
          <w:szCs w:val="32"/>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pacing w:line="560" w:lineRule="exact"/>
        <w:ind w:firstLine="643"/>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sz w:val="32"/>
          <w:szCs w:val="32"/>
        </w:rPr>
      </w:pPr>
      <w:r>
        <w:rPr>
          <w:rStyle w:val="10"/>
          <w:rFonts w:ascii="Times New Roman" w:hAnsi="Times New Roman" w:eastAsia="方正仿宋_GBK" w:cs="方正仿宋_GBK"/>
          <w:b w:val="0"/>
          <w:bCs/>
          <w:sz w:val="32"/>
          <w:szCs w:val="32"/>
          <w:shd w:val="clear" w:color="auto" w:fill="FFFFFF"/>
        </w:rPr>
        <w:t>1.收入情况。</w:t>
      </w:r>
      <w:r>
        <w:rPr>
          <w:rFonts w:ascii="Times New Roman" w:hAnsi="Times New Roman" w:eastAsia="方正仿宋_GBK" w:cs="方正仿宋_GBK"/>
          <w:b w:val="0"/>
          <w:bCs/>
          <w:sz w:val="32"/>
          <w:szCs w:val="32"/>
        </w:rPr>
        <w:t>2023年度一般公共预算财政拨款收入258.32万元，较上年决算数增加258.32万元，增长100.00%。主要原因是</w:t>
      </w:r>
      <w:r>
        <w:rPr>
          <w:rFonts w:hint="eastAsia" w:ascii="Times New Roman" w:hAnsi="Times New Roman" w:eastAsia="方正仿宋_GBK" w:cs="方正仿宋_GBK"/>
          <w:b w:val="0"/>
          <w:bCs/>
          <w:sz w:val="32"/>
          <w:szCs w:val="32"/>
          <w:lang w:eastAsia="zh-CN"/>
        </w:rPr>
        <w:t>本单位为新增单位，无上年数据对比。</w:t>
      </w:r>
      <w:r>
        <w:rPr>
          <w:rFonts w:ascii="Times New Roman" w:hAnsi="Times New Roman" w:eastAsia="方正仿宋_GBK" w:cs="方正仿宋_GBK"/>
          <w:b w:val="0"/>
          <w:bCs/>
          <w:sz w:val="32"/>
          <w:szCs w:val="32"/>
        </w:rPr>
        <w:t>较年初预算数增加30.70万元，增长13.49%。主要原因是</w:t>
      </w:r>
      <w:r>
        <w:rPr>
          <w:rFonts w:hint="eastAsia" w:ascii="Times New Roman" w:hAnsi="Times New Roman" w:eastAsia="方正仿宋_GBK" w:cs="方正仿宋_GBK"/>
          <w:b w:val="0"/>
          <w:bCs/>
          <w:sz w:val="32"/>
          <w:szCs w:val="32"/>
          <w:lang w:eastAsia="zh-CN"/>
        </w:rPr>
        <w:t>本单位支出来源于财政实际拨款。</w:t>
      </w:r>
      <w:r>
        <w:rPr>
          <w:rFonts w:ascii="Times New Roman" w:hAnsi="Times New Roman" w:eastAsia="方正仿宋_GBK" w:cs="方正仿宋_GBK"/>
          <w:b w:val="0"/>
          <w:bCs/>
          <w:sz w:val="32"/>
          <w:szCs w:val="32"/>
        </w:rPr>
        <w:t>此外，年初财政拨款结转和结余0.00万元。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lang w:eastAsia="zh-CN"/>
        </w:rPr>
      </w:pPr>
      <w:r>
        <w:rPr>
          <w:rStyle w:val="10"/>
          <w:rFonts w:ascii="Times New Roman" w:hAnsi="Times New Roman" w:eastAsia="方正仿宋_GBK" w:cs="方正仿宋_GBK"/>
          <w:b w:val="0"/>
          <w:bCs/>
          <w:sz w:val="32"/>
          <w:szCs w:val="32"/>
          <w:shd w:val="clear" w:color="auto" w:fill="FFFFFF"/>
        </w:rPr>
        <w:t>2.支出情况。</w:t>
      </w:r>
      <w:r>
        <w:rPr>
          <w:rFonts w:ascii="Times New Roman" w:hAnsi="Times New Roman" w:eastAsia="方正仿宋_GBK" w:cs="方正仿宋_GBK"/>
          <w:b w:val="0"/>
          <w:bCs/>
          <w:sz w:val="32"/>
          <w:szCs w:val="32"/>
        </w:rPr>
        <w:t>2023年度一般公共预算财政拨款支出258.32万元，较上年决算数增加258.32万元，增长100.00%。主要原因是</w:t>
      </w:r>
      <w:r>
        <w:rPr>
          <w:rFonts w:hint="eastAsia" w:ascii="Times New Roman" w:hAnsi="Times New Roman" w:eastAsia="方正仿宋_GBK" w:cs="方正仿宋_GBK"/>
          <w:b w:val="0"/>
          <w:bCs/>
          <w:sz w:val="32"/>
          <w:szCs w:val="32"/>
          <w:lang w:eastAsia="zh-CN"/>
        </w:rPr>
        <w:t>本单位为新增单位，无上年数据对比。</w:t>
      </w:r>
      <w:r>
        <w:rPr>
          <w:rFonts w:ascii="Times New Roman" w:hAnsi="Times New Roman" w:eastAsia="方正仿宋_GBK" w:cs="方正仿宋_GBK"/>
          <w:b w:val="0"/>
          <w:bCs/>
          <w:sz w:val="32"/>
          <w:szCs w:val="32"/>
        </w:rPr>
        <w:t>较年初预算数增加30.70万元，增长13.49%。主要原因是</w:t>
      </w:r>
      <w:r>
        <w:rPr>
          <w:rFonts w:hint="eastAsia" w:ascii="Times New Roman" w:hAnsi="Times New Roman" w:eastAsia="方正仿宋_GBK" w:cs="方正仿宋_GBK"/>
          <w:b w:val="0"/>
          <w:bCs/>
          <w:sz w:val="32"/>
          <w:szCs w:val="32"/>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sz w:val="32"/>
          <w:szCs w:val="32"/>
          <w:lang w:eastAsia="zh-CN"/>
        </w:rPr>
      </w:pPr>
      <w:r>
        <w:rPr>
          <w:rStyle w:val="10"/>
          <w:rFonts w:ascii="Times New Roman" w:hAnsi="Times New Roman" w:eastAsia="方正仿宋_GBK" w:cs="方正仿宋_GBK"/>
          <w:b w:val="0"/>
          <w:bCs/>
          <w:sz w:val="32"/>
          <w:szCs w:val="32"/>
          <w:shd w:val="clear" w:color="auto" w:fill="FFFFFF"/>
        </w:rPr>
        <w:t>3.结转结余情况。</w:t>
      </w:r>
      <w:r>
        <w:rPr>
          <w:rFonts w:ascii="Times New Roman" w:hAnsi="Times New Roman" w:eastAsia="方正仿宋_GBK" w:cs="方正仿宋_GBK"/>
          <w:b w:val="0"/>
          <w:bCs/>
          <w:sz w:val="32"/>
          <w:szCs w:val="32"/>
        </w:rPr>
        <w:t>2023年度年末一般公共预算财政拨款结转和结余0.00万元，较上年决算数无增减，主要原因是</w:t>
      </w:r>
      <w:r>
        <w:rPr>
          <w:rFonts w:hint="eastAsia" w:ascii="Times New Roman" w:hAnsi="Times New Roman" w:eastAsia="方正仿宋_GBK" w:cs="方正仿宋_GBK"/>
          <w:b w:val="0"/>
          <w:bCs/>
          <w:sz w:val="32"/>
          <w:szCs w:val="32"/>
          <w:lang w:eastAsia="zh-CN"/>
        </w:rPr>
        <w:t>本单位为新增单位，无上年数据对比。</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rPr>
      </w:pPr>
      <w:r>
        <w:rPr>
          <w:rStyle w:val="10"/>
          <w:rFonts w:ascii="Times New Roman" w:hAnsi="Times New Roman" w:eastAsia="方正仿宋_GBK" w:cs="方正仿宋_GBK"/>
          <w:b w:val="0"/>
          <w:bCs/>
          <w:sz w:val="32"/>
          <w:szCs w:val="32"/>
          <w:shd w:val="clear" w:color="auto" w:fill="FFFFFF"/>
        </w:rPr>
        <w:t>4.比较情况。</w:t>
      </w:r>
      <w:r>
        <w:rPr>
          <w:rFonts w:ascii="Times New Roman" w:hAnsi="Times New Roman" w:eastAsia="方正仿宋_GBK" w:cs="方正仿宋_GBK"/>
          <w:b w:val="0"/>
          <w:bCs/>
          <w:sz w:val="32"/>
          <w:szCs w:val="32"/>
        </w:rPr>
        <w:t>本单位2023年度一般公共预算财政拨款支出主要用于以下几个方面：</w:t>
      </w:r>
    </w:p>
    <w:p>
      <w:pPr>
        <w:pStyle w:val="8"/>
        <w:snapToGrid w:val="0"/>
        <w:spacing w:before="0" w:beforeAutospacing="0" w:after="0" w:afterAutospacing="0" w:line="600" w:lineRule="exact"/>
        <w:ind w:firstLine="640" w:firstLineChars="200"/>
        <w:jc w:val="both"/>
        <w:rPr>
          <w:rFonts w:hint="eastAsia" w:ascii="Times New Roman" w:hAnsi="Times New Roman" w:eastAsia="方正仿宋_GBK" w:cs="方正仿宋_GBK"/>
          <w:b w:val="0"/>
          <w:bCs/>
          <w:sz w:val="32"/>
          <w:szCs w:val="32"/>
          <w:lang w:eastAsia="zh-CN"/>
        </w:rPr>
      </w:pPr>
      <w:r>
        <w:rPr>
          <w:rFonts w:ascii="Times New Roman" w:hAnsi="Times New Roman" w:eastAsia="方正仿宋_GBK" w:cs="方正仿宋_GBK"/>
          <w:b w:val="0"/>
          <w:bCs/>
          <w:sz w:val="32"/>
          <w:szCs w:val="32"/>
        </w:rPr>
        <w:t>（</w:t>
      </w:r>
      <w:r>
        <w:rPr>
          <w:rFonts w:hint="eastAsia" w:ascii="Times New Roman" w:hAnsi="Times New Roman" w:eastAsia="方正仿宋_GBK" w:cs="方正仿宋_GBK"/>
          <w:b w:val="0"/>
          <w:bCs/>
          <w:sz w:val="32"/>
          <w:szCs w:val="32"/>
          <w:lang w:val="en-US" w:eastAsia="zh-CN"/>
        </w:rPr>
        <w:t>1</w:t>
      </w:r>
      <w:r>
        <w:rPr>
          <w:rFonts w:ascii="Times New Roman" w:hAnsi="Times New Roman" w:eastAsia="方正仿宋_GBK" w:cs="方正仿宋_GBK"/>
          <w:b w:val="0"/>
          <w:bCs/>
          <w:sz w:val="32"/>
          <w:szCs w:val="32"/>
        </w:rPr>
        <w:t>）社会保障与就业支出25.30万元，占9.79%，较年初预算数减少5.37万元，下降17.51%，主要原因是</w:t>
      </w:r>
      <w:r>
        <w:rPr>
          <w:rFonts w:hint="eastAsia" w:ascii="Times New Roman" w:hAnsi="Times New Roman" w:eastAsia="方正仿宋_GBK" w:cs="方正仿宋_GBK"/>
          <w:b w:val="0"/>
          <w:bCs/>
          <w:sz w:val="32"/>
          <w:szCs w:val="32"/>
          <w:lang w:eastAsia="zh-CN"/>
        </w:rPr>
        <w:t>社保基数每年有调整，本单位支出来源于财政实际拨款。</w:t>
      </w:r>
    </w:p>
    <w:p>
      <w:pPr>
        <w:pStyle w:val="8"/>
        <w:snapToGrid w:val="0"/>
        <w:spacing w:before="0" w:beforeAutospacing="0" w:after="0" w:afterAutospacing="0" w:line="600" w:lineRule="exact"/>
        <w:ind w:firstLine="640" w:firstLineChars="200"/>
        <w:jc w:val="both"/>
        <w:rPr>
          <w:rFonts w:hint="default" w:ascii="Times New Roman" w:hAnsi="Times New Roman" w:eastAsia="方正仿宋_GBK" w:cs="方正仿宋_GBK"/>
          <w:b w:val="0"/>
          <w:bCs/>
          <w:sz w:val="32"/>
          <w:szCs w:val="32"/>
        </w:rPr>
      </w:pPr>
      <w:r>
        <w:rPr>
          <w:rFonts w:ascii="Times New Roman" w:hAnsi="Times New Roman" w:eastAsia="方正仿宋_GBK" w:cs="方正仿宋_GBK"/>
          <w:b w:val="0"/>
          <w:bCs/>
          <w:sz w:val="32"/>
          <w:szCs w:val="32"/>
        </w:rPr>
        <w:t>（</w:t>
      </w:r>
      <w:r>
        <w:rPr>
          <w:rFonts w:hint="eastAsia" w:ascii="Times New Roman" w:hAnsi="Times New Roman" w:eastAsia="方正仿宋_GBK" w:cs="方正仿宋_GBK"/>
          <w:b w:val="0"/>
          <w:bCs/>
          <w:sz w:val="32"/>
          <w:szCs w:val="32"/>
          <w:lang w:val="en-US" w:eastAsia="zh-CN"/>
        </w:rPr>
        <w:t>2</w:t>
      </w:r>
      <w:r>
        <w:rPr>
          <w:rFonts w:ascii="Times New Roman" w:hAnsi="Times New Roman" w:eastAsia="方正仿宋_GBK" w:cs="方正仿宋_GBK"/>
          <w:b w:val="0"/>
          <w:bCs/>
          <w:sz w:val="32"/>
          <w:szCs w:val="32"/>
        </w:rPr>
        <w:t>）卫生健康支出215.29万元，占83.34%，较年初预算数增加36.08万元，增长20.13%，主要原因是</w:t>
      </w:r>
      <w:r>
        <w:rPr>
          <w:rFonts w:hint="eastAsia" w:ascii="Times New Roman" w:hAnsi="Times New Roman" w:eastAsia="方正仿宋_GBK" w:cs="方正仿宋_GBK"/>
          <w:b w:val="0"/>
          <w:bCs/>
          <w:sz w:val="32"/>
          <w:szCs w:val="32"/>
          <w:lang w:eastAsia="zh-CN"/>
        </w:rPr>
        <w:t>本单位支出来源于财政实际拨款。</w:t>
      </w:r>
    </w:p>
    <w:p>
      <w:pPr>
        <w:ind w:firstLine="640" w:firstLineChars="200"/>
        <w:rPr>
          <w:rFonts w:hint="eastAsia" w:ascii="Times New Roman" w:hAnsi="Times New Roman" w:eastAsia="方正仿宋_GBK" w:cs="方正仿宋_GBK"/>
          <w:sz w:val="32"/>
          <w:szCs w:val="32"/>
          <w:lang w:val="en-US" w:eastAsia="zh-CN" w:bidi="ar-SA"/>
        </w:rPr>
      </w:pPr>
      <w:r>
        <w:rPr>
          <w:rFonts w:hint="eastAsia" w:ascii="Times New Roman" w:hAnsi="Times New Roman" w:eastAsia="方正仿宋_GBK" w:cs="方正仿宋_GBK"/>
          <w:b w:val="0"/>
          <w:bCs/>
          <w:sz w:val="32"/>
          <w:szCs w:val="32"/>
          <w:lang w:val="en-US" w:eastAsia="zh-CN" w:bidi="ar-SA"/>
        </w:rPr>
        <w:t>（3）住房保障支出17.74万元，占6.87%，较年初预算数无增减，主要原因是本年人员固定，实际支出与预算保</w:t>
      </w:r>
      <w:r>
        <w:rPr>
          <w:rFonts w:hint="eastAsia" w:ascii="Times New Roman" w:hAnsi="Times New Roman" w:eastAsia="方正仿宋_GBK" w:cs="方正仿宋_GBK"/>
          <w:sz w:val="32"/>
          <w:szCs w:val="32"/>
          <w:lang w:val="en-US" w:eastAsia="zh-CN" w:bidi="ar-SA"/>
        </w:rPr>
        <w:t>持一致</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lang w:eastAsia="zh-CN"/>
        </w:rPr>
      </w:pPr>
      <w:r>
        <w:rPr>
          <w:rFonts w:ascii="Times New Roman" w:hAnsi="Times New Roman" w:eastAsia="方正仿宋_GBK" w:cs="方正仿宋_GBK"/>
          <w:sz w:val="32"/>
          <w:szCs w:val="32"/>
        </w:rPr>
        <w:t>2023年度一般公共财政拨款基本支出258.32万元。其中：人员经费240.58万元，较上年决算数增加240.58万元，增长100.00%，主要原因是</w:t>
      </w:r>
      <w:r>
        <w:rPr>
          <w:rFonts w:hint="eastAsia" w:ascii="Times New Roman" w:hAnsi="Times New Roman" w:eastAsia="方正仿宋_GBK" w:cs="方正仿宋_GBK"/>
          <w:sz w:val="32"/>
          <w:szCs w:val="32"/>
          <w:lang w:eastAsia="zh-CN"/>
        </w:rPr>
        <w:t>本单位为新增单位，无上年数据对比。</w:t>
      </w:r>
      <w:r>
        <w:rPr>
          <w:rFonts w:ascii="Times New Roman" w:hAnsi="Times New Roman" w:eastAsia="方正仿宋_GBK" w:cs="方正仿宋_GBK"/>
          <w:sz w:val="32"/>
          <w:szCs w:val="32"/>
        </w:rPr>
        <w:t>人员经费用途主要包括</w:t>
      </w:r>
      <w:r>
        <w:rPr>
          <w:rFonts w:hint="eastAsia" w:ascii="Times New Roman" w:hAnsi="Times New Roman" w:eastAsia="方正仿宋_GBK" w:cs="方正仿宋_GBK"/>
          <w:sz w:val="32"/>
          <w:szCs w:val="32"/>
          <w:lang w:eastAsia="zh-CN"/>
        </w:rPr>
        <w:t>社会保障、基本工资、绩效工资等。</w:t>
      </w:r>
      <w:r>
        <w:rPr>
          <w:rFonts w:ascii="Times New Roman" w:hAnsi="Times New Roman" w:eastAsia="方正仿宋_GBK" w:cs="方正仿宋_GBK"/>
          <w:sz w:val="32"/>
          <w:szCs w:val="32"/>
        </w:rPr>
        <w:t>公用经费17.74万元，较上年决算数增加17.74万元，增长100.00%，主要原因是</w:t>
      </w:r>
      <w:r>
        <w:rPr>
          <w:rFonts w:hint="eastAsia" w:ascii="Times New Roman" w:hAnsi="Times New Roman" w:eastAsia="方正仿宋_GBK" w:cs="方正仿宋_GBK"/>
          <w:sz w:val="32"/>
          <w:szCs w:val="32"/>
          <w:lang w:eastAsia="zh-CN"/>
        </w:rPr>
        <w:t>本单位为新增单位，无上年数据对比。</w:t>
      </w:r>
      <w:r>
        <w:rPr>
          <w:rFonts w:ascii="Times New Roman" w:hAnsi="Times New Roman" w:eastAsia="方正仿宋_GBK" w:cs="方正仿宋_GBK"/>
          <w:sz w:val="32"/>
          <w:szCs w:val="32"/>
        </w:rPr>
        <w:t>公用经费用途主要包括</w:t>
      </w:r>
      <w:r>
        <w:rPr>
          <w:rFonts w:hint="eastAsia" w:ascii="Times New Roman" w:hAnsi="Times New Roman" w:eastAsia="方正仿宋_GBK" w:cs="方正仿宋_GBK"/>
          <w:sz w:val="32"/>
          <w:szCs w:val="32"/>
          <w:lang w:eastAsia="zh-CN"/>
        </w:rPr>
        <w:t>办公费、水费、电费等。</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ascii="Times New Roman" w:hAnsi="Times New Roman" w:eastAsia="方正仿宋_GBK" w:cs="方正仿宋_GBK"/>
          <w:b w:val="0"/>
          <w:bCs w:val="0"/>
          <w:sz w:val="32"/>
          <w:szCs w:val="32"/>
        </w:rPr>
        <w:t>本单位2023年度无政府性基金预算财政拨款收支。</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ascii="楷体" w:hAnsi="楷体" w:eastAsia="楷体" w:cs="楷体"/>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sz w:val="32"/>
          <w:szCs w:val="32"/>
        </w:rPr>
      </w:pPr>
      <w:r>
        <w:rPr>
          <w:rFonts w:ascii="Times New Roman" w:hAnsi="Times New Roman" w:eastAsia="方正仿宋_GBK" w:cs="方正仿宋_GBK"/>
          <w:b w:val="0"/>
          <w:bCs w:val="0"/>
          <w:sz w:val="32"/>
          <w:szCs w:val="32"/>
        </w:rPr>
        <w:t>本单位2023年度无国有资本经营预算财政拨款支出。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三、“三公”经费情况说明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（一）“三公”经费支出总体情况说明</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eastAsia" w:ascii="方正仿宋_GBK" w:hAnsi="方正仿宋_GBK" w:eastAsia="方正仿宋_GBK" w:cs="方正仿宋_GBK"/>
          <w:b w:val="0"/>
          <w:bCs/>
          <w:sz w:val="32"/>
          <w:szCs w:val="32"/>
          <w:shd w:val="clear" w:color="auto" w:fill="FFFFFF"/>
          <w:lang w:eastAsia="zh-CN"/>
        </w:rPr>
      </w:pPr>
      <w:r>
        <w:rPr>
          <w:rFonts w:hint="eastAsia" w:ascii="方正仿宋_GBK" w:hAnsi="方正仿宋_GBK" w:eastAsia="方正仿宋_GBK" w:cs="方正仿宋_GBK"/>
          <w:b w:val="0"/>
          <w:bCs/>
          <w:sz w:val="32"/>
          <w:szCs w:val="32"/>
          <w:shd w:val="clear" w:color="auto" w:fill="FFFFFF"/>
          <w:lang w:eastAsia="zh-CN"/>
        </w:rPr>
        <w:t>本单位为委属代管单位，财政未保障“三公”经费。</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（二）“三公”经费分项支出情况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2023年度本单位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Fonts w:ascii="Times New Roman" w:hAnsi="Times New Roman" w:eastAsia="方正仿宋_GBK" w:cs="方正仿宋_GBK"/>
          <w:sz w:val="32"/>
          <w:szCs w:val="32"/>
          <w:shd w:val="clear" w:color="auto" w:fill="FFFFFF"/>
        </w:rPr>
        <w:t>2023年度本单位因公出国（境）共计0个团组，0人；公务用车购置0辆，公务车保有量为0辆；国内公务接待0批次0人，其中：国内外事接待0批次，0人；国（境）外公务接待0批次，0人。2023年本单位人均接待费0元，车均购置费0万元，车均维护费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四、其他需要说明的事项</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（一）财政拨款会议费和培训费情况说明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sz w:val="32"/>
          <w:szCs w:val="32"/>
          <w:shd w:val="clear" w:color="auto" w:fill="FFFFFF"/>
        </w:rPr>
      </w:pPr>
      <w:r>
        <w:rPr>
          <w:rFonts w:hint="eastAsia" w:ascii="Times New Roman" w:hAnsi="Times New Roman" w:eastAsia="方正仿宋_GBK" w:cs="方正仿宋_GBK"/>
          <w:sz w:val="32"/>
          <w:szCs w:val="32"/>
          <w:shd w:val="clear" w:color="auto" w:fill="FFFFFF"/>
        </w:rPr>
        <w:t>本年度会议费支出0.00万元，较上年决算数无增减，主要原因是</w:t>
      </w:r>
      <w:r>
        <w:rPr>
          <w:rFonts w:hint="eastAsia" w:ascii="Times New Roman" w:hAnsi="Times New Roman" w:eastAsia="方正仿宋_GBK" w:cs="方正仿宋_GBK"/>
          <w:sz w:val="32"/>
          <w:szCs w:val="32"/>
          <w:shd w:val="clear" w:color="auto" w:fill="FFFFFF"/>
          <w:lang w:eastAsia="zh-CN"/>
        </w:rPr>
        <w:t>本单位为新增单位，无上年数据对比。</w:t>
      </w:r>
      <w:r>
        <w:rPr>
          <w:rFonts w:hint="eastAsia" w:ascii="Times New Roman" w:hAnsi="Times New Roman" w:eastAsia="方正仿宋_GBK" w:cs="方正仿宋_GBK"/>
          <w:sz w:val="32"/>
          <w:szCs w:val="32"/>
          <w:shd w:val="clear" w:color="auto" w:fill="FFFFFF"/>
        </w:rPr>
        <w:t>本年度培训费支出0.34万元，较上年决算数增加0.34万元，增长100.00%，主要原因是</w:t>
      </w:r>
      <w:r>
        <w:rPr>
          <w:rFonts w:hint="eastAsia" w:ascii="Times New Roman" w:hAnsi="Times New Roman" w:eastAsia="方正仿宋_GBK" w:cs="方正仿宋_GBK"/>
          <w:sz w:val="32"/>
          <w:szCs w:val="32"/>
          <w:shd w:val="clear" w:color="auto" w:fill="FFFFFF"/>
          <w:lang w:eastAsia="zh-CN"/>
        </w:rPr>
        <w:t>本单位为新增单位，无上年数据对比。</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（二）机关运行经费情况说明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sz w:val="32"/>
          <w:szCs w:val="32"/>
          <w:shd w:val="clear" w:color="auto" w:fill="FFFFFF"/>
        </w:rPr>
      </w:pPr>
      <w:r>
        <w:rPr>
          <w:rFonts w:hint="default" w:ascii="Times New Roman" w:hAnsi="Times New Roman" w:eastAsia="方正仿宋_GBK" w:cs="方正仿宋_GBK"/>
          <w:b w:val="0"/>
          <w:bCs/>
          <w:sz w:val="32"/>
          <w:szCs w:val="32"/>
          <w:shd w:val="clear" w:color="auto" w:fill="FFFFFF"/>
        </w:rPr>
        <w:t>按照部门决算列报口径，我单位不在机关运行经费统计范围之内。</w:t>
      </w:r>
    </w:p>
    <w:p>
      <w:pPr>
        <w:pStyle w:val="13"/>
        <w:keepNext w:val="0"/>
        <w:keepLines w:val="0"/>
        <w:pageBreakBefore w:val="0"/>
        <w:widowControl/>
        <w:kinsoku/>
        <w:wordWrap/>
        <w:overflowPunct/>
        <w:topLinePunct w:val="0"/>
        <w:autoSpaceDE w:val="0"/>
        <w:autoSpaceDN/>
        <w:bidi w:val="0"/>
        <w:adjustRightInd/>
        <w:spacing w:line="560" w:lineRule="exact"/>
        <w:ind w:firstLine="643"/>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（三）国有资产占用情况说明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Fonts w:ascii="Times New Roman" w:hAnsi="Times New Roman" w:eastAsia="方正仿宋_GBK" w:cs="方正仿宋_GBK"/>
          <w:sz w:val="32"/>
          <w:szCs w:val="32"/>
          <w:shd w:val="clear" w:color="auto" w:fill="FFFFFF"/>
        </w:rPr>
        <w:t>截至2023年12月31日，本单位共有车辆0辆，其中，副部（省）级及以上领导用车0辆、主要负责人用车0辆、机要通信用车0辆、应急保障用车0辆、执法执勤用车0辆，特种专业技术用车0辆，离退休干部用车0辆。单价100万元（含）以上专用设备0台（套）。</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3"/>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sz w:val="32"/>
          <w:szCs w:val="32"/>
          <w:shd w:val="clear" w:color="auto" w:fill="FFFFFF"/>
        </w:rPr>
      </w:pPr>
      <w:r>
        <w:rPr>
          <w:rFonts w:ascii="Times New Roman" w:hAnsi="Times New Roman" w:eastAsia="方正仿宋_GBK" w:cs="方正仿宋_GBK"/>
          <w:sz w:val="32"/>
          <w:szCs w:val="32"/>
          <w:shd w:val="clear" w:color="auto" w:fill="FFFFFF"/>
        </w:rPr>
        <w:t>2023年度</w:t>
      </w:r>
      <w:r>
        <w:rPr>
          <w:rFonts w:hint="eastAsia" w:ascii="Times New Roman" w:hAnsi="Times New Roman" w:eastAsia="方正仿宋_GBK" w:cs="方正仿宋_GBK"/>
          <w:sz w:val="32"/>
          <w:szCs w:val="32"/>
          <w:shd w:val="clear" w:color="auto" w:fill="FFFFFF"/>
          <w:lang w:eastAsia="zh-CN"/>
        </w:rPr>
        <w:t>本</w:t>
      </w:r>
      <w:r>
        <w:rPr>
          <w:rFonts w:ascii="Times New Roman" w:hAnsi="Times New Roman" w:eastAsia="方正仿宋_GBK" w:cs="方正仿宋_GBK"/>
          <w:sz w:val="32"/>
          <w:szCs w:val="32"/>
          <w:shd w:val="clear" w:color="auto" w:fill="FFFFFF"/>
        </w:rPr>
        <w:t>单位未发生政府采购事项，无相关经费支出。</w:t>
      </w:r>
    </w:p>
    <w:p>
      <w:pPr>
        <w:pStyle w:val="8"/>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黑体" w:hAnsi="黑体" w:eastAsia="黑体" w:cs="黑体"/>
          <w:b w:val="0"/>
          <w:bCs/>
          <w:sz w:val="32"/>
          <w:szCs w:val="32"/>
          <w:shd w:val="clear" w:color="auto" w:fill="FFFFFF"/>
        </w:rPr>
      </w:pPr>
      <w:r>
        <w:rPr>
          <w:rStyle w:val="10"/>
          <w:rFonts w:ascii="黑体" w:hAnsi="黑体" w:eastAsia="黑体" w:cs="黑体"/>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b w:val="0"/>
          <w:bCs w:val="0"/>
          <w:sz w:val="32"/>
          <w:szCs w:val="32"/>
          <w:shd w:val="clear" w:color="auto" w:fill="FFFFFF"/>
        </w:rPr>
      </w:pPr>
      <w:r>
        <w:rPr>
          <w:rFonts w:hint="eastAsia" w:ascii="方正仿宋_GBK" w:hAnsi="方正仿宋_GBK" w:eastAsia="方正仿宋_GBK" w:cs="方正仿宋_GBK"/>
          <w:b w:val="0"/>
          <w:bCs w:val="0"/>
          <w:sz w:val="32"/>
          <w:szCs w:val="32"/>
          <w:shd w:val="clear" w:color="auto" w:fill="FFFFFF"/>
          <w:lang w:eastAsia="zh-CN"/>
        </w:rPr>
        <w:t>本</w:t>
      </w:r>
      <w:r>
        <w:rPr>
          <w:rFonts w:hint="eastAsia" w:ascii="方正仿宋_GBK" w:hAnsi="方正仿宋_GBK" w:eastAsia="方正仿宋_GBK" w:cs="方正仿宋_GBK"/>
          <w:b w:val="0"/>
          <w:bCs w:val="0"/>
          <w:sz w:val="32"/>
          <w:szCs w:val="32"/>
          <w:shd w:val="clear" w:color="auto" w:fill="FFFFFF"/>
        </w:rPr>
        <w:t>单位</w:t>
      </w:r>
      <w:r>
        <w:rPr>
          <w:rFonts w:hint="eastAsia" w:ascii="方正仿宋_GBK" w:hAnsi="方正仿宋_GBK" w:eastAsia="方正仿宋_GBK" w:cs="方正仿宋_GBK"/>
          <w:b w:val="0"/>
          <w:bCs w:val="0"/>
          <w:sz w:val="32"/>
          <w:szCs w:val="32"/>
          <w:shd w:val="clear" w:color="auto" w:fill="FFFFFF"/>
          <w:lang w:eastAsia="zh-CN"/>
        </w:rPr>
        <w:t>未组织开展绩效评价。</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（三）财政绩效评价情况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lang w:eastAsia="zh-CN"/>
        </w:rPr>
        <w:t>县</w:t>
      </w:r>
      <w:r>
        <w:rPr>
          <w:rFonts w:hint="eastAsia" w:ascii="方正仿宋_GBK" w:hAnsi="方正仿宋_GBK" w:eastAsia="方正仿宋_GBK" w:cs="方正仿宋_GBK"/>
          <w:sz w:val="32"/>
          <w:szCs w:val="32"/>
          <w:shd w:val="clear" w:color="auto" w:fill="FFFFFF"/>
        </w:rPr>
        <w:t>财政局</w:t>
      </w:r>
      <w:r>
        <w:rPr>
          <w:rFonts w:hint="eastAsia" w:ascii="方正仿宋_GBK" w:hAnsi="方正仿宋_GBK" w:eastAsia="方正仿宋_GBK" w:cs="方正仿宋_GBK"/>
          <w:sz w:val="32"/>
          <w:szCs w:val="32"/>
          <w:shd w:val="clear" w:color="auto" w:fill="FFFFFF"/>
          <w:lang w:eastAsia="zh-CN"/>
        </w:rPr>
        <w:t>未</w:t>
      </w:r>
      <w:r>
        <w:rPr>
          <w:rFonts w:hint="eastAsia" w:ascii="方正仿宋_GBK" w:hAnsi="方正仿宋_GBK" w:eastAsia="方正仿宋_GBK" w:cs="方正仿宋_GBK"/>
          <w:sz w:val="32"/>
          <w:szCs w:val="32"/>
          <w:shd w:val="clear" w:color="auto" w:fill="FFFFFF"/>
        </w:rPr>
        <w:t>委托第三方对</w:t>
      </w:r>
      <w:r>
        <w:rPr>
          <w:rFonts w:hint="eastAsia" w:ascii="方正仿宋_GBK" w:hAnsi="方正仿宋_GBK" w:eastAsia="方正仿宋_GBK" w:cs="方正仿宋_GBK"/>
          <w:sz w:val="32"/>
          <w:szCs w:val="32"/>
          <w:shd w:val="clear" w:color="auto" w:fill="FFFFFF"/>
          <w:lang w:eastAsia="zh-CN"/>
        </w:rPr>
        <w:t>本</w:t>
      </w:r>
      <w:r>
        <w:rPr>
          <w:rFonts w:hint="eastAsia" w:ascii="方正仿宋_GBK" w:hAnsi="方正仿宋_GBK" w:eastAsia="方正仿宋_GBK" w:cs="方正仿宋_GBK"/>
          <w:sz w:val="32"/>
          <w:szCs w:val="32"/>
          <w:shd w:val="clear" w:color="auto" w:fill="FFFFFF"/>
        </w:rPr>
        <w:t>单位</w:t>
      </w:r>
      <w:r>
        <w:rPr>
          <w:rFonts w:hint="eastAsia" w:ascii="方正仿宋_GBK" w:hAnsi="方正仿宋_GBK" w:eastAsia="方正仿宋_GBK" w:cs="方正仿宋_GBK"/>
          <w:sz w:val="32"/>
          <w:szCs w:val="32"/>
          <w:shd w:val="clear" w:color="auto" w:fill="FFFFFF"/>
          <w:lang w:eastAsia="zh-CN"/>
        </w:rPr>
        <w:t>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六、专业名词解释</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（二）事业收入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（三）经营收入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（四）其他收入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（五）使用非财政拨款结余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（六）年初结转和结余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（七）结余分配</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（八）年末结转和结余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（九）基本支出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（十）项目支出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（十一）经营支出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（十二）“三公”经费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（十三）机关运行经费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七、决算公开联系方式及信息反馈渠道</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rPr>
        <w:t>本单位决算公开信息反馈和联系方式：</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ascii="Times New Roman" w:hAnsi="Times New Roman" w:eastAsia="方正仿宋_GBK" w:cs="方正仿宋_GBK"/>
          <w:sz w:val="32"/>
          <w:szCs w:val="32"/>
          <w:shd w:val="clear" w:color="auto" w:fill="FFFFFF"/>
          <w:lang w:val="en-US"/>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方正仿宋_GBK" w:hAnsi="方正仿宋_GBK" w:eastAsia="方正仿宋_GBK" w:cs="方正仿宋_GBK"/>
          <w:sz w:val="32"/>
          <w:szCs w:val="32"/>
          <w:shd w:val="clear" w:color="auto" w:fill="FFFFFF"/>
          <w:lang w:eastAsia="zh-CN"/>
        </w:rPr>
        <w:t>龚盼</w:t>
      </w:r>
      <w:r>
        <w:rPr>
          <w:rFonts w:hint="eastAsia" w:ascii="Times New Roman" w:hAnsi="Times New Roman" w:eastAsia="方正仿宋_GBK" w:cs="方正仿宋_GBK"/>
          <w:sz w:val="32"/>
          <w:szCs w:val="32"/>
          <w:shd w:val="clear" w:color="auto" w:fill="FFFFFF"/>
          <w:lang w:val="en-US" w:eastAsia="zh-CN"/>
        </w:rPr>
        <w:t xml:space="preserve">  023-76662083</w:t>
      </w:r>
    </w:p>
    <w:p>
      <w:pPr>
        <w:rPr>
          <w:rFonts w:hint="default" w:cs="宋体"/>
          <w:sz w:val="21"/>
          <w:szCs w:val="21"/>
        </w:rPr>
      </w:pPr>
    </w:p>
    <w:tbl>
      <w:tblPr>
        <w:tblStyle w:val="11"/>
        <w:tblW w:w="15393" w:type="dxa"/>
        <w:tblInd w:w="0" w:type="dxa"/>
        <w:tblLayout w:type="fixed"/>
        <w:tblCellMar>
          <w:top w:w="0" w:type="dxa"/>
          <w:left w:w="0" w:type="dxa"/>
          <w:bottom w:w="0" w:type="dxa"/>
          <w:right w:w="0" w:type="dxa"/>
        </w:tblCellMar>
      </w:tblPr>
      <w:tblGrid>
        <w:gridCol w:w="5122"/>
        <w:gridCol w:w="2020"/>
        <w:gridCol w:w="4809"/>
        <w:gridCol w:w="3442"/>
      </w:tblGrid>
      <w:tr>
        <w:tblPrEx>
          <w:tblLayout w:type="fixed"/>
          <w:tblCellMar>
            <w:top w:w="0" w:type="dxa"/>
            <w:left w:w="0" w:type="dxa"/>
            <w:bottom w:w="0" w:type="dxa"/>
            <w:right w:w="0" w:type="dxa"/>
          </w:tblCellMar>
        </w:tblPrEx>
        <w:trPr>
          <w:trHeight w:val="232" w:hRule="atLeast"/>
        </w:trPr>
        <w:tc>
          <w:tcPr>
            <w:tcW w:w="15393"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5122" w:type="dxa"/>
            <w:tcBorders>
              <w:top w:val="nil"/>
              <w:left w:val="nil"/>
              <w:bottom w:val="nil"/>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sz w:val="20"/>
                <w:u w:color="auto"/>
              </w:rPr>
              <w:t>重庆市秀山土家族苗族自治县基层卫生管理中心</w:t>
            </w:r>
          </w:p>
        </w:tc>
        <w:tc>
          <w:tcPr>
            <w:tcW w:w="2020"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2"/>
                <w:szCs w:val="22"/>
              </w:rPr>
            </w:pPr>
          </w:p>
        </w:tc>
        <w:tc>
          <w:tcPr>
            <w:tcW w:w="480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44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1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8251"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202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44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258.32</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二、外交支出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三、国防支出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四、上级补助收入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四、公共安全支出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五、事业收入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五、教育支出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六、经营收入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六、科学技术支出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八、其他收入</w:t>
            </w:r>
          </w:p>
        </w:tc>
        <w:tc>
          <w:tcPr>
            <w:tcW w:w="2020"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25.30</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九、卫生健康支出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215.29</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十、节能环保支出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十一、城乡社区支出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Arial" w:hAnsi="Arial" w:cs="Arial"/>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十二、农林水支出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十三、交通运输支出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十六、金融支出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十九、住房保障支出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17.74</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二十三、其他支出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cs="宋体"/>
                <w:b/>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cs="宋体"/>
                <w:color w:val="000000"/>
                <w:sz w:val="20"/>
                <w:szCs w:val="20"/>
              </w:rPr>
            </w:pP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258.32</w:t>
            </w: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258.32</w:t>
            </w: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结余分配</w:t>
            </w:r>
          </w:p>
        </w:tc>
        <w:tc>
          <w:tcPr>
            <w:tcW w:w="34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年初结转和结余</w:t>
            </w:r>
          </w:p>
        </w:tc>
        <w:tc>
          <w:tcPr>
            <w:tcW w:w="20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c>
          <w:tcPr>
            <w:tcW w:w="480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年末结转和结余</w:t>
            </w:r>
          </w:p>
        </w:tc>
        <w:tc>
          <w:tcPr>
            <w:tcW w:w="3442"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22"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258.32</w:t>
            </w:r>
            <w:r>
              <w:rPr>
                <w:color w:val="000000"/>
                <w:sz w:val="20"/>
                <w:u w:color="auto"/>
              </w:rPr>
              <w:t xml:space="preserve"> </w:t>
            </w:r>
          </w:p>
        </w:tc>
        <w:tc>
          <w:tcPr>
            <w:tcW w:w="4809"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4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cs="宋体"/>
                <w:color w:val="000000"/>
                <w:sz w:val="20"/>
                <w:szCs w:val="20"/>
              </w:rPr>
            </w:pPr>
            <w:r>
              <w:rPr>
                <w:rFonts w:cs="宋体"/>
                <w:color w:val="000000"/>
                <w:sz w:val="20"/>
                <w:szCs w:val="20"/>
              </w:rPr>
              <w:t>258.32</w:t>
            </w:r>
            <w:r>
              <w:rPr>
                <w:color w:val="000000"/>
                <w:sz w:val="20"/>
                <w:u w:color="auto"/>
              </w:rPr>
              <w:t xml:space="preserve"> </w:t>
            </w:r>
          </w:p>
        </w:tc>
      </w:tr>
    </w:tbl>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378" w:type="dxa"/>
        <w:tblInd w:w="0" w:type="dxa"/>
        <w:tblLayout w:type="fixed"/>
        <w:tblCellMar>
          <w:top w:w="0" w:type="dxa"/>
          <w:left w:w="0" w:type="dxa"/>
          <w:bottom w:w="0" w:type="dxa"/>
          <w:right w:w="0" w:type="dxa"/>
        </w:tblCellMar>
      </w:tblPr>
      <w:tblGrid>
        <w:gridCol w:w="1702"/>
        <w:gridCol w:w="3171"/>
        <w:gridCol w:w="1233"/>
        <w:gridCol w:w="1233"/>
        <w:gridCol w:w="1233"/>
        <w:gridCol w:w="1233"/>
        <w:gridCol w:w="1366"/>
        <w:gridCol w:w="1307"/>
        <w:gridCol w:w="1439"/>
        <w:gridCol w:w="1461"/>
      </w:tblGrid>
      <w:tr>
        <w:tblPrEx>
          <w:tblLayout w:type="fixed"/>
          <w:tblCellMar>
            <w:top w:w="0" w:type="dxa"/>
            <w:left w:w="0" w:type="dxa"/>
            <w:bottom w:w="0" w:type="dxa"/>
            <w:right w:w="0" w:type="dxa"/>
          </w:tblCellMar>
        </w:tblPrEx>
        <w:trPr>
          <w:trHeight w:val="641" w:hRule="atLeast"/>
        </w:trPr>
        <w:tc>
          <w:tcPr>
            <w:tcW w:w="15378"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4873"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sz w:val="20"/>
                <w:u w:color="auto"/>
              </w:rPr>
              <w:t>重庆市秀山土家族苗族自治县基层卫生管理中心</w:t>
            </w: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4873"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87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9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3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70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71"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70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171"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258.32</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258.32</w:t>
            </w: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2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3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4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25.30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25.30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25.30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25.30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20.44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20.44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4.86</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215.29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215.29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206.19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206.19</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206.19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206.19</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9.10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9.10</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9.10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9.10</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17.74</w:t>
            </w:r>
            <w:r>
              <w:rPr>
                <w:b/>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70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7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17.74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17.74</w:t>
            </w: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78" w:type="dxa"/>
        <w:tblInd w:w="0" w:type="dxa"/>
        <w:tblLayout w:type="fixed"/>
        <w:tblCellMar>
          <w:top w:w="0" w:type="dxa"/>
          <w:left w:w="0" w:type="dxa"/>
          <w:bottom w:w="0" w:type="dxa"/>
          <w:right w:w="0" w:type="dxa"/>
        </w:tblCellMar>
      </w:tblPr>
      <w:tblGrid>
        <w:gridCol w:w="1803"/>
        <w:gridCol w:w="3355"/>
        <w:gridCol w:w="1701"/>
        <w:gridCol w:w="1701"/>
        <w:gridCol w:w="1701"/>
        <w:gridCol w:w="1685"/>
        <w:gridCol w:w="1685"/>
        <w:gridCol w:w="1747"/>
      </w:tblGrid>
      <w:tr>
        <w:tblPrEx>
          <w:tblLayout w:type="fixed"/>
          <w:tblCellMar>
            <w:top w:w="0" w:type="dxa"/>
            <w:left w:w="0" w:type="dxa"/>
            <w:bottom w:w="0" w:type="dxa"/>
            <w:right w:w="0" w:type="dxa"/>
          </w:tblCellMar>
        </w:tblPrEx>
        <w:trPr>
          <w:trHeight w:val="65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5158"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重庆市秀山土家族苗族自治县基层卫生管理中心 </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5158"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8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4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8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355"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8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55"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5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258.32</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258.32</w:t>
            </w:r>
            <w:r>
              <w:rPr>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6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25.30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25.30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25.30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25.30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20.44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20.44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4.86</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215.29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215.29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206.19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206.19</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206.19</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206.19</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9.10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9.10</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9.10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9.10</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b/>
                <w:color w:val="000000"/>
                <w:sz w:val="20"/>
                <w:szCs w:val="20"/>
              </w:rPr>
              <w:t>17.74</w:t>
            </w:r>
            <w:r>
              <w:rPr>
                <w:b/>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8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17.74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rFonts w:cs="宋体"/>
                <w:color w:val="000000"/>
                <w:sz w:val="20"/>
                <w:szCs w:val="20"/>
              </w:rPr>
              <w:t>17.74</w:t>
            </w:r>
            <w:r>
              <w:rPr>
                <w:color w:val="000000"/>
                <w:sz w:val="20"/>
                <w:u w:color="auto"/>
              </w:rPr>
              <w:t xml:space="preserve"> </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color w:val="000000"/>
                <w:sz w:val="20"/>
                <w:szCs w:val="20"/>
              </w:rPr>
            </w:pPr>
            <w:r>
              <w:rPr>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732" w:type="dxa"/>
        <w:tblInd w:w="0" w:type="dxa"/>
        <w:tblLayout w:type="fixed"/>
        <w:tblCellMar>
          <w:top w:w="0" w:type="dxa"/>
          <w:left w:w="0" w:type="dxa"/>
          <w:bottom w:w="0" w:type="dxa"/>
          <w:right w:w="0" w:type="dxa"/>
        </w:tblCellMar>
      </w:tblPr>
      <w:tblGrid>
        <w:gridCol w:w="2979"/>
        <w:gridCol w:w="1526"/>
        <w:gridCol w:w="3191"/>
        <w:gridCol w:w="1700"/>
        <w:gridCol w:w="1700"/>
        <w:gridCol w:w="1700"/>
        <w:gridCol w:w="1936"/>
      </w:tblGrid>
      <w:tr>
        <w:tblPrEx>
          <w:tblLayout w:type="fixed"/>
          <w:tblCellMar>
            <w:top w:w="0" w:type="dxa"/>
            <w:left w:w="0" w:type="dxa"/>
            <w:bottom w:w="0" w:type="dxa"/>
            <w:right w:w="0" w:type="dxa"/>
          </w:tblCellMar>
        </w:tblPrEx>
        <w:trPr>
          <w:trHeight w:val="90" w:hRule="atLeast"/>
        </w:trPr>
        <w:tc>
          <w:tcPr>
            <w:tcW w:w="14732"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450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重庆市秀山土家族苗族自治县基层卫生管理中心</w:t>
            </w: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450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50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227"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9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36"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52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19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70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258.32</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一、一般公共服务支出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二、外交支出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三、国防支出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四、公共安全支出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五、教育支出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六、科学技术支出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七、文化旅游体育与传媒支出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八、社会保障和就业支出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25.30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25.30</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九、卫生健康支出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215.29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215.29</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十、节能环保支出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十一、城乡社区支出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十二、农林水支出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十三、交通运输支出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十四、资源勘探工业信息等支出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十五、商业服务业等支出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十六、金融支出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十七、援助其他地区支出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十八、自然资源海洋气象等支出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十九、住房保障支出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17.74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17.74</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二十、粮油物资储备支出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二十一、国有资本经营预算支出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二十二、灾害防治及应急管理支出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二十三、其他支出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二十四、债务还本支出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二十五、债务付息支出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二十六、抗疫特别国债安排的支出</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本年收入合计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258.32</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本年支出合计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258.32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258.32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年初财政拨款结转和结余</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年末财政拨款结转和结余</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一般公共预算财政拨款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政府性基金预算财政拨款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国有资本经营预算财政拨款</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2979"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258.32</w:t>
            </w:r>
            <w:r>
              <w:rPr>
                <w:color w:val="000000"/>
                <w:sz w:val="18"/>
                <w:u w:color="auto"/>
              </w:rPr>
              <w:t xml:space="preserve"> </w:t>
            </w:r>
          </w:p>
        </w:tc>
        <w:tc>
          <w:tcPr>
            <w:tcW w:w="319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258.32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258.32</w:t>
            </w:r>
            <w:r>
              <w:rPr>
                <w:color w:val="000000"/>
                <w:sz w:val="18"/>
                <w:u w:color="auto"/>
              </w:rPr>
              <w:t xml:space="preserve"> </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78" w:type="dxa"/>
        <w:tblInd w:w="0" w:type="dxa"/>
        <w:tblLayout w:type="fixed"/>
        <w:tblCellMar>
          <w:top w:w="0" w:type="dxa"/>
          <w:left w:w="0" w:type="dxa"/>
          <w:bottom w:w="0" w:type="dxa"/>
          <w:right w:w="0" w:type="dxa"/>
        </w:tblCellMar>
      </w:tblPr>
      <w:tblGrid>
        <w:gridCol w:w="1857"/>
        <w:gridCol w:w="3549"/>
        <w:gridCol w:w="3319"/>
        <w:gridCol w:w="3319"/>
        <w:gridCol w:w="3334"/>
      </w:tblGrid>
      <w:tr>
        <w:tblPrEx>
          <w:tblLayout w:type="fixed"/>
          <w:tblCellMar>
            <w:top w:w="0" w:type="dxa"/>
            <w:left w:w="0" w:type="dxa"/>
            <w:bottom w:w="0" w:type="dxa"/>
            <w:right w:w="0" w:type="dxa"/>
          </w:tblCellMar>
        </w:tblPrEx>
        <w:trPr>
          <w:trHeight w:val="510"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540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重庆市秀山土家族苗族自治县基层卫生管理中心</w:t>
            </w: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540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1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40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72"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7"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857"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5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1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33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406"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258.32</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bCs/>
                <w:color w:val="000000"/>
                <w:sz w:val="20"/>
                <w:szCs w:val="20"/>
              </w:rPr>
              <w:t>258.32</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25.30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25.30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25.30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25.30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20.44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20.44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4.86</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4.86</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215.29</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215.29</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206.19</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206.19</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206.19</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206.19</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9.10</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9.10</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9.10</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9.10</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17.74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17.74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17.74</w:t>
            </w:r>
            <w:r>
              <w:rPr>
                <w:b/>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b/>
                <w:color w:val="000000"/>
                <w:sz w:val="20"/>
                <w:szCs w:val="20"/>
              </w:rPr>
              <w:t>17.74</w:t>
            </w:r>
            <w:r>
              <w:rPr>
                <w:b/>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17.74</w:t>
            </w:r>
            <w:r>
              <w:rPr>
                <w:color w:val="000000"/>
                <w:sz w:val="20"/>
                <w:u w:color="auto"/>
              </w:rPr>
              <w:t xml:space="preserve"> </w:t>
            </w:r>
          </w:p>
        </w:tc>
        <w:tc>
          <w:tcPr>
            <w:tcW w:w="33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rFonts w:cs="宋体"/>
                <w:color w:val="000000"/>
                <w:sz w:val="20"/>
                <w:szCs w:val="20"/>
              </w:rPr>
              <w:t>17.74</w:t>
            </w:r>
            <w:r>
              <w:rPr>
                <w:color w:val="000000"/>
                <w:sz w:val="20"/>
                <w:u w:color="auto"/>
              </w:rPr>
              <w:t xml:space="preserve"> </w:t>
            </w:r>
          </w:p>
        </w:tc>
        <w:tc>
          <w:tcPr>
            <w:tcW w:w="33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60" w:type="dxa"/>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tblPrEx>
          <w:tblLayout w:type="fixed"/>
          <w:tblCellMar>
            <w:top w:w="0" w:type="dxa"/>
            <w:left w:w="0" w:type="dxa"/>
            <w:bottom w:w="0" w:type="dxa"/>
            <w:right w:w="0" w:type="dxa"/>
          </w:tblCellMar>
        </w:tblPrEx>
        <w:trPr>
          <w:trHeight w:val="90" w:hRule="atLeast"/>
        </w:trPr>
        <w:tc>
          <w:tcPr>
            <w:tcW w:w="15360"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3345" w:type="dxa"/>
            <w:gridSpan w:val="2"/>
            <w:vMerge w:val="restart"/>
            <w:tcBorders>
              <w:top w:val="nil"/>
              <w:left w:val="nil"/>
              <w:right w:val="nil"/>
            </w:tcBorders>
            <w:shd w:val="clear" w:color="auto" w:fill="auto"/>
            <w:tcMar>
              <w:top w:w="15" w:type="dxa"/>
              <w:left w:w="15" w:type="dxa"/>
              <w:right w:w="15" w:type="dxa"/>
            </w:tcMar>
            <w:vAlign w:val="bottom"/>
          </w:tcPr>
          <w:p>
            <w:pPr>
              <w:spacing w:line="240" w:lineRule="exact"/>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重庆市秀山土家族苗族自治县基层卫生管理中心</w:t>
            </w: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3345" w:type="dxa"/>
            <w:gridSpan w:val="2"/>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37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6"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27"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21"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39"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2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2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27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37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3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92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65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80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352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232.70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17.74</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70.84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11.11</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27.44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79.13</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20.44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4.86</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5.07</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9.10</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0.27</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0.67</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17.74</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2.88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7.88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0.34</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7.88</w:t>
            </w: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0.18</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0.38</w:t>
            </w: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债务利息及费用支出</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6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274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color w:val="000000"/>
                <w:sz w:val="18"/>
                <w:u w:color="auto"/>
              </w:rPr>
              <w:t xml:space="preserve"> </w:t>
            </w:r>
          </w:p>
        </w:tc>
        <w:tc>
          <w:tcPr>
            <w:tcW w:w="80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352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cs="宋体"/>
                <w:color w:val="000000"/>
                <w:sz w:val="18"/>
                <w:szCs w:val="18"/>
              </w:rPr>
            </w:pP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3345"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cs="宋体"/>
                <w:color w:val="000000"/>
                <w:sz w:val="18"/>
                <w:szCs w:val="18"/>
              </w:rPr>
            </w:pPr>
            <w:r>
              <w:rPr>
                <w:rFonts w:cs="宋体"/>
                <w:color w:val="000000"/>
                <w:sz w:val="18"/>
                <w:szCs w:val="18"/>
              </w:rPr>
              <w:t>240.58</w:t>
            </w:r>
            <w:r>
              <w:rPr>
                <w:color w:val="000000"/>
                <w:sz w:val="18"/>
                <w:u w:color="auto"/>
              </w:rPr>
              <w:t xml:space="preserve"> </w:t>
            </w:r>
          </w:p>
        </w:tc>
        <w:tc>
          <w:tcPr>
            <w:tcW w:w="8750"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cs="宋体"/>
                <w:color w:val="000000"/>
                <w:sz w:val="18"/>
                <w:szCs w:val="18"/>
              </w:rPr>
            </w:pPr>
            <w:r>
              <w:rPr>
                <w:rFonts w:cs="宋体"/>
                <w:color w:val="000000"/>
                <w:sz w:val="18"/>
                <w:szCs w:val="18"/>
              </w:rPr>
              <w:t>17.74</w:t>
            </w:r>
            <w:r>
              <w:rPr>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78" w:type="dxa"/>
        <w:tblInd w:w="0" w:type="dxa"/>
        <w:tblLayout w:type="fixed"/>
        <w:tblCellMar>
          <w:top w:w="0" w:type="dxa"/>
          <w:left w:w="0" w:type="dxa"/>
          <w:bottom w:w="0" w:type="dxa"/>
          <w:right w:w="0" w:type="dxa"/>
        </w:tblCellMar>
      </w:tblPr>
      <w:tblGrid>
        <w:gridCol w:w="1854"/>
        <w:gridCol w:w="3088"/>
        <w:gridCol w:w="1707"/>
        <w:gridCol w:w="1707"/>
        <w:gridCol w:w="1707"/>
        <w:gridCol w:w="1707"/>
        <w:gridCol w:w="1772"/>
        <w:gridCol w:w="1836"/>
      </w:tblGrid>
      <w:tr>
        <w:tblPrEx>
          <w:tblLayout w:type="fixed"/>
          <w:tblCellMar>
            <w:top w:w="0" w:type="dxa"/>
            <w:left w:w="0" w:type="dxa"/>
            <w:bottom w:w="0" w:type="dxa"/>
            <w:right w:w="0" w:type="dxa"/>
          </w:tblCellMar>
        </w:tblPrEx>
        <w:trPr>
          <w:trHeight w:val="644" w:hRule="atLeast"/>
        </w:trPr>
        <w:tc>
          <w:tcPr>
            <w:tcW w:w="15378"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重庆市秀山土家族苗族自治县基层卫生管理中心</w:t>
            </w: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7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86"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7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8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0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77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42"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77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1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78" w:type="dxa"/>
        <w:tblInd w:w="0" w:type="dxa"/>
        <w:tblLayout w:type="fixed"/>
        <w:tblCellMar>
          <w:top w:w="0" w:type="dxa"/>
          <w:left w:w="0" w:type="dxa"/>
          <w:bottom w:w="0" w:type="dxa"/>
          <w:right w:w="0" w:type="dxa"/>
        </w:tblCellMar>
      </w:tblPr>
      <w:tblGrid>
        <w:gridCol w:w="1882"/>
        <w:gridCol w:w="3060"/>
        <w:gridCol w:w="3276"/>
        <w:gridCol w:w="200"/>
        <w:gridCol w:w="3475"/>
        <w:gridCol w:w="77"/>
        <w:gridCol w:w="3408"/>
      </w:tblGrid>
      <w:tr>
        <w:tblPrEx>
          <w:tblLayout w:type="fixed"/>
          <w:tblCellMar>
            <w:top w:w="0" w:type="dxa"/>
            <w:left w:w="0" w:type="dxa"/>
            <w:bottom w:w="0" w:type="dxa"/>
            <w:right w:w="0" w:type="dxa"/>
          </w:tblCellMar>
        </w:tblPrEx>
        <w:trPr>
          <w:trHeight w:val="650" w:hRule="atLeast"/>
        </w:trPr>
        <w:tc>
          <w:tcPr>
            <w:tcW w:w="15378"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42"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重庆市秀山土家族苗族自治县基层卫生管理中心</w:t>
            </w: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4942"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7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52"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36"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7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5"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0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c>
          <w:tcPr>
            <w:tcW w:w="3485"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42"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7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c>
          <w:tcPr>
            <w:tcW w:w="3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cs="宋体"/>
                <w:b/>
                <w:color w:val="000000"/>
                <w:sz w:val="20"/>
                <w:szCs w:val="20"/>
              </w:rPr>
            </w:pPr>
          </w:p>
        </w:tc>
        <w:tc>
          <w:tcPr>
            <w:tcW w:w="348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cs="宋体"/>
                <w:b/>
                <w:color w:val="000000"/>
                <w:sz w:val="20"/>
                <w:szCs w:val="20"/>
              </w:rPr>
            </w:pPr>
            <w:r>
              <w:rPr>
                <w:b/>
                <w:color w:val="000000"/>
                <w:sz w:val="20"/>
                <w:u w:color="auto"/>
              </w:rPr>
              <w:t xml:space="preserve">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5378" w:type="dxa"/>
        <w:tblInd w:w="0" w:type="dxa"/>
        <w:tblLayout w:type="fixed"/>
        <w:tblCellMar>
          <w:top w:w="0" w:type="dxa"/>
          <w:left w:w="0" w:type="dxa"/>
          <w:bottom w:w="0" w:type="dxa"/>
          <w:right w:w="0" w:type="dxa"/>
        </w:tblCellMar>
      </w:tblPr>
      <w:tblGrid>
        <w:gridCol w:w="4167"/>
        <w:gridCol w:w="2236"/>
        <w:gridCol w:w="2184"/>
        <w:gridCol w:w="4660"/>
        <w:gridCol w:w="2131"/>
      </w:tblGrid>
      <w:tr>
        <w:tblPrEx>
          <w:tblLayout w:type="fixed"/>
          <w:tblCellMar>
            <w:top w:w="0" w:type="dxa"/>
            <w:left w:w="0" w:type="dxa"/>
            <w:bottom w:w="0" w:type="dxa"/>
            <w:right w:w="0" w:type="dxa"/>
          </w:tblCellMar>
        </w:tblPrEx>
        <w:trPr>
          <w:trHeight w:val="175" w:hRule="atLeast"/>
        </w:trPr>
        <w:tc>
          <w:tcPr>
            <w:tcW w:w="15378" w:type="dxa"/>
            <w:gridSpan w:val="5"/>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机构运行信息表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236" w:type="dxa"/>
            <w:tcBorders>
              <w:top w:val="nil"/>
              <w:left w:val="nil"/>
              <w:bottom w:val="nil"/>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nil"/>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公开09表</w:t>
            </w:r>
          </w:p>
        </w:tc>
      </w:tr>
      <w:tr>
        <w:tblPrEx>
          <w:tblLayout w:type="fixed"/>
          <w:tblCellMar>
            <w:top w:w="0" w:type="dxa"/>
            <w:left w:w="0" w:type="dxa"/>
            <w:bottom w:w="0" w:type="dxa"/>
            <w:right w:w="0" w:type="dxa"/>
          </w:tblCellMar>
        </w:tblPrEx>
        <w:trPr>
          <w:trHeight w:val="175" w:hRule="atLeast"/>
        </w:trPr>
        <w:tc>
          <w:tcPr>
            <w:tcW w:w="416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textAlignment w:val="bottom"/>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重庆市秀山土家族苗族自治县基层卫生管理中心</w:t>
            </w:r>
          </w:p>
        </w:tc>
        <w:tc>
          <w:tcPr>
            <w:tcW w:w="2236"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center"/>
              <w:rPr>
                <w:rFonts w:hint="default" w:cs="宋体"/>
                <w:color w:val="000000"/>
                <w:sz w:val="20"/>
                <w:szCs w:val="20"/>
              </w:rPr>
            </w:pPr>
          </w:p>
        </w:tc>
        <w:tc>
          <w:tcPr>
            <w:tcW w:w="218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sz w:val="20"/>
                <w:szCs w:val="20"/>
              </w:rPr>
            </w:pPr>
          </w:p>
        </w:tc>
        <w:tc>
          <w:tcPr>
            <w:tcW w:w="466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sz w:val="20"/>
                <w:szCs w:val="20"/>
              </w:rPr>
            </w:pPr>
          </w:p>
        </w:tc>
        <w:tc>
          <w:tcPr>
            <w:tcW w:w="2131"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23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预算数</w:t>
            </w:r>
          </w:p>
        </w:tc>
        <w:tc>
          <w:tcPr>
            <w:tcW w:w="2184"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  目</w:t>
            </w:r>
          </w:p>
        </w:tc>
        <w:tc>
          <w:tcPr>
            <w:tcW w:w="213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18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一、“三公”经费支出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四、机关运行经费</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（一）支出合计</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（一）行政单位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（二）参照公务员法管理事业单位</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2．公务用车购置及运行维护费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五、资产信息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（1）公务用车购置费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（一）车辆数合计（辆）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（2）公务用车运行维护费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1．副部（省）级及以上领导用车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2．主要领导干部用车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（1）国内接待费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3．机要通信用车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4．应急保障用车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（2）国（境）外接待费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5．执法执勤用车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（二）相关统计数</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6．特种专业技术用车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1．因公出国（境）团组数（个）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7．离退休干部用车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2．因公出国（境）人次数（人）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8．其他用车</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3．公务用车购置数（辆）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（二）单价100万元（含）以上设备（不含车辆）</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4．公务用车保有量（辆）</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六、政府采购支出信息</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5．国内公务接待批次（个）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（一）政府采购支出合计</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1．政府采购货物支出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6．国内公务接待人次（人）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2．政府采购工程支出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其中：外事接待人次（人）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3．政府采购服务支出</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7．国（境）外公务接待批次（个）</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（二）政府采购授予中小企业合同金额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346" w:hRule="atLeast"/>
        </w:trPr>
        <w:tc>
          <w:tcPr>
            <w:tcW w:w="4167"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8．国（境）外公务接待人次（人）</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 xml:space="preserve">        其中：授予小微企业合同金额</w:t>
            </w: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r>
      <w:tr>
        <w:tblPrEx>
          <w:tblLayout w:type="fixed"/>
          <w:tblCellMar>
            <w:top w:w="0" w:type="dxa"/>
            <w:left w:w="0" w:type="dxa"/>
            <w:bottom w:w="0" w:type="dxa"/>
            <w:right w:w="0" w:type="dxa"/>
          </w:tblCellMar>
        </w:tblPrEx>
        <w:trPr>
          <w:trHeight w:val="269"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二、会议费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r>
        <w:tblPrEx>
          <w:tblLayout w:type="fixed"/>
          <w:tblCellMar>
            <w:top w:w="0" w:type="dxa"/>
            <w:left w:w="0" w:type="dxa"/>
            <w:bottom w:w="0" w:type="dxa"/>
            <w:right w:w="0" w:type="dxa"/>
          </w:tblCellMar>
        </w:tblPrEx>
        <w:trPr>
          <w:trHeight w:val="244" w:hRule="atLeast"/>
        </w:trPr>
        <w:tc>
          <w:tcPr>
            <w:tcW w:w="4167"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textAlignment w:val="center"/>
              <w:rPr>
                <w:rFonts w:hint="default" w:cs="宋体"/>
                <w:color w:val="000000"/>
                <w:sz w:val="20"/>
                <w:szCs w:val="20"/>
              </w:rPr>
            </w:pPr>
            <w:r>
              <w:rPr>
                <w:rFonts w:cs="宋体"/>
                <w:color w:val="000000"/>
                <w:sz w:val="20"/>
                <w:szCs w:val="20"/>
              </w:rPr>
              <w:t>三、培训费</w:t>
            </w:r>
          </w:p>
        </w:tc>
        <w:tc>
          <w:tcPr>
            <w:tcW w:w="223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color w:val="000000"/>
                <w:sz w:val="20"/>
                <w:szCs w:val="20"/>
              </w:rPr>
            </w:pPr>
            <w:r>
              <w:rPr>
                <w:rFonts w:cs="宋体"/>
                <w:color w:val="000000"/>
                <w:sz w:val="20"/>
                <w:szCs w:val="20"/>
              </w:rPr>
              <w:t>—</w:t>
            </w:r>
          </w:p>
        </w:tc>
        <w:tc>
          <w:tcPr>
            <w:tcW w:w="21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0.34</w:t>
            </w:r>
            <w:r>
              <w:rPr>
                <w:color w:val="000000"/>
                <w:sz w:val="20"/>
                <w:u w:color="auto"/>
              </w:rPr>
              <w:t xml:space="preserve"> </w:t>
            </w:r>
          </w:p>
        </w:tc>
        <w:tc>
          <w:tcPr>
            <w:tcW w:w="4660"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spacing w:line="240" w:lineRule="exact"/>
              <w:rPr>
                <w:rFonts w:hint="default" w:cs="宋体"/>
                <w:color w:val="000000"/>
                <w:sz w:val="20"/>
                <w:szCs w:val="20"/>
              </w:rPr>
            </w:pPr>
          </w:p>
        </w:tc>
        <w:tc>
          <w:tcPr>
            <w:tcW w:w="21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40" w:lineRule="exact"/>
              <w:jc w:val="right"/>
              <w:rPr>
                <w:rFonts w:hint="default" w:cs="宋体"/>
                <w:color w:val="000000"/>
                <w:sz w:val="20"/>
                <w:szCs w:val="20"/>
              </w:rPr>
            </w:pPr>
          </w:p>
        </w:tc>
      </w:tr>
    </w:tbl>
    <w:p>
      <w:pPr>
        <w:rPr>
          <w:rFonts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bookmarkStart w:id="0" w:name="_GoBack"/>
      <w:bookmarkEnd w:id="0"/>
    </w:p>
    <w:sectPr>
      <w:headerReference r:id="rId4" w:type="default"/>
      <w:footerReference r:id="rId5" w:type="default"/>
      <w:pgSz w:w="16839" w:h="11907"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24 -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2B254B"/>
    <w:rsid w:val="00550ABE"/>
    <w:rsid w:val="00770383"/>
    <w:rsid w:val="007819D4"/>
    <w:rsid w:val="007B419D"/>
    <w:rsid w:val="009B67B8"/>
    <w:rsid w:val="009D2B67"/>
    <w:rsid w:val="00B03CCD"/>
    <w:rsid w:val="00C20C3E"/>
    <w:rsid w:val="00F73F9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A3317EA"/>
    <w:rsid w:val="0A5C4B69"/>
    <w:rsid w:val="0A86124A"/>
    <w:rsid w:val="0AB54CC0"/>
    <w:rsid w:val="0B9335CE"/>
    <w:rsid w:val="0BF2311A"/>
    <w:rsid w:val="0C7927C4"/>
    <w:rsid w:val="0C9B098C"/>
    <w:rsid w:val="0CF30820"/>
    <w:rsid w:val="0D673E11"/>
    <w:rsid w:val="0D685877"/>
    <w:rsid w:val="0DDA54E4"/>
    <w:rsid w:val="0DF531E3"/>
    <w:rsid w:val="0E3A5F83"/>
    <w:rsid w:val="0F836721"/>
    <w:rsid w:val="0FA25D96"/>
    <w:rsid w:val="107B59E5"/>
    <w:rsid w:val="10BE5211"/>
    <w:rsid w:val="10EC0126"/>
    <w:rsid w:val="10F70B9A"/>
    <w:rsid w:val="111445C7"/>
    <w:rsid w:val="114278C6"/>
    <w:rsid w:val="1158083A"/>
    <w:rsid w:val="11643A4B"/>
    <w:rsid w:val="11ED0F98"/>
    <w:rsid w:val="11F03528"/>
    <w:rsid w:val="12C921C4"/>
    <w:rsid w:val="13871C70"/>
    <w:rsid w:val="13A71CB4"/>
    <w:rsid w:val="13AF1D43"/>
    <w:rsid w:val="13CE1647"/>
    <w:rsid w:val="13DB776D"/>
    <w:rsid w:val="13FD55AB"/>
    <w:rsid w:val="14200702"/>
    <w:rsid w:val="163A6CEE"/>
    <w:rsid w:val="16822E73"/>
    <w:rsid w:val="173708E3"/>
    <w:rsid w:val="17C374FC"/>
    <w:rsid w:val="182E4AB6"/>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4B92327"/>
    <w:rsid w:val="24C14514"/>
    <w:rsid w:val="2533755C"/>
    <w:rsid w:val="25791755"/>
    <w:rsid w:val="26396DF4"/>
    <w:rsid w:val="27167136"/>
    <w:rsid w:val="271B442C"/>
    <w:rsid w:val="27B23302"/>
    <w:rsid w:val="29310A5F"/>
    <w:rsid w:val="29C37A35"/>
    <w:rsid w:val="2A076083"/>
    <w:rsid w:val="2A73162E"/>
    <w:rsid w:val="2B167953"/>
    <w:rsid w:val="2B200583"/>
    <w:rsid w:val="2B4962BA"/>
    <w:rsid w:val="2B8209DE"/>
    <w:rsid w:val="2C636760"/>
    <w:rsid w:val="2C6762A3"/>
    <w:rsid w:val="2E495F81"/>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36794F"/>
    <w:rsid w:val="3B6F6EE0"/>
    <w:rsid w:val="3C566AD6"/>
    <w:rsid w:val="3C594871"/>
    <w:rsid w:val="3C6A5B02"/>
    <w:rsid w:val="3C991A80"/>
    <w:rsid w:val="3D2757A1"/>
    <w:rsid w:val="3D3D4FC4"/>
    <w:rsid w:val="3DDF3AB1"/>
    <w:rsid w:val="3E1D0952"/>
    <w:rsid w:val="3E2E2A33"/>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7825F4"/>
    <w:rsid w:val="439A3EB9"/>
    <w:rsid w:val="43BB152F"/>
    <w:rsid w:val="44C37687"/>
    <w:rsid w:val="45CB699A"/>
    <w:rsid w:val="465B470D"/>
    <w:rsid w:val="469D6AD4"/>
    <w:rsid w:val="471E6C84"/>
    <w:rsid w:val="4748792B"/>
    <w:rsid w:val="475D719D"/>
    <w:rsid w:val="47674801"/>
    <w:rsid w:val="48225EF7"/>
    <w:rsid w:val="488F422B"/>
    <w:rsid w:val="48E36915"/>
    <w:rsid w:val="48EB6572"/>
    <w:rsid w:val="495C4A24"/>
    <w:rsid w:val="497135DF"/>
    <w:rsid w:val="4A263DF2"/>
    <w:rsid w:val="4A6F6675"/>
    <w:rsid w:val="4B135857"/>
    <w:rsid w:val="4B7951CB"/>
    <w:rsid w:val="4B7C315C"/>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8867FC"/>
    <w:rsid w:val="5842572D"/>
    <w:rsid w:val="5A3B59D6"/>
    <w:rsid w:val="5AD134D8"/>
    <w:rsid w:val="5C263CE4"/>
    <w:rsid w:val="5C5D2777"/>
    <w:rsid w:val="5CF66BF3"/>
    <w:rsid w:val="5D290C69"/>
    <w:rsid w:val="5F2D4A41"/>
    <w:rsid w:val="60C74F6C"/>
    <w:rsid w:val="61025A59"/>
    <w:rsid w:val="613D5BBC"/>
    <w:rsid w:val="61536C39"/>
    <w:rsid w:val="62944DD7"/>
    <w:rsid w:val="6319381F"/>
    <w:rsid w:val="63C25DC5"/>
    <w:rsid w:val="63C62057"/>
    <w:rsid w:val="64571EF5"/>
    <w:rsid w:val="64FB113D"/>
    <w:rsid w:val="656152C6"/>
    <w:rsid w:val="6587477F"/>
    <w:rsid w:val="658C3A08"/>
    <w:rsid w:val="65C031CA"/>
    <w:rsid w:val="65CE6852"/>
    <w:rsid w:val="66267C04"/>
    <w:rsid w:val="663F505A"/>
    <w:rsid w:val="66EE5541"/>
    <w:rsid w:val="67924660"/>
    <w:rsid w:val="68407834"/>
    <w:rsid w:val="6883293E"/>
    <w:rsid w:val="688412AD"/>
    <w:rsid w:val="68EB1B71"/>
    <w:rsid w:val="6A6C7940"/>
    <w:rsid w:val="6AAD2300"/>
    <w:rsid w:val="6B474EF5"/>
    <w:rsid w:val="6B701032"/>
    <w:rsid w:val="6C0A5AC5"/>
    <w:rsid w:val="6C560CAE"/>
    <w:rsid w:val="6C576495"/>
    <w:rsid w:val="6D903FF5"/>
    <w:rsid w:val="6DA955B8"/>
    <w:rsid w:val="6DE346AB"/>
    <w:rsid w:val="6DE5391A"/>
    <w:rsid w:val="6EFD1324"/>
    <w:rsid w:val="6F5A53AC"/>
    <w:rsid w:val="6FAC003D"/>
    <w:rsid w:val="6FE55E12"/>
    <w:rsid w:val="6FFB2E76"/>
    <w:rsid w:val="708F6F7F"/>
    <w:rsid w:val="70D94BD3"/>
    <w:rsid w:val="71C34D91"/>
    <w:rsid w:val="72DB435C"/>
    <w:rsid w:val="72E2613A"/>
    <w:rsid w:val="72F771F4"/>
    <w:rsid w:val="73934AD2"/>
    <w:rsid w:val="750837F0"/>
    <w:rsid w:val="754758CF"/>
    <w:rsid w:val="764F62AB"/>
    <w:rsid w:val="765C45EC"/>
    <w:rsid w:val="768A7619"/>
    <w:rsid w:val="772E1EBA"/>
    <w:rsid w:val="781926BC"/>
    <w:rsid w:val="796D60A4"/>
    <w:rsid w:val="79A031D5"/>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4004</Words>
  <Characters>22825</Characters>
  <Lines>190</Lines>
  <Paragraphs>53</Paragraphs>
  <TotalTime>1</TotalTime>
  <ScaleCrop>false</ScaleCrop>
  <LinksUpToDate>false</LinksUpToDate>
  <CharactersWithSpaces>26776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2024-09-23T04:53:01Z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