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pacing w:val="-11"/>
          <w:sz w:val="44"/>
          <w:szCs w:val="44"/>
        </w:rPr>
      </w:pPr>
      <w:r>
        <w:rPr>
          <w:rFonts w:hint="default" w:ascii="Times New Roman" w:hAnsi="Times New Roman" w:eastAsia="方正小标宋_GBK" w:cs="Times New Roman"/>
          <w:b w:val="0"/>
          <w:bCs w:val="0"/>
          <w:spacing w:val="-11"/>
          <w:sz w:val="44"/>
          <w:szCs w:val="44"/>
        </w:rPr>
        <w:t>重庆市秀山土家族苗族自治县隘口镇卫生院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z w:val="44"/>
          <w:szCs w:val="44"/>
          <w:shd w:val="clear" w:color="auto" w:fill="FFFFFF"/>
        </w:rPr>
      </w:pPr>
      <w:r>
        <w:rPr>
          <w:rFonts w:hint="default" w:ascii="Times New Roman" w:hAnsi="Times New Roman" w:eastAsia="方正小标宋_GBK" w:cs="Times New Roman"/>
          <w:b w:val="0"/>
          <w:bCs w:val="0"/>
          <w:sz w:val="44"/>
          <w:szCs w:val="44"/>
          <w:shd w:val="clear" w:color="auto" w:fill="FFFFFF"/>
        </w:rPr>
        <w:t>2023年度决算公开说明</w:t>
      </w:r>
    </w:p>
    <w:p>
      <w:pPr>
        <w:pStyle w:val="9"/>
        <w:keepNext w:val="0"/>
        <w:keepLines w:val="0"/>
        <w:pageBreakBefore w:val="0"/>
        <w:kinsoku/>
        <w:overflowPunct/>
        <w:topLinePunct w:val="0"/>
        <w:autoSpaceDN/>
        <w:bidi w:val="0"/>
        <w:adjustRightInd/>
        <w:spacing w:before="0" w:beforeAutospacing="0" w:line="560" w:lineRule="exact"/>
        <w:jc w:val="center"/>
        <w:rPr>
          <w:rFonts w:hint="default" w:ascii="Times New Roman" w:hAnsi="Times New Roman" w:eastAsia="方正小标宋_GBK" w:cs="Times New Roman"/>
          <w:b w:val="0"/>
          <w:bCs w:val="0"/>
          <w:sz w:val="44"/>
          <w:szCs w:val="44"/>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一、单位基本情况</w:t>
      </w: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本单位属于基层医疗卫生机构，为非盈利</w:t>
      </w:r>
      <w:r>
        <w:rPr>
          <w:rFonts w:hint="eastAsia" w:ascii="Times New Roman" w:hAnsi="Times New Roman" w:eastAsia="方正仿宋_GBK" w:cs="Times New Roman"/>
          <w:sz w:val="32"/>
          <w:szCs w:val="32"/>
          <w:lang w:eastAsia="zh-CN"/>
        </w:rPr>
        <w:t>性</w:t>
      </w:r>
      <w:r>
        <w:rPr>
          <w:rFonts w:hint="default" w:ascii="Times New Roman" w:hAnsi="Times New Roman" w:eastAsia="方正仿宋_GBK" w:cs="Times New Roman"/>
          <w:sz w:val="32"/>
          <w:szCs w:val="32"/>
        </w:rPr>
        <w:t>医疗机构，为居民提供基本医疗和基本公共卫生服务。本单位为乡镇卫生院，应当履行以下职责：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基本医疗服务：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（1）运用适宜的中</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西医药技术，开展常见病、多发病的诊断和治疗、康复、护理；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（2）提供急救服务，做到24小时应诊，对无条件诊治的及时转诊；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（3）医护人员熟练掌握医疗器械的正确操作、徒手心肺复苏等抢救技术；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2.基本公共卫生服务：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（1）承担疾病预防控制工作，传染病疫情、疾病与突发公共卫生事件及相关信息的报告任务，严格执行法定传染病登记报告制度，认真做好传染病监测、登记、报告工作。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（2）负责预防接种工作。</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（3）有针对性地开展慢性非传染性疾病、地方病等的防治、筛查和行为干预，以及对高危人群的监测和管理工</w:t>
      </w:r>
      <w:r>
        <w:rPr>
          <w:rFonts w:hint="default" w:ascii="Times New Roman" w:hAnsi="Times New Roman" w:eastAsia="方正仿宋_GBK" w:cs="Times New Roman"/>
          <w:color w:val="auto"/>
          <w:sz w:val="32"/>
          <w:szCs w:val="32"/>
          <w:lang w:eastAsia="zh-CN"/>
        </w:rPr>
        <w:t>作。</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cs="Times New Roman"/>
          <w:lang w:eastAsia="zh-CN"/>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）提供妇女、儿童、老年人等重点人群的保健服务，开展妇幼保健、老年保健、精神卫生等工作的</w:t>
      </w:r>
      <w:r>
        <w:rPr>
          <w:rFonts w:hint="eastAsia" w:ascii="Times New Roman" w:hAnsi="Times New Roman" w:eastAsia="方正仿宋_GBK" w:cs="Times New Roman"/>
          <w:color w:val="auto"/>
          <w:sz w:val="32"/>
          <w:szCs w:val="32"/>
          <w:lang w:eastAsia="zh-CN"/>
        </w:rPr>
        <w:t>健康</w:t>
      </w:r>
      <w:r>
        <w:rPr>
          <w:rFonts w:hint="default" w:ascii="Times New Roman" w:hAnsi="Times New Roman" w:eastAsia="方正仿宋_GBK" w:cs="Times New Roman"/>
          <w:color w:val="auto"/>
          <w:sz w:val="32"/>
          <w:szCs w:val="32"/>
          <w:lang w:eastAsia="zh-CN"/>
        </w:rPr>
        <w:t>指导。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（5）做好孕产妇保健系统管理和儿童保健系统管理工作。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（6）积极开展农村卫生服务，建立居民健康档案。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（7）健康教育工作积极开展健康教育与健康促进活动，深入村组、家庭、学校，开展健康指导，普及卫生防病知识，提高农村广大居民基本卫生知识知晓率和健康行为形成率。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（8）计划生育技术及康复服务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（9）开展计划生育咨询、宣传并提供适宜技术服务；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（10）按要求提供其他公共卫生服务。</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720" w:firstLineChars="200"/>
        <w:jc w:val="both"/>
        <w:textAlignment w:val="auto"/>
        <w:outlineLvl w:val="9"/>
        <w:rPr>
          <w:rFonts w:hint="default" w:ascii="Times New Roman" w:hAnsi="Times New Roman" w:eastAsia="方正楷体" w:cs="Times New Roman"/>
          <w:b w:val="0"/>
          <w:bCs w:val="0"/>
          <w:color w:val="000000" w:themeColor="text1"/>
          <w:sz w:val="36"/>
          <w:szCs w:val="36"/>
          <w14:textFill>
            <w14:solidFill>
              <w14:schemeClr w14:val="tx1"/>
            </w14:solidFill>
          </w14:textFill>
        </w:rPr>
      </w:pPr>
      <w:r>
        <w:rPr>
          <w:rStyle w:val="11"/>
          <w:rFonts w:hint="default" w:ascii="Times New Roman" w:hAnsi="Times New Roman" w:eastAsia="方正楷体_GBK" w:cs="Times New Roman"/>
          <w:b w:val="0"/>
          <w:bCs w:val="0"/>
          <w:color w:val="000000" w:themeColor="text1"/>
          <w:sz w:val="36"/>
          <w:szCs w:val="36"/>
          <w14:textFill>
            <w14:solidFill>
              <w14:schemeClr w14:val="tx1"/>
            </w14:solidFill>
          </w14:textFill>
        </w:rPr>
        <w:t>（二）机构设置</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i w:val="0"/>
          <w:caps w:val="0"/>
          <w:color w:val="000000" w:themeColor="text1"/>
          <w:spacing w:val="0"/>
          <w:sz w:val="32"/>
          <w:szCs w:val="32"/>
          <w:shd w:val="clear" w:fill="FFFFFF"/>
          <w14:textFill>
            <w14:solidFill>
              <w14:schemeClr w14:val="tx1"/>
            </w14:solidFill>
          </w14:textFill>
        </w:rPr>
        <w:t>本单位下属内设：党建办公室、办公室、医务科、工会、综合门诊、综合住院部、中医科、理疗康复科、妇科、公共卫生科、检验科、放射科、彩超、心电图、药房、收费室。</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val="0"/>
          <w:sz w:val="32"/>
          <w:szCs w:val="32"/>
        </w:rPr>
      </w:pPr>
      <w:r>
        <w:rPr>
          <w:rStyle w:val="11"/>
          <w:rFonts w:hint="default" w:ascii="Times New Roman" w:hAnsi="Times New Roman" w:eastAsia="方正黑体_GBK" w:cs="Times New Roman"/>
          <w:b w:val="0"/>
          <w:bCs w:val="0"/>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Style w:val="11"/>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2023年度收入总计813.84万元，支出总计</w:t>
      </w:r>
      <w:r>
        <w:rPr>
          <w:rFonts w:hint="default" w:ascii="Times New Roman" w:hAnsi="Times New Roman" w:eastAsia="方正仿宋_GBK" w:cs="Times New Roman"/>
          <w:b w:val="0"/>
          <w:bCs w:val="0"/>
          <w:sz w:val="32"/>
          <w:szCs w:val="32"/>
        </w:rPr>
        <w:t>813.84</w:t>
      </w:r>
      <w:r>
        <w:rPr>
          <w:rFonts w:hint="default" w:ascii="Times New Roman" w:hAnsi="Times New Roman" w:eastAsia="方正仿宋_GBK" w:cs="Times New Roman"/>
          <w:b w:val="0"/>
          <w:bCs w:val="0"/>
          <w:sz w:val="32"/>
          <w:szCs w:val="32"/>
          <w:shd w:val="clear" w:color="auto" w:fill="FFFFFF"/>
        </w:rPr>
        <w:t>万元。收支较上年决算数增加32.40万元，增长4.15%，主要原因是</w:t>
      </w:r>
      <w:r>
        <w:rPr>
          <w:rFonts w:hint="default" w:ascii="Times New Roman" w:hAnsi="Times New Roman" w:eastAsia="方正仿宋_GBK" w:cs="Times New Roman"/>
          <w:b w:val="0"/>
          <w:bCs w:val="0"/>
          <w:sz w:val="32"/>
          <w:szCs w:val="32"/>
          <w:shd w:val="clear" w:color="auto" w:fill="FFFFFF"/>
          <w:lang w:val="en-US" w:eastAsia="zh-CN"/>
        </w:rPr>
        <w:t>2023年度</w:t>
      </w:r>
      <w:r>
        <w:rPr>
          <w:rFonts w:hint="default" w:ascii="Times New Roman" w:hAnsi="Times New Roman" w:eastAsia="方正仿宋_GBK" w:cs="Times New Roman"/>
          <w:b w:val="0"/>
          <w:bCs w:val="0"/>
          <w:sz w:val="32"/>
          <w:szCs w:val="32"/>
          <w:shd w:val="clear" w:color="auto" w:fill="FFFFFF"/>
          <w:lang w:eastAsia="zh-CN"/>
        </w:rPr>
        <w:t>事业收入增加，财拨项目资金（呼吸机配置项目</w:t>
      </w:r>
      <w:r>
        <w:rPr>
          <w:rFonts w:hint="default" w:ascii="Times New Roman" w:hAnsi="Times New Roman" w:eastAsia="方正仿宋_GBK" w:cs="Times New Roman"/>
          <w:b w:val="0"/>
          <w:bCs w:val="0"/>
          <w:sz w:val="32"/>
          <w:szCs w:val="32"/>
          <w:shd w:val="clear" w:color="auto" w:fill="FFFFFF"/>
          <w:lang w:val="en-US" w:eastAsia="zh-CN"/>
        </w:rPr>
        <w:t>10万</w:t>
      </w:r>
      <w:r>
        <w:rPr>
          <w:rFonts w:hint="default" w:ascii="Times New Roman" w:hAnsi="Times New Roman" w:eastAsia="方正仿宋_GBK" w:cs="Times New Roman"/>
          <w:b w:val="0"/>
          <w:bCs w:val="0"/>
          <w:sz w:val="32"/>
          <w:szCs w:val="32"/>
          <w:shd w:val="clear" w:color="auto" w:fill="FFFFFF"/>
          <w:lang w:eastAsia="zh-CN"/>
        </w:rPr>
        <w:t>及临时性工作补助项目</w:t>
      </w:r>
      <w:r>
        <w:rPr>
          <w:rFonts w:hint="default" w:ascii="Times New Roman" w:hAnsi="Times New Roman" w:eastAsia="方正仿宋_GBK" w:cs="Times New Roman"/>
          <w:b w:val="0"/>
          <w:bCs w:val="0"/>
          <w:sz w:val="32"/>
          <w:szCs w:val="32"/>
          <w:shd w:val="clear" w:color="auto" w:fill="FFFFFF"/>
          <w:lang w:val="en-US" w:eastAsia="zh-CN"/>
        </w:rPr>
        <w:t>10.07万</w:t>
      </w:r>
      <w:r>
        <w:rPr>
          <w:rFonts w:hint="default" w:ascii="Times New Roman" w:hAnsi="Times New Roman" w:eastAsia="方正仿宋_GBK" w:cs="Times New Roman"/>
          <w:b w:val="0"/>
          <w:bCs w:val="0"/>
          <w:sz w:val="32"/>
          <w:szCs w:val="32"/>
          <w:shd w:val="clear" w:color="auto" w:fill="FFFFFF"/>
          <w:lang w:eastAsia="zh-CN"/>
        </w:rPr>
        <w:t>）增加导致</w:t>
      </w:r>
      <w:r>
        <w:rPr>
          <w:rFonts w:hint="default" w:ascii="Times New Roman" w:hAnsi="Times New Roman" w:eastAsia="方正仿宋_GBK" w:cs="Times New Roman"/>
          <w:b w:val="0"/>
          <w:bCs w:val="0"/>
          <w:sz w:val="32"/>
          <w:szCs w:val="32"/>
          <w:shd w:val="clear" w:color="auto" w:fill="FFFFFF"/>
          <w:lang w:val="en-US" w:eastAsia="zh-CN"/>
        </w:rPr>
        <w:t>2023年较2022年收入支出增加。</w:t>
      </w: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部分</w:t>
      </w:r>
      <w:r>
        <w:rPr>
          <w:rFonts w:hint="default" w:ascii="Times New Roman" w:hAnsi="Times New Roman" w:eastAsia="方正仿宋_GBK" w:cs="Times New Roman"/>
          <w:color w:val="auto"/>
          <w:sz w:val="32"/>
          <w:szCs w:val="32"/>
          <w:highlight w:val="none"/>
          <w:shd w:val="clear" w:color="auto" w:fill="FFFFFF"/>
        </w:rPr>
        <w:t>的收入总计包括</w:t>
      </w:r>
      <w:r>
        <w:rPr>
          <w:rFonts w:hint="default" w:ascii="Times New Roman" w:hAnsi="Times New Roman" w:eastAsia="方正仿宋_GBK" w:cs="Times New Roman"/>
          <w:color w:val="auto"/>
          <w:sz w:val="32"/>
          <w:szCs w:val="32"/>
          <w:highlight w:val="none"/>
          <w:shd w:val="clear" w:color="auto" w:fill="FFFFFF"/>
          <w:lang w:eastAsia="zh-CN"/>
        </w:rPr>
        <w:t>一般公共预算年财政拨款收入</w:t>
      </w:r>
      <w:r>
        <w:rPr>
          <w:rFonts w:hint="default" w:ascii="Times New Roman" w:hAnsi="Times New Roman" w:eastAsia="方正仿宋_GBK" w:cs="Times New Roman"/>
          <w:color w:val="auto"/>
          <w:sz w:val="32"/>
          <w:szCs w:val="32"/>
          <w:highlight w:val="none"/>
          <w:shd w:val="clear" w:color="auto" w:fill="FFFFFF"/>
          <w:lang w:val="en-US" w:eastAsia="zh-CN"/>
        </w:rPr>
        <w:t>376.63万元、事业</w:t>
      </w:r>
      <w:r>
        <w:rPr>
          <w:rFonts w:hint="default" w:ascii="Times New Roman" w:hAnsi="Times New Roman" w:eastAsia="方正仿宋_GBK" w:cs="Times New Roman"/>
          <w:color w:val="auto"/>
          <w:sz w:val="32"/>
          <w:szCs w:val="32"/>
          <w:highlight w:val="none"/>
          <w:shd w:val="clear" w:color="auto" w:fill="FFFFFF"/>
        </w:rPr>
        <w:t>收入</w:t>
      </w:r>
      <w:r>
        <w:rPr>
          <w:rFonts w:hint="default" w:ascii="Times New Roman" w:hAnsi="Times New Roman" w:eastAsia="方正仿宋_GBK" w:cs="Times New Roman"/>
          <w:color w:val="auto"/>
          <w:sz w:val="32"/>
          <w:szCs w:val="32"/>
          <w:highlight w:val="none"/>
          <w:shd w:val="clear" w:color="auto" w:fill="FFFFFF"/>
          <w:lang w:val="en-US" w:eastAsia="zh-CN"/>
        </w:rPr>
        <w:t>404.36万元、其他收入28.9万元、年初结转和结余3.95万元</w:t>
      </w:r>
      <w:r>
        <w:rPr>
          <w:rFonts w:hint="default" w:ascii="Times New Roman" w:hAnsi="Times New Roman" w:eastAsia="方正仿宋_GBK" w:cs="Times New Roman"/>
          <w:color w:val="auto"/>
          <w:sz w:val="32"/>
          <w:szCs w:val="32"/>
          <w:highlight w:val="none"/>
          <w:shd w:val="clear" w:color="auto" w:fill="FFFFFF"/>
        </w:rPr>
        <w:t>，支出总计包括</w:t>
      </w:r>
      <w:r>
        <w:rPr>
          <w:rFonts w:hint="default" w:ascii="Times New Roman" w:hAnsi="Times New Roman" w:eastAsia="方正仿宋_GBK" w:cs="Times New Roman"/>
          <w:color w:val="auto"/>
          <w:sz w:val="32"/>
          <w:szCs w:val="32"/>
          <w:highlight w:val="none"/>
          <w:shd w:val="clear" w:color="auto" w:fill="FFFFFF"/>
          <w:lang w:eastAsia="zh-CN"/>
        </w:rPr>
        <w:t>基本支出</w:t>
      </w:r>
      <w:r>
        <w:rPr>
          <w:rFonts w:hint="default" w:ascii="Times New Roman" w:hAnsi="Times New Roman" w:eastAsia="方正仿宋_GBK" w:cs="Times New Roman"/>
          <w:color w:val="auto"/>
          <w:sz w:val="32"/>
          <w:szCs w:val="32"/>
          <w:highlight w:val="none"/>
          <w:shd w:val="clear" w:color="auto" w:fill="FFFFFF"/>
          <w:lang w:val="en-US" w:eastAsia="zh-CN"/>
        </w:rPr>
        <w:t>764.39万元</w:t>
      </w:r>
      <w:r>
        <w:rPr>
          <w:rFonts w:hint="default" w:ascii="Times New Roman" w:hAnsi="Times New Roman" w:eastAsia="方正仿宋_GBK" w:cs="Times New Roman"/>
          <w:color w:val="auto"/>
          <w:sz w:val="32"/>
          <w:szCs w:val="32"/>
          <w:highlight w:val="none"/>
          <w:shd w:val="clear" w:color="auto" w:fill="FFFFFF"/>
        </w:rPr>
        <w:t>、</w:t>
      </w:r>
      <w:r>
        <w:rPr>
          <w:rFonts w:hint="default" w:ascii="Times New Roman" w:hAnsi="Times New Roman" w:eastAsia="方正仿宋_GBK" w:cs="Times New Roman"/>
          <w:color w:val="auto"/>
          <w:sz w:val="32"/>
          <w:szCs w:val="32"/>
          <w:highlight w:val="none"/>
          <w:shd w:val="clear" w:color="auto" w:fill="FFFFFF"/>
          <w:lang w:eastAsia="zh-CN"/>
        </w:rPr>
        <w:t>项目支出</w:t>
      </w:r>
      <w:r>
        <w:rPr>
          <w:rFonts w:hint="default" w:ascii="Times New Roman" w:hAnsi="Times New Roman" w:eastAsia="方正仿宋_GBK" w:cs="Times New Roman"/>
          <w:color w:val="auto"/>
          <w:sz w:val="32"/>
          <w:szCs w:val="32"/>
          <w:highlight w:val="none"/>
          <w:shd w:val="clear" w:color="auto" w:fill="FFFFFF"/>
          <w:lang w:val="en-US" w:eastAsia="zh-CN"/>
        </w:rPr>
        <w:t>20.07万元、</w:t>
      </w:r>
      <w:r>
        <w:rPr>
          <w:rFonts w:hint="default" w:ascii="Times New Roman" w:hAnsi="Times New Roman" w:eastAsia="方正仿宋_GBK" w:cs="Times New Roman"/>
          <w:color w:val="auto"/>
          <w:sz w:val="32"/>
          <w:szCs w:val="32"/>
          <w:highlight w:val="none"/>
          <w:shd w:val="clear" w:color="auto" w:fill="FFFFFF"/>
        </w:rPr>
        <w:t>年末结转和结余</w:t>
      </w:r>
      <w:r>
        <w:rPr>
          <w:rFonts w:hint="default" w:ascii="Times New Roman" w:hAnsi="Times New Roman" w:eastAsia="方正仿宋_GBK" w:cs="Times New Roman"/>
          <w:color w:val="auto"/>
          <w:sz w:val="32"/>
          <w:szCs w:val="32"/>
          <w:highlight w:val="none"/>
          <w:shd w:val="clear" w:color="auto" w:fill="FFFFFF"/>
          <w:lang w:val="en-US" w:eastAsia="zh-CN"/>
        </w:rPr>
        <w:t>29.38万元</w:t>
      </w:r>
      <w:r>
        <w:rPr>
          <w:rFonts w:hint="default" w:ascii="Times New Roman" w:hAnsi="Times New Roman" w:eastAsia="方正仿宋_GBK" w:cs="Times New Roman"/>
          <w:color w:val="auto"/>
          <w:sz w:val="32"/>
          <w:szCs w:val="32"/>
          <w:highlight w:val="none"/>
          <w:shd w:val="clear" w:color="auto" w:fill="FFFFFF"/>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2023年度收入合计809.89万元，较上年决算数增加28.45万元，增长3.64%，主要原因是</w:t>
      </w:r>
      <w:r>
        <w:rPr>
          <w:rFonts w:hint="default" w:ascii="Times New Roman" w:hAnsi="Times New Roman" w:eastAsia="方正仿宋_GBK" w:cs="Times New Roman"/>
          <w:b w:val="0"/>
          <w:bCs w:val="0"/>
          <w:sz w:val="32"/>
          <w:szCs w:val="32"/>
          <w:shd w:val="clear" w:color="auto" w:fill="FFFFFF"/>
          <w:lang w:val="en-US" w:eastAsia="zh-CN"/>
        </w:rPr>
        <w:t>2023年度</w:t>
      </w:r>
      <w:r>
        <w:rPr>
          <w:rFonts w:hint="default" w:ascii="Times New Roman" w:hAnsi="Times New Roman" w:eastAsia="方正仿宋_GBK" w:cs="Times New Roman"/>
          <w:b w:val="0"/>
          <w:bCs w:val="0"/>
          <w:sz w:val="32"/>
          <w:szCs w:val="32"/>
          <w:shd w:val="clear" w:color="auto" w:fill="FFFFFF"/>
          <w:lang w:eastAsia="zh-CN"/>
        </w:rPr>
        <w:t>事业收入增加及财拨项目资金增加。</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376.63</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46.50</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404.36</w:t>
      </w:r>
      <w:r>
        <w:rPr>
          <w:rFonts w:hint="default" w:ascii="Times New Roman" w:hAnsi="Times New Roman" w:eastAsia="方正仿宋_GBK" w:cs="Times New Roman"/>
          <w:b w:val="0"/>
          <w:bCs w:val="0"/>
          <w:sz w:val="32"/>
          <w:szCs w:val="32"/>
          <w:shd w:val="clear" w:color="auto" w:fill="FFFFFF"/>
        </w:rPr>
        <w:t>万元，占49.93%；经营收入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28.90</w:t>
      </w:r>
      <w:r>
        <w:rPr>
          <w:rFonts w:hint="default" w:ascii="Times New Roman" w:hAnsi="Times New Roman" w:eastAsia="方正仿宋_GBK" w:cs="Times New Roman"/>
          <w:b w:val="0"/>
          <w:bCs w:val="0"/>
          <w:sz w:val="32"/>
          <w:szCs w:val="32"/>
          <w:shd w:val="clear" w:color="auto" w:fill="FFFFFF"/>
        </w:rPr>
        <w:t>万元，占3.57%。此外，使用非财政拨款结余和专用结余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3.95</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784.46</w:t>
      </w:r>
      <w:r>
        <w:rPr>
          <w:rFonts w:hint="default" w:ascii="Times New Roman" w:hAnsi="Times New Roman" w:eastAsia="方正仿宋_GBK" w:cs="Times New Roman"/>
          <w:b w:val="0"/>
          <w:bCs w:val="0"/>
          <w:sz w:val="32"/>
          <w:szCs w:val="32"/>
          <w:shd w:val="clear" w:color="auto" w:fill="FFFFFF"/>
        </w:rPr>
        <w:t>万元，较上年决算数增加6.98万元，增长0.90%，主要原因是</w:t>
      </w:r>
      <w:r>
        <w:rPr>
          <w:rFonts w:hint="default" w:ascii="Times New Roman" w:hAnsi="Times New Roman" w:eastAsia="方正仿宋_GBK" w:cs="Times New Roman"/>
          <w:b w:val="0"/>
          <w:bCs w:val="0"/>
          <w:sz w:val="32"/>
          <w:szCs w:val="32"/>
          <w:shd w:val="clear" w:color="auto" w:fill="FFFFFF"/>
          <w:lang w:val="en-US" w:eastAsia="zh-CN"/>
        </w:rPr>
        <w:t>2023年度</w:t>
      </w:r>
      <w:r>
        <w:rPr>
          <w:rFonts w:hint="default" w:ascii="Times New Roman" w:hAnsi="Times New Roman" w:eastAsia="方正仿宋_GBK" w:cs="Times New Roman"/>
          <w:b w:val="0"/>
          <w:bCs w:val="0"/>
          <w:sz w:val="32"/>
          <w:szCs w:val="32"/>
          <w:shd w:val="clear" w:color="auto" w:fill="FFFFFF"/>
          <w:lang w:eastAsia="zh-CN"/>
        </w:rPr>
        <w:t>事业收入增加，相应药品耗材支出增加，财拨项目资金支出。</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764.39</w:t>
      </w:r>
      <w:r>
        <w:rPr>
          <w:rFonts w:hint="default" w:ascii="Times New Roman" w:hAnsi="Times New Roman" w:eastAsia="方正仿宋_GBK" w:cs="Times New Roman"/>
          <w:b w:val="0"/>
          <w:bCs w:val="0"/>
          <w:sz w:val="32"/>
          <w:szCs w:val="32"/>
          <w:shd w:val="clear" w:color="auto" w:fill="FFFFFF"/>
        </w:rPr>
        <w:t>万元，占97.44%；项目支出</w:t>
      </w:r>
      <w:r>
        <w:rPr>
          <w:rFonts w:hint="default" w:ascii="Times New Roman" w:hAnsi="Times New Roman" w:eastAsia="方正仿宋_GBK" w:cs="Times New Roman"/>
          <w:b w:val="0"/>
          <w:bCs w:val="0"/>
          <w:sz w:val="32"/>
          <w:szCs w:val="32"/>
        </w:rPr>
        <w:t>20.07</w:t>
      </w:r>
      <w:r>
        <w:rPr>
          <w:rFonts w:hint="default" w:ascii="Times New Roman" w:hAnsi="Times New Roman" w:eastAsia="方正仿宋_GBK" w:cs="Times New Roman"/>
          <w:b w:val="0"/>
          <w:bCs w:val="0"/>
          <w:sz w:val="32"/>
          <w:szCs w:val="32"/>
          <w:shd w:val="clear" w:color="auto" w:fill="FFFFFF"/>
        </w:rPr>
        <w:t>万元，占2.56%；经营支出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lang w:eastAsia="zh-CN"/>
        </w:rPr>
      </w:pPr>
      <w:r>
        <w:rPr>
          <w:rStyle w:val="11"/>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29.39</w:t>
      </w:r>
      <w:r>
        <w:rPr>
          <w:rFonts w:hint="default" w:ascii="Times New Roman" w:hAnsi="Times New Roman" w:eastAsia="方正仿宋_GBK" w:cs="Times New Roman"/>
          <w:b w:val="0"/>
          <w:bCs w:val="0"/>
          <w:sz w:val="32"/>
          <w:szCs w:val="32"/>
          <w:shd w:val="clear" w:color="auto" w:fill="FFFFFF"/>
        </w:rPr>
        <w:t>万元，较上年决算数增加25.44万元，增长644.05%，主要原因是</w:t>
      </w:r>
      <w:r>
        <w:rPr>
          <w:rFonts w:hint="default" w:ascii="Times New Roman" w:hAnsi="Times New Roman" w:eastAsia="方正仿宋_GBK" w:cs="Times New Roman"/>
          <w:b w:val="0"/>
          <w:bCs w:val="0"/>
          <w:sz w:val="32"/>
          <w:szCs w:val="32"/>
          <w:shd w:val="clear" w:color="auto" w:fill="FFFFFF"/>
          <w:lang w:eastAsia="zh-CN"/>
        </w:rPr>
        <w:t>职工超额绩效清算未支付。</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（二）财政拨款收入支出决算总体情况说明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sz w:val="32"/>
          <w:szCs w:val="32"/>
          <w:shd w:val="clear" w:color="auto" w:fill="FFFFFF"/>
        </w:rPr>
        <w:t>2023年度财政拨款收、支总计376.63万元。与2022年相比，财政拨款收、支总计各增加44.68万元，增长13.46%。主要原因是</w:t>
      </w:r>
      <w:r>
        <w:rPr>
          <w:rFonts w:hint="default" w:ascii="Times New Roman" w:hAnsi="Times New Roman" w:eastAsia="方正仿宋_GBK" w:cs="Times New Roman"/>
          <w:b w:val="0"/>
          <w:bCs w:val="0"/>
          <w:sz w:val="32"/>
          <w:szCs w:val="32"/>
          <w:shd w:val="clear" w:color="auto" w:fill="FFFFFF"/>
          <w:lang w:val="en-US" w:eastAsia="zh-CN"/>
        </w:rPr>
        <w:t>2023年有财拨项目资金和</w:t>
      </w:r>
      <w:r>
        <w:rPr>
          <w:rFonts w:hint="default" w:ascii="Times New Roman" w:hAnsi="Times New Roman" w:eastAsia="方正仿宋_GBK" w:cs="Times New Roman"/>
          <w:b w:val="0"/>
          <w:bCs w:val="0"/>
          <w:sz w:val="32"/>
          <w:szCs w:val="32"/>
          <w:shd w:val="clear" w:color="auto" w:fill="FFFFFF"/>
          <w:lang w:eastAsia="zh-CN"/>
        </w:rPr>
        <w:t>财拨</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人员经费增加。</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376.63</w:t>
      </w:r>
      <w:r>
        <w:rPr>
          <w:rFonts w:hint="default" w:ascii="Times New Roman" w:hAnsi="Times New Roman" w:eastAsia="方正仿宋_GBK" w:cs="Times New Roman"/>
          <w:b w:val="0"/>
          <w:bCs w:val="0"/>
          <w:sz w:val="32"/>
          <w:szCs w:val="32"/>
          <w:shd w:val="clear" w:color="auto" w:fill="FFFFFF"/>
        </w:rPr>
        <w:t>万元，较上年决算数增加44.68万元，增长13.46%。主要原因是</w:t>
      </w:r>
      <w:r>
        <w:rPr>
          <w:rFonts w:hint="default" w:ascii="Times New Roman" w:hAnsi="Times New Roman" w:eastAsia="方正仿宋_GBK" w:cs="Times New Roman"/>
          <w:b w:val="0"/>
          <w:bCs w:val="0"/>
          <w:sz w:val="32"/>
          <w:szCs w:val="32"/>
          <w:shd w:val="clear" w:color="auto" w:fill="FFFFFF"/>
          <w:lang w:val="en-US" w:eastAsia="zh-CN"/>
        </w:rPr>
        <w:t>2023年有财拨项目资金和</w:t>
      </w:r>
      <w:r>
        <w:rPr>
          <w:rFonts w:hint="default" w:ascii="Times New Roman" w:hAnsi="Times New Roman" w:eastAsia="方正仿宋_GBK" w:cs="Times New Roman"/>
          <w:b w:val="0"/>
          <w:bCs w:val="0"/>
          <w:sz w:val="32"/>
          <w:szCs w:val="32"/>
          <w:shd w:val="clear" w:color="auto" w:fill="FFFFFF"/>
          <w:lang w:eastAsia="zh-CN"/>
        </w:rPr>
        <w:t>财拨</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人员经费增加。</w:t>
      </w:r>
      <w:r>
        <w:rPr>
          <w:rFonts w:hint="default" w:ascii="Times New Roman" w:hAnsi="Times New Roman" w:eastAsia="方正仿宋_GBK" w:cs="Times New Roman"/>
          <w:b w:val="0"/>
          <w:bCs w:val="0"/>
          <w:sz w:val="32"/>
          <w:szCs w:val="32"/>
          <w:shd w:val="clear" w:color="auto" w:fill="FFFFFF"/>
        </w:rPr>
        <w:t>较年初预算数增加159.39万元，增长73.37%。主要原因是</w:t>
      </w:r>
      <w:r>
        <w:rPr>
          <w:rFonts w:hint="default" w:ascii="Times New Roman" w:hAnsi="Times New Roman" w:eastAsia="方正仿宋_GBK" w:cs="Times New Roman"/>
          <w:sz w:val="32"/>
          <w:szCs w:val="32"/>
        </w:rPr>
        <w:t>年初预算主要是根据单位情况预估核算，实际财政拨款收入由财政根据资金分配情况统一安排拨款。</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360.68</w:t>
      </w:r>
      <w:r>
        <w:rPr>
          <w:rFonts w:hint="default" w:ascii="Times New Roman" w:hAnsi="Times New Roman" w:eastAsia="方正仿宋_GBK" w:cs="Times New Roman"/>
          <w:b w:val="0"/>
          <w:bCs w:val="0"/>
          <w:sz w:val="32"/>
          <w:szCs w:val="32"/>
          <w:shd w:val="clear" w:color="auto" w:fill="FFFFFF"/>
        </w:rPr>
        <w:t>万元，较上年决算数增加28.73万元，增长8.65%。主要原因是</w:t>
      </w:r>
      <w:r>
        <w:rPr>
          <w:rFonts w:hint="default" w:ascii="Times New Roman" w:hAnsi="Times New Roman" w:eastAsia="方正仿宋_GBK" w:cs="Times New Roman"/>
          <w:b w:val="0"/>
          <w:bCs w:val="0"/>
          <w:sz w:val="32"/>
          <w:szCs w:val="32"/>
          <w:shd w:val="clear" w:color="auto" w:fill="FFFFFF"/>
          <w:lang w:val="en-US" w:eastAsia="zh-CN"/>
        </w:rPr>
        <w:t>2023年有财拨项目资金支出和</w:t>
      </w:r>
      <w:r>
        <w:rPr>
          <w:rFonts w:hint="default" w:ascii="Times New Roman" w:hAnsi="Times New Roman" w:eastAsia="方正仿宋_GBK" w:cs="Times New Roman"/>
          <w:b w:val="0"/>
          <w:bCs w:val="0"/>
          <w:sz w:val="32"/>
          <w:szCs w:val="32"/>
          <w:shd w:val="clear" w:color="auto" w:fill="FFFFFF"/>
          <w:lang w:eastAsia="zh-CN"/>
        </w:rPr>
        <w:t>财拨</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人员经费支出增加。</w:t>
      </w:r>
      <w:r>
        <w:rPr>
          <w:rFonts w:hint="default" w:ascii="Times New Roman" w:hAnsi="Times New Roman" w:eastAsia="方正仿宋_GBK" w:cs="Times New Roman"/>
          <w:b w:val="0"/>
          <w:bCs w:val="0"/>
          <w:sz w:val="32"/>
          <w:szCs w:val="32"/>
          <w:shd w:val="clear" w:color="auto" w:fill="FFFFFF"/>
        </w:rPr>
        <w:t>较年初预算数增加130.49万元，增长56.69%。主要原因是</w:t>
      </w:r>
      <w:r>
        <w:rPr>
          <w:rFonts w:hint="default" w:ascii="Times New Roman" w:hAnsi="Times New Roman" w:eastAsia="方正仿宋_GBK" w:cs="Times New Roman"/>
          <w:sz w:val="32"/>
          <w:szCs w:val="32"/>
        </w:rPr>
        <w:t>根据单位情况预估核算，实际财政拨款收入由财政根据资金分配情况统一安排拨款，因此财政拨款支出与年初预算有相应差异。</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Style w:val="11"/>
          <w:rFonts w:hint="default" w:ascii="Times New Roman" w:hAnsi="Times New Roman" w:eastAsia="方正仿宋_GBK" w:cs="Times New Roman"/>
          <w:b w:val="0"/>
          <w:bCs w:val="0"/>
          <w:sz w:val="32"/>
          <w:szCs w:val="32"/>
          <w:shd w:val="clear" w:color="auto" w:fill="FFFFFF"/>
          <w:lang w:val="en-US" w:eastAsia="zh-CN"/>
        </w:rPr>
        <w:t>3</w:t>
      </w:r>
      <w:r>
        <w:rPr>
          <w:rStyle w:val="11"/>
          <w:rFonts w:hint="default" w:ascii="Times New Roman" w:hAnsi="Times New Roman" w:eastAsia="方正仿宋_GBK" w:cs="Times New Roman"/>
          <w:b w:val="0"/>
          <w:bCs w:val="0"/>
          <w:sz w:val="32"/>
          <w:szCs w:val="32"/>
          <w:shd w:val="clear" w:color="auto" w:fill="FFFFFF"/>
        </w:rPr>
        <w:t>.结转结余情况。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15.95</w:t>
      </w:r>
      <w:r>
        <w:rPr>
          <w:rFonts w:hint="default" w:ascii="Times New Roman" w:hAnsi="Times New Roman" w:eastAsia="方正仿宋_GBK" w:cs="Times New Roman"/>
          <w:b w:val="0"/>
          <w:bCs w:val="0"/>
          <w:sz w:val="32"/>
          <w:szCs w:val="32"/>
          <w:shd w:val="clear" w:color="auto" w:fill="FFFFFF"/>
        </w:rPr>
        <w:t>万元，较上年决算数增加15.95万元，增长100.00%，主要原因是</w:t>
      </w:r>
      <w:r>
        <w:rPr>
          <w:rFonts w:hint="default" w:ascii="Times New Roman" w:hAnsi="Times New Roman" w:eastAsia="方正仿宋_GBK" w:cs="Times New Roman"/>
          <w:b w:val="0"/>
          <w:bCs w:val="0"/>
          <w:sz w:val="32"/>
          <w:szCs w:val="32"/>
          <w:shd w:val="clear" w:color="auto" w:fill="FFFFFF"/>
          <w:lang w:eastAsia="zh-CN"/>
        </w:rPr>
        <w:t>职工超额绩效未支付。</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FF0000"/>
          <w:sz w:val="32"/>
          <w:szCs w:val="32"/>
          <w:highlight w:val="cyan"/>
          <w:shd w:val="clear" w:color="auto" w:fill="FFFFFF"/>
        </w:rPr>
      </w:pPr>
      <w:r>
        <w:rPr>
          <w:rStyle w:val="11"/>
          <w:rFonts w:hint="default" w:ascii="Times New Roman" w:hAnsi="Times New Roman" w:eastAsia="方正仿宋_GBK" w:cs="Times New Roman"/>
          <w:b w:val="0"/>
          <w:bCs w:val="0"/>
          <w:sz w:val="32"/>
          <w:szCs w:val="32"/>
          <w:shd w:val="clear" w:color="auto" w:fill="FFFFFF"/>
        </w:rPr>
        <w:t>4.比较情况。</w:t>
      </w:r>
      <w:r>
        <w:rPr>
          <w:rFonts w:hint="default" w:ascii="Times New Roman" w:hAnsi="Times New Roman" w:eastAsia="方正仿宋_GBK" w:cs="Times New Roman"/>
          <w:b w:val="0"/>
          <w:bCs w:val="0"/>
          <w:sz w:val="32"/>
          <w:szCs w:val="32"/>
          <w:shd w:val="clear" w:color="auto" w:fill="FFFFFF"/>
        </w:rPr>
        <w:t>本单位2023年度一般公共预算财政拨款支出主要用于以下几个方面：</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pPr>
      <w:r>
        <w:rPr>
          <w:rFonts w:hint="default" w:ascii="Times New Roman" w:hAnsi="Times New Roman" w:eastAsia="方正仿宋_GBK" w:cs="Times New Roman"/>
          <w:b w:val="0"/>
          <w:bCs w:val="0"/>
          <w:sz w:val="32"/>
          <w:szCs w:val="32"/>
          <w:shd w:val="clear" w:color="auto" w:fill="FFFFFF"/>
        </w:rPr>
        <w:t>（1）社会保障与就业支出</w:t>
      </w:r>
      <w:r>
        <w:rPr>
          <w:rFonts w:hint="default" w:ascii="Times New Roman" w:hAnsi="Times New Roman" w:eastAsia="方正仿宋_GBK" w:cs="Times New Roman"/>
          <w:b w:val="0"/>
          <w:bCs w:val="0"/>
          <w:sz w:val="32"/>
          <w:szCs w:val="32"/>
        </w:rPr>
        <w:t>25.58</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7.09</w:t>
      </w:r>
      <w:r>
        <w:rPr>
          <w:rFonts w:hint="default" w:ascii="Times New Roman" w:hAnsi="Times New Roman" w:eastAsia="方正仿宋_GBK" w:cs="Times New Roman"/>
          <w:b w:val="0"/>
          <w:bCs w:val="0"/>
          <w:sz w:val="32"/>
          <w:szCs w:val="32"/>
          <w:shd w:val="clear" w:color="auto" w:fill="FFFFFF"/>
        </w:rPr>
        <w:t>%，较年初预算数减少10.11万元，下降28.33%，主要原因是</w:t>
      </w:r>
      <w:r>
        <w:rPr>
          <w:rFonts w:hint="default" w:ascii="Times New Roman" w:hAnsi="Times New Roman" w:eastAsia="方正仿宋_GBK" w:cs="Times New Roman"/>
          <w:b w:val="0"/>
          <w:bCs w:val="0"/>
          <w:sz w:val="32"/>
          <w:szCs w:val="32"/>
          <w:shd w:val="clear" w:color="auto" w:fill="FFFFFF"/>
          <w:lang w:eastAsia="zh-CN"/>
        </w:rPr>
        <w:t>在编人数减少，</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2023年预算数是按公务员社保基数进行编制，非事业差额单位进行编制，导致实际支出低于年初预算数。</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325.05</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90.12</w:t>
      </w:r>
      <w:r>
        <w:rPr>
          <w:rFonts w:hint="default" w:ascii="Times New Roman" w:hAnsi="Times New Roman" w:eastAsia="方正仿宋_GBK" w:cs="Times New Roman"/>
          <w:b w:val="0"/>
          <w:bCs w:val="0"/>
          <w:sz w:val="32"/>
          <w:szCs w:val="32"/>
          <w:shd w:val="clear" w:color="auto" w:fill="FFFFFF"/>
        </w:rPr>
        <w:t>%，较年初预算数增加148.08万元，增长83.68%，主要原因是</w:t>
      </w:r>
      <w:r>
        <w:rPr>
          <w:rFonts w:hint="default" w:ascii="Times New Roman" w:hAnsi="Times New Roman" w:eastAsia="方正仿宋_GBK" w:cs="Times New Roman"/>
          <w:b w:val="0"/>
          <w:bCs w:val="0"/>
          <w:sz w:val="32"/>
          <w:szCs w:val="32"/>
          <w:shd w:val="clear" w:color="auto" w:fill="FFFFFF"/>
          <w:lang w:val="en-US" w:eastAsia="zh-CN"/>
        </w:rPr>
        <w:t>2023年事业收入增加导致医药药品耗材、日常开支增加；</w:t>
      </w:r>
      <w:r>
        <w:rPr>
          <w:rFonts w:hint="default" w:ascii="Times New Roman" w:hAnsi="Times New Roman" w:eastAsia="方正仿宋_GBK" w:cs="Times New Roman"/>
          <w:b w:val="0"/>
          <w:bCs w:val="0"/>
          <w:sz w:val="32"/>
          <w:szCs w:val="32"/>
          <w:shd w:val="clear" w:color="auto" w:fill="FFFFFF"/>
        </w:rPr>
        <w:t>年初预算数</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sz w:val="32"/>
          <w:szCs w:val="32"/>
        </w:rPr>
        <w:t>根据单位情况预估核算，实际</w:t>
      </w:r>
      <w:r>
        <w:rPr>
          <w:rFonts w:hint="default" w:ascii="Times New Roman" w:hAnsi="Times New Roman" w:eastAsia="方正仿宋_GBK" w:cs="Times New Roman"/>
          <w:sz w:val="32"/>
          <w:szCs w:val="32"/>
          <w:lang w:eastAsia="zh-CN"/>
        </w:rPr>
        <w:t>收入</w:t>
      </w:r>
      <w:r>
        <w:rPr>
          <w:rFonts w:hint="default" w:ascii="Times New Roman" w:hAnsi="Times New Roman" w:eastAsia="方正仿宋_GBK" w:cs="Times New Roman"/>
          <w:sz w:val="32"/>
          <w:szCs w:val="32"/>
        </w:rPr>
        <w:t>由财政</w:t>
      </w:r>
      <w:r>
        <w:rPr>
          <w:rFonts w:hint="default" w:ascii="Times New Roman" w:hAnsi="Times New Roman" w:eastAsia="方正仿宋_GBK" w:cs="Times New Roman"/>
          <w:sz w:val="32"/>
          <w:szCs w:val="32"/>
          <w:lang w:eastAsia="zh-CN"/>
        </w:rPr>
        <w:t>安</w:t>
      </w:r>
      <w:r>
        <w:rPr>
          <w:rFonts w:hint="default" w:ascii="Times New Roman" w:hAnsi="Times New Roman" w:eastAsia="方正仿宋_GBK" w:cs="Times New Roman"/>
          <w:sz w:val="32"/>
          <w:szCs w:val="32"/>
        </w:rPr>
        <w:t>排拨款</w:t>
      </w:r>
      <w:r>
        <w:rPr>
          <w:rFonts w:hint="default" w:ascii="Times New Roman" w:hAnsi="Times New Roman" w:eastAsia="方正仿宋_GBK" w:cs="Times New Roman"/>
          <w:sz w:val="32"/>
          <w:szCs w:val="32"/>
          <w:lang w:eastAsia="zh-CN"/>
        </w:rPr>
        <w:t>和事业收入组成</w:t>
      </w:r>
      <w:r>
        <w:rPr>
          <w:rFonts w:hint="default" w:ascii="Times New Roman" w:hAnsi="Times New Roman" w:eastAsia="方正仿宋_GBK" w:cs="Times New Roman"/>
          <w:sz w:val="32"/>
          <w:szCs w:val="32"/>
        </w:rPr>
        <w:t>，因此</w:t>
      </w:r>
      <w:r>
        <w:rPr>
          <w:rFonts w:hint="default" w:ascii="Times New Roman" w:hAnsi="Times New Roman" w:eastAsia="方正仿宋_GBK" w:cs="Times New Roman"/>
          <w:sz w:val="32"/>
          <w:szCs w:val="32"/>
          <w:lang w:eastAsia="zh-CN"/>
        </w:rPr>
        <w:t>卫生健康</w:t>
      </w:r>
      <w:r>
        <w:rPr>
          <w:rFonts w:hint="default" w:ascii="Times New Roman" w:hAnsi="Times New Roman" w:eastAsia="方正仿宋_GBK" w:cs="Times New Roman"/>
          <w:sz w:val="32"/>
          <w:szCs w:val="32"/>
        </w:rPr>
        <w:t>支出与年初预算有相应差异。</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FF000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住房保障支出10.06</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2.79</w:t>
      </w:r>
      <w:r>
        <w:rPr>
          <w:rFonts w:hint="default" w:ascii="Times New Roman" w:hAnsi="Times New Roman" w:eastAsia="方正仿宋_GBK" w:cs="Times New Roman"/>
          <w:b w:val="0"/>
          <w:bCs w:val="0"/>
          <w:sz w:val="32"/>
          <w:szCs w:val="32"/>
          <w:shd w:val="clear" w:color="auto" w:fill="FFFFFF"/>
        </w:rPr>
        <w:t>%，较年初预算数减少7.47万元，下降42.61%，主要原因是</w:t>
      </w:r>
      <w:r>
        <w:rPr>
          <w:rFonts w:hint="default" w:ascii="Times New Roman" w:hAnsi="Times New Roman" w:eastAsia="方正仿宋_GBK" w:cs="Times New Roman"/>
          <w:b w:val="0"/>
          <w:bCs w:val="0"/>
          <w:sz w:val="32"/>
          <w:szCs w:val="32"/>
          <w:shd w:val="clear" w:color="auto" w:fill="FFFFFF"/>
          <w:lang w:eastAsia="zh-CN"/>
        </w:rPr>
        <w:t>在编人数减少，</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2023年预算数是按公务员公积金基数进行编制，非事业差额单位进行编制，导致实际支出低于年初预算数。</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340.61</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275.68</w:t>
      </w:r>
      <w:r>
        <w:rPr>
          <w:rFonts w:hint="default" w:ascii="Times New Roman" w:hAnsi="Times New Roman" w:eastAsia="方正仿宋_GBK" w:cs="Times New Roman"/>
          <w:b w:val="0"/>
          <w:bCs w:val="0"/>
          <w:sz w:val="32"/>
          <w:szCs w:val="32"/>
          <w:shd w:val="clear" w:color="auto" w:fill="FFFFFF"/>
        </w:rPr>
        <w:t>万元，较上年决算数减少30.43万元，下降9.94%，主要原因是</w:t>
      </w:r>
      <w:r>
        <w:rPr>
          <w:rFonts w:hint="default" w:ascii="Times New Roman" w:hAnsi="Times New Roman" w:eastAsia="方正仿宋_GBK" w:cs="Times New Roman"/>
          <w:b w:val="0"/>
          <w:bCs w:val="0"/>
          <w:sz w:val="32"/>
          <w:szCs w:val="32"/>
          <w:shd w:val="clear" w:color="auto" w:fill="FFFFFF"/>
          <w:lang w:eastAsia="zh-CN"/>
        </w:rPr>
        <w:t>人员减少导致支出减少。</w:t>
      </w:r>
      <w:r>
        <w:rPr>
          <w:rFonts w:hint="default" w:ascii="Times New Roman" w:hAnsi="Times New Roman" w:eastAsia="方正仿宋_GBK" w:cs="Times New Roman"/>
          <w:b w:val="0"/>
          <w:bCs w:val="0"/>
          <w:sz w:val="32"/>
          <w:szCs w:val="32"/>
          <w:shd w:val="clear" w:color="auto" w:fill="FFFFFF"/>
        </w:rPr>
        <w:t>人员经费用途主要包括</w:t>
      </w:r>
      <w:r>
        <w:rPr>
          <w:rFonts w:hint="default" w:ascii="Times New Roman" w:hAnsi="Times New Roman" w:eastAsia="方正仿宋_GBK" w:cs="Times New Roman"/>
          <w:b w:val="0"/>
          <w:bCs w:val="0"/>
          <w:sz w:val="32"/>
          <w:szCs w:val="32"/>
          <w:shd w:val="clear" w:color="auto" w:fill="FFFFFF"/>
          <w:lang w:eastAsia="zh-CN"/>
        </w:rPr>
        <w:t>人员基本工资、津补贴、绩效、社保、公积金等支出。</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64.94</w:t>
      </w:r>
      <w:r>
        <w:rPr>
          <w:rFonts w:hint="default" w:ascii="Times New Roman" w:hAnsi="Times New Roman" w:eastAsia="方正仿宋_GBK" w:cs="Times New Roman"/>
          <w:b w:val="0"/>
          <w:bCs w:val="0"/>
          <w:sz w:val="32"/>
          <w:szCs w:val="32"/>
          <w:shd w:val="clear" w:color="auto" w:fill="FFFFFF"/>
        </w:rPr>
        <w:t>万元，较上年决算数增加39.10万元，增长151.32%，主要原因是</w:t>
      </w:r>
      <w:r>
        <w:rPr>
          <w:rFonts w:hint="default" w:ascii="Times New Roman" w:hAnsi="Times New Roman" w:eastAsia="方正仿宋_GBK" w:cs="Times New Roman"/>
          <w:b w:val="0"/>
          <w:bCs w:val="0"/>
          <w:sz w:val="32"/>
          <w:szCs w:val="32"/>
          <w:shd w:val="clear" w:color="auto" w:fill="FFFFFF"/>
          <w:lang w:eastAsia="zh-CN"/>
        </w:rPr>
        <w:t>项目支出等支出增加。</w:t>
      </w:r>
      <w:r>
        <w:rPr>
          <w:rFonts w:hint="default" w:ascii="Times New Roman" w:hAnsi="Times New Roman" w:eastAsia="方正仿宋_GBK" w:cs="Times New Roman"/>
          <w:b w:val="0"/>
          <w:bCs w:val="0"/>
          <w:sz w:val="32"/>
          <w:szCs w:val="32"/>
          <w:shd w:val="clear" w:color="auto" w:fill="FFFFFF"/>
        </w:rPr>
        <w:t>公用经费用途主要包括</w:t>
      </w:r>
      <w:r>
        <w:rPr>
          <w:rFonts w:hint="default" w:ascii="Times New Roman" w:hAnsi="Times New Roman" w:eastAsia="方正仿宋_GBK" w:cs="Times New Roman"/>
          <w:b w:val="0"/>
          <w:bCs w:val="0"/>
          <w:sz w:val="32"/>
          <w:szCs w:val="32"/>
          <w:shd w:val="clear" w:color="auto" w:fill="FFFFFF"/>
          <w:lang w:eastAsia="zh-CN"/>
        </w:rPr>
        <w:t>医用药品</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材料支出、办公支出、水电支出等。</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（五）政府性基金预算收支决算情况说明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2023年度无政府性基金预算财政拨款收支</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2023年度无国有资本经营预算财政拨款支出。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val="0"/>
          <w:sz w:val="32"/>
          <w:szCs w:val="32"/>
        </w:rPr>
      </w:pPr>
      <w:r>
        <w:rPr>
          <w:rStyle w:val="11"/>
          <w:rFonts w:hint="default" w:ascii="Times New Roman" w:hAnsi="Times New Roman" w:eastAsia="方正黑体_GBK" w:cs="Times New Roman"/>
          <w:b w:val="0"/>
          <w:bCs w:val="0"/>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（一）</w:t>
      </w: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rPr>
        <w:t>三公</w:t>
      </w: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rPr>
        <w:t>经费支出总体情况说明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本单位属于差额拨款事业单位，财政未保障本单位“三公”经费。</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（二）</w:t>
      </w: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rPr>
        <w:t>三公</w:t>
      </w: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rPr>
        <w:t>经费分项支出情况</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（三）</w:t>
      </w: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rPr>
        <w:t>三公</w:t>
      </w: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rPr>
        <w:t>经费实物量情况</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lang w:eastAsia="zh-CN"/>
        </w:rPr>
        <w:t>四、</w:t>
      </w:r>
      <w:r>
        <w:rPr>
          <w:rStyle w:val="11"/>
          <w:rFonts w:hint="default" w:ascii="Times New Roman" w:hAnsi="Times New Roman" w:eastAsia="方正黑体_GBK" w:cs="Times New Roman"/>
          <w:b w:val="0"/>
          <w:bCs w:val="0"/>
          <w:sz w:val="32"/>
          <w:szCs w:val="32"/>
          <w:shd w:val="clear" w:color="auto" w:fill="FFFFFF"/>
        </w:rPr>
        <w:t>其他需要说明的事项</w:t>
      </w:r>
    </w:p>
    <w:p>
      <w:pPr>
        <w:pStyle w:val="9"/>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val="en-US" w:eastAsia="zh-CN"/>
        </w:rPr>
      </w:pPr>
      <w:r>
        <w:rPr>
          <w:rFonts w:hint="default" w:ascii="Times New Roman" w:hAnsi="Times New Roman" w:eastAsia="方正楷体_GBK" w:cs="Times New Roman"/>
          <w:b w:val="0"/>
          <w:bCs w:val="0"/>
          <w:sz w:val="32"/>
          <w:szCs w:val="32"/>
          <w:shd w:val="clear" w:color="auto" w:fill="FFFFFF"/>
        </w:rPr>
        <w:t>财政拨款会议费和培训费情况说明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本单位属于差额拨款事业单位，财政</w:t>
      </w:r>
      <w:r>
        <w:rPr>
          <w:rFonts w:hint="eastAsia" w:ascii="Times New Roman" w:hAnsi="Times New Roman" w:eastAsia="方正仿宋_GBK" w:cs="Times New Roman"/>
          <w:b w:val="0"/>
          <w:bCs w:val="0"/>
          <w:color w:val="000000" w:themeColor="text1"/>
          <w:sz w:val="32"/>
          <w:szCs w:val="32"/>
          <w:lang w:eastAsia="zh-CN"/>
          <w14:textFill>
            <w14:solidFill>
              <w14:schemeClr w14:val="tx1"/>
            </w14:solidFill>
          </w14:textFill>
        </w:rPr>
        <w:t>未</w:t>
      </w: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保障本单位会议费和培训费。</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（二）机关运行经费情况说明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（三）国有资产占用情况说明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eastAsia="zh-CN"/>
        </w:rPr>
      </w:pPr>
      <w:r>
        <w:rPr>
          <w:rFonts w:hint="default" w:ascii="Times New Roman" w:hAnsi="Times New Roman" w:eastAsia="方正楷体_GBK" w:cs="Times New Roman"/>
          <w:b w:val="0"/>
          <w:bCs w:val="0"/>
          <w:sz w:val="32"/>
          <w:szCs w:val="32"/>
          <w:shd w:val="clear" w:color="auto" w:fill="FFFFFF"/>
        </w:rPr>
        <w:t>（四）政府采购支出情况说明</w:t>
      </w:r>
      <w:r>
        <w:rPr>
          <w:rFonts w:hint="default" w:ascii="Times New Roman" w:hAnsi="Times New Roman" w:eastAsia="方正楷体_GBK" w:cs="Times New Roman"/>
          <w:b w:val="0"/>
          <w:bCs w:val="0"/>
          <w:sz w:val="32"/>
          <w:szCs w:val="32"/>
          <w:shd w:val="clear" w:color="auto" w:fill="FFFFFF"/>
          <w:lang w:eastAsia="zh-CN"/>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本</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单位未发生政府采购事项，无相关经费支出。</w:t>
      </w:r>
    </w:p>
    <w:p>
      <w:pPr>
        <w:pStyle w:val="9"/>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948" w:tblpY="35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19"/>
        <w:keepNext w:val="0"/>
        <w:keepLines w:val="0"/>
        <w:pageBreakBefore w:val="0"/>
        <w:widowControl w:val="0"/>
        <w:tabs>
          <w:tab w:val="center" w:pos="4153"/>
          <w:tab w:val="left" w:pos="7275"/>
        </w:tabs>
        <w:kinsoku/>
        <w:wordWrap/>
        <w:overflowPunct/>
        <w:topLinePunct w:val="0"/>
        <w:autoSpaceDE/>
        <w:autoSpaceDN/>
        <w:bidi w:val="0"/>
        <w:adjustRightInd/>
        <w:snapToGrid/>
        <w:spacing w:before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财政拨款收入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经营收入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财政拨款收入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经营收入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其他收入</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工资福利支出</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和</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对个人和家庭的补助</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；公用经费指政府收支分类经济科目中除</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工资福利支出</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和</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对个人和家庭的补助</w:t>
      </w:r>
      <w:r>
        <w:rPr>
          <w:rFonts w:hint="default" w:ascii="Times New Roman" w:hAnsi="Times New Roman" w:eastAsia="方正仿宋_GBK" w:cs="Times New Roman"/>
          <w:b w:val="0"/>
          <w:bCs w:val="0"/>
          <w:sz w:val="32"/>
          <w:szCs w:val="32"/>
          <w:shd w:val="clear" w:color="auto" w:fill="FFFFFF"/>
          <w:lang w:eastAsia="zh-CN"/>
        </w:rPr>
        <w:t>”</w:t>
      </w:r>
      <w:r>
        <w:rPr>
          <w:rFonts w:hint="default" w:ascii="Times New Roman" w:hAnsi="Times New Roman" w:eastAsia="方正仿宋_GBK" w:cs="Times New Roman"/>
          <w:b w:val="0"/>
          <w:bCs w:val="0"/>
          <w:sz w:val="32"/>
          <w:szCs w:val="32"/>
          <w:shd w:val="clear" w:color="auto" w:fill="FFFFFF"/>
        </w:rPr>
        <w:t>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七、决算公开联系方式及信息反馈渠道</w:t>
      </w:r>
    </w:p>
    <w:p>
      <w:pPr>
        <w:pStyle w:val="14"/>
        <w:keepNext w:val="0"/>
        <w:keepLines w:val="0"/>
        <w:pageBreakBefore w:val="0"/>
        <w:widowControl/>
        <w:kinsoku/>
        <w:wordWrap w:val="0"/>
        <w:overflowPunct/>
        <w:topLinePunct w:val="0"/>
        <w:autoSpaceDE w:val="0"/>
        <w:autoSpaceDN/>
        <w:bidi w:val="0"/>
        <w:adjustRightInd/>
        <w:snapToGrid/>
        <w:spacing w:before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14"/>
        <w:keepNext w:val="0"/>
        <w:keepLines w:val="0"/>
        <w:pageBreakBefore w:val="0"/>
        <w:widowControl/>
        <w:kinsoku/>
        <w:wordWrap w:val="0"/>
        <w:overflowPunct/>
        <w:topLinePunct w:val="0"/>
        <w:autoSpaceDE w:val="0"/>
        <w:autoSpaceDN/>
        <w:bidi w:val="0"/>
        <w:adjustRightInd/>
        <w:snapToGrid/>
        <w:spacing w:before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b w:val="0"/>
          <w:bCs w:val="0"/>
          <w:sz w:val="32"/>
          <w:szCs w:val="32"/>
          <w:shd w:val="clear" w:color="auto" w:fill="FFFFFF"/>
          <w:lang w:eastAsia="zh-CN"/>
        </w:rPr>
        <w:t>黄甜</w:t>
      </w:r>
      <w:r>
        <w:rPr>
          <w:rFonts w:hint="eastAsia" w:ascii="Times New Roman" w:hAnsi="Times New Roman" w:eastAsia="方正仿宋_GBK" w:cs="Times New Roman"/>
          <w:b w:val="0"/>
          <w:bCs w:val="0"/>
          <w:sz w:val="32"/>
          <w:szCs w:val="32"/>
          <w:shd w:val="clear" w:color="auto" w:fill="FFFFFF"/>
          <w:lang w:val="en-US" w:eastAsia="zh-CN"/>
        </w:rPr>
        <w:t xml:space="preserve">  </w:t>
      </w:r>
      <w:r>
        <w:rPr>
          <w:rFonts w:hint="default" w:ascii="Times New Roman" w:hAnsi="Times New Roman" w:eastAsia="方正仿宋_GBK" w:cs="Times New Roman"/>
          <w:b w:val="0"/>
          <w:bCs/>
          <w:color w:val="000000" w:themeColor="text1"/>
          <w:sz w:val="32"/>
          <w:szCs w:val="32"/>
          <w14:textFill>
            <w14:solidFill>
              <w14:schemeClr w14:val="tx1"/>
            </w14:solidFill>
          </w14:textFill>
        </w:rPr>
        <w:t>023-</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76620965</w:t>
      </w:r>
    </w:p>
    <w:tbl>
      <w:tblPr>
        <w:tblStyle w:val="12"/>
        <w:tblpPr w:leftFromText="180" w:rightFromText="180" w:vertAnchor="text" w:horzAnchor="page" w:tblpX="1019" w:tblpY="287"/>
        <w:tblOverlap w:val="never"/>
        <w:tblW w:w="15378" w:type="dxa"/>
        <w:tblInd w:w="0" w:type="dxa"/>
        <w:tblLayout w:type="fixed"/>
        <w:tblCellMar>
          <w:top w:w="0" w:type="dxa"/>
          <w:left w:w="0" w:type="dxa"/>
          <w:bottom w:w="0" w:type="dxa"/>
          <w:right w:w="0" w:type="dxa"/>
        </w:tblCellMar>
      </w:tblPr>
      <w:tblGrid>
        <w:gridCol w:w="5117"/>
        <w:gridCol w:w="2018"/>
        <w:gridCol w:w="4804"/>
        <w:gridCol w:w="3439"/>
      </w:tblGrid>
      <w:tr>
        <w:tblPrEx>
          <w:tblLayout w:type="fixed"/>
          <w:tblCellMar>
            <w:top w:w="0" w:type="dxa"/>
            <w:left w:w="0" w:type="dxa"/>
            <w:bottom w:w="0" w:type="dxa"/>
            <w:right w:w="0" w:type="dxa"/>
          </w:tblCellMar>
        </w:tblPrEx>
        <w:trPr>
          <w:trHeight w:val="232" w:hRule="atLeast"/>
        </w:trPr>
        <w:tc>
          <w:tcPr>
            <w:tcW w:w="15378"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kinsoku/>
              <w:overflowPunct/>
              <w:topLinePunct w:val="0"/>
              <w:autoSpaceDN/>
              <w:bidi w:val="0"/>
              <w:adjustRightInd/>
              <w:spacing w:beforeAutospacing="0" w:line="560" w:lineRule="exact"/>
              <w:jc w:val="center"/>
              <w:textAlignment w:val="bottom"/>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收入支出决算总表</w:t>
            </w:r>
          </w:p>
        </w:tc>
      </w:tr>
      <w:tr>
        <w:tblPrEx>
          <w:tblLayout w:type="fixed"/>
          <w:tblCellMar>
            <w:top w:w="0" w:type="dxa"/>
            <w:left w:w="0" w:type="dxa"/>
            <w:bottom w:w="0" w:type="dxa"/>
            <w:right w:w="0" w:type="dxa"/>
          </w:tblCellMar>
        </w:tblPrEx>
        <w:trPr>
          <w:trHeight w:val="232" w:hRule="atLeast"/>
        </w:trPr>
        <w:tc>
          <w:tcPr>
            <w:tcW w:w="51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kinsoku/>
              <w:overflowPunct/>
              <w:topLinePunct w:val="0"/>
              <w:autoSpaceDN/>
              <w:bidi w:val="0"/>
              <w:adjustRightInd/>
              <w:spacing w:beforeAutospacing="0" w:line="560" w:lineRule="exact"/>
              <w:rPr>
                <w:rFonts w:hint="default" w:ascii="Times New Roman" w:hAnsi="Times New Roman" w:eastAsia="方正仿宋_GBK" w:cs="Times New Roman"/>
                <w:b w:val="0"/>
                <w:bCs w:val="0"/>
                <w:color w:val="000000"/>
                <w:sz w:val="20"/>
                <w:szCs w:val="20"/>
              </w:rPr>
            </w:pPr>
          </w:p>
        </w:tc>
        <w:tc>
          <w:tcPr>
            <w:tcW w:w="20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kinsoku/>
              <w:overflowPunct/>
              <w:topLinePunct w:val="0"/>
              <w:autoSpaceDN/>
              <w:bidi w:val="0"/>
              <w:adjustRightInd/>
              <w:spacing w:beforeAutospacing="0" w:line="560" w:lineRule="exact"/>
              <w:jc w:val="right"/>
              <w:rPr>
                <w:rFonts w:hint="default" w:ascii="Times New Roman" w:hAnsi="Times New Roman" w:eastAsia="方正仿宋_GBK" w:cs="Times New Roman"/>
                <w:b w:val="0"/>
                <w:bCs w:val="0"/>
                <w:color w:val="000000"/>
                <w:sz w:val="20"/>
                <w:szCs w:val="20"/>
              </w:rPr>
            </w:pPr>
          </w:p>
        </w:tc>
        <w:tc>
          <w:tcPr>
            <w:tcW w:w="480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kinsoku/>
              <w:overflowPunct/>
              <w:topLinePunct w:val="0"/>
              <w:autoSpaceDN/>
              <w:bidi w:val="0"/>
              <w:adjustRightInd/>
              <w:spacing w:beforeAutospacing="0" w:line="560" w:lineRule="exact"/>
              <w:rPr>
                <w:rFonts w:hint="default" w:ascii="Times New Roman" w:hAnsi="Times New Roman" w:eastAsia="方正仿宋_GBK" w:cs="Times New Roman"/>
                <w:b w:val="0"/>
                <w:bCs w:val="0"/>
                <w:color w:val="000000"/>
                <w:sz w:val="20"/>
                <w:szCs w:val="20"/>
              </w:rPr>
            </w:pPr>
          </w:p>
        </w:tc>
        <w:tc>
          <w:tcPr>
            <w:tcW w:w="3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kinsoku/>
              <w:overflowPunct/>
              <w:topLinePunct w:val="0"/>
              <w:autoSpaceDN/>
              <w:bidi w:val="0"/>
              <w:adjustRightInd/>
              <w:spacing w:beforeAutospacing="0" w:line="560" w:lineRule="exact"/>
              <w:jc w:val="right"/>
              <w:textAlignment w:val="bottom"/>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1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sz w:val="20"/>
                <w:u w:color="auto"/>
              </w:rPr>
              <w:t>重庆市秀山土家族苗族自治县隘口镇卫生院</w:t>
            </w:r>
          </w:p>
        </w:tc>
        <w:tc>
          <w:tcPr>
            <w:tcW w:w="20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2"/>
                <w:szCs w:val="22"/>
              </w:rPr>
            </w:pPr>
          </w:p>
        </w:tc>
        <w:tc>
          <w:tcPr>
            <w:tcW w:w="480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2"/>
                <w:szCs w:val="22"/>
              </w:rPr>
            </w:pPr>
          </w:p>
        </w:tc>
        <w:tc>
          <w:tcPr>
            <w:tcW w:w="3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3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收入</w:t>
            </w:r>
          </w:p>
        </w:tc>
        <w:tc>
          <w:tcPr>
            <w:tcW w:w="8243"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2018"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w:t>
            </w:r>
          </w:p>
        </w:tc>
        <w:tc>
          <w:tcPr>
            <w:tcW w:w="343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一、一般公共预算财政拨款收入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376.63</w:t>
            </w: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一、一般公共服务支出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二、政府性基金预算财政拨款收入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二、外交支出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三、国有资本经营预算财政拨款收入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三、国防支出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四、上级补助收入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四、公共安全支出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五、事业收入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404.36</w:t>
            </w: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五、教育支出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六、经营收入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六、科学技术支出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七、附属单位上缴收入</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七、文化旅游体育与传媒支出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八、其他收入</w:t>
            </w:r>
          </w:p>
        </w:tc>
        <w:tc>
          <w:tcPr>
            <w:tcW w:w="2018"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28.90</w:t>
            </w: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八、社会保障和就业支出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九、卫生健康支出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748.82</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十、节能环保支出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十一、城乡社区支出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十二、农林水支出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十三、交通运输支出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十四、资源勘探工业信息等支出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十五、商业服务业等支出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十六、金融支出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十七、援助其他地区支出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十八、自然资源海洋气象等支出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十九、住房保障支出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二十、粮油物资储备支出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二十一、国有资本经营预算支出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二十二、灾害防治及应急管理支出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二十三、其他支出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二十四、债务还本支出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二十五、债务付息支出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二十六、抗疫特别国债安排的支出</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本年收入合计</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809.89</w:t>
            </w: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本年支出合计</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784.46</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使用非财政拨款结余和专用结余</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结余分配</w:t>
            </w:r>
          </w:p>
        </w:tc>
        <w:tc>
          <w:tcPr>
            <w:tcW w:w="3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年初结转和结余</w:t>
            </w:r>
          </w:p>
        </w:tc>
        <w:tc>
          <w:tcPr>
            <w:tcW w:w="20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3.95</w:t>
            </w: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年末结转和结余</w:t>
            </w:r>
          </w:p>
        </w:tc>
        <w:tc>
          <w:tcPr>
            <w:tcW w:w="3439"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29.39</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17"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总计</w:t>
            </w:r>
          </w:p>
        </w:tc>
        <w:tc>
          <w:tcPr>
            <w:tcW w:w="20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813.84</w:t>
            </w:r>
            <w:r>
              <w:rPr>
                <w:rFonts w:hint="default" w:ascii="Times New Roman" w:hAnsi="Times New Roman" w:eastAsia="方正仿宋_GBK" w:cs="Times New Roman"/>
                <w:b w:val="0"/>
                <w:bCs w:val="0"/>
                <w:color w:val="000000"/>
                <w:sz w:val="20"/>
                <w:u w:color="auto"/>
              </w:rPr>
              <w:t xml:space="preserve"> </w:t>
            </w:r>
          </w:p>
        </w:tc>
        <w:tc>
          <w:tcPr>
            <w:tcW w:w="4804"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总计</w:t>
            </w:r>
          </w:p>
        </w:tc>
        <w:tc>
          <w:tcPr>
            <w:tcW w:w="34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813.84</w:t>
            </w: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备注：1.本表反映单位本年度的总收支和年末结转结余情况。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sz w:val="20"/>
                <w:u w:color="auto"/>
              </w:rPr>
              <w:t>重庆市秀山土家族苗族自治县隘口镇卫生院</w:t>
            </w: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809.89</w:t>
            </w:r>
            <w:r>
              <w:rPr>
                <w:rFonts w:hint="default" w:ascii="Times New Roman" w:hAnsi="Times New Roman" w:eastAsia="方正仿宋_GBK"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376.63</w:t>
            </w:r>
            <w:r>
              <w:rPr>
                <w:rFonts w:hint="default" w:ascii="Times New Roman" w:hAnsi="Times New Roman" w:eastAsia="方正仿宋_GBK"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404.36</w:t>
            </w:r>
            <w:r>
              <w:rPr>
                <w:rFonts w:hint="default" w:ascii="Times New Roman" w:hAnsi="Times New Roman" w:eastAsia="方正仿宋_GBK" w:cs="Times New Roman"/>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28.90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0.62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0.62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13.29</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13.29</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6.62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6.62</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774.25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340.99</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404.36</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28.90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624.24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190.98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404.36</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28.90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624.24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190.98</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404.36</w:t>
            </w: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28.90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130.96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130.96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119.04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119.04</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其他公共卫生支出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1.85</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left="600"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备注：1.本表反映单位本年度取得的各项收入情况。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page"/>
      </w: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 xml:space="preserve">重庆市秀山土家族苗族自治县隘口镇卫生院 </w:t>
            </w: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784.46</w:t>
            </w:r>
            <w:r>
              <w:rPr>
                <w:rFonts w:hint="default" w:ascii="Times New Roman" w:hAnsi="Times New Roman" w:eastAsia="方正仿宋_GBK"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764.39</w:t>
            </w:r>
            <w:r>
              <w:rPr>
                <w:rFonts w:hint="default" w:ascii="Times New Roman" w:hAnsi="Times New Roman" w:eastAsia="方正仿宋_GBK"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20.07</w:t>
            </w:r>
            <w:r>
              <w:rPr>
                <w:rFonts w:hint="default" w:ascii="Times New Roman" w:hAnsi="Times New Roman" w:eastAsia="方正仿宋_GBK"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0.62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0.62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13.29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13.29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6.62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6.62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748.82</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728.75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20.07</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598.81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598.81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598.81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598.81</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130.96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120.89</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119.04</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119.04</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1.85</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备注：1.本表反映单位本年度各项支出情况。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重庆市秀山土家族苗族自治县隘口镇卫生院</w:t>
            </w: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376.63</w:t>
            </w: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25.58</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25.58</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325.05</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325.05</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10.06</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10.06</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376.63</w:t>
            </w: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360.68</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360.68</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15.95</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15.95</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376.63</w:t>
            </w:r>
            <w:r>
              <w:rPr>
                <w:rFonts w:hint="default" w:ascii="Times New Roman" w:hAnsi="Times New Roman" w:eastAsia="方正仿宋_GBK"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376.63</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376.63</w:t>
            </w:r>
            <w:r>
              <w:rPr>
                <w:rFonts w:hint="default" w:ascii="Times New Roman" w:hAnsi="Times New Roman" w:eastAsia="方正仿宋_GBK"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重庆市秀山土家族苗族自治县隘口镇卫生院</w:t>
            </w: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360.68</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340.61</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20.07</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25.58</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0.62</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0.62</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13.29</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13.29</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6.62</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6.62</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5.06</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5.06</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325.05</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304.98</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20.07</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0.75</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175.03</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175.03</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175.03</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175.03</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130.96</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120.89</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119.04</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119.04</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10.07</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2100499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其他公共卫生支出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1.85</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1.85</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8.30</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10.00</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10.06</w:t>
            </w:r>
            <w:r>
              <w:rPr>
                <w:rFonts w:hint="default" w:ascii="Times New Roman" w:hAnsi="Times New Roman" w:eastAsia="方正仿宋_GBK"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备注：1.本表反映单位本年度一般公共预算财政拨款支出情况。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重庆市秀山土家族苗族自治县隘口镇卫生院</w:t>
            </w: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270.00</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64.94</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87.54</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0.60</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20.60</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0.20</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120.47</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0.30</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13.29</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0.80</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6.62</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8.30</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0.25</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10.06</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2.88</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5.68</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5.06</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54.05</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0.62</w:t>
            </w: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5.00</w:t>
            </w: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275.68</w:t>
            </w:r>
            <w:r>
              <w:rPr>
                <w:rFonts w:hint="default" w:ascii="Times New Roman" w:hAnsi="Times New Roman" w:eastAsia="方正仿宋_GBK" w:cs="Times New Roman"/>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黑体_GBK"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18"/>
                <w:szCs w:val="18"/>
              </w:rPr>
            </w:pPr>
            <w:r>
              <w:rPr>
                <w:rFonts w:hint="default" w:ascii="Times New Roman" w:hAnsi="Times New Roman" w:eastAsia="方正仿宋_GBK" w:cs="Times New Roman"/>
                <w:b w:val="0"/>
                <w:bCs w:val="0"/>
                <w:color w:val="000000"/>
                <w:sz w:val="18"/>
                <w:szCs w:val="18"/>
              </w:rPr>
              <w:t>64.94</w:t>
            </w:r>
            <w:r>
              <w:rPr>
                <w:rFonts w:hint="default" w:ascii="Times New Roman" w:hAnsi="Times New Roman" w:eastAsia="方正仿宋_GBK" w:cs="Times New Roman"/>
                <w:b w:val="0"/>
                <w:bCs w:val="0"/>
                <w:color w:val="000000"/>
                <w:sz w:val="18"/>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0"/>
          <w:szCs w:val="20"/>
        </w:rPr>
      </w:pPr>
      <w:r>
        <w:rPr>
          <w:rFonts w:hint="default" w:ascii="Times New Roman" w:hAnsi="Times New Roman" w:eastAsia="方正仿宋_GBK" w:cs="Times New Roman"/>
          <w:b w:val="0"/>
          <w:bCs w:val="0"/>
          <w:sz w:val="20"/>
          <w:szCs w:val="20"/>
        </w:rPr>
        <w:t>备注：1.本表反映单位本年度一般公共预算财政拨款基本支出明细情况。</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t xml:space="preserve">      2.本套报表金额单位转换时可能存在尾数误差。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09"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重庆市秀山土家族苗族自治县隘口镇卫生院</w:t>
            </w: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黑体_GBK" w:cs="Times New Roman"/>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重庆市秀山土家族苗族自治县隘口镇卫生院</w:t>
            </w:r>
          </w:p>
        </w:tc>
        <w:tc>
          <w:tcPr>
            <w:tcW w:w="32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beforeAutospacing="0" w:line="200" w:lineRule="atLeast"/>
              <w:ind w:firstLine="0" w:firstLineChars="0"/>
              <w:jc w:val="right"/>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eastAsia="方正仿宋_GBK" w:cs="Times New Roman"/>
          <w:b w:val="0"/>
          <w:bCs w:val="0"/>
          <w:sz w:val="20"/>
          <w:szCs w:val="20"/>
        </w:rPr>
        <w:br w:type="textWrapping"/>
      </w:r>
      <w:r>
        <w:rPr>
          <w:rFonts w:hint="default" w:ascii="Times New Roman" w:hAnsi="Times New Roman" w:eastAsia="方正仿宋_GBK" w:cs="Times New Roman"/>
          <w:b w:val="0"/>
          <w:bCs w:val="0"/>
          <w:sz w:val="20"/>
          <w:szCs w:val="20"/>
        </w:rPr>
        <w:br w:type="textWrapping"/>
      </w:r>
    </w:p>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br w:type="page"/>
      </w:r>
    </w:p>
    <w:tbl>
      <w:tblPr>
        <w:tblStyle w:val="12"/>
        <w:tblW w:w="15400" w:type="dxa"/>
        <w:tblInd w:w="0" w:type="dxa"/>
        <w:tblLayout w:type="fixed"/>
        <w:tblCellMar>
          <w:top w:w="0" w:type="dxa"/>
          <w:left w:w="0" w:type="dxa"/>
          <w:bottom w:w="0" w:type="dxa"/>
          <w:right w:w="0" w:type="dxa"/>
        </w:tblCellMar>
      </w:tblPr>
      <w:tblGrid>
        <w:gridCol w:w="4173"/>
        <w:gridCol w:w="2239"/>
        <w:gridCol w:w="2187"/>
        <w:gridCol w:w="4667"/>
        <w:gridCol w:w="2134"/>
      </w:tblGrid>
      <w:tr>
        <w:tblPrEx>
          <w:tblLayout w:type="fixed"/>
          <w:tblCellMar>
            <w:top w:w="0" w:type="dxa"/>
            <w:left w:w="0" w:type="dxa"/>
            <w:bottom w:w="0" w:type="dxa"/>
            <w:right w:w="0" w:type="dxa"/>
          </w:tblCellMar>
        </w:tblPrEx>
        <w:trPr>
          <w:trHeight w:val="630" w:hRule="atLeast"/>
        </w:trPr>
        <w:tc>
          <w:tcPr>
            <w:tcW w:w="15400"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bottom"/>
              <w:outlineLvl w:val="9"/>
              <w:rPr>
                <w:rFonts w:hint="default" w:ascii="Times New Roman" w:hAnsi="Times New Roman" w:eastAsia="方正仿宋_GBK" w:cs="Times New Roman"/>
                <w:b w:val="0"/>
                <w:bCs w:val="0"/>
                <w:color w:val="000000"/>
                <w:sz w:val="32"/>
                <w:szCs w:val="32"/>
              </w:rPr>
            </w:pPr>
            <w:r>
              <w:rPr>
                <w:rFonts w:hint="default" w:ascii="Times New Roman" w:hAnsi="Times New Roman" w:eastAsia="方正小标宋_GBK" w:cs="Times New Roman"/>
                <w:b w:val="0"/>
                <w:bCs w:val="0"/>
                <w:color w:val="000000"/>
                <w:sz w:val="36"/>
                <w:szCs w:val="36"/>
              </w:rPr>
              <w:t>机构运行信息表</w:t>
            </w:r>
          </w:p>
        </w:tc>
      </w:tr>
      <w:tr>
        <w:tblPrEx>
          <w:tblLayout w:type="fixed"/>
          <w:tblCellMar>
            <w:top w:w="0" w:type="dxa"/>
            <w:left w:w="0" w:type="dxa"/>
            <w:bottom w:w="0" w:type="dxa"/>
            <w:right w:w="0" w:type="dxa"/>
          </w:tblCellMar>
        </w:tblPrEx>
        <w:trPr>
          <w:trHeight w:val="322" w:hRule="atLeast"/>
        </w:trPr>
        <w:tc>
          <w:tcPr>
            <w:tcW w:w="41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2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p>
        </w:tc>
        <w:tc>
          <w:tcPr>
            <w:tcW w:w="218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66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公开09表</w:t>
            </w:r>
          </w:p>
        </w:tc>
      </w:tr>
      <w:tr>
        <w:tblPrEx>
          <w:tblLayout w:type="fixed"/>
          <w:tblCellMar>
            <w:top w:w="0" w:type="dxa"/>
            <w:left w:w="0" w:type="dxa"/>
            <w:bottom w:w="0" w:type="dxa"/>
            <w:right w:w="0" w:type="dxa"/>
          </w:tblCellMar>
        </w:tblPrEx>
        <w:trPr>
          <w:trHeight w:val="322" w:hRule="atLeast"/>
        </w:trPr>
        <w:tc>
          <w:tcPr>
            <w:tcW w:w="6412" w:type="dxa"/>
            <w:gridSpan w:val="2"/>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sz w:val="20"/>
                <w:szCs w:val="20"/>
              </w:rPr>
              <w:t>公开单位</w:t>
            </w:r>
            <w:r>
              <w:rPr>
                <w:rFonts w:hint="default" w:ascii="Times New Roman" w:hAnsi="Times New Roman" w:eastAsia="方正仿宋_GBK" w:cs="Times New Roman"/>
                <w:b w:val="0"/>
                <w:bCs w:val="0"/>
                <w:color w:val="000000"/>
                <w:sz w:val="20"/>
                <w:szCs w:val="20"/>
              </w:rPr>
              <w:t xml:space="preserve">： </w:t>
            </w:r>
            <w:r>
              <w:rPr>
                <w:rFonts w:hint="default" w:ascii="Times New Roman" w:hAnsi="Times New Roman" w:eastAsia="方正仿宋_GBK" w:cs="Times New Roman"/>
                <w:b w:val="0"/>
                <w:bCs w:val="0"/>
                <w:color w:val="000000"/>
                <w:sz w:val="20"/>
                <w:u w:color="auto"/>
              </w:rPr>
              <w:t>重庆市秀山土家族苗族自治县隘口镇卫生院</w:t>
            </w:r>
          </w:p>
        </w:tc>
        <w:tc>
          <w:tcPr>
            <w:tcW w:w="2187"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c>
          <w:tcPr>
            <w:tcW w:w="4667"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34"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单位：</w:t>
            </w:r>
            <w:r>
              <w:rPr>
                <w:rFonts w:hint="default" w:ascii="Times New Roman" w:hAnsi="Times New Roman" w:eastAsia="方正仿宋_GBK" w:cs="Times New Roman"/>
                <w:b w:val="0"/>
                <w:bCs w:val="0"/>
                <w:sz w:val="20"/>
                <w:szCs w:val="20"/>
              </w:rPr>
              <w:t>万元</w:t>
            </w:r>
          </w:p>
        </w:tc>
      </w:tr>
      <w:tr>
        <w:tblPrEx>
          <w:tblLayout w:type="fixed"/>
          <w:tblCellMar>
            <w:top w:w="0" w:type="dxa"/>
            <w:left w:w="0" w:type="dxa"/>
            <w:bottom w:w="0" w:type="dxa"/>
            <w:right w:w="0" w:type="dxa"/>
          </w:tblCellMar>
        </w:tblPrEx>
        <w:trPr>
          <w:trHeight w:val="332"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  目</w:t>
            </w:r>
          </w:p>
        </w:tc>
        <w:tc>
          <w:tcPr>
            <w:tcW w:w="223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预算数</w:t>
            </w:r>
          </w:p>
        </w:tc>
        <w:tc>
          <w:tcPr>
            <w:tcW w:w="218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项  目</w:t>
            </w:r>
          </w:p>
        </w:tc>
        <w:tc>
          <w:tcPr>
            <w:tcW w:w="213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黑体_GBK" w:cs="Times New Roman"/>
                <w:b w:val="0"/>
                <w:bCs w:val="0"/>
                <w:color w:val="000000"/>
                <w:sz w:val="20"/>
                <w:szCs w:val="20"/>
              </w:rPr>
            </w:pPr>
            <w:r>
              <w:rPr>
                <w:rFonts w:hint="default" w:ascii="Times New Roman" w:hAnsi="Times New Roman" w:eastAsia="方正黑体_GBK"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332"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一、“三公”经费支出</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四、机关运行经费</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（一）支出合计</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（一）行政单位</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1．因公出国（境）费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（二）参照公务员法管理事业单位</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2．公务用车购置及运行维护费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五、资产信息</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（1）公务用车购置费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（一）车辆数合计（辆）</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（2）公务用车运行维护费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1．副部（省）级及以上领导用车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3．公务接待费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2．主要领导干部用车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（1）国内接待费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3．机要通信用车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其中：外事接待费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4．应急保障用车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（2）国（境）外接待费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5．执法执勤用车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（二）相关统计数</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6．特种专业技术用车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2</w:t>
            </w: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1．因公出国（境）团组数（个）</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7．离退休干部用车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2．因公出国（境）人次数（人）</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8．其他用车</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3．公务用车购置数（辆）</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（二）单价100万元（含）以上设备（不含车辆）</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4．公务用车保有量（辆）</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六、政府采购支出信息</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5．国内公务接待批次（个）</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（一）政府采购支出合计</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其中：外事接待批次（个）</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1．政府采购货物支出</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6．国内公务接待人次（人）</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2．政府采购工程支出</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其中：外事接待人次（人）</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3．政府采购服务支出</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7．国（境）外公务接待批次（个）</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（二）政府采购授予中小企业合同金额</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51" w:hRule="atLeast"/>
        </w:trPr>
        <w:tc>
          <w:tcPr>
            <w:tcW w:w="41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8．国（境）外公务接待人次（人）</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 xml:space="preserve">        其中：授予小微企业合同金额</w:t>
            </w: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32"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二、会议费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r>
      <w:tr>
        <w:tblPrEx>
          <w:tblLayout w:type="fixed"/>
          <w:tblCellMar>
            <w:top w:w="0" w:type="dxa"/>
            <w:left w:w="0" w:type="dxa"/>
            <w:bottom w:w="0" w:type="dxa"/>
            <w:right w:w="0" w:type="dxa"/>
          </w:tblCellMar>
        </w:tblPrEx>
        <w:trPr>
          <w:trHeight w:val="341" w:hRule="atLeast"/>
        </w:trPr>
        <w:tc>
          <w:tcPr>
            <w:tcW w:w="41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三、培训费</w:t>
            </w:r>
          </w:p>
        </w:tc>
        <w:tc>
          <w:tcPr>
            <w:tcW w:w="22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center"/>
              <w:textAlignment w:val="center"/>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szCs w:val="20"/>
              </w:rPr>
              <w:t>—</w:t>
            </w:r>
          </w:p>
        </w:tc>
        <w:tc>
          <w:tcPr>
            <w:tcW w:w="21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textAlignment w:val="bottom"/>
              <w:outlineLvl w:val="9"/>
              <w:rPr>
                <w:rFonts w:hint="default" w:ascii="Times New Roman" w:hAnsi="Times New Roman" w:eastAsia="方正仿宋_GBK" w:cs="Times New Roman"/>
                <w:b w:val="0"/>
                <w:bCs w:val="0"/>
                <w:color w:val="000000"/>
                <w:sz w:val="20"/>
                <w:szCs w:val="20"/>
              </w:rPr>
            </w:pPr>
            <w:r>
              <w:rPr>
                <w:rFonts w:hint="default" w:ascii="Times New Roman" w:hAnsi="Times New Roman" w:eastAsia="方正仿宋_GBK" w:cs="Times New Roman"/>
                <w:b w:val="0"/>
                <w:bCs w:val="0"/>
                <w:color w:val="000000"/>
                <w:sz w:val="20"/>
                <w:u w:color="auto"/>
              </w:rPr>
              <w:t xml:space="preserve"> </w:t>
            </w:r>
          </w:p>
        </w:tc>
        <w:tc>
          <w:tcPr>
            <w:tcW w:w="46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eastAsia="方正仿宋_GBK" w:cs="Times New Roman"/>
                <w:b w:val="0"/>
                <w:bCs w:val="0"/>
                <w:color w:val="000000"/>
                <w:sz w:val="20"/>
                <w:szCs w:val="20"/>
              </w:rPr>
            </w:pPr>
          </w:p>
        </w:tc>
        <w:tc>
          <w:tcPr>
            <w:tcW w:w="2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beforeAutospacing="0" w:line="200" w:lineRule="atLeast"/>
              <w:ind w:firstLine="0" w:firstLineChars="0"/>
              <w:jc w:val="right"/>
              <w:outlineLvl w:val="9"/>
              <w:rPr>
                <w:rFonts w:hint="default" w:ascii="Times New Roman" w:hAnsi="Times New Roman" w:eastAsia="方正仿宋_GBK" w:cs="Times New Roman"/>
                <w:b w:val="0"/>
                <w:bCs w:val="0"/>
                <w:color w:val="000000"/>
                <w:sz w:val="20"/>
                <w:szCs w:val="20"/>
              </w:rPr>
            </w:pPr>
          </w:p>
        </w:tc>
      </w:tr>
    </w:tbl>
    <w:p>
      <w:pPr>
        <w:keepNext w:val="0"/>
        <w:keepLines w:val="0"/>
        <w:pageBreakBefore w:val="0"/>
        <w:widowControl/>
        <w:kinsoku/>
        <w:overflowPunct/>
        <w:topLinePunct w:val="0"/>
        <w:autoSpaceDE/>
        <w:autoSpaceDN/>
        <w:bidi w:val="0"/>
        <w:adjustRightInd/>
        <w:snapToGrid/>
        <w:spacing w:beforeAutospacing="0" w:line="200" w:lineRule="atLeast"/>
        <w:ind w:firstLine="0" w:firstLineChars="0"/>
        <w:outlineLvl w:val="9"/>
        <w:rPr>
          <w:rFonts w:hint="default" w:ascii="Times New Roman" w:hAnsi="Times New Roman" w:cs="Times New Roman"/>
          <w:b w:val="0"/>
          <w:bCs w:val="0"/>
          <w:sz w:val="21"/>
          <w:szCs w:val="21"/>
        </w:rPr>
      </w:pPr>
      <w:r>
        <w:rPr>
          <w:rFonts w:hint="default" w:ascii="Times New Roman" w:hAnsi="Times New Roman" w:eastAsia="方正仿宋_GBK"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43C3E0"/>
    <w:multiLevelType w:val="singleLevel"/>
    <w:tmpl w:val="BB43C3E0"/>
    <w:lvl w:ilvl="0" w:tentative="0">
      <w:start w:val="1"/>
      <w:numFmt w:val="chineseCounting"/>
      <w:suff w:val="nothing"/>
      <w:lvlText w:val="（%1）"/>
      <w:lvlJc w:val="left"/>
      <w:rPr>
        <w:rFonts w:hint="eastAsia"/>
      </w:rPr>
    </w:lvl>
  </w:abstractNum>
  <w:abstractNum w:abstractNumId="1">
    <w:nsid w:val="DB6D2DA1"/>
    <w:multiLevelType w:val="singleLevel"/>
    <w:tmpl w:val="DB6D2DA1"/>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770383"/>
    <w:rsid w:val="007819D4"/>
    <w:rsid w:val="007B419D"/>
    <w:rsid w:val="009B67B8"/>
    <w:rsid w:val="009D2B67"/>
    <w:rsid w:val="00B03CCD"/>
    <w:rsid w:val="00C20C3E"/>
    <w:rsid w:val="00F73F90"/>
    <w:rsid w:val="00F907AC"/>
    <w:rsid w:val="01474EBF"/>
    <w:rsid w:val="019E1E32"/>
    <w:rsid w:val="01F3521E"/>
    <w:rsid w:val="03B87EA0"/>
    <w:rsid w:val="03E3214F"/>
    <w:rsid w:val="044C50BA"/>
    <w:rsid w:val="04F72C40"/>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5006D3"/>
    <w:rsid w:val="0D5915ED"/>
    <w:rsid w:val="0D673E11"/>
    <w:rsid w:val="0DDA54E4"/>
    <w:rsid w:val="0E205DFA"/>
    <w:rsid w:val="0E3A5F83"/>
    <w:rsid w:val="0F836721"/>
    <w:rsid w:val="0FA25D96"/>
    <w:rsid w:val="107B59E5"/>
    <w:rsid w:val="10EC0126"/>
    <w:rsid w:val="10F70B9A"/>
    <w:rsid w:val="111445C7"/>
    <w:rsid w:val="114278C6"/>
    <w:rsid w:val="1158083A"/>
    <w:rsid w:val="11643A4B"/>
    <w:rsid w:val="11741DD3"/>
    <w:rsid w:val="11ED0F98"/>
    <w:rsid w:val="11F03528"/>
    <w:rsid w:val="12C921C4"/>
    <w:rsid w:val="13871C70"/>
    <w:rsid w:val="13A71CB4"/>
    <w:rsid w:val="13AF1D43"/>
    <w:rsid w:val="13CE1647"/>
    <w:rsid w:val="13FD55AB"/>
    <w:rsid w:val="14200702"/>
    <w:rsid w:val="163A6CEE"/>
    <w:rsid w:val="173708E3"/>
    <w:rsid w:val="17C374FC"/>
    <w:rsid w:val="182E4AB6"/>
    <w:rsid w:val="18482C2F"/>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3A47F3"/>
    <w:rsid w:val="1ECF0A66"/>
    <w:rsid w:val="1EF67CA4"/>
    <w:rsid w:val="1F020D3A"/>
    <w:rsid w:val="1F2C5189"/>
    <w:rsid w:val="1F4B0B02"/>
    <w:rsid w:val="1FBB35CD"/>
    <w:rsid w:val="1FCD26AF"/>
    <w:rsid w:val="20642787"/>
    <w:rsid w:val="21556F04"/>
    <w:rsid w:val="22403BD3"/>
    <w:rsid w:val="24B92327"/>
    <w:rsid w:val="24C14514"/>
    <w:rsid w:val="24E12C5B"/>
    <w:rsid w:val="2533755C"/>
    <w:rsid w:val="25791755"/>
    <w:rsid w:val="26396DF4"/>
    <w:rsid w:val="27167136"/>
    <w:rsid w:val="271B442C"/>
    <w:rsid w:val="278C4B59"/>
    <w:rsid w:val="27B23302"/>
    <w:rsid w:val="29310A5F"/>
    <w:rsid w:val="29C37A35"/>
    <w:rsid w:val="2A076083"/>
    <w:rsid w:val="2A73162E"/>
    <w:rsid w:val="2B167953"/>
    <w:rsid w:val="2B200583"/>
    <w:rsid w:val="2B8209DE"/>
    <w:rsid w:val="2C636760"/>
    <w:rsid w:val="2C6762A3"/>
    <w:rsid w:val="2EE35D4C"/>
    <w:rsid w:val="2FCA4B37"/>
    <w:rsid w:val="2FE029D7"/>
    <w:rsid w:val="2FF06E00"/>
    <w:rsid w:val="30586FEC"/>
    <w:rsid w:val="315F0B22"/>
    <w:rsid w:val="317B6AD8"/>
    <w:rsid w:val="318641EE"/>
    <w:rsid w:val="31D84415"/>
    <w:rsid w:val="32285F6F"/>
    <w:rsid w:val="32770556"/>
    <w:rsid w:val="329C0913"/>
    <w:rsid w:val="32AA0460"/>
    <w:rsid w:val="3337290D"/>
    <w:rsid w:val="33832815"/>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22AD0"/>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8445B"/>
    <w:rsid w:val="40BD5482"/>
    <w:rsid w:val="411B6CE5"/>
    <w:rsid w:val="412070D7"/>
    <w:rsid w:val="41314E40"/>
    <w:rsid w:val="41A543D7"/>
    <w:rsid w:val="41E0734B"/>
    <w:rsid w:val="42375DE3"/>
    <w:rsid w:val="426C1EA8"/>
    <w:rsid w:val="42736402"/>
    <w:rsid w:val="42E86A87"/>
    <w:rsid w:val="43307B09"/>
    <w:rsid w:val="43467C0F"/>
    <w:rsid w:val="439A3EB9"/>
    <w:rsid w:val="43BB152F"/>
    <w:rsid w:val="44C37687"/>
    <w:rsid w:val="44F7209B"/>
    <w:rsid w:val="454277C1"/>
    <w:rsid w:val="45737686"/>
    <w:rsid w:val="45CB699A"/>
    <w:rsid w:val="465B470D"/>
    <w:rsid w:val="469D6AD4"/>
    <w:rsid w:val="46A640E2"/>
    <w:rsid w:val="471E6C84"/>
    <w:rsid w:val="4748792B"/>
    <w:rsid w:val="475D719D"/>
    <w:rsid w:val="47674801"/>
    <w:rsid w:val="48225EF7"/>
    <w:rsid w:val="488F422B"/>
    <w:rsid w:val="48E36915"/>
    <w:rsid w:val="48EB6572"/>
    <w:rsid w:val="495C4A24"/>
    <w:rsid w:val="497135DF"/>
    <w:rsid w:val="4A263DF2"/>
    <w:rsid w:val="4A6F6675"/>
    <w:rsid w:val="4A8E7650"/>
    <w:rsid w:val="4B135857"/>
    <w:rsid w:val="4B7951CB"/>
    <w:rsid w:val="4B7C315C"/>
    <w:rsid w:val="4DAC4ACA"/>
    <w:rsid w:val="4DBE01D2"/>
    <w:rsid w:val="4E4822D5"/>
    <w:rsid w:val="4F0A744D"/>
    <w:rsid w:val="4F0C6BA3"/>
    <w:rsid w:val="4F186D58"/>
    <w:rsid w:val="507D3019"/>
    <w:rsid w:val="50DA337B"/>
    <w:rsid w:val="50F06B6E"/>
    <w:rsid w:val="51654F94"/>
    <w:rsid w:val="51D21804"/>
    <w:rsid w:val="52234D33"/>
    <w:rsid w:val="522F6E0C"/>
    <w:rsid w:val="52463BA1"/>
    <w:rsid w:val="52B07C63"/>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274C95"/>
    <w:rsid w:val="56530F5D"/>
    <w:rsid w:val="567700D3"/>
    <w:rsid w:val="56FF7E9E"/>
    <w:rsid w:val="578867FC"/>
    <w:rsid w:val="5842572D"/>
    <w:rsid w:val="59815587"/>
    <w:rsid w:val="5A3B59D6"/>
    <w:rsid w:val="5A862971"/>
    <w:rsid w:val="5ACE04C2"/>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3F532D"/>
    <w:rsid w:val="66EE5541"/>
    <w:rsid w:val="67924660"/>
    <w:rsid w:val="68407834"/>
    <w:rsid w:val="68723286"/>
    <w:rsid w:val="6883293E"/>
    <w:rsid w:val="688412AD"/>
    <w:rsid w:val="68EB1B71"/>
    <w:rsid w:val="695107DC"/>
    <w:rsid w:val="69F87432"/>
    <w:rsid w:val="6A6C7940"/>
    <w:rsid w:val="6AAD2300"/>
    <w:rsid w:val="6B474EF5"/>
    <w:rsid w:val="6C02678F"/>
    <w:rsid w:val="6C0A5AC5"/>
    <w:rsid w:val="6C560CAE"/>
    <w:rsid w:val="6C576495"/>
    <w:rsid w:val="6D903FF5"/>
    <w:rsid w:val="6DA955B8"/>
    <w:rsid w:val="6DE346AB"/>
    <w:rsid w:val="6DE5391A"/>
    <w:rsid w:val="6EFD1324"/>
    <w:rsid w:val="6F5A53AC"/>
    <w:rsid w:val="6FAC003D"/>
    <w:rsid w:val="6FE55E12"/>
    <w:rsid w:val="6FFB2E76"/>
    <w:rsid w:val="70440313"/>
    <w:rsid w:val="708F6F7F"/>
    <w:rsid w:val="70D94BD3"/>
    <w:rsid w:val="712F10CD"/>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AB0048B"/>
    <w:rsid w:val="7B420052"/>
    <w:rsid w:val="7BD06A28"/>
    <w:rsid w:val="7C3A7C0B"/>
    <w:rsid w:val="7C5248E4"/>
    <w:rsid w:val="7C566698"/>
    <w:rsid w:val="7C5866A3"/>
    <w:rsid w:val="7C721040"/>
    <w:rsid w:val="7D7406BB"/>
    <w:rsid w:val="7DE94331"/>
    <w:rsid w:val="7EB155D2"/>
    <w:rsid w:val="7F3977CD"/>
    <w:rsid w:val="7F446A19"/>
    <w:rsid w:val="7F7452B9"/>
    <w:rsid w:val="7F982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basedOn w:val="10"/>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1</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2024-10-05T04:40:05Z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