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N/>
        <w:bidi w:val="0"/>
        <w:adjustRightInd w:val="0"/>
        <w:snapToGrid w:val="0"/>
        <w:spacing w:before="0" w:beforeAutospacing="0" w:after="0" w:afterAutospacing="0" w:line="560" w:lineRule="atLeast"/>
        <w:jc w:val="center"/>
        <w:rPr>
          <w:rFonts w:hint="default" w:ascii="Times New Roman" w:hAnsi="Times New Roman" w:eastAsia="方正小标宋_GBK" w:cs="Times New Roman"/>
          <w:b w:val="0"/>
          <w:bCs w:val="0"/>
          <w:sz w:val="44"/>
          <w:szCs w:val="44"/>
          <w:shd w:val="clear" w:color="auto" w:fill="FFFFFF"/>
        </w:rPr>
      </w:pPr>
      <w:r>
        <w:rPr>
          <w:rFonts w:hint="default" w:ascii="Times New Roman" w:hAnsi="Times New Roman" w:eastAsia="方正小标宋_GBK" w:cs="Times New Roman"/>
          <w:b w:val="0"/>
          <w:bCs w:val="0"/>
          <w:sz w:val="44"/>
          <w:szCs w:val="44"/>
        </w:rPr>
        <w:t>重庆市秀山土家族苗族自治县峨溶镇卫生院</w:t>
      </w:r>
      <w:r>
        <w:rPr>
          <w:rFonts w:hint="default" w:ascii="Times New Roman" w:hAnsi="Times New Roman" w:eastAsia="方正小标宋_GBK" w:cs="Times New Roman"/>
          <w:b w:val="0"/>
          <w:bCs w:val="0"/>
          <w:sz w:val="44"/>
          <w:szCs w:val="44"/>
          <w:shd w:val="clear" w:color="auto" w:fill="FFFFFF"/>
        </w:rPr>
        <w:t>2023年度决算公开说明</w:t>
      </w:r>
    </w:p>
    <w:p>
      <w:pPr>
        <w:pStyle w:val="9"/>
        <w:keepNext w:val="0"/>
        <w:keepLines w:val="0"/>
        <w:pageBreakBefore w:val="0"/>
        <w:widowControl/>
        <w:kinsoku/>
        <w:wordWrap/>
        <w:overflowPunct/>
        <w:topLinePunct w:val="0"/>
        <w:autoSpaceDN/>
        <w:bidi w:val="0"/>
        <w:adjustRightInd w:val="0"/>
        <w:snapToGrid w:val="0"/>
        <w:spacing w:before="0" w:beforeAutospacing="0" w:after="0" w:afterAutospacing="0" w:line="560" w:lineRule="atLeast"/>
        <w:jc w:val="center"/>
        <w:rPr>
          <w:rFonts w:hint="default" w:ascii="Times New Roman" w:hAnsi="Times New Roman" w:eastAsia="方正小标宋_GBK" w:cs="Times New Roman"/>
          <w:b w:val="0"/>
          <w:bCs w:val="0"/>
          <w:sz w:val="44"/>
          <w:szCs w:val="44"/>
          <w:shd w:val="clear" w:color="auto" w:fill="FFFFFF"/>
        </w:rPr>
      </w:pP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atLeast"/>
        <w:ind w:firstLine="640" w:firstLineChars="200"/>
        <w:textAlignment w:val="auto"/>
        <w:outlineLvl w:val="9"/>
        <w:rPr>
          <w:rFonts w:hint="default" w:ascii="Times New Roman" w:hAnsi="Times New Roman" w:eastAsia="黑体" w:cs="Times New Roman"/>
          <w:b w:val="0"/>
          <w:bCs w:val="0"/>
          <w:sz w:val="32"/>
          <w:szCs w:val="32"/>
        </w:rPr>
      </w:pPr>
      <w:r>
        <w:rPr>
          <w:rStyle w:val="11"/>
          <w:rFonts w:hint="default" w:ascii="Times New Roman" w:hAnsi="Times New Roman" w:eastAsia="方正黑体_GBK" w:cs="Times New Roman"/>
          <w:b w:val="0"/>
          <w:bCs w:val="0"/>
          <w:sz w:val="32"/>
          <w:szCs w:val="32"/>
          <w:shd w:val="clear" w:color="auto" w:fill="FFFFFF"/>
        </w:rPr>
        <w:t>一、单位基本情况</w:t>
      </w:r>
    </w:p>
    <w:p>
      <w:pPr>
        <w:pStyle w:val="9"/>
        <w:keepNext w:val="0"/>
        <w:keepLines w:val="0"/>
        <w:pageBreakBefore w:val="0"/>
        <w:widowControl/>
        <w:shd w:val="clear" w:color="auto" w:fill="FFFFFF"/>
        <w:kinsoku/>
        <w:wordWrap/>
        <w:overflowPunct/>
        <w:topLinePunct w:val="0"/>
        <w:autoSpaceDN/>
        <w:bidi w:val="0"/>
        <w:adjustRightInd w:val="0"/>
        <w:snapToGrid w:val="0"/>
        <w:spacing w:before="0" w:beforeAutospacing="0" w:after="0" w:afterAutospacing="0" w:line="560" w:lineRule="atLeast"/>
        <w:ind w:firstLine="420"/>
        <w:rPr>
          <w:rFonts w:hint="default" w:ascii="Times New Roman" w:hAnsi="Times New Roman" w:eastAsia="方正楷体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（一）职能职责</w:t>
      </w:r>
    </w:p>
    <w:p>
      <w:pPr>
        <w:pStyle w:val="15"/>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本单位属基层医疗卫生机构，为非盈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pStyle w:val="2"/>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1.根据国家和本市规定收集、报送辖区内卫生健康信息，建立和管理居民健康档案，提出改进辖区公共卫生状况的建议；</w:t>
      </w:r>
    </w:p>
    <w:p>
      <w:pPr>
        <w:pStyle w:val="2"/>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2.开展健康教育，普及健康知识；</w:t>
      </w:r>
    </w:p>
    <w:p>
      <w:pPr>
        <w:pStyle w:val="2"/>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3.协助开展传染病以及地方病、寄生虫病的预防控制，配合开展爱国卫生工作；</w:t>
      </w:r>
    </w:p>
    <w:p>
      <w:pPr>
        <w:pStyle w:val="2"/>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4.做好高危人群、重点慢性病患者的筛查和病例管理；</w:t>
      </w:r>
    </w:p>
    <w:p>
      <w:pPr>
        <w:pStyle w:val="2"/>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5.提供心理健康指导服务，实施精神病社区管理；</w:t>
      </w:r>
    </w:p>
    <w:p>
      <w:pPr>
        <w:pStyle w:val="2"/>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left="0" w:right="278"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6.为妇女、儿童、老年人、残疾人等重点人群提供保健和康复服务；</w:t>
      </w:r>
    </w:p>
    <w:p>
      <w:pPr>
        <w:pStyle w:val="2"/>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left="0" w:right="278"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7.协助处置辖区内突发公共卫生事件等；</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8.按要求提供其他公共卫生服务。</w:t>
      </w:r>
    </w:p>
    <w:p>
      <w:pPr>
        <w:pStyle w:val="9"/>
        <w:keepNext w:val="0"/>
        <w:keepLines w:val="0"/>
        <w:pageBreakBefore w:val="0"/>
        <w:widowControl/>
        <w:shd w:val="clear" w:color="auto" w:fill="FFFFFF"/>
        <w:kinsoku/>
        <w:wordWrap/>
        <w:overflowPunct/>
        <w:topLinePunct w:val="0"/>
        <w:autoSpaceDN/>
        <w:bidi w:val="0"/>
        <w:adjustRightInd w:val="0"/>
        <w:snapToGrid w:val="0"/>
        <w:spacing w:before="0" w:beforeAutospacing="0" w:after="0" w:afterAutospacing="0" w:line="560" w:lineRule="atLeast"/>
        <w:ind w:firstLine="420"/>
        <w:rPr>
          <w:rFonts w:hint="eastAsia" w:ascii="方正楷体_GBK" w:hAnsi="方正楷体_GBK" w:eastAsia="方正楷体_GBK" w:cs="方正楷体_GBK"/>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（二）机构设置</w:t>
      </w:r>
    </w:p>
    <w:p>
      <w:pPr>
        <w:pStyle w:val="15"/>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本单位下设办公室、财务科、医务科、全科门诊、妇科门诊、门诊部、中医科、医技科、库房、药房、收费室、综合住院部。</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二、单位决算情况说明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（一）收入支出决算总体情况说明</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lang w:val="en-US" w:eastAsia="zh-CN"/>
        </w:rPr>
      </w:pPr>
      <w:r>
        <w:rPr>
          <w:rStyle w:val="11"/>
          <w:rFonts w:hint="default" w:ascii="Times New Roman" w:hAnsi="Times New Roman" w:eastAsia="方正仿宋_GBK" w:cs="Times New Roman"/>
          <w:b w:val="0"/>
          <w:bCs w:val="0"/>
          <w:sz w:val="32"/>
          <w:szCs w:val="32"/>
          <w:shd w:val="clear" w:color="auto" w:fill="FFFFFF"/>
        </w:rPr>
        <w:t>1.总体情况。</w:t>
      </w:r>
      <w:r>
        <w:rPr>
          <w:rFonts w:hint="default" w:ascii="Times New Roman" w:hAnsi="Times New Roman" w:eastAsia="方正仿宋_GBK" w:cs="Times New Roman"/>
          <w:b w:val="0"/>
          <w:bCs w:val="0"/>
          <w:sz w:val="32"/>
          <w:szCs w:val="32"/>
          <w:shd w:val="clear" w:color="auto" w:fill="FFFFFF"/>
        </w:rPr>
        <w:t>2023年度收入总计624.15万元，支出总计</w:t>
      </w:r>
      <w:r>
        <w:rPr>
          <w:rFonts w:hint="default" w:ascii="Times New Roman" w:hAnsi="Times New Roman" w:eastAsia="方正仿宋_GBK" w:cs="Times New Roman"/>
          <w:b w:val="0"/>
          <w:bCs w:val="0"/>
          <w:sz w:val="32"/>
          <w:szCs w:val="32"/>
        </w:rPr>
        <w:t>624.15</w:t>
      </w:r>
      <w:r>
        <w:rPr>
          <w:rFonts w:hint="default" w:ascii="Times New Roman" w:hAnsi="Times New Roman" w:eastAsia="方正仿宋_GBK" w:cs="Times New Roman"/>
          <w:b w:val="0"/>
          <w:bCs w:val="0"/>
          <w:sz w:val="32"/>
          <w:szCs w:val="32"/>
          <w:shd w:val="clear" w:color="auto" w:fill="FFFFFF"/>
        </w:rPr>
        <w:t>万元。收支较上年决算数增加37.22万元，增长6.34%，主要原因是</w:t>
      </w:r>
      <w:r>
        <w:rPr>
          <w:rFonts w:hint="default" w:ascii="Times New Roman" w:hAnsi="Times New Roman" w:eastAsia="方正仿宋_GBK" w:cs="Times New Roman"/>
          <w:b w:val="0"/>
          <w:bCs w:val="0"/>
          <w:sz w:val="32"/>
          <w:szCs w:val="32"/>
          <w:shd w:val="clear" w:color="auto" w:fill="FFFFFF"/>
          <w:lang w:val="en-US" w:eastAsia="zh-CN"/>
        </w:rPr>
        <w:t>业务收入增加，财政拨款增加。</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2.收入情况。</w:t>
      </w:r>
      <w:r>
        <w:rPr>
          <w:rFonts w:hint="default" w:ascii="Times New Roman" w:hAnsi="Times New Roman" w:eastAsia="方正仿宋_GBK" w:cs="Times New Roman"/>
          <w:b w:val="0"/>
          <w:bCs w:val="0"/>
          <w:sz w:val="32"/>
          <w:szCs w:val="32"/>
          <w:shd w:val="clear" w:color="auto" w:fill="FFFFFF"/>
        </w:rPr>
        <w:t>2023年度收入合计623.24万元，较上年决算数增加36.31万元，增长6.19%，主要原因是</w:t>
      </w:r>
      <w:r>
        <w:rPr>
          <w:rFonts w:hint="default" w:ascii="Times New Roman" w:hAnsi="Times New Roman" w:eastAsia="方正仿宋_GBK" w:cs="Times New Roman"/>
          <w:b w:val="0"/>
          <w:bCs w:val="0"/>
          <w:sz w:val="32"/>
          <w:szCs w:val="32"/>
          <w:shd w:val="clear" w:color="auto" w:fill="FFFFFF"/>
          <w:lang w:val="en-US" w:eastAsia="zh-CN"/>
        </w:rPr>
        <w:t>业务收入增加，财政拨款增加。</w:t>
      </w:r>
      <w:r>
        <w:rPr>
          <w:rFonts w:hint="default" w:ascii="Times New Roman" w:hAnsi="Times New Roman" w:eastAsia="方正仿宋_GBK" w:cs="Times New Roman"/>
          <w:b w:val="0"/>
          <w:bCs w:val="0"/>
          <w:sz w:val="32"/>
          <w:szCs w:val="32"/>
          <w:shd w:val="clear" w:color="auto" w:fill="FFFFFF"/>
        </w:rPr>
        <w:t>其中：财政拨款收入</w:t>
      </w:r>
      <w:r>
        <w:rPr>
          <w:rFonts w:hint="default" w:ascii="Times New Roman" w:hAnsi="Times New Roman" w:eastAsia="方正仿宋_GBK" w:cs="Times New Roman"/>
          <w:b w:val="0"/>
          <w:bCs w:val="0"/>
          <w:sz w:val="32"/>
          <w:szCs w:val="32"/>
        </w:rPr>
        <w:t>332.40</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53.33</w:t>
      </w:r>
      <w:r>
        <w:rPr>
          <w:rFonts w:hint="default" w:ascii="Times New Roman" w:hAnsi="Times New Roman" w:eastAsia="方正仿宋_GBK" w:cs="Times New Roman"/>
          <w:b w:val="0"/>
          <w:bCs w:val="0"/>
          <w:sz w:val="32"/>
          <w:szCs w:val="32"/>
          <w:shd w:val="clear" w:color="auto" w:fill="FFFFFF"/>
        </w:rPr>
        <w:t>%；事业收入</w:t>
      </w:r>
      <w:r>
        <w:rPr>
          <w:rFonts w:hint="default" w:ascii="Times New Roman" w:hAnsi="Times New Roman" w:eastAsia="方正仿宋_GBK" w:cs="Times New Roman"/>
          <w:b w:val="0"/>
          <w:bCs w:val="0"/>
          <w:sz w:val="32"/>
          <w:szCs w:val="32"/>
        </w:rPr>
        <w:t>282.37</w:t>
      </w:r>
      <w:r>
        <w:rPr>
          <w:rFonts w:hint="default" w:ascii="Times New Roman" w:hAnsi="Times New Roman" w:eastAsia="方正仿宋_GBK" w:cs="Times New Roman"/>
          <w:b w:val="0"/>
          <w:bCs w:val="0"/>
          <w:sz w:val="32"/>
          <w:szCs w:val="32"/>
          <w:shd w:val="clear" w:color="auto" w:fill="FFFFFF"/>
        </w:rPr>
        <w:t>万元，占45.31%；经营收入</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万元，占0.00%；其他收入</w:t>
      </w:r>
      <w:r>
        <w:rPr>
          <w:rFonts w:hint="default" w:ascii="Times New Roman" w:hAnsi="Times New Roman" w:eastAsia="方正仿宋_GBK" w:cs="Times New Roman"/>
          <w:b w:val="0"/>
          <w:bCs w:val="0"/>
          <w:sz w:val="32"/>
          <w:szCs w:val="32"/>
        </w:rPr>
        <w:t>8.46</w:t>
      </w:r>
      <w:r>
        <w:rPr>
          <w:rFonts w:hint="default" w:ascii="Times New Roman" w:hAnsi="Times New Roman" w:eastAsia="方正仿宋_GBK" w:cs="Times New Roman"/>
          <w:b w:val="0"/>
          <w:bCs w:val="0"/>
          <w:sz w:val="32"/>
          <w:szCs w:val="32"/>
          <w:shd w:val="clear" w:color="auto" w:fill="FFFFFF"/>
        </w:rPr>
        <w:t>万元，占1.36%。此外，使用非财政拨款结余和专用结余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万元，年初结转和结余</w:t>
      </w:r>
      <w:r>
        <w:rPr>
          <w:rFonts w:hint="default" w:ascii="Times New Roman" w:hAnsi="Times New Roman" w:eastAsia="方正仿宋_GBK" w:cs="Times New Roman"/>
          <w:b w:val="0"/>
          <w:bCs w:val="0"/>
          <w:sz w:val="32"/>
          <w:szCs w:val="32"/>
        </w:rPr>
        <w:t>0.91</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3.支出情况。</w:t>
      </w:r>
      <w:r>
        <w:rPr>
          <w:rFonts w:hint="default" w:ascii="Times New Roman" w:hAnsi="Times New Roman" w:eastAsia="方正仿宋_GBK" w:cs="Times New Roman"/>
          <w:b w:val="0"/>
          <w:bCs w:val="0"/>
          <w:sz w:val="32"/>
          <w:szCs w:val="32"/>
          <w:shd w:val="clear" w:color="auto" w:fill="FFFFFF"/>
        </w:rPr>
        <w:t>2023年度支出合计</w:t>
      </w:r>
      <w:r>
        <w:rPr>
          <w:rFonts w:hint="default" w:ascii="Times New Roman" w:hAnsi="Times New Roman" w:eastAsia="方正仿宋_GBK" w:cs="Times New Roman"/>
          <w:b w:val="0"/>
          <w:bCs w:val="0"/>
          <w:sz w:val="32"/>
          <w:szCs w:val="32"/>
        </w:rPr>
        <w:t>612.90</w:t>
      </w:r>
      <w:r>
        <w:rPr>
          <w:rFonts w:hint="default" w:ascii="Times New Roman" w:hAnsi="Times New Roman" w:eastAsia="方正仿宋_GBK" w:cs="Times New Roman"/>
          <w:b w:val="0"/>
          <w:bCs w:val="0"/>
          <w:sz w:val="32"/>
          <w:szCs w:val="32"/>
          <w:shd w:val="clear" w:color="auto" w:fill="FFFFFF"/>
        </w:rPr>
        <w:t>万元，较上年决算数增加26.88万元，增长4.59%，主要原因是</w:t>
      </w:r>
      <w:r>
        <w:rPr>
          <w:rFonts w:hint="default" w:ascii="Times New Roman" w:hAnsi="Times New Roman" w:eastAsia="方正仿宋_GBK" w:cs="Times New Roman"/>
          <w:b w:val="0"/>
          <w:bCs w:val="0"/>
          <w:sz w:val="32"/>
          <w:szCs w:val="32"/>
          <w:shd w:val="clear" w:color="auto" w:fill="FFFFFF"/>
          <w:lang w:val="en-US" w:eastAsia="zh-CN"/>
        </w:rPr>
        <w:t>业务收入增加，财政拨款收入增加，相应的支出也会增长。</w:t>
      </w:r>
      <w:r>
        <w:rPr>
          <w:rFonts w:hint="default" w:ascii="Times New Roman" w:hAnsi="Times New Roman" w:eastAsia="方正仿宋_GBK" w:cs="Times New Roman"/>
          <w:b w:val="0"/>
          <w:bCs w:val="0"/>
          <w:sz w:val="32"/>
          <w:szCs w:val="32"/>
          <w:shd w:val="clear" w:color="auto" w:fill="FFFFFF"/>
        </w:rPr>
        <w:t>其中：基本支出</w:t>
      </w:r>
      <w:r>
        <w:rPr>
          <w:rFonts w:hint="default" w:ascii="Times New Roman" w:hAnsi="Times New Roman" w:eastAsia="方正仿宋_GBK" w:cs="Times New Roman"/>
          <w:b w:val="0"/>
          <w:bCs w:val="0"/>
          <w:sz w:val="32"/>
          <w:szCs w:val="32"/>
        </w:rPr>
        <w:t>596.83</w:t>
      </w:r>
      <w:r>
        <w:rPr>
          <w:rFonts w:hint="default" w:ascii="Times New Roman" w:hAnsi="Times New Roman" w:eastAsia="方正仿宋_GBK" w:cs="Times New Roman"/>
          <w:b w:val="0"/>
          <w:bCs w:val="0"/>
          <w:sz w:val="32"/>
          <w:szCs w:val="32"/>
          <w:shd w:val="clear" w:color="auto" w:fill="FFFFFF"/>
        </w:rPr>
        <w:t>万元，占97.38%；项目支出</w:t>
      </w:r>
      <w:r>
        <w:rPr>
          <w:rFonts w:hint="default" w:ascii="Times New Roman" w:hAnsi="Times New Roman" w:eastAsia="方正仿宋_GBK" w:cs="Times New Roman"/>
          <w:b w:val="0"/>
          <w:bCs w:val="0"/>
          <w:sz w:val="32"/>
          <w:szCs w:val="32"/>
        </w:rPr>
        <w:t>16.07</w:t>
      </w:r>
      <w:r>
        <w:rPr>
          <w:rFonts w:hint="default" w:ascii="Times New Roman" w:hAnsi="Times New Roman" w:eastAsia="方正仿宋_GBK" w:cs="Times New Roman"/>
          <w:b w:val="0"/>
          <w:bCs w:val="0"/>
          <w:sz w:val="32"/>
          <w:szCs w:val="32"/>
          <w:shd w:val="clear" w:color="auto" w:fill="FFFFFF"/>
        </w:rPr>
        <w:t>万元，占2.62%；经营支出</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万元，占0.00%。此外，结余分配</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lang w:val="en-US" w:eastAsia="zh-CN"/>
        </w:rPr>
      </w:pPr>
      <w:r>
        <w:rPr>
          <w:rStyle w:val="11"/>
          <w:rFonts w:hint="default" w:ascii="Times New Roman" w:hAnsi="Times New Roman" w:eastAsia="方正仿宋_GBK" w:cs="Times New Roman"/>
          <w:b w:val="0"/>
          <w:bCs w:val="0"/>
          <w:sz w:val="32"/>
          <w:szCs w:val="32"/>
          <w:shd w:val="clear" w:color="auto" w:fill="FFFFFF"/>
        </w:rPr>
        <w:t>4.结转结余情况。</w:t>
      </w:r>
      <w:r>
        <w:rPr>
          <w:rFonts w:hint="default" w:ascii="Times New Roman" w:hAnsi="Times New Roman" w:eastAsia="方正仿宋_GBK" w:cs="Times New Roman"/>
          <w:b w:val="0"/>
          <w:bCs w:val="0"/>
          <w:sz w:val="32"/>
          <w:szCs w:val="32"/>
          <w:shd w:val="clear" w:color="auto" w:fill="FFFFFF"/>
        </w:rPr>
        <w:t>2023年度年末结转和结余</w:t>
      </w:r>
      <w:r>
        <w:rPr>
          <w:rFonts w:hint="default" w:ascii="Times New Roman" w:hAnsi="Times New Roman" w:eastAsia="方正仿宋_GBK" w:cs="Times New Roman"/>
          <w:b w:val="0"/>
          <w:bCs w:val="0"/>
          <w:sz w:val="32"/>
          <w:szCs w:val="32"/>
        </w:rPr>
        <w:t>11.25</w:t>
      </w:r>
      <w:r>
        <w:rPr>
          <w:rFonts w:hint="default" w:ascii="Times New Roman" w:hAnsi="Times New Roman" w:eastAsia="方正仿宋_GBK" w:cs="Times New Roman"/>
          <w:b w:val="0"/>
          <w:bCs w:val="0"/>
          <w:sz w:val="32"/>
          <w:szCs w:val="32"/>
          <w:shd w:val="clear" w:color="auto" w:fill="FFFFFF"/>
        </w:rPr>
        <w:t>万元，较上年决算数增加10.34万元，增长1136.26%，</w:t>
      </w:r>
      <w:r>
        <w:rPr>
          <w:rFonts w:hint="default" w:ascii="Times New Roman" w:hAnsi="Times New Roman" w:eastAsia="方正仿宋_GBK" w:cs="Times New Roman"/>
          <w:b w:val="0"/>
          <w:bCs w:val="0"/>
          <w:sz w:val="32"/>
          <w:szCs w:val="32"/>
          <w:shd w:val="clear" w:color="auto" w:fill="FFFFFF"/>
          <w:lang w:val="en-US" w:eastAsia="zh-CN"/>
        </w:rPr>
        <w:t>主要原因是清算2022年超额绩效，还未发放，所以结余增加。</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（二）财政拨款收入支出决算总体情况说明</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sz w:val="32"/>
          <w:szCs w:val="32"/>
          <w:shd w:val="clear" w:color="auto" w:fill="FFFFFF"/>
        </w:rPr>
        <w:t>2023年度财政拨款收、支总计332.40万元。与2022年相比</w:t>
      </w:r>
      <w:r>
        <w:rPr>
          <w:rFonts w:hint="default" w:ascii="Times New Roman" w:hAnsi="Times New Roman" w:eastAsia="方正仿宋_GBK" w:cs="Times New Roman"/>
          <w:b w:val="0"/>
          <w:bCs w:val="0"/>
          <w:color w:val="auto"/>
          <w:sz w:val="32"/>
          <w:szCs w:val="32"/>
          <w:shd w:val="clear" w:color="auto" w:fill="FFFFFF"/>
        </w:rPr>
        <w:t>，财政拨款收、支总计各增加32.17万元，增长10.72%。主要原因是</w:t>
      </w:r>
      <w:r>
        <w:rPr>
          <w:rFonts w:hint="default" w:ascii="Times New Roman" w:hAnsi="Times New Roman" w:eastAsia="方正仿宋_GBK" w:cs="Times New Roman"/>
          <w:b w:val="0"/>
          <w:bCs w:val="0"/>
          <w:color w:val="auto"/>
          <w:sz w:val="32"/>
          <w:szCs w:val="32"/>
          <w:shd w:val="clear" w:color="auto" w:fill="FFFFFF"/>
          <w:lang w:val="en-US" w:eastAsia="zh-CN"/>
        </w:rPr>
        <w:t>人员增加，工资标准调整，所以相应人员收入及人员支出都会增长。</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（三）一般公共预算财政拨款收入支出决算情况说明</w:t>
      </w:r>
    </w:p>
    <w:p>
      <w:pPr>
        <w:pStyle w:val="9"/>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仿宋_GBK" w:cs="Times New Roman"/>
          <w:b w:val="0"/>
          <w:bCs w:val="0"/>
          <w:sz w:val="32"/>
          <w:szCs w:val="32"/>
          <w:shd w:val="clear" w:color="auto" w:fill="FFFFFF"/>
        </w:rPr>
        <w:t>1.收入情况。</w:t>
      </w:r>
      <w:r>
        <w:rPr>
          <w:rFonts w:hint="default" w:ascii="Times New Roman" w:hAnsi="Times New Roman" w:eastAsia="方正仿宋_GBK" w:cs="Times New Roman"/>
          <w:b w:val="0"/>
          <w:bCs w:val="0"/>
          <w:sz w:val="32"/>
          <w:szCs w:val="32"/>
          <w:shd w:val="clear" w:color="auto" w:fill="FFFFFF"/>
        </w:rPr>
        <w:t>2023年度一般公共预算财政拨款收入</w:t>
      </w:r>
      <w:r>
        <w:rPr>
          <w:rFonts w:hint="default" w:ascii="Times New Roman" w:hAnsi="Times New Roman" w:eastAsia="方正仿宋_GBK" w:cs="Times New Roman"/>
          <w:b w:val="0"/>
          <w:bCs w:val="0"/>
          <w:sz w:val="32"/>
          <w:szCs w:val="32"/>
        </w:rPr>
        <w:t>332.40</w:t>
      </w:r>
      <w:r>
        <w:rPr>
          <w:rFonts w:hint="default" w:ascii="Times New Roman" w:hAnsi="Times New Roman" w:eastAsia="方正仿宋_GBK" w:cs="Times New Roman"/>
          <w:b w:val="0"/>
          <w:bCs w:val="0"/>
          <w:sz w:val="32"/>
          <w:szCs w:val="32"/>
          <w:shd w:val="clear" w:color="auto" w:fill="FFFFFF"/>
        </w:rPr>
        <w:t>万元，较上年决算数增加32.17万元，增长10.72%。主要原因是</w:t>
      </w:r>
      <w:r>
        <w:rPr>
          <w:rFonts w:hint="default" w:ascii="Times New Roman" w:hAnsi="Times New Roman" w:eastAsia="方正仿宋_GBK" w:cs="Times New Roman"/>
          <w:b w:val="0"/>
          <w:bCs w:val="0"/>
          <w:color w:val="auto"/>
          <w:sz w:val="32"/>
          <w:szCs w:val="32"/>
          <w:shd w:val="clear" w:color="auto" w:fill="FFFFFF"/>
          <w:lang w:val="en-US" w:eastAsia="zh-CN"/>
        </w:rPr>
        <w:t>人员增加，工资标准调整，所以相应人员收入都会增长。</w:t>
      </w:r>
      <w:r>
        <w:rPr>
          <w:rFonts w:hint="default" w:ascii="Times New Roman" w:hAnsi="Times New Roman" w:eastAsia="方正仿宋_GBK" w:cs="Times New Roman"/>
          <w:b w:val="0"/>
          <w:bCs w:val="0"/>
          <w:sz w:val="32"/>
          <w:szCs w:val="32"/>
          <w:shd w:val="clear" w:color="auto" w:fill="FFFFFF"/>
        </w:rPr>
        <w:t>较年初预算数增加133.30万元，增长66.95%。主要原因是</w:t>
      </w:r>
      <w:r>
        <w:rPr>
          <w:rFonts w:hint="default" w:ascii="Times New Roman" w:hAnsi="Times New Roman" w:eastAsia="方正仿宋_GBK" w:cs="Times New Roman"/>
          <w:b w:val="0"/>
          <w:bCs w:val="0"/>
          <w:sz w:val="32"/>
          <w:szCs w:val="32"/>
          <w:shd w:val="clear" w:color="auto" w:fill="FFFFFF"/>
          <w:lang w:val="en-US" w:eastAsia="zh-CN"/>
        </w:rPr>
        <w:t>年初预算数没有核算基本公共卫生服务财政拨款数。</w:t>
      </w:r>
      <w:r>
        <w:rPr>
          <w:rFonts w:hint="default" w:ascii="Times New Roman" w:hAnsi="Times New Roman" w:eastAsia="方正仿宋_GBK" w:cs="Times New Roman"/>
          <w:b w:val="0"/>
          <w:bCs w:val="0"/>
          <w:sz w:val="32"/>
          <w:szCs w:val="32"/>
          <w:shd w:val="clear" w:color="auto" w:fill="FFFFFF"/>
        </w:rPr>
        <w:t>此外，年初财政拨款结转和结余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仿宋_GBK" w:cs="Times New Roman"/>
          <w:b w:val="0"/>
          <w:bCs w:val="0"/>
          <w:sz w:val="32"/>
          <w:szCs w:val="32"/>
          <w:shd w:val="clear" w:color="auto" w:fill="FFFFFF"/>
        </w:rPr>
        <w:t>2.支出情况。</w:t>
      </w:r>
      <w:r>
        <w:rPr>
          <w:rFonts w:hint="default" w:ascii="Times New Roman" w:hAnsi="Times New Roman" w:eastAsia="方正仿宋_GBK" w:cs="Times New Roman"/>
          <w:b w:val="0"/>
          <w:bCs w:val="0"/>
          <w:sz w:val="32"/>
          <w:szCs w:val="32"/>
          <w:shd w:val="clear" w:color="auto" w:fill="FFFFFF"/>
        </w:rPr>
        <w:t>2023年度一般公共预算财政拨款支出</w:t>
      </w:r>
      <w:r>
        <w:rPr>
          <w:rFonts w:hint="default" w:ascii="Times New Roman" w:hAnsi="Times New Roman" w:eastAsia="方正仿宋_GBK" w:cs="Times New Roman"/>
          <w:b w:val="0"/>
          <w:bCs w:val="0"/>
          <w:sz w:val="32"/>
          <w:szCs w:val="32"/>
        </w:rPr>
        <w:t>324.64</w:t>
      </w:r>
      <w:r>
        <w:rPr>
          <w:rFonts w:hint="default" w:ascii="Times New Roman" w:hAnsi="Times New Roman" w:eastAsia="方正仿宋_GBK" w:cs="Times New Roman"/>
          <w:b w:val="0"/>
          <w:bCs w:val="0"/>
          <w:sz w:val="32"/>
          <w:szCs w:val="32"/>
          <w:shd w:val="clear" w:color="auto" w:fill="FFFFFF"/>
        </w:rPr>
        <w:t>万元，较上年决算数增加24.41万元，增长8.13%。主要原因是主要原因是</w:t>
      </w:r>
      <w:r>
        <w:rPr>
          <w:rFonts w:hint="default" w:ascii="Times New Roman" w:hAnsi="Times New Roman" w:eastAsia="方正仿宋_GBK" w:cs="Times New Roman"/>
          <w:b w:val="0"/>
          <w:bCs w:val="0"/>
          <w:color w:val="auto"/>
          <w:sz w:val="32"/>
          <w:szCs w:val="32"/>
          <w:shd w:val="clear" w:color="auto" w:fill="FFFFFF"/>
          <w:lang w:val="en-US" w:eastAsia="zh-CN"/>
        </w:rPr>
        <w:t>人员工资标准调整，所以相应人员支出都会增长。</w:t>
      </w:r>
      <w:r>
        <w:rPr>
          <w:rFonts w:hint="default" w:ascii="Times New Roman" w:hAnsi="Times New Roman" w:eastAsia="方正仿宋_GBK" w:cs="Times New Roman"/>
          <w:b w:val="0"/>
          <w:bCs w:val="0"/>
          <w:sz w:val="32"/>
          <w:szCs w:val="32"/>
          <w:shd w:val="clear" w:color="auto" w:fill="FFFFFF"/>
        </w:rPr>
        <w:t>较年初预算数增加125.54万元，增长63.05%。主要原因是</w:t>
      </w:r>
      <w:r>
        <w:rPr>
          <w:rFonts w:hint="default" w:ascii="Times New Roman" w:hAnsi="Times New Roman" w:eastAsia="方正仿宋_GBK" w:cs="Times New Roman"/>
          <w:b w:val="0"/>
          <w:bCs w:val="0"/>
          <w:sz w:val="32"/>
          <w:szCs w:val="32"/>
          <w:shd w:val="clear" w:color="auto" w:fill="FFFFFF"/>
          <w:lang w:val="en-US" w:eastAsia="zh-CN"/>
        </w:rPr>
        <w:t>年初预算数没有核算基本公共卫生服务财政拨款数。</w:t>
      </w:r>
    </w:p>
    <w:p>
      <w:pPr>
        <w:pStyle w:val="9"/>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仿宋_GBK" w:cs="Times New Roman"/>
          <w:b w:val="0"/>
          <w:bCs w:val="0"/>
          <w:sz w:val="32"/>
          <w:szCs w:val="32"/>
          <w:shd w:val="clear" w:color="auto" w:fill="FFFFFF"/>
        </w:rPr>
        <w:t>3.结转结余情况。</w:t>
      </w:r>
      <w:r>
        <w:rPr>
          <w:rFonts w:hint="default" w:ascii="Times New Roman" w:hAnsi="Times New Roman" w:eastAsia="方正仿宋_GBK" w:cs="Times New Roman"/>
          <w:b w:val="0"/>
          <w:bCs w:val="0"/>
          <w:sz w:val="32"/>
          <w:szCs w:val="32"/>
          <w:shd w:val="clear" w:color="auto" w:fill="FFFFFF"/>
        </w:rPr>
        <w:t>2023年度年末一般公共预算财政拨款结转和结余</w:t>
      </w:r>
      <w:r>
        <w:rPr>
          <w:rFonts w:hint="default" w:ascii="Times New Roman" w:hAnsi="Times New Roman" w:eastAsia="方正仿宋_GBK" w:cs="Times New Roman"/>
          <w:b w:val="0"/>
          <w:bCs w:val="0"/>
          <w:sz w:val="32"/>
          <w:szCs w:val="32"/>
        </w:rPr>
        <w:t>7.76</w:t>
      </w:r>
      <w:r>
        <w:rPr>
          <w:rFonts w:hint="default" w:ascii="Times New Roman" w:hAnsi="Times New Roman" w:eastAsia="方正仿宋_GBK" w:cs="Times New Roman"/>
          <w:b w:val="0"/>
          <w:bCs w:val="0"/>
          <w:sz w:val="32"/>
          <w:szCs w:val="32"/>
          <w:shd w:val="clear" w:color="auto" w:fill="FFFFFF"/>
        </w:rPr>
        <w:t>万元，较上年决算数增加7.76万元，增长100.00%，主要原因是</w:t>
      </w:r>
      <w:r>
        <w:rPr>
          <w:rFonts w:hint="default" w:ascii="Times New Roman" w:hAnsi="Times New Roman" w:eastAsia="方正仿宋_GBK" w:cs="Times New Roman"/>
          <w:b w:val="0"/>
          <w:bCs w:val="0"/>
          <w:color w:val="auto"/>
          <w:sz w:val="32"/>
          <w:szCs w:val="32"/>
          <w:shd w:val="clear" w:color="auto" w:fill="FFFFFF"/>
          <w:lang w:val="en-US" w:eastAsia="zh-CN"/>
        </w:rPr>
        <w:t>主要</w:t>
      </w:r>
      <w:bookmarkStart w:id="0" w:name="_GoBack"/>
      <w:r>
        <w:rPr>
          <w:rFonts w:hint="default" w:ascii="Times New Roman" w:hAnsi="Times New Roman" w:eastAsia="方正仿宋_GBK" w:cs="Times New Roman"/>
          <w:b w:val="0"/>
          <w:bCs w:val="0"/>
          <w:color w:val="auto"/>
          <w:sz w:val="32"/>
          <w:szCs w:val="32"/>
          <w:shd w:val="clear" w:color="auto" w:fill="FFFFFF"/>
          <w:lang w:val="en-US" w:eastAsia="zh-CN"/>
        </w:rPr>
        <w:t>原因是</w:t>
      </w:r>
      <w:bookmarkEnd w:id="0"/>
      <w:r>
        <w:rPr>
          <w:rFonts w:hint="default" w:ascii="Times New Roman" w:hAnsi="Times New Roman" w:eastAsia="方正仿宋_GBK" w:cs="Times New Roman"/>
          <w:b w:val="0"/>
          <w:bCs w:val="0"/>
          <w:color w:val="auto"/>
          <w:sz w:val="32"/>
          <w:szCs w:val="32"/>
          <w:shd w:val="clear" w:color="auto" w:fill="FFFFFF"/>
          <w:lang w:val="en-US" w:eastAsia="zh-CN"/>
        </w:rPr>
        <w:t>清算2022年的人员超额绩效。该绩效未在2023年末发放。</w:t>
      </w:r>
      <w:r>
        <w:rPr>
          <w:rStyle w:val="11"/>
          <w:rFonts w:hint="default" w:ascii="Times New Roman" w:hAnsi="Times New Roman" w:eastAsia="方正仿宋_GBK" w:cs="Times New Roman"/>
          <w:b w:val="0"/>
          <w:bCs w:val="0"/>
          <w:sz w:val="32"/>
          <w:szCs w:val="32"/>
          <w:shd w:val="clear" w:color="auto" w:fill="FFFFFF"/>
        </w:rPr>
        <w:t xml:space="preserve"> 4.比较情况。</w:t>
      </w:r>
      <w:r>
        <w:rPr>
          <w:rFonts w:hint="default" w:ascii="Times New Roman" w:hAnsi="Times New Roman" w:eastAsia="方正仿宋_GBK" w:cs="Times New Roman"/>
          <w:b w:val="0"/>
          <w:bCs w:val="0"/>
          <w:sz w:val="32"/>
          <w:szCs w:val="32"/>
          <w:shd w:val="clear" w:color="auto" w:fill="FFFFFF"/>
        </w:rPr>
        <w:t>本单位2023年度一般公共预算财政拨款支出主要用于以下几个方面：</w:t>
      </w:r>
    </w:p>
    <w:p>
      <w:pPr>
        <w:pStyle w:val="9"/>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1</w:t>
      </w:r>
      <w:r>
        <w:rPr>
          <w:rFonts w:hint="default" w:ascii="Times New Roman" w:hAnsi="Times New Roman" w:eastAsia="方正仿宋_GBK" w:cs="Times New Roman"/>
          <w:b w:val="0"/>
          <w:bCs w:val="0"/>
          <w:sz w:val="32"/>
          <w:szCs w:val="32"/>
          <w:shd w:val="clear" w:color="auto" w:fill="FFFFFF"/>
        </w:rPr>
        <w:t>）社会保障与就业支出</w:t>
      </w:r>
      <w:r>
        <w:rPr>
          <w:rFonts w:hint="default" w:ascii="Times New Roman" w:hAnsi="Times New Roman" w:eastAsia="方正仿宋_GBK" w:cs="Times New Roman"/>
          <w:b w:val="0"/>
          <w:bCs w:val="0"/>
          <w:sz w:val="32"/>
          <w:szCs w:val="32"/>
        </w:rPr>
        <w:t>22.87</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7.04</w:t>
      </w:r>
      <w:r>
        <w:rPr>
          <w:rFonts w:hint="default" w:ascii="Times New Roman" w:hAnsi="Times New Roman" w:eastAsia="方正仿宋_GBK" w:cs="Times New Roman"/>
          <w:b w:val="0"/>
          <w:bCs w:val="0"/>
          <w:sz w:val="32"/>
          <w:szCs w:val="32"/>
          <w:shd w:val="clear" w:color="auto" w:fill="FFFFFF"/>
        </w:rPr>
        <w:t>%，较年初预算数减少6.99万元，下降23.41%，</w:t>
      </w:r>
      <w:r>
        <w:rPr>
          <w:rFonts w:hint="default" w:ascii="Times New Roman" w:hAnsi="Times New Roman" w:eastAsia="方正仿宋_GBK" w:cs="Times New Roman"/>
          <w:b w:val="0"/>
          <w:bCs w:val="0"/>
          <w:kern w:val="0"/>
          <w:sz w:val="32"/>
          <w:szCs w:val="32"/>
          <w:lang w:val="en-US" w:eastAsia="zh-CN" w:bidi="ar"/>
        </w:rPr>
        <w:t>主要原因是</w:t>
      </w:r>
      <w:r>
        <w:rPr>
          <w:rFonts w:hint="eastAsia" w:ascii="Times New Roman" w:hAnsi="Times New Roman" w:eastAsia="方正仿宋_GBK" w:cs="Times New Roman"/>
          <w:b w:val="0"/>
          <w:bCs w:val="0"/>
          <w:kern w:val="0"/>
          <w:sz w:val="32"/>
          <w:szCs w:val="32"/>
          <w:lang w:val="en-US" w:eastAsia="zh-CN" w:bidi="ar"/>
        </w:rPr>
        <w:t>人员减少</w:t>
      </w:r>
      <w:r>
        <w:rPr>
          <w:rFonts w:hint="default" w:ascii="Times New Roman" w:hAnsi="Times New Roman" w:eastAsia="方正仿宋_GBK" w:cs="Times New Roman"/>
          <w:b w:val="0"/>
          <w:bCs w:val="0"/>
          <w:kern w:val="0"/>
          <w:sz w:val="32"/>
          <w:szCs w:val="32"/>
          <w:lang w:val="en-US" w:eastAsia="zh-CN" w:bidi="ar"/>
        </w:rPr>
        <w:t>，社保基数调整，支出相应减少。</w:t>
      </w:r>
    </w:p>
    <w:p>
      <w:pPr>
        <w:pStyle w:val="9"/>
        <w:keepNext w:val="0"/>
        <w:keepLines w:val="0"/>
        <w:pageBreakBefore w:val="0"/>
        <w:widowControl/>
        <w:suppressLineNumbers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kern w:val="0"/>
          <w:sz w:val="32"/>
          <w:szCs w:val="32"/>
          <w:lang w:val="en-US" w:eastAsia="zh-CN" w:bidi="ar"/>
        </w:rPr>
      </w:pP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2</w:t>
      </w:r>
      <w:r>
        <w:rPr>
          <w:rFonts w:hint="default" w:ascii="Times New Roman" w:hAnsi="Times New Roman" w:eastAsia="方正仿宋_GBK" w:cs="Times New Roman"/>
          <w:b w:val="0"/>
          <w:bCs w:val="0"/>
          <w:sz w:val="32"/>
          <w:szCs w:val="32"/>
          <w:shd w:val="clear" w:color="auto" w:fill="FFFFFF"/>
        </w:rPr>
        <w:t>）卫生健康支出</w:t>
      </w:r>
      <w:r>
        <w:rPr>
          <w:rFonts w:hint="default" w:ascii="Times New Roman" w:hAnsi="Times New Roman" w:eastAsia="方正仿宋_GBK" w:cs="Times New Roman"/>
          <w:b w:val="0"/>
          <w:bCs w:val="0"/>
          <w:sz w:val="32"/>
          <w:szCs w:val="32"/>
        </w:rPr>
        <w:t>293.43</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90.39</w:t>
      </w:r>
      <w:r>
        <w:rPr>
          <w:rFonts w:hint="default" w:ascii="Times New Roman" w:hAnsi="Times New Roman" w:eastAsia="方正仿宋_GBK" w:cs="Times New Roman"/>
          <w:b w:val="0"/>
          <w:bCs w:val="0"/>
          <w:sz w:val="32"/>
          <w:szCs w:val="32"/>
          <w:shd w:val="clear" w:color="auto" w:fill="FFFFFF"/>
        </w:rPr>
        <w:t>%，较年初预算数增加138.07万元，增长88.87%，</w:t>
      </w:r>
      <w:r>
        <w:rPr>
          <w:rFonts w:hint="default" w:ascii="Times New Roman" w:hAnsi="Times New Roman" w:eastAsia="方正仿宋_GBK" w:cs="Times New Roman"/>
          <w:b w:val="0"/>
          <w:bCs w:val="0"/>
          <w:kern w:val="0"/>
          <w:sz w:val="32"/>
          <w:szCs w:val="32"/>
          <w:lang w:val="en-US" w:eastAsia="zh-CN" w:bidi="ar"/>
        </w:rPr>
        <w:t>主要原因是年初预算主要是根据基本情况预估核算，实际财政收入由财政根据资金分配情况统一安排拨款，因此财政拨款支出与年初预算有相应差异。</w:t>
      </w:r>
    </w:p>
    <w:p>
      <w:pPr>
        <w:keepNext w:val="0"/>
        <w:keepLines w:val="0"/>
        <w:pageBreakBefore w:val="0"/>
        <w:widowControl/>
        <w:kinsoku/>
        <w:wordWrap/>
        <w:overflowPunct/>
        <w:topLinePunct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FF000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3</w:t>
      </w: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rPr>
        <w:t>住房保障支出8.34</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2.57</w:t>
      </w:r>
      <w:r>
        <w:rPr>
          <w:rFonts w:hint="default" w:ascii="Times New Roman" w:hAnsi="Times New Roman" w:eastAsia="方正仿宋_GBK" w:cs="Times New Roman"/>
          <w:b w:val="0"/>
          <w:bCs w:val="0"/>
          <w:sz w:val="32"/>
          <w:szCs w:val="32"/>
          <w:shd w:val="clear" w:color="auto" w:fill="FFFFFF"/>
        </w:rPr>
        <w:t>%，较年初预算数减少5.54万元，下降39.91%，</w:t>
      </w:r>
      <w:r>
        <w:rPr>
          <w:rFonts w:hint="default" w:ascii="Times New Roman" w:hAnsi="Times New Roman" w:eastAsia="方正仿宋_GBK" w:cs="Times New Roman"/>
          <w:b w:val="0"/>
          <w:bCs w:val="0"/>
          <w:kern w:val="0"/>
          <w:sz w:val="32"/>
          <w:szCs w:val="32"/>
          <w:lang w:val="en-US" w:eastAsia="zh-CN" w:bidi="ar"/>
        </w:rPr>
        <w:t>主要原因是人员</w:t>
      </w:r>
      <w:r>
        <w:rPr>
          <w:rFonts w:hint="eastAsia" w:ascii="Times New Roman" w:hAnsi="Times New Roman" w:eastAsia="方正仿宋_GBK" w:cs="Times New Roman"/>
          <w:b w:val="0"/>
          <w:bCs w:val="0"/>
          <w:kern w:val="0"/>
          <w:sz w:val="32"/>
          <w:szCs w:val="32"/>
          <w:lang w:val="en-US" w:eastAsia="zh-CN" w:bidi="ar"/>
        </w:rPr>
        <w:t>减少</w:t>
      </w:r>
      <w:r>
        <w:rPr>
          <w:rFonts w:hint="default" w:ascii="Times New Roman" w:hAnsi="Times New Roman" w:eastAsia="方正仿宋_GBK" w:cs="Times New Roman"/>
          <w:b w:val="0"/>
          <w:bCs w:val="0"/>
          <w:kern w:val="0"/>
          <w:sz w:val="32"/>
          <w:szCs w:val="32"/>
          <w:lang w:val="en-US" w:eastAsia="zh-CN" w:bidi="ar"/>
        </w:rPr>
        <w:t>，社保基数调整，支出相应减少。</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jc w:val="both"/>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（四）一般公共预算财政拨款基本支出决算情况说明</w:t>
      </w:r>
    </w:p>
    <w:p>
      <w:pPr>
        <w:pStyle w:val="9"/>
        <w:keepNext w:val="0"/>
        <w:keepLines w:val="0"/>
        <w:pageBreakBefore w:val="0"/>
        <w:widowControl/>
        <w:suppressLineNumbers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kern w:val="0"/>
          <w:sz w:val="32"/>
          <w:szCs w:val="32"/>
          <w:lang w:val="en-US" w:eastAsia="zh-CN" w:bidi="ar"/>
        </w:rPr>
      </w:pPr>
      <w:r>
        <w:rPr>
          <w:rFonts w:hint="default" w:ascii="Times New Roman" w:hAnsi="Times New Roman" w:eastAsia="方正仿宋_GBK" w:cs="Times New Roman"/>
          <w:b w:val="0"/>
          <w:bCs w:val="0"/>
          <w:sz w:val="32"/>
          <w:szCs w:val="32"/>
          <w:shd w:val="clear" w:color="auto" w:fill="FFFFFF"/>
        </w:rPr>
        <w:t>2023年度一般公共财政拨款基本支出</w:t>
      </w:r>
      <w:r>
        <w:rPr>
          <w:rFonts w:hint="default" w:ascii="Times New Roman" w:hAnsi="Times New Roman" w:eastAsia="方正仿宋_GBK" w:cs="Times New Roman"/>
          <w:b w:val="0"/>
          <w:bCs w:val="0"/>
          <w:sz w:val="32"/>
          <w:szCs w:val="32"/>
        </w:rPr>
        <w:t>308.57</w:t>
      </w:r>
      <w:r>
        <w:rPr>
          <w:rFonts w:hint="default" w:ascii="Times New Roman" w:hAnsi="Times New Roman" w:eastAsia="方正仿宋_GBK" w:cs="Times New Roman"/>
          <w:b w:val="0"/>
          <w:bCs w:val="0"/>
          <w:sz w:val="32"/>
          <w:szCs w:val="32"/>
          <w:shd w:val="clear" w:color="auto" w:fill="FFFFFF"/>
        </w:rPr>
        <w:t>万元。其中：人员经费</w:t>
      </w:r>
      <w:r>
        <w:rPr>
          <w:rFonts w:hint="default" w:ascii="Times New Roman" w:hAnsi="Times New Roman" w:eastAsia="方正仿宋_GBK" w:cs="Times New Roman"/>
          <w:b w:val="0"/>
          <w:bCs w:val="0"/>
          <w:sz w:val="32"/>
          <w:szCs w:val="32"/>
        </w:rPr>
        <w:t>285.22</w:t>
      </w:r>
      <w:r>
        <w:rPr>
          <w:rFonts w:hint="default" w:ascii="Times New Roman" w:hAnsi="Times New Roman" w:eastAsia="方正仿宋_GBK" w:cs="Times New Roman"/>
          <w:b w:val="0"/>
          <w:bCs w:val="0"/>
          <w:sz w:val="32"/>
          <w:szCs w:val="32"/>
          <w:shd w:val="clear" w:color="auto" w:fill="FFFFFF"/>
        </w:rPr>
        <w:t>万元，较上年决算数增加20.49万元，增长7.74%，</w:t>
      </w:r>
      <w:r>
        <w:rPr>
          <w:rFonts w:hint="default" w:ascii="Times New Roman" w:hAnsi="Times New Roman" w:eastAsia="方正仿宋_GBK" w:cs="Times New Roman"/>
          <w:b w:val="0"/>
          <w:bCs w:val="0"/>
          <w:kern w:val="0"/>
          <w:sz w:val="32"/>
          <w:szCs w:val="32"/>
          <w:lang w:val="en-US" w:eastAsia="zh-CN" w:bidi="ar"/>
        </w:rPr>
        <w:t>主要原因是</w:t>
      </w:r>
      <w:r>
        <w:rPr>
          <w:rFonts w:hint="eastAsia" w:ascii="Times New Roman" w:hAnsi="Times New Roman" w:eastAsia="方正仿宋_GBK" w:cs="Times New Roman"/>
          <w:b w:val="0"/>
          <w:bCs w:val="0"/>
          <w:kern w:val="0"/>
          <w:sz w:val="32"/>
          <w:szCs w:val="32"/>
          <w:lang w:val="en-US" w:eastAsia="zh-CN" w:bidi="ar"/>
        </w:rPr>
        <w:t>人员工资调整</w:t>
      </w:r>
      <w:r>
        <w:rPr>
          <w:rFonts w:hint="default" w:ascii="Times New Roman" w:hAnsi="Times New Roman" w:eastAsia="方正仿宋_GBK" w:cs="Times New Roman"/>
          <w:b w:val="0"/>
          <w:bCs w:val="0"/>
          <w:kern w:val="0"/>
          <w:sz w:val="32"/>
          <w:szCs w:val="32"/>
          <w:lang w:val="en-US" w:eastAsia="zh-CN" w:bidi="ar"/>
        </w:rPr>
        <w:t>，人员经费用途主要包括人员社会保障、工资、绩效、津补贴支出等。</w:t>
      </w:r>
      <w:r>
        <w:rPr>
          <w:rFonts w:hint="default" w:ascii="Times New Roman" w:hAnsi="Times New Roman" w:eastAsia="方正仿宋_GBK" w:cs="Times New Roman"/>
          <w:b w:val="0"/>
          <w:bCs w:val="0"/>
          <w:sz w:val="32"/>
          <w:szCs w:val="32"/>
          <w:shd w:val="clear" w:color="auto" w:fill="FFFFFF"/>
        </w:rPr>
        <w:t>公用经费</w:t>
      </w:r>
      <w:r>
        <w:rPr>
          <w:rFonts w:hint="default" w:ascii="Times New Roman" w:hAnsi="Times New Roman" w:eastAsia="方正仿宋_GBK" w:cs="Times New Roman"/>
          <w:b w:val="0"/>
          <w:bCs w:val="0"/>
          <w:sz w:val="32"/>
          <w:szCs w:val="32"/>
        </w:rPr>
        <w:t>23.36</w:t>
      </w:r>
      <w:r>
        <w:rPr>
          <w:rFonts w:hint="default" w:ascii="Times New Roman" w:hAnsi="Times New Roman" w:eastAsia="方正仿宋_GBK" w:cs="Times New Roman"/>
          <w:b w:val="0"/>
          <w:bCs w:val="0"/>
          <w:sz w:val="32"/>
          <w:szCs w:val="32"/>
          <w:shd w:val="clear" w:color="auto" w:fill="FFFFFF"/>
        </w:rPr>
        <w:t>万元，较上年决算数增加17.85万元，增长323.96%，</w:t>
      </w:r>
      <w:r>
        <w:rPr>
          <w:rFonts w:hint="default" w:ascii="Times New Roman" w:hAnsi="Times New Roman" w:eastAsia="方正仿宋_GBK" w:cs="Times New Roman"/>
          <w:b w:val="0"/>
          <w:bCs w:val="0"/>
          <w:kern w:val="0"/>
          <w:sz w:val="32"/>
          <w:szCs w:val="32"/>
          <w:lang w:val="en-US" w:eastAsia="zh-CN" w:bidi="ar"/>
        </w:rPr>
        <w:t>主要原因是培训及出差次数增加，相应支出增加。公用经费用途主要包括培训支出、差旅支出、水电支出等。</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（五）政府性基金预算收支决算情况说明</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left"/>
        <w:textAlignment w:val="auto"/>
        <w:outlineLvl w:val="9"/>
        <w:rPr>
          <w:rFonts w:hint="default" w:ascii="Times New Roman" w:hAnsi="Times New Roman" w:cs="Times New Roman"/>
          <w:b w:val="0"/>
          <w:bCs w:val="0"/>
          <w:sz w:val="32"/>
          <w:szCs w:val="32"/>
          <w:shd w:val="clear" w:color="auto" w:fill="FFFFFF"/>
        </w:rPr>
      </w:pPr>
      <w:r>
        <w:rPr>
          <w:rFonts w:hint="default" w:ascii="Times New Roman" w:hAnsi="Times New Roman" w:eastAsia="方正仿宋_GBK" w:cs="Times New Roman"/>
          <w:b w:val="0"/>
          <w:bCs w:val="0"/>
          <w:kern w:val="0"/>
          <w:sz w:val="32"/>
          <w:szCs w:val="32"/>
          <w:lang w:val="en-US" w:eastAsia="zh-CN" w:bidi="ar"/>
        </w:rPr>
        <w:t>本单位202</w:t>
      </w:r>
      <w:r>
        <w:rPr>
          <w:rFonts w:hint="eastAsia" w:ascii="Times New Roman" w:hAnsi="Times New Roman" w:eastAsia="方正仿宋_GBK" w:cs="Times New Roman"/>
          <w:b w:val="0"/>
          <w:bCs w:val="0"/>
          <w:kern w:val="0"/>
          <w:sz w:val="32"/>
          <w:szCs w:val="32"/>
          <w:lang w:val="en-US" w:eastAsia="zh-CN" w:bidi="ar"/>
        </w:rPr>
        <w:t>3</w:t>
      </w:r>
      <w:r>
        <w:rPr>
          <w:rFonts w:hint="default" w:ascii="Times New Roman" w:hAnsi="Times New Roman" w:eastAsia="方正仿宋_GBK" w:cs="Times New Roman"/>
          <w:b w:val="0"/>
          <w:bCs w:val="0"/>
          <w:kern w:val="0"/>
          <w:sz w:val="32"/>
          <w:szCs w:val="32"/>
          <w:lang w:val="en-US" w:eastAsia="zh-CN" w:bidi="ar"/>
        </w:rPr>
        <w:t>年度无政府性基金预算财政拨款收支</w:t>
      </w:r>
      <w:r>
        <w:rPr>
          <w:rFonts w:hint="default" w:ascii="Times New Roman" w:hAnsi="Times New Roman" w:cs="Times New Roman"/>
          <w:b w:val="0"/>
          <w:bCs w:val="0"/>
          <w:sz w:val="32"/>
          <w:szCs w:val="32"/>
          <w:shd w:val="clear" w:color="auto" w:fill="FFFFFF"/>
        </w:rPr>
        <w:t>。</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（六）国有资本经营预算财政拨款支出决算情况说明</w:t>
      </w:r>
    </w:p>
    <w:p>
      <w:pPr>
        <w:pStyle w:val="9"/>
        <w:keepNext w:val="0"/>
        <w:keepLines w:val="0"/>
        <w:pageBreakBefore w:val="0"/>
        <w:widowControl/>
        <w:suppressLineNumbers w:val="0"/>
        <w:kinsoku/>
        <w:wordWrap/>
        <w:overflowPunct/>
        <w:topLinePunct w:val="0"/>
        <w:autoSpaceDN/>
        <w:bidi w:val="0"/>
        <w:adjustRightInd w:val="0"/>
        <w:snapToGrid w:val="0"/>
        <w:spacing w:before="0" w:beforeAutospacing="0" w:after="0" w:afterAutospacing="0" w:line="560" w:lineRule="atLeast"/>
        <w:ind w:left="0" w:firstLine="640" w:firstLineChars="200"/>
        <w:jc w:val="left"/>
        <w:textAlignment w:val="auto"/>
        <w:rPr>
          <w:rFonts w:hint="default" w:ascii="Times New Roman" w:hAnsi="Times New Roman" w:eastAsia="方正仿宋_GBK" w:cs="Times New Roman"/>
          <w:b w:val="0"/>
          <w:bCs w:val="0"/>
          <w:kern w:val="0"/>
          <w:sz w:val="32"/>
          <w:szCs w:val="32"/>
          <w:lang w:val="en-US" w:eastAsia="zh-CN" w:bidi="ar"/>
        </w:rPr>
      </w:pPr>
      <w:r>
        <w:rPr>
          <w:rFonts w:hint="default" w:ascii="Times New Roman" w:hAnsi="Times New Roman" w:eastAsia="方正仿宋_GBK" w:cs="Times New Roman"/>
          <w:b w:val="0"/>
          <w:bCs w:val="0"/>
          <w:kern w:val="0"/>
          <w:sz w:val="32"/>
          <w:szCs w:val="32"/>
          <w:lang w:val="en-US" w:eastAsia="zh-CN" w:bidi="ar"/>
        </w:rPr>
        <w:t>本单位2023年度无国有资本经营预算财政拨款支出。</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三、“三公”经费情况说明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（一）“三公”经费支出总体情况说明</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left"/>
        <w:textAlignment w:val="auto"/>
        <w:outlineLvl w:val="9"/>
        <w:rPr>
          <w:rFonts w:hint="default" w:ascii="Times New Roman" w:hAnsi="Times New Roman" w:eastAsia="方正仿宋_GBK" w:cs="Times New Roman"/>
          <w:b w:val="0"/>
          <w:bCs w:val="0"/>
          <w:kern w:val="0"/>
          <w:sz w:val="32"/>
          <w:szCs w:val="32"/>
          <w:lang w:val="en-US" w:eastAsia="zh-CN" w:bidi="ar"/>
        </w:rPr>
      </w:pPr>
      <w:r>
        <w:rPr>
          <w:rFonts w:hint="eastAsia" w:ascii="Times New Roman" w:hAnsi="Times New Roman" w:eastAsia="方正仿宋_GBK" w:cs="Times New Roman"/>
          <w:b w:val="0"/>
          <w:bCs w:val="0"/>
          <w:kern w:val="0"/>
          <w:sz w:val="32"/>
          <w:szCs w:val="32"/>
          <w:lang w:val="en-US" w:eastAsia="zh-CN" w:bidi="ar"/>
        </w:rPr>
        <w:t>本单位</w:t>
      </w:r>
      <w:r>
        <w:rPr>
          <w:rFonts w:hint="default" w:ascii="Times New Roman" w:hAnsi="Times New Roman" w:eastAsia="方正仿宋_GBK" w:cs="Times New Roman"/>
          <w:b w:val="0"/>
          <w:bCs w:val="0"/>
          <w:kern w:val="0"/>
          <w:sz w:val="32"/>
          <w:szCs w:val="32"/>
          <w:lang w:val="en-US" w:eastAsia="zh-CN" w:bidi="ar"/>
        </w:rPr>
        <w:t>属于差额拨款单位，财政未保障</w:t>
      </w:r>
      <w:r>
        <w:rPr>
          <w:rFonts w:hint="eastAsia" w:ascii="Times New Roman" w:hAnsi="Times New Roman" w:eastAsia="方正仿宋_GBK" w:cs="Times New Roman"/>
          <w:b w:val="0"/>
          <w:bCs w:val="0"/>
          <w:kern w:val="0"/>
          <w:sz w:val="32"/>
          <w:szCs w:val="32"/>
          <w:lang w:val="en-US" w:eastAsia="zh-CN" w:bidi="ar"/>
        </w:rPr>
        <w:t>本单位</w:t>
      </w:r>
      <w:r>
        <w:rPr>
          <w:rFonts w:hint="default" w:ascii="Times New Roman" w:hAnsi="Times New Roman" w:eastAsia="方正仿宋_GBK" w:cs="Times New Roman"/>
          <w:b w:val="0"/>
          <w:bCs w:val="0"/>
          <w:kern w:val="0"/>
          <w:sz w:val="32"/>
          <w:szCs w:val="32"/>
          <w:lang w:val="en-US" w:eastAsia="zh-CN" w:bidi="ar"/>
        </w:rPr>
        <w:t>“三公”经费。</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（三）“三公”经费实物量情况</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2023年度本单位因公出国（境）共计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个团组，</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人；公务用车购置</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辆，公务车保有量为</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辆；国内公务接待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人，其中：国内外事接待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人；国（境）外公务接待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人。2023年本单位人均接待费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元，车均购置费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万元，车均维护费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四、其他需要说明的事项</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（一）财政拨款会议费和培训费情况说明</w:t>
      </w:r>
    </w:p>
    <w:p>
      <w:pPr>
        <w:pStyle w:val="15"/>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因</w:t>
      </w:r>
      <w:r>
        <w:rPr>
          <w:rFonts w:hint="eastAsia" w:ascii="Times New Roman" w:hAnsi="Times New Roman" w:eastAsia="方正仿宋_GBK" w:cs="Times New Roman"/>
          <w:b w:val="0"/>
          <w:bCs w:val="0"/>
          <w:sz w:val="32"/>
          <w:szCs w:val="32"/>
          <w:lang w:val="en-US" w:eastAsia="zh-CN"/>
        </w:rPr>
        <w:t>本单位</w:t>
      </w:r>
      <w:r>
        <w:rPr>
          <w:rFonts w:hint="default" w:ascii="Times New Roman" w:hAnsi="Times New Roman" w:eastAsia="方正仿宋_GBK" w:cs="Times New Roman"/>
          <w:b w:val="0"/>
          <w:bCs w:val="0"/>
          <w:sz w:val="32"/>
          <w:szCs w:val="32"/>
        </w:rPr>
        <w:t>为差额拨款单位，财政未保障</w:t>
      </w:r>
      <w:r>
        <w:rPr>
          <w:rFonts w:hint="eastAsia" w:ascii="Times New Roman" w:hAnsi="Times New Roman" w:eastAsia="方正仿宋_GBK" w:cs="Times New Roman"/>
          <w:b w:val="0"/>
          <w:bCs w:val="0"/>
          <w:sz w:val="32"/>
          <w:szCs w:val="32"/>
          <w:lang w:val="en-US" w:eastAsia="zh-CN"/>
        </w:rPr>
        <w:t>本单位</w:t>
      </w:r>
      <w:r>
        <w:rPr>
          <w:rFonts w:hint="default" w:ascii="Times New Roman" w:hAnsi="Times New Roman" w:eastAsia="方正仿宋_GBK" w:cs="Times New Roman"/>
          <w:b w:val="0"/>
          <w:bCs w:val="0"/>
          <w:sz w:val="32"/>
          <w:szCs w:val="32"/>
        </w:rPr>
        <w:t>会议费和培训费。</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（二）机关运行经费情况说明</w:t>
      </w:r>
    </w:p>
    <w:p>
      <w:pPr>
        <w:pStyle w:val="15"/>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按照部门决算列报口径，本单位不在机关运行经费统计范围之内，因本单位为差额拨款单位，财政未保障本单位机关运行经费。</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（三）国有资产占用情况说明</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截至2023年12月31日，本单位共有车辆</w:t>
      </w:r>
      <w:r>
        <w:rPr>
          <w:rFonts w:hint="default" w:ascii="Times New Roman" w:hAnsi="Times New Roman" w:eastAsia="方正仿宋_GBK" w:cs="Times New Roman"/>
          <w:b w:val="0"/>
          <w:bCs w:val="0"/>
          <w:sz w:val="32"/>
          <w:szCs w:val="32"/>
        </w:rPr>
        <w:t>1</w:t>
      </w:r>
      <w:r>
        <w:rPr>
          <w:rFonts w:hint="default" w:ascii="Times New Roman" w:hAnsi="Times New Roman" w:eastAsia="方正仿宋_GBK" w:cs="Times New Roman"/>
          <w:b w:val="0"/>
          <w:bCs w:val="0"/>
          <w:sz w:val="32"/>
          <w:szCs w:val="32"/>
          <w:shd w:val="clear" w:color="auto" w:fill="FFFFFF"/>
        </w:rPr>
        <w:t>辆，其中，副部（省）级及以上领导用车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辆、主要负责人用车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辆、机要通信用车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辆、应急保障用车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辆、执法执勤用车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辆，特种专业技术用车</w:t>
      </w:r>
      <w:r>
        <w:rPr>
          <w:rFonts w:hint="default" w:ascii="Times New Roman" w:hAnsi="Times New Roman" w:eastAsia="方正仿宋_GBK" w:cs="Times New Roman"/>
          <w:b w:val="0"/>
          <w:bCs w:val="0"/>
          <w:sz w:val="32"/>
          <w:szCs w:val="32"/>
        </w:rPr>
        <w:t>1</w:t>
      </w:r>
      <w:r>
        <w:rPr>
          <w:rFonts w:hint="default" w:ascii="Times New Roman" w:hAnsi="Times New Roman" w:eastAsia="方正仿宋_GBK" w:cs="Times New Roman"/>
          <w:b w:val="0"/>
          <w:bCs w:val="0"/>
          <w:sz w:val="32"/>
          <w:szCs w:val="32"/>
          <w:shd w:val="clear" w:color="auto" w:fill="FFFFFF"/>
        </w:rPr>
        <w:t>辆，离退休干部用车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辆。单价100万元（含）以上专用设备</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台（套）。</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（四）政府采购支出情况说明</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auto"/>
          <w:sz w:val="32"/>
          <w:szCs w:val="32"/>
          <w:shd w:val="clear" w:color="auto" w:fill="FFFFFF"/>
        </w:rPr>
      </w:pPr>
      <w:r>
        <w:rPr>
          <w:rFonts w:hint="default" w:ascii="Times New Roman" w:hAnsi="Times New Roman" w:eastAsia="方正仿宋_GBK" w:cs="Times New Roman"/>
          <w:b w:val="0"/>
          <w:bCs w:val="0"/>
          <w:color w:val="auto"/>
          <w:sz w:val="32"/>
          <w:szCs w:val="32"/>
          <w:shd w:val="clear" w:color="auto" w:fill="FFFFFF"/>
        </w:rPr>
        <w:t>2023年度</w:t>
      </w:r>
      <w:r>
        <w:rPr>
          <w:rFonts w:hint="eastAsia" w:ascii="Times New Roman" w:hAnsi="Times New Roman" w:eastAsia="方正仿宋_GBK" w:cs="Times New Roman"/>
          <w:b w:val="0"/>
          <w:bCs w:val="0"/>
          <w:color w:val="auto"/>
          <w:sz w:val="32"/>
          <w:szCs w:val="32"/>
          <w:shd w:val="clear" w:color="auto" w:fill="FFFFFF"/>
          <w:lang w:eastAsia="zh-CN"/>
        </w:rPr>
        <w:t>本单位</w:t>
      </w:r>
      <w:r>
        <w:rPr>
          <w:rFonts w:hint="default" w:ascii="Times New Roman" w:hAnsi="Times New Roman" w:eastAsia="方正仿宋_GBK" w:cs="Times New Roman"/>
          <w:b w:val="0"/>
          <w:bCs w:val="0"/>
          <w:color w:val="auto"/>
          <w:sz w:val="32"/>
          <w:szCs w:val="32"/>
          <w:shd w:val="clear" w:color="auto" w:fill="FFFFFF"/>
        </w:rPr>
        <w:t>未发生政府采购事项，无相关经费支出。</w:t>
      </w:r>
    </w:p>
    <w:p>
      <w:pPr>
        <w:pStyle w:val="9"/>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lang w:val="en-US" w:eastAsia="zh-CN"/>
        </w:rPr>
        <w:t>五、</w:t>
      </w:r>
      <w:r>
        <w:rPr>
          <w:rStyle w:val="11"/>
          <w:rFonts w:hint="eastAsia" w:ascii="方正黑体_GBK" w:hAnsi="方正黑体_GBK" w:eastAsia="方正黑体_GBK" w:cs="方正黑体_GBK"/>
          <w:b w:val="0"/>
          <w:bCs w:val="0"/>
          <w:sz w:val="32"/>
          <w:szCs w:val="32"/>
          <w:shd w:val="clear" w:color="auto" w:fill="FFFFFF"/>
        </w:rPr>
        <w:t>预算绩效管理情况说明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Times New Roman"/>
          <w:b w:val="0"/>
          <w:bCs w:val="0"/>
          <w:kern w:val="0"/>
          <w:sz w:val="32"/>
          <w:szCs w:val="32"/>
          <w:lang w:val="en-US"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tbl>
      <w:tblPr>
        <w:tblStyle w:val="12"/>
        <w:tblpPr w:leftFromText="180" w:rightFromText="180" w:vertAnchor="text" w:horzAnchor="page" w:tblpX="1754" w:tblpY="1815"/>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2023年度项目支出绩效自评情况表（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bl>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kern w:val="0"/>
          <w:sz w:val="32"/>
          <w:szCs w:val="32"/>
          <w:lang w:val="en-US" w:eastAsia="zh-CN" w:bidi="ar-SA"/>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六、专业名词解释</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楷体" w:cs="Times New Roman"/>
          <w:b w:val="0"/>
          <w:bCs w:val="0"/>
          <w:sz w:val="32"/>
          <w:szCs w:val="32"/>
          <w:shd w:val="clear" w:color="auto" w:fill="FFFFFF"/>
        </w:rPr>
        <w:t>（一）财政拨款收入：</w:t>
      </w:r>
      <w:r>
        <w:rPr>
          <w:rFonts w:hint="default" w:ascii="Times New Roman" w:hAnsi="Times New Roman" w:eastAsia="方正仿宋_GBK" w:cs="Times New Roman"/>
          <w:b w:val="0"/>
          <w:bCs w:val="0"/>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（二）事业收入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（三）经营收入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指事业单位在专业业务活动及其辅助活动之外开展非独立核算经营活动取得的现金流入。</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（四）其他收入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（五）使用非财政拨款结余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（六）年初结转和结余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指单位上年结转本年使用的基本支出结转、项目支出结转和结余、经营结余。</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（七）结余分配</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（八）年末结转和结余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指单位结转下年的基本支出结转、项目支出结转和结余、经营结余。</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（九）基本支出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（十）项目支出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指在基本支出之外为完成特定行政任务和事业发展目标所发生的支出。</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（十一）经营支出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（十二）“三公”经费</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（十三）机关运行经费</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（十四）工资福利支出（支出经济分类科目类级）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（十五）商品和服务支出（支出经济分类科目类级）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（十六）对个人和家庭的补助（支出经济分类科目类级）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反映用于对个人和家庭的补助支出。</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（十七）其他资本性支出（支出经济分类科目类级）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黑体" w:cs="Times New Roman"/>
          <w:b w:val="0"/>
          <w:bCs w:val="0"/>
          <w:sz w:val="32"/>
          <w:szCs w:val="32"/>
          <w:shd w:val="clear" w:color="auto" w:fill="FFFFFF"/>
        </w:rPr>
        <w:t>七、决算公开联系方式及信息反馈渠道</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本单位决算公开信息反馈和联系方式：</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val="en-US" w:eastAsia="zh-CN"/>
        </w:rPr>
      </w:pPr>
      <w:r>
        <w:rPr>
          <w:rFonts w:hint="eastAsia" w:ascii="Times New Roman" w:hAnsi="Times New Roman" w:eastAsia="方正仿宋_GBK" w:cs="Times New Roman"/>
          <w:b w:val="0"/>
          <w:bCs w:val="0"/>
          <w:sz w:val="32"/>
          <w:szCs w:val="32"/>
          <w:shd w:val="clear" w:color="auto" w:fill="FFFFFF"/>
          <w:lang w:val="en-US" w:eastAsia="zh-CN"/>
        </w:rPr>
        <w:t>王叶   023-76887120</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atLeast"/>
        <w:ind w:firstLine="0" w:firstLineChars="0"/>
        <w:rPr>
          <w:rStyle w:val="11"/>
          <w:rFonts w:hint="default" w:ascii="Times New Roman" w:hAnsi="Times New Roman" w:eastAsia="方正仿宋_GBK" w:cs="Times New Roman"/>
          <w:b w:val="0"/>
          <w:bCs w:val="0"/>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p>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sz w:val="21"/>
          <w:szCs w:val="21"/>
        </w:rPr>
      </w:pPr>
    </w:p>
    <w:tbl>
      <w:tblPr>
        <w:tblStyle w:val="12"/>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sz w:val="20"/>
                <w:u w:color="auto"/>
              </w:rPr>
              <w:t>重庆市秀山土家族苗族自治县峨溶镇卫生院</w:t>
            </w:r>
          </w:p>
        </w:tc>
        <w:tc>
          <w:tcPr>
            <w:tcW w:w="202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2"/>
                <w:szCs w:val="22"/>
              </w:rPr>
            </w:pPr>
          </w:p>
        </w:tc>
        <w:tc>
          <w:tcPr>
            <w:tcW w:w="480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332.40</w:t>
            </w: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282.37</w:t>
            </w: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8.46</w:t>
            </w: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22.87</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581.69</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8.34</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623.24</w:t>
            </w: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612.90</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0.91</w:t>
            </w: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11.25</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624.15</w:t>
            </w: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624.15</w:t>
            </w:r>
            <w:r>
              <w:rPr>
                <w:rFonts w:hint="default" w:ascii="Times New Roman" w:hAnsi="Times New Roman" w:cs="Times New Roman"/>
                <w:b w:val="0"/>
                <w:bCs w:val="0"/>
                <w:color w:val="000000"/>
                <w:sz w:val="20"/>
                <w:u w:color="auto"/>
              </w:rPr>
              <w:t xml:space="preserve"> </w:t>
            </w:r>
          </w:p>
        </w:tc>
      </w:tr>
    </w:tbl>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备注：1.本表反映单位本年度的总收支和年末结转结余情况。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 xml:space="preserve">      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tbl>
      <w:tblPr>
        <w:tblStyle w:val="12"/>
        <w:tblW w:w="15180" w:type="dxa"/>
        <w:tblInd w:w="0" w:type="dxa"/>
        <w:tblLayout w:type="fixed"/>
        <w:tblCellMar>
          <w:top w:w="0" w:type="dxa"/>
          <w:left w:w="0" w:type="dxa"/>
          <w:bottom w:w="0" w:type="dxa"/>
          <w:right w:w="0" w:type="dxa"/>
        </w:tblCellMar>
      </w:tblPr>
      <w:tblGrid>
        <w:gridCol w:w="1680"/>
        <w:gridCol w:w="3130"/>
        <w:gridCol w:w="1217"/>
        <w:gridCol w:w="1217"/>
        <w:gridCol w:w="1217"/>
        <w:gridCol w:w="1217"/>
        <w:gridCol w:w="1348"/>
        <w:gridCol w:w="1290"/>
        <w:gridCol w:w="1420"/>
        <w:gridCol w:w="1444"/>
      </w:tblGrid>
      <w:tr>
        <w:tblPrEx>
          <w:tblLayout w:type="fixed"/>
          <w:tblCellMar>
            <w:top w:w="0" w:type="dxa"/>
            <w:left w:w="0" w:type="dxa"/>
            <w:bottom w:w="0" w:type="dxa"/>
            <w:right w:w="0" w:type="dxa"/>
          </w:tblCellMar>
        </w:tblPrEx>
        <w:trPr>
          <w:trHeight w:val="641" w:hRule="atLeast"/>
        </w:trPr>
        <w:tc>
          <w:tcPr>
            <w:tcW w:w="15180" w:type="dxa"/>
            <w:gridSpan w:val="10"/>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4810" w:type="dxa"/>
            <w:gridSpan w:val="2"/>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sz w:val="20"/>
                <w:u w:color="auto"/>
              </w:rPr>
              <w:t>重庆市秀山土家族苗族自治县峨溶镇卫生院</w:t>
            </w:r>
          </w:p>
        </w:tc>
        <w:tc>
          <w:tcPr>
            <w:tcW w:w="121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21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21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21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34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29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42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44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4810" w:type="dxa"/>
            <w:gridSpan w:val="2"/>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21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21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21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21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34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29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42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44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431" w:hRule="atLeast"/>
        </w:trPr>
        <w:tc>
          <w:tcPr>
            <w:tcW w:w="4810"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center"/>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121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本年收入合计</w:t>
            </w:r>
          </w:p>
        </w:tc>
        <w:tc>
          <w:tcPr>
            <w:tcW w:w="121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财政拨款收入</w:t>
            </w:r>
          </w:p>
        </w:tc>
        <w:tc>
          <w:tcPr>
            <w:tcW w:w="121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上级补助收入</w:t>
            </w:r>
          </w:p>
        </w:tc>
        <w:tc>
          <w:tcPr>
            <w:tcW w:w="2565"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center"/>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事业收入</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经营收入</w:t>
            </w:r>
          </w:p>
        </w:tc>
        <w:tc>
          <w:tcPr>
            <w:tcW w:w="142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附属单位上缴收入</w:t>
            </w:r>
          </w:p>
        </w:tc>
        <w:tc>
          <w:tcPr>
            <w:tcW w:w="144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80"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功能分类科目编码</w:t>
            </w:r>
          </w:p>
        </w:tc>
        <w:tc>
          <w:tcPr>
            <w:tcW w:w="3130"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项目（按“项”级功能分类科目）</w:t>
            </w:r>
          </w:p>
        </w:tc>
        <w:tc>
          <w:tcPr>
            <w:tcW w:w="121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21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小计</w:t>
            </w:r>
          </w:p>
        </w:tc>
        <w:tc>
          <w:tcPr>
            <w:tcW w:w="134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其中：教育收费</w:t>
            </w:r>
          </w:p>
        </w:tc>
        <w:tc>
          <w:tcPr>
            <w:tcW w:w="12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42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44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68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130"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3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42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44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68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130"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3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42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44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68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130"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3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42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44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481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12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623.24</w:t>
            </w:r>
            <w:r>
              <w:rPr>
                <w:rFonts w:hint="default" w:ascii="Times New Roman" w:hAnsi="Times New Roman" w:cs="Times New Roman"/>
                <w:b w:val="0"/>
                <w:bCs w:val="0"/>
                <w:color w:val="000000"/>
                <w:sz w:val="20"/>
                <w:u w:color="auto"/>
              </w:rPr>
              <w:t xml:space="preserve"> </w:t>
            </w:r>
          </w:p>
        </w:tc>
        <w:tc>
          <w:tcPr>
            <w:tcW w:w="12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332.40</w:t>
            </w:r>
            <w:r>
              <w:rPr>
                <w:rFonts w:hint="default" w:ascii="Times New Roman" w:hAnsi="Times New Roman" w:cs="Times New Roman"/>
                <w:b w:val="0"/>
                <w:bCs w:val="0"/>
                <w:color w:val="000000"/>
                <w:sz w:val="20"/>
                <w:u w:color="auto"/>
              </w:rPr>
              <w:t xml:space="preserve"> </w:t>
            </w:r>
          </w:p>
        </w:tc>
        <w:tc>
          <w:tcPr>
            <w:tcW w:w="12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282.37</w:t>
            </w:r>
            <w:r>
              <w:rPr>
                <w:rFonts w:hint="default" w:ascii="Times New Roman" w:hAnsi="Times New Roman" w:cs="Times New Roman"/>
                <w:b w:val="0"/>
                <w:bCs w:val="0"/>
                <w:color w:val="000000"/>
                <w:sz w:val="20"/>
                <w:u w:color="auto"/>
              </w:rPr>
              <w:t xml:space="preserve"> </w:t>
            </w:r>
          </w:p>
        </w:tc>
        <w:tc>
          <w:tcPr>
            <w:tcW w:w="13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8.46</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社会保障和就业支出</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22.87</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22.87</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行政事业单位养老支出</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22.87</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22.87</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2080502</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事业单位离退休</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0.67</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0.67</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2080505</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机关事业单位基本养老保险缴费支出</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11.13</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11.13</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2080506</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机关事业单位职业年金缴费支出</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5.55</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5.55</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2080599</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其他行政事业单位养老支出</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5.52</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5.52</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卫生健康支出</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592.03</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301.19</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282.37</w:t>
            </w: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8.46</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卫生健康管理事务</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0.15</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0.15</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2100199</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其他卫生健康管理事务支出</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0.15</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0.15</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21003</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基层医疗卫生机构</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460.51</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169.67</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282.37</w:t>
            </w: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8.46</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2100302</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乡镇卫生院</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460.51</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169.67</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282.37</w:t>
            </w: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8.46</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公共卫生</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112.91</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112.91</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2100408</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基本公共卫生服务</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107.42</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107.42</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2100410</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突发公共卫生事件应急处理</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4.57</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4.57</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2100499</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其他公共卫生支出</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0.93</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0.93</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21011</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行政事业单位医疗</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6.95</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6.95</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2101102</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事业单位医疗</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6.95</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6.95</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21099</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其他卫生健康支出</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11.50</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11.50</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2109999</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其他卫生健康支出</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11.50</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11.50</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住房保障支出</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8.34</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8.34</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22102</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住房改革支出</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8.34</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8.34</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2210201</w:t>
            </w:r>
          </w:p>
        </w:tc>
        <w:tc>
          <w:tcPr>
            <w:tcW w:w="31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住房公积金</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8.34</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8.34</w:t>
            </w: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bl>
    <w:p>
      <w:pPr>
        <w:keepNext w:val="0"/>
        <w:keepLines w:val="0"/>
        <w:pageBreakBefore w:val="0"/>
        <w:widowControl/>
        <w:kinsoku/>
        <w:overflowPunct/>
        <w:topLinePunct w:val="0"/>
        <w:autoSpaceDN/>
        <w:bidi w:val="0"/>
        <w:adjustRightInd w:val="0"/>
        <w:snapToGrid w:val="0"/>
        <w:spacing w:line="560" w:lineRule="atLeast"/>
        <w:ind w:left="600" w:hanging="600" w:hangingChars="300"/>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备注：1.本表反映单位本年度取得的各项收入情况。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page"/>
      </w:r>
    </w:p>
    <w:tbl>
      <w:tblPr>
        <w:tblStyle w:val="12"/>
        <w:tblW w:w="15378" w:type="dxa"/>
        <w:tblInd w:w="0" w:type="dxa"/>
        <w:tblLayout w:type="fixed"/>
        <w:tblCellMar>
          <w:top w:w="0" w:type="dxa"/>
          <w:left w:w="0" w:type="dxa"/>
          <w:bottom w:w="0" w:type="dxa"/>
          <w:right w:w="0" w:type="dxa"/>
        </w:tblCellMar>
      </w:tblPr>
      <w:tblGrid>
        <w:gridCol w:w="1802"/>
        <w:gridCol w:w="3355"/>
        <w:gridCol w:w="1701"/>
        <w:gridCol w:w="1701"/>
        <w:gridCol w:w="1701"/>
        <w:gridCol w:w="1685"/>
        <w:gridCol w:w="1685"/>
        <w:gridCol w:w="1748"/>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5157" w:type="dxa"/>
            <w:gridSpan w:val="2"/>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 xml:space="preserve">： </w:t>
            </w:r>
            <w:r>
              <w:rPr>
                <w:rFonts w:hint="default" w:ascii="Times New Roman" w:hAnsi="Times New Roman" w:cs="Times New Roman"/>
                <w:b w:val="0"/>
                <w:bCs w:val="0"/>
                <w:color w:val="000000"/>
                <w:sz w:val="20"/>
                <w:u w:color="auto"/>
              </w:rPr>
              <w:t xml:space="preserve">重庆市秀山土家族苗族自治县峨溶镇卫生院 </w:t>
            </w: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74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5157" w:type="dxa"/>
            <w:gridSpan w:val="2"/>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74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362" w:hRule="atLeast"/>
        </w:trPr>
        <w:tc>
          <w:tcPr>
            <w:tcW w:w="5157"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center"/>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经营支出</w:t>
            </w:r>
          </w:p>
        </w:tc>
        <w:tc>
          <w:tcPr>
            <w:tcW w:w="174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62" w:hRule="atLeast"/>
        </w:trPr>
        <w:tc>
          <w:tcPr>
            <w:tcW w:w="515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612.90</w:t>
            </w:r>
            <w:r>
              <w:rPr>
                <w:rFonts w:hint="default" w:ascii="Times New Roman" w:hAnsi="Times New Roman" w:cs="Times New Roman"/>
                <w:b w:val="0"/>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596.83</w:t>
            </w:r>
            <w:r>
              <w:rPr>
                <w:rFonts w:hint="default" w:ascii="Times New Roman" w:hAnsi="Times New Roman" w:cs="Times New Roman"/>
                <w:b w:val="0"/>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16.07</w:t>
            </w:r>
            <w:r>
              <w:rPr>
                <w:rFonts w:hint="default" w:ascii="Times New Roman" w:hAnsi="Times New Roman" w:cs="Times New Roman"/>
                <w:b w:val="0"/>
                <w:bCs w:val="0"/>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22.87</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22.87</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22.87</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22.87</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事业单位离退休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0.67</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0.67</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11.13</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11.13</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5.55</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5.55</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5.52</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5.52</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581.69</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565.62</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16.07</w:t>
            </w: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0.15</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0.15</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0.15</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0.15</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21003</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基层医疗卫生机构</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450.17</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450.17</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2100302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乡镇卫生院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450.17</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450.17</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公共卫生</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112.91</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108.34</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4.57</w:t>
            </w: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基本公共卫生服务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107.42</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107.42</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突发公共卫生事件应急处理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4.57</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4.57</w:t>
            </w: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其他公共卫生支出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0.93</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0.93</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6.95</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6.95</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6.95</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6.95</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11.50</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11.50</w:t>
            </w: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2109999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11.50</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11.50</w:t>
            </w: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8.34</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8.34</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8.34</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8.34</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2210201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8.34</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8.34</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bl>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备注：1.本表反映单位本年度各项支出情况。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 xml:space="preserve">      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br w:type="page"/>
      </w:r>
    </w:p>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sz w:val="21"/>
          <w:szCs w:val="21"/>
        </w:rPr>
      </w:pPr>
    </w:p>
    <w:tbl>
      <w:tblPr>
        <w:tblStyle w:val="12"/>
        <w:tblW w:w="14732" w:type="dxa"/>
        <w:tblInd w:w="0" w:type="dxa"/>
        <w:tblLayout w:type="fixed"/>
        <w:tblCellMar>
          <w:top w:w="0" w:type="dxa"/>
          <w:left w:w="0" w:type="dxa"/>
          <w:bottom w:w="0" w:type="dxa"/>
          <w:right w:w="0" w:type="dxa"/>
        </w:tblCellMar>
      </w:tblPr>
      <w:tblGrid>
        <w:gridCol w:w="3260"/>
        <w:gridCol w:w="1670"/>
        <w:gridCol w:w="3106"/>
        <w:gridCol w:w="1615"/>
        <w:gridCol w:w="1615"/>
        <w:gridCol w:w="1615"/>
        <w:gridCol w:w="1851"/>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4930" w:type="dxa"/>
            <w:gridSpan w:val="2"/>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 xml:space="preserve">： </w:t>
            </w:r>
            <w:r>
              <w:rPr>
                <w:rFonts w:hint="default" w:ascii="Times New Roman" w:hAnsi="Times New Roman" w:cs="Times New Roman"/>
                <w:b w:val="0"/>
                <w:bCs w:val="0"/>
                <w:color w:val="000000"/>
                <w:sz w:val="20"/>
                <w:u w:color="auto"/>
              </w:rPr>
              <w:t>重庆市秀山土家族苗族自治县峨溶镇卫生院</w:t>
            </w:r>
          </w:p>
        </w:tc>
        <w:tc>
          <w:tcPr>
            <w:tcW w:w="310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1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1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1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85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4930" w:type="dxa"/>
            <w:gridSpan w:val="2"/>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310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1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1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1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85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9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收     入</w:t>
            </w:r>
          </w:p>
        </w:tc>
        <w:tc>
          <w:tcPr>
            <w:tcW w:w="9802"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326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项目</w:t>
            </w:r>
          </w:p>
        </w:tc>
        <w:tc>
          <w:tcPr>
            <w:tcW w:w="167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决算数</w:t>
            </w:r>
          </w:p>
        </w:tc>
        <w:tc>
          <w:tcPr>
            <w:tcW w:w="310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功能分类科目</w:t>
            </w:r>
          </w:p>
        </w:tc>
        <w:tc>
          <w:tcPr>
            <w:tcW w:w="669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326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18"/>
                <w:szCs w:val="18"/>
              </w:rPr>
            </w:pPr>
          </w:p>
        </w:tc>
        <w:tc>
          <w:tcPr>
            <w:tcW w:w="167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18"/>
                <w:szCs w:val="18"/>
              </w:rPr>
            </w:pPr>
          </w:p>
        </w:tc>
        <w:tc>
          <w:tcPr>
            <w:tcW w:w="310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18"/>
                <w:szCs w:val="18"/>
              </w:rPr>
            </w:pPr>
          </w:p>
        </w:tc>
        <w:tc>
          <w:tcPr>
            <w:tcW w:w="161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小计</w:t>
            </w:r>
          </w:p>
        </w:tc>
        <w:tc>
          <w:tcPr>
            <w:tcW w:w="161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一般公共预算财政拨款</w:t>
            </w:r>
          </w:p>
        </w:tc>
        <w:tc>
          <w:tcPr>
            <w:tcW w:w="161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政府性基金预算财政拨款</w:t>
            </w:r>
          </w:p>
        </w:tc>
        <w:tc>
          <w:tcPr>
            <w:tcW w:w="185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一、一般公共预算财政拨款</w:t>
            </w: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332.40</w:t>
            </w:r>
            <w:r>
              <w:rPr>
                <w:rFonts w:hint="default" w:ascii="Times New Roman" w:hAnsi="Times New Roman" w:cs="Times New Roman"/>
                <w:b w:val="0"/>
                <w:bCs w:val="0"/>
                <w:color w:val="000000"/>
                <w:sz w:val="18"/>
                <w:u w:color="auto"/>
              </w:rPr>
              <w:t xml:space="preserve"> </w:t>
            </w: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一、一般公共服务支出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二、政府性基金预算财政拨款</w:t>
            </w: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二、外交支出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三、国有资本经营预算财政拨款</w:t>
            </w: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三、国防支出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四、公共安全支出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五、教育支出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六、科学技术支出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七、文化旅游体育与传媒支出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八、社会保障和就业支出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22.87</w:t>
            </w: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22.87</w:t>
            </w: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九、卫生健康支出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293.43</w:t>
            </w: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293.43</w:t>
            </w: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十、节能环保支出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十一、城乡社区支出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十二、农林水支出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十三、交通运输支出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十四、资源勘探工业信息等支出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十五、商业服务业等支出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十六、金融支出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十七、援助其他地区支出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十八、自然资源海洋气象等支出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十九、住房保障支出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8.34</w:t>
            </w: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8.34</w:t>
            </w: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二十、粮油物资储备支出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二十一、国有资本经营预算支出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二十二、灾害防治及应急管理支出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二十三、其他支出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二十四、债务还本支出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二十五、债务付息支出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二十六、抗疫特别国债安排的支出</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本年收入合计</w:t>
            </w: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332.40</w:t>
            </w:r>
            <w:r>
              <w:rPr>
                <w:rFonts w:hint="default" w:ascii="Times New Roman" w:hAnsi="Times New Roman" w:cs="Times New Roman"/>
                <w:b w:val="0"/>
                <w:bCs w:val="0"/>
                <w:color w:val="000000"/>
                <w:sz w:val="18"/>
                <w:u w:color="auto"/>
              </w:rPr>
              <w:t xml:space="preserve"> </w:t>
            </w: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本年支出合计</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324.64</w:t>
            </w: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324.64</w:t>
            </w: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年初财政拨款结转和结余</w:t>
            </w: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年末财政拨款结转和结余</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7.76</w:t>
            </w: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7.76</w:t>
            </w: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一般公共预算财政拨款</w:t>
            </w: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3106"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政府性基金预算财政拨款</w:t>
            </w: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18"/>
                <w:szCs w:val="18"/>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国有资本经营预算财政拨款</w:t>
            </w: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18"/>
                <w:szCs w:val="18"/>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26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总计</w:t>
            </w:r>
          </w:p>
        </w:tc>
        <w:tc>
          <w:tcPr>
            <w:tcW w:w="1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332.40</w:t>
            </w:r>
            <w:r>
              <w:rPr>
                <w:rFonts w:hint="default" w:ascii="Times New Roman" w:hAnsi="Times New Roman" w:cs="Times New Roman"/>
                <w:b w:val="0"/>
                <w:bCs w:val="0"/>
                <w:color w:val="000000"/>
                <w:sz w:val="18"/>
                <w:u w:color="auto"/>
              </w:rPr>
              <w:t xml:space="preserve"> </w:t>
            </w:r>
          </w:p>
        </w:tc>
        <w:tc>
          <w:tcPr>
            <w:tcW w:w="31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总计</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332.40</w:t>
            </w: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332.40</w:t>
            </w:r>
            <w:r>
              <w:rPr>
                <w:rFonts w:hint="default" w:ascii="Times New Roman" w:hAnsi="Times New Roman" w:cs="Times New Roman"/>
                <w:b w:val="0"/>
                <w:bCs w:val="0"/>
                <w:color w:val="000000"/>
                <w:sz w:val="18"/>
                <w:u w:color="auto"/>
              </w:rPr>
              <w:t xml:space="preserve"> </w:t>
            </w:r>
          </w:p>
        </w:tc>
        <w:tc>
          <w:tcPr>
            <w:tcW w:w="1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bl>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备注：1.本表反映单位本年度一般公共预算财政拨款、政府性基金预算财政拨款及国有资本经营预算财政拨款的总收支和年末结转结余情况。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 xml:space="preserve">      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5406" w:type="dxa"/>
            <w:gridSpan w:val="2"/>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 xml:space="preserve">： </w:t>
            </w:r>
            <w:r>
              <w:rPr>
                <w:rFonts w:hint="default" w:ascii="Times New Roman" w:hAnsi="Times New Roman" w:cs="Times New Roman"/>
                <w:b w:val="0"/>
                <w:bCs w:val="0"/>
                <w:color w:val="000000"/>
                <w:sz w:val="20"/>
                <w:u w:color="auto"/>
              </w:rPr>
              <w:t>重庆市秀山土家族苗族自治县峨溶镇卫生院</w:t>
            </w:r>
          </w:p>
        </w:tc>
        <w:tc>
          <w:tcPr>
            <w:tcW w:w="331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5406" w:type="dxa"/>
            <w:gridSpan w:val="2"/>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308"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615"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324.64</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308.57</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16.07</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社会保障和就业支出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22.87</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22.87</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22.87</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22.87</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事业单位离退休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0.67</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0.67</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机关事业单位基本养老保险缴费支出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11.13</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11.13</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2080506</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机关事业单位职业年金缴费支出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5.55</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5.55</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5.52</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5.52</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293.43</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277.36</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16.07</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卫生健康管理事务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0.15</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0.15</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其他卫生健康管理事务支出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0.15</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0.15</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21003</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基层医疗卫生机构</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161.91</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161.91</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2100302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乡镇卫生院</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161.91</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161.91</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公共卫生</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112.91</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108.34</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4.57</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基本公共卫生服务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107.42</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107.42</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突发公共卫生事件应急处理</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4.57</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4.57</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其他公共卫生支出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0.93</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0.93</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21011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行政事业单位医疗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6.95</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6.95</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2101102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6.95</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6.95</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11.50</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11.50</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2109999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11.50</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11.50</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住房保障支出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8.34</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8.34</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住房改革支出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8.34</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8.34</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2210201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住房公积金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8.34</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8.34</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bl>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sz w:val="21"/>
          <w:szCs w:val="21"/>
        </w:rPr>
      </w:pPr>
      <w:r>
        <w:rPr>
          <w:rFonts w:hint="default" w:ascii="Times New Roman" w:hAnsi="Times New Roman" w:cs="Times New Roman"/>
          <w:b w:val="0"/>
          <w:bCs w:val="0"/>
          <w:sz w:val="20"/>
          <w:szCs w:val="20"/>
        </w:rPr>
        <w:t>备注：1.本表反映单位本年度一般公共预算财政拨款支出情况。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 xml:space="preserve">      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p>
      <w:pPr>
        <w:keepNext w:val="0"/>
        <w:keepLines w:val="0"/>
        <w:pageBreakBefore w:val="0"/>
        <w:widowControl/>
        <w:kinsoku/>
        <w:overflowPunct/>
        <w:topLinePunct w:val="0"/>
        <w:autoSpaceDN/>
        <w:bidi w:val="0"/>
        <w:adjustRightInd w:val="0"/>
        <w:snapToGrid w:val="0"/>
        <w:spacing w:line="560" w:lineRule="atLeast"/>
        <w:ind w:firstLine="630" w:firstLineChars="30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br w:type="page"/>
      </w:r>
    </w:p>
    <w:tbl>
      <w:tblPr>
        <w:tblStyle w:val="12"/>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45" w:type="dxa"/>
            <w:gridSpan w:val="2"/>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 xml:space="preserve">： </w:t>
            </w:r>
            <w:r>
              <w:rPr>
                <w:rFonts w:hint="default" w:ascii="Times New Roman" w:hAnsi="Times New Roman" w:cs="Times New Roman"/>
                <w:b w:val="0"/>
                <w:bCs w:val="0"/>
                <w:color w:val="000000"/>
                <w:sz w:val="20"/>
                <w:u w:color="auto"/>
              </w:rPr>
              <w:t>重庆市秀山土家族苗族自治县峨溶镇卫生院</w:t>
            </w:r>
          </w:p>
        </w:tc>
        <w:tc>
          <w:tcPr>
            <w:tcW w:w="137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3345" w:type="dxa"/>
            <w:gridSpan w:val="2"/>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37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279.02</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23.36</w:t>
            </w: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110.77</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42.72</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93.55</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11.13</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5.55</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6.95</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8.34</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6.19</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5.52</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23.36</w:t>
            </w: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0.67</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val="0"/>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285.22</w:t>
            </w:r>
            <w:r>
              <w:rPr>
                <w:rFonts w:hint="default" w:ascii="Times New Roman" w:hAnsi="Times New Roman" w:cs="Times New Roman"/>
                <w:b w:val="0"/>
                <w:bCs w:val="0"/>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23.36</w:t>
            </w:r>
            <w:r>
              <w:rPr>
                <w:rFonts w:hint="default" w:ascii="Times New Roman" w:hAnsi="Times New Roman" w:cs="Times New Roman"/>
                <w:b w:val="0"/>
                <w:bCs w:val="0"/>
                <w:color w:val="000000"/>
                <w:sz w:val="18"/>
                <w:u w:color="auto"/>
              </w:rPr>
              <w:t xml:space="preserve"> </w:t>
            </w:r>
          </w:p>
        </w:tc>
      </w:tr>
    </w:tbl>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备注：1.本表反映单位本年度一般公共预算财政拨款基本支出明细情况。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 xml:space="preserve">      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 xml:space="preserve">： </w:t>
            </w:r>
            <w:r>
              <w:rPr>
                <w:rFonts w:hint="default" w:ascii="Times New Roman" w:hAnsi="Times New Roman" w:cs="Times New Roman"/>
                <w:b w:val="0"/>
                <w:bCs w:val="0"/>
                <w:color w:val="000000"/>
                <w:sz w:val="20"/>
                <w:u w:color="auto"/>
              </w:rPr>
              <w:t>重庆市秀山土家族苗族自治县峨溶镇卫生院</w:t>
            </w: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bl>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sz w:val="21"/>
          <w:szCs w:val="21"/>
        </w:rPr>
      </w:pPr>
      <w:r>
        <w:rPr>
          <w:rFonts w:hint="default" w:ascii="Times New Roman" w:hAnsi="Times New Roman" w:cs="Times New Roman"/>
          <w:b w:val="0"/>
          <w:bCs w:val="0"/>
          <w:sz w:val="20"/>
          <w:szCs w:val="20"/>
        </w:rPr>
        <w:t>备注：本表反映单位本年度政府性基金预算财政拨款收入支出及结转和结余情况。本单位无政府性基金收支，故本表无数据。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 xml:space="preserve">： </w:t>
            </w:r>
            <w:r>
              <w:rPr>
                <w:rFonts w:hint="default" w:ascii="Times New Roman" w:hAnsi="Times New Roman" w:cs="Times New Roman"/>
                <w:b w:val="0"/>
                <w:bCs w:val="0"/>
                <w:color w:val="000000"/>
                <w:sz w:val="20"/>
                <w:u w:color="auto"/>
              </w:rPr>
              <w:t>重庆市秀山土家族苗族自治县峨溶镇卫生院</w:t>
            </w:r>
          </w:p>
        </w:tc>
        <w:tc>
          <w:tcPr>
            <w:tcW w:w="327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327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center"/>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center"/>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N/>
              <w:bidi w:val="0"/>
              <w:adjustRightInd w:val="0"/>
              <w:snapToGrid w:val="0"/>
              <w:spacing w:line="560" w:lineRule="atLeas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bl>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sz w:val="21"/>
          <w:szCs w:val="21"/>
        </w:rPr>
      </w:pPr>
      <w:r>
        <w:rPr>
          <w:rFonts w:hint="default" w:ascii="Times New Roman" w:hAnsi="Times New Roman" w:cs="Times New Roman"/>
          <w:b w:val="0"/>
          <w:bCs w:val="0"/>
          <w:sz w:val="20"/>
          <w:szCs w:val="20"/>
        </w:rPr>
        <w:t>备注：本表反映单位本年度国有资本经营预算财政拨款支出情况。本单位无国有资本经营收支，故本表无数据。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br w:type="page"/>
      </w:r>
    </w:p>
    <w:tbl>
      <w:tblPr>
        <w:tblStyle w:val="12"/>
        <w:tblW w:w="15258" w:type="dxa"/>
        <w:tblInd w:w="0" w:type="dxa"/>
        <w:tblLayout w:type="fixed"/>
        <w:tblCellMar>
          <w:top w:w="0" w:type="dxa"/>
          <w:left w:w="0" w:type="dxa"/>
          <w:bottom w:w="0" w:type="dxa"/>
          <w:right w:w="0" w:type="dxa"/>
        </w:tblCellMar>
      </w:tblPr>
      <w:tblGrid>
        <w:gridCol w:w="4134"/>
        <w:gridCol w:w="2218"/>
        <w:gridCol w:w="2167"/>
        <w:gridCol w:w="4623"/>
        <w:gridCol w:w="2116"/>
      </w:tblGrid>
      <w:tr>
        <w:tblPrEx>
          <w:tblLayout w:type="fixed"/>
          <w:tblCellMar>
            <w:top w:w="0" w:type="dxa"/>
            <w:left w:w="0" w:type="dxa"/>
            <w:bottom w:w="0" w:type="dxa"/>
            <w:right w:w="0" w:type="dxa"/>
          </w:tblCellMar>
        </w:tblPrEx>
        <w:trPr>
          <w:trHeight w:val="567" w:hRule="atLeast"/>
        </w:trPr>
        <w:tc>
          <w:tcPr>
            <w:tcW w:w="15258" w:type="dxa"/>
            <w:gridSpan w:val="5"/>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机构运行信息表</w:t>
            </w:r>
          </w:p>
        </w:tc>
      </w:tr>
      <w:tr>
        <w:tblPrEx>
          <w:tblLayout w:type="fixed"/>
          <w:tblCellMar>
            <w:top w:w="0" w:type="dxa"/>
            <w:left w:w="0" w:type="dxa"/>
            <w:bottom w:w="0" w:type="dxa"/>
            <w:right w:w="0" w:type="dxa"/>
          </w:tblCellMar>
        </w:tblPrEx>
        <w:trPr>
          <w:trHeight w:val="567" w:hRule="atLeast"/>
        </w:trPr>
        <w:tc>
          <w:tcPr>
            <w:tcW w:w="413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21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216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462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11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公开09表</w:t>
            </w:r>
          </w:p>
        </w:tc>
      </w:tr>
      <w:tr>
        <w:tblPrEx>
          <w:tblLayout w:type="fixed"/>
          <w:tblCellMar>
            <w:top w:w="0" w:type="dxa"/>
            <w:left w:w="0" w:type="dxa"/>
            <w:bottom w:w="0" w:type="dxa"/>
            <w:right w:w="0" w:type="dxa"/>
          </w:tblCellMar>
        </w:tblPrEx>
        <w:trPr>
          <w:trHeight w:val="1119" w:hRule="atLeast"/>
        </w:trPr>
        <w:tc>
          <w:tcPr>
            <w:tcW w:w="4134" w:type="dxa"/>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 xml:space="preserve">： </w:t>
            </w:r>
            <w:r>
              <w:rPr>
                <w:rFonts w:hint="default" w:ascii="Times New Roman" w:hAnsi="Times New Roman" w:cs="Times New Roman"/>
                <w:b w:val="0"/>
                <w:bCs w:val="0"/>
                <w:color w:val="000000"/>
                <w:sz w:val="20"/>
                <w:u w:color="auto"/>
              </w:rPr>
              <w:t>重庆市秀山土家族苗族自治县峨溶镇卫生院</w:t>
            </w:r>
          </w:p>
        </w:tc>
        <w:tc>
          <w:tcPr>
            <w:tcW w:w="2218" w:type="dxa"/>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center"/>
              <w:rPr>
                <w:rFonts w:hint="default" w:ascii="Times New Roman" w:hAnsi="Times New Roman" w:cs="Times New Roman"/>
                <w:b w:val="0"/>
                <w:bCs w:val="0"/>
                <w:color w:val="000000"/>
                <w:sz w:val="20"/>
                <w:szCs w:val="20"/>
              </w:rPr>
            </w:pPr>
          </w:p>
        </w:tc>
        <w:tc>
          <w:tcPr>
            <w:tcW w:w="2167" w:type="dxa"/>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c>
          <w:tcPr>
            <w:tcW w:w="4623" w:type="dxa"/>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116" w:type="dxa"/>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  目</w:t>
            </w:r>
          </w:p>
        </w:tc>
        <w:tc>
          <w:tcPr>
            <w:tcW w:w="221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预算数</w:t>
            </w:r>
          </w:p>
        </w:tc>
        <w:tc>
          <w:tcPr>
            <w:tcW w:w="2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决算数</w:t>
            </w:r>
          </w:p>
        </w:tc>
        <w:tc>
          <w:tcPr>
            <w:tcW w:w="462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  目</w:t>
            </w:r>
          </w:p>
        </w:tc>
        <w:tc>
          <w:tcPr>
            <w:tcW w:w="211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决算数</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一、“三公”经费支出</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462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四、机关运行经费</w:t>
            </w: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（一）支出合计</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21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62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（一）行政单位</w:t>
            </w: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1．因公出国（境）费</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21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62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（二）参照公务员法管理事业单位</w:t>
            </w: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2．公务用车购置及运行维护费</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21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62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五、资产信息</w:t>
            </w: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（1）公务用车购置费</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21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62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（一）车辆数合计（辆）</w:t>
            </w: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（2）公务用车运行维护费</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21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62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1．副部（省）级及以上领导用车</w:t>
            </w: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3．公务接待费</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21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62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2．主要领导干部用车</w:t>
            </w: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（1）国内接待费</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62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3．机要通信用车</w:t>
            </w: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其中：外事接待费</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62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4．应急保障用车</w:t>
            </w: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（2）国（境）外接待费</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62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5．执法执勤用车</w:t>
            </w: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（二）相关统计数</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462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6．特种专业技术用车</w:t>
            </w: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1．因公出国（境）团组数（个）</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6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62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7．离退休干部用车</w:t>
            </w: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2．因公出国（境）人次数（人）</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6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62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8．其他用车</w:t>
            </w: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3．公务用车购置数（辆）</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6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62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（二）单价100万元（含）以上设备（不含车辆）</w:t>
            </w: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4．公务用车保有量（辆）</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6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62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六、政府采购支出信息</w:t>
            </w: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5．国内公务接待批次（个）</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6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62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（一）政府采购支出合计</w:t>
            </w: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其中：外事接待批次（个）</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6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62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1．政府采购货物支出</w:t>
            </w: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6．国内公务接待人次（人）</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6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62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2．政府采购工程支出</w:t>
            </w: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其中：外事接待人次（人）</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6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62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3．政府采购服务支出</w:t>
            </w: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7．国（境）外公务接待批次（个）</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6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62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（二）政府采购授予中小企业合同金额</w:t>
            </w: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8．国（境）外公务接待人次（人）</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6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62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 xml:space="preserve">        其中：授予小微企业合同金额</w:t>
            </w: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577" w:hRule="atLeast"/>
        </w:trPr>
        <w:tc>
          <w:tcPr>
            <w:tcW w:w="413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二、会议费</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62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587" w:hRule="atLeast"/>
        </w:trPr>
        <w:tc>
          <w:tcPr>
            <w:tcW w:w="413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三、培训费</w:t>
            </w:r>
          </w:p>
        </w:tc>
        <w:tc>
          <w:tcPr>
            <w:tcW w:w="22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62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color w:val="000000"/>
                <w:sz w:val="20"/>
                <w:szCs w:val="20"/>
              </w:rPr>
            </w:pPr>
          </w:p>
        </w:tc>
        <w:tc>
          <w:tcPr>
            <w:tcW w:w="21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N/>
              <w:bidi w:val="0"/>
              <w:adjustRightInd w:val="0"/>
              <w:snapToGrid w:val="0"/>
              <w:spacing w:line="560" w:lineRule="atLeast"/>
              <w:jc w:val="right"/>
              <w:rPr>
                <w:rFonts w:hint="default" w:ascii="Times New Roman" w:hAnsi="Times New Roman" w:cs="Times New Roman"/>
                <w:b w:val="0"/>
                <w:bCs w:val="0"/>
                <w:color w:val="000000"/>
                <w:sz w:val="20"/>
                <w:szCs w:val="20"/>
              </w:rPr>
            </w:pPr>
          </w:p>
        </w:tc>
      </w:tr>
    </w:tbl>
    <w:p>
      <w:pPr>
        <w:keepNext w:val="0"/>
        <w:keepLines w:val="0"/>
        <w:pageBreakBefore w:val="0"/>
        <w:widowControl/>
        <w:kinsoku/>
        <w:overflowPunct/>
        <w:topLinePunct w:val="0"/>
        <w:autoSpaceDN/>
        <w:bidi w:val="0"/>
        <w:adjustRightInd w:val="0"/>
        <w:snapToGrid w:val="0"/>
        <w:spacing w:line="560" w:lineRule="atLeast"/>
        <w:rPr>
          <w:rFonts w:hint="default" w:ascii="Times New Roman" w:hAnsi="Times New Roman" w:cs="Times New Roman"/>
          <w:b w:val="0"/>
          <w:bCs w:val="0"/>
          <w:sz w:val="21"/>
          <w:szCs w:val="21"/>
        </w:rPr>
      </w:pPr>
      <w:r>
        <w:rPr>
          <w:rFonts w:hint="default" w:ascii="Times New Roman" w:hAnsi="Times New Roman" w:cs="Times New Roman"/>
          <w:b w:val="0"/>
          <w:bCs w:val="0"/>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 xml:space="preserve">      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2B254B"/>
    <w:rsid w:val="00550ABE"/>
    <w:rsid w:val="00770383"/>
    <w:rsid w:val="007819D4"/>
    <w:rsid w:val="007B419D"/>
    <w:rsid w:val="009B67B8"/>
    <w:rsid w:val="009D2B67"/>
    <w:rsid w:val="00B03CCD"/>
    <w:rsid w:val="00C20C3E"/>
    <w:rsid w:val="00F73F90"/>
    <w:rsid w:val="01474EBF"/>
    <w:rsid w:val="01F3521E"/>
    <w:rsid w:val="03B87EA0"/>
    <w:rsid w:val="03E3214F"/>
    <w:rsid w:val="044C50BA"/>
    <w:rsid w:val="05BC6D49"/>
    <w:rsid w:val="06194FF1"/>
    <w:rsid w:val="06A2550B"/>
    <w:rsid w:val="06F80EE2"/>
    <w:rsid w:val="07001CCA"/>
    <w:rsid w:val="070B006B"/>
    <w:rsid w:val="075678DB"/>
    <w:rsid w:val="079D7CC7"/>
    <w:rsid w:val="08051BCA"/>
    <w:rsid w:val="086C12F4"/>
    <w:rsid w:val="08705944"/>
    <w:rsid w:val="08BA052C"/>
    <w:rsid w:val="08DB07BA"/>
    <w:rsid w:val="0969353F"/>
    <w:rsid w:val="098305D0"/>
    <w:rsid w:val="0A3317EA"/>
    <w:rsid w:val="0A5C4B69"/>
    <w:rsid w:val="0A86124A"/>
    <w:rsid w:val="0AB54CC0"/>
    <w:rsid w:val="0B9335CE"/>
    <w:rsid w:val="0BF2311A"/>
    <w:rsid w:val="0C107BEB"/>
    <w:rsid w:val="0C7927C4"/>
    <w:rsid w:val="0C9B098C"/>
    <w:rsid w:val="0D673E11"/>
    <w:rsid w:val="0DDA54E4"/>
    <w:rsid w:val="0E073D06"/>
    <w:rsid w:val="0E3A5F83"/>
    <w:rsid w:val="0F836721"/>
    <w:rsid w:val="0FA25D96"/>
    <w:rsid w:val="107B59E5"/>
    <w:rsid w:val="10EC0126"/>
    <w:rsid w:val="10F70B9A"/>
    <w:rsid w:val="111445C7"/>
    <w:rsid w:val="114278C6"/>
    <w:rsid w:val="1158083A"/>
    <w:rsid w:val="11643A4B"/>
    <w:rsid w:val="11ED0F98"/>
    <w:rsid w:val="11F03528"/>
    <w:rsid w:val="12C921C4"/>
    <w:rsid w:val="12E12F58"/>
    <w:rsid w:val="13871C70"/>
    <w:rsid w:val="13A71CB4"/>
    <w:rsid w:val="13AF1D43"/>
    <w:rsid w:val="13CE1647"/>
    <w:rsid w:val="13FD55AB"/>
    <w:rsid w:val="14200702"/>
    <w:rsid w:val="163A6CEE"/>
    <w:rsid w:val="173708E3"/>
    <w:rsid w:val="17C374FC"/>
    <w:rsid w:val="182E4AB6"/>
    <w:rsid w:val="189079DC"/>
    <w:rsid w:val="189B0D0B"/>
    <w:rsid w:val="18B43F7C"/>
    <w:rsid w:val="194A1770"/>
    <w:rsid w:val="19B906A4"/>
    <w:rsid w:val="1A711436"/>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4983CE5"/>
    <w:rsid w:val="24B92327"/>
    <w:rsid w:val="24C14514"/>
    <w:rsid w:val="2533755C"/>
    <w:rsid w:val="25791755"/>
    <w:rsid w:val="26396DF4"/>
    <w:rsid w:val="27167136"/>
    <w:rsid w:val="271B442C"/>
    <w:rsid w:val="27B23302"/>
    <w:rsid w:val="29310A5F"/>
    <w:rsid w:val="29C37A35"/>
    <w:rsid w:val="2A076083"/>
    <w:rsid w:val="2A73162E"/>
    <w:rsid w:val="2B167953"/>
    <w:rsid w:val="2B200583"/>
    <w:rsid w:val="2B8209DE"/>
    <w:rsid w:val="2C636760"/>
    <w:rsid w:val="2C6762A3"/>
    <w:rsid w:val="2D1A2F06"/>
    <w:rsid w:val="2FCA4B37"/>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587218"/>
    <w:rsid w:val="37841E99"/>
    <w:rsid w:val="37BF1123"/>
    <w:rsid w:val="383C3F15"/>
    <w:rsid w:val="38BE4696"/>
    <w:rsid w:val="3939115E"/>
    <w:rsid w:val="39B82A39"/>
    <w:rsid w:val="39C42CA8"/>
    <w:rsid w:val="39DC4FD6"/>
    <w:rsid w:val="39F03D7A"/>
    <w:rsid w:val="39F33306"/>
    <w:rsid w:val="3A2C1C67"/>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694D83"/>
    <w:rsid w:val="3F885DCC"/>
    <w:rsid w:val="3FCD675E"/>
    <w:rsid w:val="4004000C"/>
    <w:rsid w:val="40BD5482"/>
    <w:rsid w:val="4112257D"/>
    <w:rsid w:val="411B6CE5"/>
    <w:rsid w:val="412070D7"/>
    <w:rsid w:val="41314E40"/>
    <w:rsid w:val="41AF431B"/>
    <w:rsid w:val="41E0734B"/>
    <w:rsid w:val="426C1EA8"/>
    <w:rsid w:val="42736402"/>
    <w:rsid w:val="42E86A87"/>
    <w:rsid w:val="43307B09"/>
    <w:rsid w:val="439A3EB9"/>
    <w:rsid w:val="43BB152F"/>
    <w:rsid w:val="44C37687"/>
    <w:rsid w:val="45CB699A"/>
    <w:rsid w:val="465B470D"/>
    <w:rsid w:val="469D6AD4"/>
    <w:rsid w:val="471E6C84"/>
    <w:rsid w:val="4748792B"/>
    <w:rsid w:val="475D719D"/>
    <w:rsid w:val="47674801"/>
    <w:rsid w:val="48225EF7"/>
    <w:rsid w:val="488F422B"/>
    <w:rsid w:val="48E36915"/>
    <w:rsid w:val="48EB6572"/>
    <w:rsid w:val="495C4A24"/>
    <w:rsid w:val="497135DF"/>
    <w:rsid w:val="4A263DF2"/>
    <w:rsid w:val="4A6F6675"/>
    <w:rsid w:val="4B135857"/>
    <w:rsid w:val="4B7951CB"/>
    <w:rsid w:val="4B7C315C"/>
    <w:rsid w:val="4DAC4ACA"/>
    <w:rsid w:val="4DBE01D2"/>
    <w:rsid w:val="4E520CC5"/>
    <w:rsid w:val="4F0C6BA3"/>
    <w:rsid w:val="4F186D58"/>
    <w:rsid w:val="50255CF6"/>
    <w:rsid w:val="50F06B6E"/>
    <w:rsid w:val="50F51168"/>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A3CBC"/>
    <w:rsid w:val="5582012B"/>
    <w:rsid w:val="558E4E05"/>
    <w:rsid w:val="55BE2E85"/>
    <w:rsid w:val="56530F5D"/>
    <w:rsid w:val="567700D3"/>
    <w:rsid w:val="56FF7E9E"/>
    <w:rsid w:val="578867FC"/>
    <w:rsid w:val="5842572D"/>
    <w:rsid w:val="5A3B59D6"/>
    <w:rsid w:val="5AD134D8"/>
    <w:rsid w:val="5C263CE4"/>
    <w:rsid w:val="5C5D2777"/>
    <w:rsid w:val="5CF66BF3"/>
    <w:rsid w:val="5D290C69"/>
    <w:rsid w:val="5E9F55B3"/>
    <w:rsid w:val="5F2D4A41"/>
    <w:rsid w:val="60C74F6C"/>
    <w:rsid w:val="61025A59"/>
    <w:rsid w:val="613D5BBC"/>
    <w:rsid w:val="61536C39"/>
    <w:rsid w:val="61545405"/>
    <w:rsid w:val="62944DD7"/>
    <w:rsid w:val="6319381F"/>
    <w:rsid w:val="63C25DC5"/>
    <w:rsid w:val="63C62057"/>
    <w:rsid w:val="64571EF5"/>
    <w:rsid w:val="64FB113D"/>
    <w:rsid w:val="656152C6"/>
    <w:rsid w:val="6587477F"/>
    <w:rsid w:val="658C3A08"/>
    <w:rsid w:val="65C031CA"/>
    <w:rsid w:val="65CE6852"/>
    <w:rsid w:val="66267C04"/>
    <w:rsid w:val="663F505A"/>
    <w:rsid w:val="66EE5541"/>
    <w:rsid w:val="67924660"/>
    <w:rsid w:val="68407834"/>
    <w:rsid w:val="6883293E"/>
    <w:rsid w:val="688412AD"/>
    <w:rsid w:val="68EB1B71"/>
    <w:rsid w:val="6A6C7940"/>
    <w:rsid w:val="6AAD2300"/>
    <w:rsid w:val="6AE96074"/>
    <w:rsid w:val="6B474EF5"/>
    <w:rsid w:val="6C0A5AC5"/>
    <w:rsid w:val="6C560CAE"/>
    <w:rsid w:val="6C576495"/>
    <w:rsid w:val="6CA21482"/>
    <w:rsid w:val="6D903FF5"/>
    <w:rsid w:val="6DA955B8"/>
    <w:rsid w:val="6DE346AB"/>
    <w:rsid w:val="6DE5391A"/>
    <w:rsid w:val="6E0A043A"/>
    <w:rsid w:val="6EFD1324"/>
    <w:rsid w:val="6F5A53AC"/>
    <w:rsid w:val="6FAC003D"/>
    <w:rsid w:val="6FE55E12"/>
    <w:rsid w:val="6FFB2E76"/>
    <w:rsid w:val="708F6F7F"/>
    <w:rsid w:val="70D94BD3"/>
    <w:rsid w:val="71692DBF"/>
    <w:rsid w:val="71C34D91"/>
    <w:rsid w:val="72DB435C"/>
    <w:rsid w:val="72E2613A"/>
    <w:rsid w:val="72F771F4"/>
    <w:rsid w:val="73934AD2"/>
    <w:rsid w:val="750837F0"/>
    <w:rsid w:val="754758CF"/>
    <w:rsid w:val="764762DB"/>
    <w:rsid w:val="764F62AB"/>
    <w:rsid w:val="765C45EC"/>
    <w:rsid w:val="768A7619"/>
    <w:rsid w:val="772E1EBA"/>
    <w:rsid w:val="781926BC"/>
    <w:rsid w:val="796D60A4"/>
    <w:rsid w:val="79A031D5"/>
    <w:rsid w:val="7A1525F7"/>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4004</Words>
  <Characters>22825</Characters>
  <Lines>190</Lines>
  <Paragraphs>53</Paragraphs>
  <TotalTime>2</TotalTime>
  <ScaleCrop>false</ScaleCrop>
  <LinksUpToDate>false</LinksUpToDate>
  <CharactersWithSpaces>26776</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2024-11-01T22:21:48Z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