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重庆市秀山土家族苗族自治县干部档案管理中心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shd w:val="clear" w:color="auto" w:fill="FFFFFF"/>
        </w:rPr>
        <w:t>2023年度决算公开说明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eastAsia="方正小标宋_GBK" w:cs="Times New Roman"/>
          <w:color w:val="auto"/>
          <w:sz w:val="36"/>
          <w:szCs w:val="36"/>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黑体" w:cs="Times New Roman"/>
          <w:b w:val="0"/>
          <w:bCs/>
          <w:color w:val="auto"/>
          <w:sz w:val="32"/>
          <w:szCs w:val="32"/>
          <w:highlight w:val="none"/>
        </w:rPr>
      </w:pPr>
      <w:r>
        <w:rPr>
          <w:rStyle w:val="10"/>
          <w:rFonts w:hint="default" w:ascii="Times New Roman" w:hAnsi="Times New Roman" w:eastAsia="黑体" w:cs="Times New Roman"/>
          <w:b w:val="0"/>
          <w:bCs/>
          <w:color w:val="auto"/>
          <w:sz w:val="32"/>
          <w:szCs w:val="32"/>
          <w:highlight w:val="none"/>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楷体" w:cs="Times New Roman"/>
          <w:b w:val="0"/>
          <w:bCs/>
          <w:color w:val="auto"/>
          <w:sz w:val="32"/>
          <w:szCs w:val="32"/>
          <w:highlight w:val="none"/>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负责全县干部人事档案工作业务指导；负责公务员档案建立、接收、保管、转递，档案材料的收集、鉴别、整理、归档，档案信息化等日常管理工作；负责公务员档案的查（借）阅、档案信息研究等利用工作；组织开展干部人事档案审核工作，会同相关干部科室负责审核公务员档案及信息认定；配合有关方面调查涉及干部人事档案的违规违纪违法行为；完成部领导交办的其他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方正楷体_GBK" w:hAnsi="方正楷体_GBK" w:eastAsia="方正楷体_GBK" w:cs="方正楷体_GBK"/>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（二）机构设置</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color w:val="auto"/>
          <w:sz w:val="32"/>
          <w:highlight w:val="none"/>
          <w:lang w:eastAsia="zh-CN"/>
        </w:rPr>
      </w:pPr>
      <w:r>
        <w:rPr>
          <w:rFonts w:hint="default" w:ascii="Times New Roman" w:hAnsi="Times New Roman" w:eastAsia="方正仿宋_GBK" w:cs="Times New Roman"/>
          <w:b w:val="0"/>
          <w:bCs/>
          <w:color w:val="auto"/>
          <w:sz w:val="32"/>
          <w:highlight w:val="none"/>
          <w:lang w:eastAsia="zh-CN"/>
        </w:rPr>
        <w:t>属于</w:t>
      </w:r>
      <w:r>
        <w:rPr>
          <w:rFonts w:hint="default" w:ascii="Times New Roman" w:hAnsi="Times New Roman" w:eastAsia="方正仿宋_GBK" w:cs="Times New Roman"/>
          <w:b w:val="0"/>
          <w:bCs/>
          <w:color w:val="auto"/>
          <w:sz w:val="32"/>
          <w:highlight w:val="none"/>
        </w:rPr>
        <w:t>县委组织部管理的副科级事业单位</w:t>
      </w:r>
      <w:r>
        <w:rPr>
          <w:rFonts w:hint="default" w:ascii="Times New Roman" w:hAnsi="Times New Roman" w:eastAsia="方正仿宋_GBK" w:cs="Times New Roman"/>
          <w:b w:val="0"/>
          <w:bCs/>
          <w:color w:val="auto"/>
          <w:sz w:val="32"/>
          <w:highlight w:val="none"/>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Style w:val="10"/>
          <w:rFonts w:hint="default" w:ascii="Times New Roman" w:hAnsi="Times New Roman" w:eastAsia="黑体" w:cs="Times New Roman"/>
          <w:b w:val="0"/>
          <w:bCs/>
          <w:color w:val="auto"/>
          <w:sz w:val="32"/>
          <w:szCs w:val="32"/>
          <w:highlight w:val="none"/>
          <w:shd w:val="clear" w:color="auto" w:fill="FFFFFF"/>
        </w:rPr>
      </w:pPr>
      <w:r>
        <w:rPr>
          <w:rStyle w:val="10"/>
          <w:rFonts w:hint="default" w:ascii="Times New Roman" w:hAnsi="Times New Roman" w:eastAsia="黑体" w:cs="Times New Roman"/>
          <w:b w:val="0"/>
          <w:bCs/>
          <w:color w:val="auto"/>
          <w:sz w:val="32"/>
          <w:szCs w:val="32"/>
          <w:highlight w:val="none"/>
          <w:shd w:val="clear" w:color="auto" w:fill="FFFFFF"/>
        </w:rPr>
        <w:t>二、单位决算情况说明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楷体" w:cs="Times New Roman"/>
          <w:b w:val="0"/>
          <w:bCs/>
          <w:color w:val="auto"/>
          <w:sz w:val="32"/>
          <w:szCs w:val="32"/>
          <w:highlight w:val="none"/>
          <w:shd w:val="clear" w:color="auto" w:fill="FFFFFF"/>
        </w:rPr>
      </w:pPr>
      <w:r>
        <w:rPr>
          <w:rFonts w:hint="default" w:ascii="Times New Roman" w:hAnsi="Times New Roman" w:eastAsia="楷体" w:cs="Times New Roman"/>
          <w:b w:val="0"/>
          <w:bCs/>
          <w:color w:val="auto"/>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3" w:firstLineChars="200"/>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2023年度收入总计40.20万元，支出总计</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万元。收支较上年决算数增加40.20万元，增长100.00%，主要原因是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2023年度收入合计40.20万元，较上年决算数增加40.20万元，增长100.00%，主要原因是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万元，较上年决算数增加40.20万元，增长100.00%，主要原因是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万元，占100.00%；项目支出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w:t>
      </w:r>
      <w:r>
        <w:rPr>
          <w:rFonts w:hint="default" w:ascii="Times New Roman" w:hAnsi="Times New Roman" w:eastAsia="仿宋_GB2312" w:cs="Times New Roman"/>
          <w:color w:val="auto"/>
          <w:sz w:val="32"/>
          <w:highlight w:val="none"/>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2023年度财政拨款收、支总计40.20万元。与2022年相比，财政拨款收、支总计各增加40.20万元，增长100.00%。主要原因是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万元，较上年决算数增加40.20万元，增长100.00%。主要原因是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较年初预算数减少19.20万元，下降32.32%。主要原因是</w:t>
      </w:r>
      <w:r>
        <w:rPr>
          <w:rFonts w:hint="default" w:ascii="Times New Roman" w:hAnsi="Times New Roman" w:eastAsia="方正仿宋_GBK" w:cs="Times New Roman"/>
          <w:color w:val="auto"/>
          <w:sz w:val="32"/>
          <w:szCs w:val="32"/>
          <w:highlight w:val="none"/>
          <w:shd w:val="clear" w:color="auto" w:fill="FFFFFF"/>
          <w:lang w:val="en-US" w:eastAsia="zh-CN"/>
        </w:rPr>
        <w:t>因干部人事档案信息化建设项目未实施。</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万元，较上年决算数增加40.20万元，增长100.00%。主要原因是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较年初预算数减少19.20万元，下降32.32%。主要原因是</w:t>
      </w:r>
      <w:r>
        <w:rPr>
          <w:rFonts w:hint="default" w:ascii="Times New Roman" w:hAnsi="Times New Roman" w:eastAsia="方正仿宋_GBK" w:cs="Times New Roman"/>
          <w:color w:val="auto"/>
          <w:sz w:val="32"/>
          <w:szCs w:val="32"/>
          <w:highlight w:val="none"/>
          <w:shd w:val="clear" w:color="auto" w:fill="FFFFFF"/>
          <w:lang w:val="en-US" w:eastAsia="zh-CN"/>
        </w:rPr>
        <w:t>因干部人事档案信息化建设项目未实施。</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30.22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75.17</w:t>
      </w:r>
      <w:r>
        <w:rPr>
          <w:rFonts w:hint="default" w:ascii="Times New Roman" w:hAnsi="Times New Roman" w:eastAsia="方正仿宋_GBK" w:cs="Times New Roman"/>
          <w:color w:val="auto"/>
          <w:sz w:val="32"/>
          <w:szCs w:val="32"/>
          <w:highlight w:val="none"/>
          <w:shd w:val="clear" w:color="auto" w:fill="FFFFFF"/>
        </w:rPr>
        <w:t>%，较年初预算数减少19.20万元，下降38.85%，主要原因是</w:t>
      </w:r>
      <w:r>
        <w:rPr>
          <w:rFonts w:hint="default" w:ascii="Times New Roman" w:hAnsi="Times New Roman" w:eastAsia="方正仿宋_GBK" w:cs="Times New Roman"/>
          <w:color w:val="auto"/>
          <w:sz w:val="32"/>
          <w:szCs w:val="32"/>
          <w:highlight w:val="none"/>
          <w:shd w:val="clear" w:color="auto" w:fill="FFFFFF"/>
          <w:lang w:val="en-US" w:eastAsia="zh-CN"/>
        </w:rPr>
        <w:t>因干部人事档案信息化建设项目未实施。</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5.32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13.24</w:t>
      </w:r>
      <w:r>
        <w:rPr>
          <w:rFonts w:hint="default" w:ascii="Times New Roman" w:hAnsi="Times New Roman" w:eastAsia="方正仿宋_GBK" w:cs="Times New Roman"/>
          <w:color w:val="auto"/>
          <w:sz w:val="32"/>
          <w:szCs w:val="32"/>
          <w:highlight w:val="none"/>
          <w:shd w:val="clear" w:color="auto" w:fill="FFFFFF"/>
        </w:rPr>
        <w:t>%，较年初预算数无增减。</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1.60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3.98</w:t>
      </w:r>
      <w:r>
        <w:rPr>
          <w:rFonts w:hint="default" w:ascii="Times New Roman" w:hAnsi="Times New Roman" w:eastAsia="方正仿宋_GBK" w:cs="Times New Roman"/>
          <w:color w:val="auto"/>
          <w:sz w:val="32"/>
          <w:szCs w:val="32"/>
          <w:highlight w:val="none"/>
          <w:shd w:val="clear" w:color="auto" w:fill="FFFFFF"/>
        </w:rPr>
        <w:t>%，较年初预算数无增减。</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住房保障支出3.06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7.61</w:t>
      </w:r>
      <w:r>
        <w:rPr>
          <w:rFonts w:hint="default" w:ascii="Times New Roman" w:hAnsi="Times New Roman" w:eastAsia="方正仿宋_GBK" w:cs="Times New Roman"/>
          <w:color w:val="auto"/>
          <w:sz w:val="32"/>
          <w:szCs w:val="32"/>
          <w:highlight w:val="none"/>
          <w:shd w:val="clear" w:color="auto" w:fill="FFFFFF"/>
        </w:rPr>
        <w:t>%，较年初预算数无增减。</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40.20</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37.25</w:t>
      </w:r>
      <w:r>
        <w:rPr>
          <w:rFonts w:hint="default" w:ascii="Times New Roman" w:hAnsi="Times New Roman" w:eastAsia="方正仿宋_GBK" w:cs="Times New Roman"/>
          <w:color w:val="auto"/>
          <w:sz w:val="32"/>
          <w:szCs w:val="32"/>
          <w:highlight w:val="none"/>
          <w:shd w:val="clear" w:color="auto" w:fill="FFFFFF"/>
        </w:rPr>
        <w:t>万元，较上年决算数增加37.25万元，增长100.00%，主要原因是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rPr>
        <w:t>基本工资、津贴补贴、奖金、社会保障缴费、生活补助等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2.95</w:t>
      </w:r>
      <w:r>
        <w:rPr>
          <w:rFonts w:hint="default" w:ascii="Times New Roman" w:hAnsi="Times New Roman" w:eastAsia="方正仿宋_GBK" w:cs="Times New Roman"/>
          <w:color w:val="auto"/>
          <w:sz w:val="32"/>
          <w:szCs w:val="32"/>
          <w:highlight w:val="none"/>
          <w:shd w:val="clear" w:color="auto" w:fill="FFFFFF"/>
        </w:rPr>
        <w:t>万元，较上年决算数增加2.95万元，增长100.00%，主要原因是</w:t>
      </w:r>
      <w:r>
        <w:rPr>
          <w:rFonts w:hint="default" w:ascii="Times New Roman" w:hAnsi="Times New Roman" w:eastAsia="仿宋_GB2312" w:cs="Times New Roman"/>
          <w:color w:val="auto"/>
          <w:sz w:val="32"/>
          <w:highlight w:val="none"/>
          <w:lang w:eastAsia="zh-CN"/>
        </w:rPr>
        <w:t>因</w:t>
      </w:r>
      <w:r>
        <w:rPr>
          <w:rFonts w:hint="default" w:ascii="Times New Roman" w:hAnsi="Times New Roman" w:eastAsia="仿宋_GB2312" w:cs="Times New Roman"/>
          <w:color w:val="auto"/>
          <w:sz w:val="32"/>
          <w:highlight w:val="none"/>
          <w:lang w:val="en-US" w:eastAsia="zh-CN"/>
        </w:rPr>
        <w:t>2023年干部档案管理中心为预算新增单位，无上年数</w:t>
      </w:r>
      <w:r>
        <w:rPr>
          <w:rFonts w:hint="default" w:ascii="Times New Roman" w:hAnsi="Times New Roman" w:eastAsia="仿宋_GB2312"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rPr>
        <w:t>办公费、电费、邮电费、差旅费、培训费等</w:t>
      </w:r>
      <w:r>
        <w:rPr>
          <w:rFonts w:hint="default" w:ascii="Times New Roman" w:hAnsi="Times New Roman" w:eastAsia="方正仿宋_GBK" w:cs="Times New Roman"/>
          <w:color w:val="auto"/>
          <w:sz w:val="32"/>
          <w:szCs w:val="32"/>
          <w:highlight w:val="none"/>
          <w:lang w:eastAsia="zh-CN"/>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本单位2023年度无政府性基金预算财政拨款收支。</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本单位2023年度无国有资本经营预算财政拨款支出。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、上年支出数无增减。</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年度未发生因公出国（境）费用支出</w:t>
      </w:r>
      <w:r>
        <w:rPr>
          <w:rFonts w:hint="default" w:ascii="Times New Roman" w:hAnsi="Times New Roman" w:eastAsia="方正仿宋_GBK" w:cs="Times New Roman"/>
          <w:b w:val="0"/>
          <w:bCs w:val="0"/>
          <w:kern w:val="0"/>
          <w:sz w:val="32"/>
          <w:szCs w:val="32"/>
          <w:shd w:val="clear" w:fill="FFFFFF"/>
          <w:lang w:eastAsia="zh-CN"/>
        </w:rPr>
        <w:t>，与上年相同</w:t>
      </w:r>
      <w:r>
        <w:rPr>
          <w:rFonts w:hint="eastAsia"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lang w:eastAsia="zh-CN"/>
        </w:rPr>
        <w:t>较年初预算数、上年支出数无增减。</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本单位2023年度未发生公务车购置费支出，与上年相同</w:t>
      </w:r>
      <w:r>
        <w:rPr>
          <w:rFonts w:hint="eastAsia" w:ascii="Times New Roman" w:hAnsi="Times New Roman" w:eastAsia="方正仿宋_GBK" w:cs="Times New Roman"/>
          <w:b w:val="0"/>
          <w:bCs w:val="0"/>
          <w:kern w:val="0"/>
          <w:sz w:val="32"/>
          <w:szCs w:val="32"/>
          <w:shd w:val="clear" w:fill="FFFFFF"/>
          <w:lang w:val="en-US" w:eastAsia="zh-CN"/>
        </w:rPr>
        <w:t>，</w:t>
      </w:r>
      <w:r>
        <w:rPr>
          <w:rFonts w:hint="default" w:ascii="Times New Roman" w:hAnsi="Times New Roman" w:eastAsia="方正仿宋_GBK" w:cs="Times New Roman"/>
          <w:b w:val="0"/>
          <w:bCs w:val="0"/>
          <w:kern w:val="0"/>
          <w:sz w:val="32"/>
          <w:szCs w:val="32"/>
          <w:shd w:val="clear" w:fill="FFFFFF"/>
          <w:lang w:eastAsia="zh-CN"/>
        </w:rPr>
        <w:t>较年初预算数、上年支出数无增减。</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本单位2023年度未发生公务车</w:t>
      </w:r>
      <w:r>
        <w:rPr>
          <w:rFonts w:hint="eastAsia" w:ascii="Times New Roman" w:hAnsi="Times New Roman" w:eastAsia="方正仿宋_GBK" w:cs="Times New Roman"/>
          <w:b w:val="0"/>
          <w:bCs w:val="0"/>
          <w:kern w:val="0"/>
          <w:sz w:val="32"/>
          <w:szCs w:val="32"/>
          <w:shd w:val="clear" w:fill="FFFFFF"/>
          <w:lang w:val="en-US" w:eastAsia="zh-CN"/>
        </w:rPr>
        <w:t>运行维护</w:t>
      </w:r>
      <w:r>
        <w:rPr>
          <w:rFonts w:hint="default" w:ascii="Times New Roman" w:hAnsi="Times New Roman" w:eastAsia="方正仿宋_GBK" w:cs="Times New Roman"/>
          <w:b w:val="0"/>
          <w:bCs w:val="0"/>
          <w:kern w:val="0"/>
          <w:sz w:val="32"/>
          <w:szCs w:val="32"/>
          <w:shd w:val="clear" w:fill="FFFFFF"/>
          <w:lang w:val="en-US" w:eastAsia="zh-CN"/>
        </w:rPr>
        <w:t>费支出，与上年相同</w:t>
      </w:r>
      <w:r>
        <w:rPr>
          <w:rFonts w:hint="eastAsia" w:ascii="Times New Roman" w:hAnsi="Times New Roman" w:eastAsia="方正仿宋_GBK" w:cs="Times New Roman"/>
          <w:b w:val="0"/>
          <w:bCs w:val="0"/>
          <w:kern w:val="0"/>
          <w:sz w:val="32"/>
          <w:szCs w:val="32"/>
          <w:shd w:val="clear" w:fill="FFFFFF"/>
          <w:lang w:val="en-US" w:eastAsia="zh-CN"/>
        </w:rPr>
        <w:t>，</w:t>
      </w:r>
      <w:r>
        <w:rPr>
          <w:rFonts w:hint="default" w:ascii="Times New Roman" w:hAnsi="Times New Roman" w:eastAsia="方正仿宋_GBK" w:cs="Times New Roman"/>
          <w:b w:val="0"/>
          <w:bCs w:val="0"/>
          <w:kern w:val="0"/>
          <w:sz w:val="32"/>
          <w:szCs w:val="32"/>
          <w:shd w:val="clear" w:fill="FFFFFF"/>
          <w:lang w:eastAsia="zh-CN"/>
        </w:rPr>
        <w:t>较年初预算数、上年支出数无增减。</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本单位2023年度未发生</w:t>
      </w:r>
      <w:r>
        <w:rPr>
          <w:rFonts w:hint="eastAsia" w:ascii="Times New Roman" w:hAnsi="Times New Roman" w:eastAsia="方正仿宋_GBK" w:cs="Times New Roman"/>
          <w:b w:val="0"/>
          <w:bCs w:val="0"/>
          <w:kern w:val="0"/>
          <w:sz w:val="32"/>
          <w:szCs w:val="32"/>
          <w:shd w:val="clear" w:fill="FFFFFF"/>
          <w:lang w:val="en-US" w:eastAsia="zh-CN"/>
        </w:rPr>
        <w:t>公务接待</w:t>
      </w:r>
      <w:r>
        <w:rPr>
          <w:rFonts w:hint="default" w:ascii="Times New Roman" w:hAnsi="Times New Roman" w:eastAsia="方正仿宋_GBK" w:cs="Times New Roman"/>
          <w:b w:val="0"/>
          <w:bCs w:val="0"/>
          <w:kern w:val="0"/>
          <w:sz w:val="32"/>
          <w:szCs w:val="32"/>
          <w:shd w:val="clear" w:fill="FFFFFF"/>
          <w:lang w:val="en-US" w:eastAsia="zh-CN"/>
        </w:rPr>
        <w:t>费支出，与上年相同</w:t>
      </w:r>
      <w:r>
        <w:rPr>
          <w:rFonts w:hint="eastAsia" w:ascii="Times New Roman" w:hAnsi="Times New Roman" w:eastAsia="方正仿宋_GBK" w:cs="Times New Roman"/>
          <w:b w:val="0"/>
          <w:bCs w:val="0"/>
          <w:kern w:val="0"/>
          <w:sz w:val="32"/>
          <w:szCs w:val="32"/>
          <w:shd w:val="clear" w:fill="FFFFFF"/>
          <w:lang w:val="en-US" w:eastAsia="zh-CN"/>
        </w:rPr>
        <w:t>，</w:t>
      </w:r>
      <w:r>
        <w:rPr>
          <w:rFonts w:hint="default" w:ascii="Times New Roman" w:hAnsi="Times New Roman" w:eastAsia="方正仿宋_GBK" w:cs="Times New Roman"/>
          <w:b w:val="0"/>
          <w:bCs w:val="0"/>
          <w:kern w:val="0"/>
          <w:sz w:val="32"/>
          <w:szCs w:val="32"/>
          <w:shd w:val="clear" w:fill="FFFFFF"/>
          <w:lang w:eastAsia="zh-CN"/>
        </w:rPr>
        <w:t>较年初预算数、上年支出数无增减。</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kern w:val="0"/>
          <w:sz w:val="32"/>
          <w:szCs w:val="32"/>
          <w:shd w:val="clear" w:fill="FFFFFF"/>
          <w:lang w:val="en-US" w:eastAsia="zh-CN"/>
        </w:rPr>
      </w:pPr>
      <w:r>
        <w:rPr>
          <w:rFonts w:hint="default" w:ascii="Times New Roman" w:hAnsi="Times New Roman" w:eastAsia="方正仿宋_GBK" w:cs="Times New Roman"/>
          <w:color w:val="auto"/>
          <w:sz w:val="32"/>
          <w:szCs w:val="32"/>
          <w:shd w:val="clear" w:color="auto" w:fill="FFFFFF"/>
        </w:rPr>
        <w:t>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辆，公务车保有量为</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元，车均购置费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万元，车均维护费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10"/>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黑体" w:cs="Times New Roman"/>
          <w:b w:val="0"/>
          <w:bCs/>
          <w:color w:val="auto"/>
          <w:sz w:val="32"/>
          <w:szCs w:val="32"/>
          <w:highlight w:val="none"/>
          <w:shd w:val="clear" w:color="auto" w:fill="FFFFFF"/>
        </w:rPr>
        <w:t>四、其他需要说明的事项</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 （一）财政拨款会议费和培训费情况说明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因</w:t>
      </w:r>
      <w:r>
        <w:rPr>
          <w:rFonts w:hint="default" w:ascii="Times New Roman" w:hAnsi="Times New Roman" w:eastAsia="方正仿宋_GBK" w:cs="Times New Roman"/>
          <w:b w:val="0"/>
          <w:bCs/>
          <w:color w:val="auto"/>
          <w:sz w:val="32"/>
          <w:szCs w:val="32"/>
          <w:highlight w:val="none"/>
          <w:lang w:val="en-US" w:eastAsia="zh-CN"/>
        </w:rPr>
        <w:t>干部档案管理中心与县委组织部合署办公</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未产生</w:t>
      </w:r>
      <w:r>
        <w:rPr>
          <w:rFonts w:hint="default" w:ascii="Times New Roman" w:hAnsi="Times New Roman" w:eastAsia="方正仿宋_GBK" w:cs="Times New Roman"/>
          <w:b w:val="0"/>
          <w:bCs/>
          <w:color w:val="auto"/>
          <w:sz w:val="32"/>
          <w:szCs w:val="32"/>
          <w:highlight w:val="none"/>
        </w:rPr>
        <w:t>会议费和培训费。</w:t>
      </w:r>
      <w:r>
        <w:rPr>
          <w:rFonts w:hint="eastAsia" w:ascii="Times New Roman" w:hAnsi="Times New Roman" w:eastAsia="方正仿宋_GBK" w:cs="Times New Roman"/>
          <w:b w:val="0"/>
          <w:bCs/>
          <w:color w:val="auto"/>
          <w:sz w:val="32"/>
          <w:szCs w:val="32"/>
          <w:highlight w:val="none"/>
          <w:lang w:eastAsia="zh-CN"/>
        </w:rPr>
        <w:t>较上年支出数无增减。</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highlight w:val="none"/>
          <w:lang w:val="zh-CN" w:eastAsia="zh-CN" w:bidi="ar-SA"/>
        </w:rPr>
      </w:pPr>
      <w:r>
        <w:rPr>
          <w:rFonts w:hint="eastAsia" w:ascii="Times New Roman" w:hAnsi="Times New Roman" w:eastAsia="方正仿宋_GBK" w:cs="Times New Roman"/>
          <w:color w:val="auto"/>
          <w:sz w:val="32"/>
          <w:szCs w:val="32"/>
          <w:highlight w:val="none"/>
          <w:lang w:val="zh-CN" w:eastAsia="zh-CN" w:bidi="ar-SA"/>
        </w:rPr>
        <w:t>按照部门决算列报口径，我单位不在机关运行经费统计范围之内。</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截至2023年12月31日，本部门共有车辆</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shd w:val="clear" w:color="auto" w:fill="FFFFFF"/>
        </w:rPr>
      </w:pPr>
      <w:r>
        <w:rPr>
          <w:rFonts w:hint="default"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2023年度我单位未发生政府采购事项，无相关经费支出。</w:t>
      </w:r>
    </w:p>
    <w:p>
      <w:pPr>
        <w:pStyle w:val="8"/>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（一）单位自评情况</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2023年度我单位无项目支出</w:t>
      </w:r>
      <w:r>
        <w:rPr>
          <w:rFonts w:hint="eastAsia" w:ascii="Times New Roman" w:hAnsi="Times New Roman" w:eastAsia="方正仿宋_GBK" w:cs="Times New Roman"/>
          <w:color w:val="auto"/>
          <w:sz w:val="32"/>
          <w:szCs w:val="32"/>
          <w:highlight w:val="none"/>
          <w:shd w:val="clear" w:color="auto" w:fill="FFFFFF"/>
          <w:lang w:val="en-US" w:eastAsia="zh-CN"/>
        </w:rPr>
        <w:t>，故未开展项目绩效评价。</w:t>
      </w:r>
    </w:p>
    <w:p>
      <w:pPr>
        <w:pStyle w:val="13"/>
        <w:autoSpaceDE w:val="0"/>
        <w:ind w:firstLine="643"/>
        <w:jc w:val="both"/>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我单位无项目支出</w:t>
      </w:r>
      <w:r>
        <w:rPr>
          <w:rFonts w:hint="eastAsia" w:ascii="Times New Roman" w:hAnsi="Times New Roman" w:eastAsia="方正仿宋_GBK" w:cs="Times New Roman"/>
          <w:color w:val="auto"/>
          <w:sz w:val="32"/>
          <w:szCs w:val="32"/>
          <w:highlight w:val="none"/>
          <w:shd w:val="clear" w:color="auto" w:fill="FFFFFF"/>
          <w:lang w:val="en-US" w:eastAsia="zh-CN"/>
        </w:rPr>
        <w:t>，故未开展项目绩效评价。</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outlineLvl w:val="9"/>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highlight w:val="none"/>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8"/>
        <w:keepNext w:val="0"/>
        <w:keepLines w:val="0"/>
        <w:pageBreakBefore w:val="0"/>
        <w:shd w:val="clear" w:color="auto" w:fill="FFFFFF"/>
        <w:kinsoku/>
        <w:wordWrap/>
        <w:overflowPunct/>
        <w:topLinePunct w:val="0"/>
        <w:autoSpaceDN/>
        <w:bidi w:val="0"/>
        <w:adjustRightInd/>
        <w:spacing w:beforeAutospacing="0" w:afterAutospacing="0" w:line="600" w:lineRule="exact"/>
        <w:ind w:firstLine="643" w:firstLineChars="200"/>
        <w:jc w:val="both"/>
        <w:textAlignment w:val="auto"/>
        <w:rPr>
          <w:rStyle w:val="10"/>
          <w:rFonts w:hint="eastAsia" w:ascii="方正黑体_GBK" w:hAnsi="方正黑体_GBK" w:eastAsia="方正黑体_GBK" w:cs="方正黑体_GBK"/>
          <w:b w:val="0"/>
          <w:bCs/>
          <w:i w:val="0"/>
          <w:iCs w:val="0"/>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w:t>
      </w:r>
      <w:r>
        <w:rPr>
          <w:rStyle w:val="10"/>
          <w:rFonts w:hint="eastAsia" w:ascii="方正黑体_GBK" w:hAnsi="方正黑体_GBK" w:eastAsia="方正黑体_GBK" w:cs="方正黑体_GBK"/>
          <w:b w:val="0"/>
          <w:bCs/>
          <w:i w:val="0"/>
          <w:iCs w:val="0"/>
          <w:color w:val="auto"/>
          <w:sz w:val="32"/>
          <w:szCs w:val="32"/>
          <w:highlight w:val="none"/>
          <w:shd w:val="clear" w:color="auto" w:fill="FFFFFF"/>
        </w:rPr>
        <w:t>六、专业名词解释</w:t>
      </w:r>
      <w:bookmarkStart w:id="0" w:name="_GoBack"/>
      <w:bookmarkEnd w:id="0"/>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 w:cs="Times New Roman"/>
          <w:b/>
          <w:bCs/>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（二）事业收入</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（三）经营收入</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（四）其他收入</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（五）使用非财政拨款结余</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（六）年初结转和结余</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（七）结余分配</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（八）年末结转和结余</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（九）基本支出</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（十）项目支出</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（十一）经营支出</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（十二）“三公”经费</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（十三）机关运行经费</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（十四）工资福利支出（支出经济分类科目类级）</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（十五）商品和服务支出（支出经济分类科目类级）</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（十六）对个人和家庭的补助（支出经济分类科目类级）</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楷体" w:cs="Times New Roman"/>
          <w:color w:val="auto"/>
          <w:sz w:val="32"/>
          <w:szCs w:val="32"/>
          <w:highlight w:val="none"/>
          <w:shd w:val="clear" w:color="auto" w:fill="FFFFFF"/>
        </w:rPr>
        <w:t>（十七）其他资本性支出（支出经济分类科目类级）</w:t>
      </w:r>
      <w:r>
        <w:rPr>
          <w:rFonts w:hint="default" w:ascii="Times New Roman" w:hAnsi="Times New Roman" w:eastAsia="楷体"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七、决算公开联系方式及信息反馈渠道</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eastAsia" w:ascii="Times New Roman" w:hAnsi="Times New Roman" w:eastAsia="方正仿宋_GBK" w:cs="Times New Roman"/>
          <w:color w:val="auto"/>
          <w:sz w:val="32"/>
          <w:szCs w:val="32"/>
          <w:highlight w:val="none"/>
          <w:shd w:val="clear" w:color="auto" w:fill="FFFFFF"/>
          <w:lang w:val="en-US" w:eastAsia="zh-CN"/>
        </w:rPr>
        <w:t>杨舒程</w:t>
      </w:r>
      <w:r>
        <w:rPr>
          <w:rFonts w:hint="default" w:ascii="Times New Roman" w:hAnsi="Times New Roman" w:eastAsia="方正仿宋_GBK" w:cs="Times New Roman"/>
          <w:color w:val="auto"/>
          <w:sz w:val="32"/>
          <w:szCs w:val="32"/>
          <w:highlight w:val="none"/>
          <w:shd w:val="clear" w:color="auto" w:fill="FFFFFF"/>
          <w:lang w:val="en-US" w:eastAsia="zh-CN"/>
        </w:rPr>
        <w:t>023-76672890</w:t>
      </w:r>
      <w:r>
        <w:rPr>
          <w:rFonts w:hint="default" w:ascii="Times New Roman" w:hAnsi="Times New Roman" w:eastAsia="方正仿宋_GBK" w:cs="Times New Roman"/>
          <w:color w:val="auto"/>
          <w:sz w:val="32"/>
          <w:szCs w:val="32"/>
          <w:highlight w:val="none"/>
          <w:shd w:val="clear" w:color="auto" w:fill="FFFFFF"/>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textAlignment w:val="auto"/>
        <w:rPr>
          <w:rStyle w:val="10"/>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重庆市秀山土家族苗族自治县干部档案管理中心</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40.20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5.32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40.20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40.20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40.20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40.20</w:t>
            </w: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pStyle w:val="2"/>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p>
      <w:pPr>
        <w:pStyle w:val="8"/>
        <w:rPr>
          <w:rFonts w:hint="default" w:ascii="Times New Roman" w:hAnsi="Times New Roman" w:cs="Times New Roman"/>
          <w:color w:val="auto"/>
          <w:sz w:val="20"/>
          <w:szCs w:val="20"/>
          <w:highlight w:val="none"/>
        </w:rPr>
      </w:pP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重庆市秀山土家族苗族自治县干部档案管理中心</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left="600"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重庆市秀山土家族苗族自治县干部档案管理中心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5.32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5.32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40.20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40.20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30.22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30.22</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5.32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3.55</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1.77</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37.25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2.95</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8.32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16.96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3.55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0.62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37.25</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2.95</w:t>
            </w:r>
            <w:r>
              <w:rPr>
                <w:rFonts w:hint="default" w:ascii="Times New Roman" w:hAnsi="Times New Roman" w:cs="Times New Roman"/>
                <w:color w:val="auto"/>
                <w:sz w:val="18"/>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180" w:lineRule="atLeast"/>
              <w:ind w:firstLine="0" w:firstLineChars="0"/>
              <w:jc w:val="right"/>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1"/>
        <w:tblW w:w="15420" w:type="dxa"/>
        <w:tblInd w:w="0" w:type="dxa"/>
        <w:tblLayout w:type="fixed"/>
        <w:tblCellMar>
          <w:top w:w="0" w:type="dxa"/>
          <w:left w:w="0" w:type="dxa"/>
          <w:bottom w:w="0" w:type="dxa"/>
          <w:right w:w="0" w:type="dxa"/>
        </w:tblCellMar>
      </w:tblPr>
      <w:tblGrid>
        <w:gridCol w:w="4178"/>
        <w:gridCol w:w="2242"/>
        <w:gridCol w:w="2190"/>
        <w:gridCol w:w="4673"/>
        <w:gridCol w:w="2137"/>
      </w:tblGrid>
      <w:tr>
        <w:tblPrEx>
          <w:tblLayout w:type="fixed"/>
          <w:tblCellMar>
            <w:top w:w="0" w:type="dxa"/>
            <w:left w:w="0" w:type="dxa"/>
            <w:bottom w:w="0" w:type="dxa"/>
            <w:right w:w="0" w:type="dxa"/>
          </w:tblCellMar>
        </w:tblPrEx>
        <w:trPr>
          <w:trHeight w:val="549" w:hRule="atLeast"/>
        </w:trPr>
        <w:tc>
          <w:tcPr>
            <w:tcW w:w="154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bottom"/>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281" w:hRule="atLeast"/>
        </w:trPr>
        <w:tc>
          <w:tcPr>
            <w:tcW w:w="41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2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color w:val="auto"/>
                <w:sz w:val="20"/>
                <w:szCs w:val="20"/>
                <w:highlight w:val="none"/>
              </w:rPr>
            </w:pPr>
          </w:p>
        </w:tc>
        <w:tc>
          <w:tcPr>
            <w:tcW w:w="219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6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1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549" w:hRule="atLeast"/>
        </w:trPr>
        <w:tc>
          <w:tcPr>
            <w:tcW w:w="417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重庆市秀山土家族苗族自治县干部档案管理中心</w:t>
            </w:r>
          </w:p>
        </w:tc>
        <w:tc>
          <w:tcPr>
            <w:tcW w:w="224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outlineLvl w:val="9"/>
              <w:rPr>
                <w:rFonts w:hint="default" w:ascii="Times New Roman" w:hAnsi="Times New Roman" w:cs="Times New Roman"/>
                <w:color w:val="auto"/>
                <w:sz w:val="20"/>
                <w:szCs w:val="20"/>
                <w:highlight w:val="none"/>
              </w:rPr>
            </w:pPr>
          </w:p>
        </w:tc>
        <w:tc>
          <w:tcPr>
            <w:tcW w:w="219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c>
          <w:tcPr>
            <w:tcW w:w="467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89"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4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9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3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89"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一、“三公”经费支出</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6" w:hRule="atLeast"/>
        </w:trPr>
        <w:tc>
          <w:tcPr>
            <w:tcW w:w="417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89"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298" w:hRule="atLeast"/>
        </w:trPr>
        <w:tc>
          <w:tcPr>
            <w:tcW w:w="41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center"/>
              <w:textAlignment w:val="center"/>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textAlignment w:val="bottom"/>
              <w:outlineLvl w:val="9"/>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0"/>
                <w:szCs w:val="20"/>
                <w:highlight w:val="none"/>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jc w:val="right"/>
              <w:outlineLvl w:val="9"/>
              <w:rPr>
                <w:rFonts w:hint="default" w:ascii="Times New Roman" w:hAnsi="Times New Roman" w:cs="Times New Roman"/>
                <w:color w:val="auto"/>
                <w:sz w:val="20"/>
                <w:szCs w:val="20"/>
                <w:highlight w:val="none"/>
              </w:rPr>
            </w:pPr>
          </w:p>
        </w:tc>
      </w:tr>
    </w:tbl>
    <w:p>
      <w:pPr>
        <w:keepNext w:val="0"/>
        <w:keepLines w:val="0"/>
        <w:pageBreakBefore w:val="0"/>
        <w:widowControl/>
        <w:kinsoku/>
        <w:overflowPunct/>
        <w:topLinePunct w:val="0"/>
        <w:autoSpaceDE/>
        <w:autoSpaceDN/>
        <w:bidi w:val="0"/>
        <w:adjustRightInd/>
        <w:snapToGrid/>
        <w:spacing w:beforeAutospacing="0" w:afterAutospacing="0" w:line="180" w:lineRule="atLeast"/>
        <w:ind w:firstLine="0" w:firstLineChars="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30F40FE"/>
    <w:rsid w:val="03B87EA0"/>
    <w:rsid w:val="03E3214F"/>
    <w:rsid w:val="044C50BA"/>
    <w:rsid w:val="05BC6D49"/>
    <w:rsid w:val="06194FF1"/>
    <w:rsid w:val="06440ADC"/>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215BD"/>
    <w:rsid w:val="163A6CEE"/>
    <w:rsid w:val="173708E3"/>
    <w:rsid w:val="17C374FC"/>
    <w:rsid w:val="182E4AB6"/>
    <w:rsid w:val="189079DC"/>
    <w:rsid w:val="189B0D0B"/>
    <w:rsid w:val="18B43F7C"/>
    <w:rsid w:val="194A1770"/>
    <w:rsid w:val="19B906A4"/>
    <w:rsid w:val="1B6F15B6"/>
    <w:rsid w:val="1B7E65A5"/>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960224"/>
    <w:rsid w:val="24977789"/>
    <w:rsid w:val="24B92327"/>
    <w:rsid w:val="24C14514"/>
    <w:rsid w:val="2533755C"/>
    <w:rsid w:val="25791755"/>
    <w:rsid w:val="25A859FC"/>
    <w:rsid w:val="26396DF4"/>
    <w:rsid w:val="27167136"/>
    <w:rsid w:val="271B442C"/>
    <w:rsid w:val="27B23302"/>
    <w:rsid w:val="28784DCC"/>
    <w:rsid w:val="29310A5F"/>
    <w:rsid w:val="29C37A35"/>
    <w:rsid w:val="29EF62F5"/>
    <w:rsid w:val="2A076083"/>
    <w:rsid w:val="2A73162E"/>
    <w:rsid w:val="2B167953"/>
    <w:rsid w:val="2B200583"/>
    <w:rsid w:val="2B8209DE"/>
    <w:rsid w:val="2BFA1936"/>
    <w:rsid w:val="2C636760"/>
    <w:rsid w:val="2C6762A3"/>
    <w:rsid w:val="2F801CAE"/>
    <w:rsid w:val="2FCA4B37"/>
    <w:rsid w:val="2FE029D7"/>
    <w:rsid w:val="2FF06E00"/>
    <w:rsid w:val="302D1214"/>
    <w:rsid w:val="30586FEC"/>
    <w:rsid w:val="315F0B22"/>
    <w:rsid w:val="31D84415"/>
    <w:rsid w:val="32285F6F"/>
    <w:rsid w:val="32770556"/>
    <w:rsid w:val="329C0913"/>
    <w:rsid w:val="32A408AD"/>
    <w:rsid w:val="32AA0460"/>
    <w:rsid w:val="3337290D"/>
    <w:rsid w:val="33E31118"/>
    <w:rsid w:val="33EF7674"/>
    <w:rsid w:val="342D7BC6"/>
    <w:rsid w:val="352930DB"/>
    <w:rsid w:val="35573069"/>
    <w:rsid w:val="355F6038"/>
    <w:rsid w:val="358C217E"/>
    <w:rsid w:val="36246583"/>
    <w:rsid w:val="36C9128A"/>
    <w:rsid w:val="376254A4"/>
    <w:rsid w:val="37841E99"/>
    <w:rsid w:val="37BF1123"/>
    <w:rsid w:val="383C3F15"/>
    <w:rsid w:val="38BE4696"/>
    <w:rsid w:val="393870B1"/>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34120"/>
    <w:rsid w:val="42E86A87"/>
    <w:rsid w:val="43307B09"/>
    <w:rsid w:val="433D5286"/>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FE012B"/>
    <w:rsid w:val="4B135857"/>
    <w:rsid w:val="4B3E54A6"/>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CD1ACB"/>
    <w:rsid w:val="5A3B59D6"/>
    <w:rsid w:val="5AD134D8"/>
    <w:rsid w:val="5B91147E"/>
    <w:rsid w:val="5C263CE4"/>
    <w:rsid w:val="5C5D2777"/>
    <w:rsid w:val="5C94170B"/>
    <w:rsid w:val="5CF66BF3"/>
    <w:rsid w:val="5D290C69"/>
    <w:rsid w:val="5F2D4A41"/>
    <w:rsid w:val="60511AB9"/>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01CC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Date"/>
    <w:basedOn w:val="1"/>
    <w:next w:val="1"/>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2024-10-11T06:33:09Z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