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重庆市秀山土家族苗族自治县中平乡人民政府</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2023年度决算公开说明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小标宋_GBK" w:cs="Times New Roman"/>
          <w:sz w:val="44"/>
          <w:szCs w:val="44"/>
          <w:lang w:eastAsia="zh-CN"/>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一、</w:t>
      </w:r>
      <w:r>
        <w:rPr>
          <w:rStyle w:val="8"/>
          <w:rFonts w:hint="eastAsia" w:ascii="Times New Roman" w:hAnsi="Times New Roman" w:eastAsia="方正黑体_GBK" w:cs="Times New Roman"/>
          <w:b w:val="0"/>
          <w:bCs/>
          <w:sz w:val="32"/>
          <w:szCs w:val="32"/>
          <w:shd w:val="clear" w:color="auto" w:fill="FFFFFF"/>
          <w:lang w:eastAsia="zh-CN"/>
        </w:rPr>
        <w:t>部门</w:t>
      </w:r>
      <w:r>
        <w:rPr>
          <w:rStyle w:val="8"/>
          <w:rFonts w:hint="default" w:ascii="Times New Roman" w:hAnsi="Times New Roman" w:eastAsia="方正黑体_GBK" w:cs="Times New Roman"/>
          <w:b w:val="0"/>
          <w:bCs/>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（一）职能职责</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i w:val="0"/>
          <w:caps w:val="0"/>
          <w:color w:val="333333"/>
          <w:spacing w:val="0"/>
          <w:sz w:val="32"/>
          <w:szCs w:val="32"/>
          <w:shd w:val="clear" w:fill="FFFFFF"/>
          <w:lang w:val="en-US" w:eastAsia="zh-CN"/>
        </w:rPr>
      </w:pPr>
      <w:r>
        <w:rPr>
          <w:rFonts w:hint="eastAsia" w:ascii="方正仿宋_GBK" w:hAnsi="方正仿宋_GBK" w:eastAsia="方正仿宋_GBK" w:cs="方正仿宋_GBK"/>
          <w:i w:val="0"/>
          <w:caps w:val="0"/>
          <w:color w:val="333333"/>
          <w:spacing w:val="0"/>
          <w:sz w:val="32"/>
          <w:szCs w:val="32"/>
          <w:shd w:val="clear" w:fill="FFFFFF"/>
          <w:lang w:val="en-US" w:eastAsia="zh-CN"/>
        </w:rPr>
        <w:t>贯彻执行法律、法规、规章和县人民政府的决策部署、依法管理本辖区内公共事务，创新经济社会发展环境，为经济社会发展提供良好发展空间和便捷服务，重点履行社会管理和公共服务职能，促进辖区物质文明、精神文明和政治文明建设协调发展。承办县委、县政府交办的其他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（二）机构设置</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1.党政办公室。主要职责：负责纪检、组织人事、宣传、统战、机构编制、机要保密、督促检查、民宗侨台、精神文明建设、网络信息安全等工作；负责武装工作；负责应急协调、公共服务等统筹管理；负责法治、文秘、档案、党务政务信息、电子政务、机关事务、后勤服务等工作；负责党委、政府其他日常工作。</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2.经济发展办公室（挂扶贫开发办公室、统计办公室、农村经营管理办公室牌子）。主要职责：宣传贯彻经济发展方针政策，编制辖区经济社会发展规划、年度计划；负责基本建设、扶贫开发、乡村旅游等项目的规划申报、建设管理；负责农民负担监督减负、土地承包经营、农村集体资产管理和节能减排、招商引资、产业结构调整等工作；依法管理工业企业和第三产业，指导企业生产经营、技术改造、技术培训；指导农业、林业、水利、畜牧生产；承担其他经济发展规划、农村经营管理、经济社会统计、扶贫开发等管理职责。</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3.民政和社会事务办公室（挂卫生健康办公室牌子）。主要职责：宣传贯彻民政、教育、卫生健康、文化体育、社会救助、残疾人事业、劳动就业、社会保障等法律法规、规章政策；负责城乡低保、养老五保、老龄和残疾人事业、防灾减灾、救灾救助、殡葬管理等工作；负责社会保险、劳动维权、劳务培训、医疗保障等管理；负责义务教育、幼儿教育、职业教育和文化体育、广播电视、新闻出版、卫生健康等工作；负责村居委自治组织建设、村社区公益性阵地建设等工作；承担其他民政和社会事务管理职责。</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4.平安建设办公室。主要职责：宣传贯彻平安建设、防范和处理邪教、信访稳定等方针政策；负责社会平安创建、法治创建，指导村居开展社会平安群防群治工作；负责流动人口服务管理、群众来信来访和反邪教工作；负责协调相关</w:t>
      </w:r>
      <w:r>
        <w:rPr>
          <w:rFonts w:hint="eastAsia" w:ascii="Times New Roman" w:hAnsi="Times New Roman" w:eastAsia="方正仿宋_GBK" w:cs="Times New Roman"/>
          <w:i w:val="0"/>
          <w:caps w:val="0"/>
          <w:color w:val="333333"/>
          <w:spacing w:val="0"/>
          <w:sz w:val="32"/>
          <w:szCs w:val="32"/>
          <w:shd w:val="clear" w:fill="FFFFFF"/>
          <w:lang w:val="en-US" w:eastAsia="zh-CN"/>
        </w:rPr>
        <w:t>部门</w:t>
      </w:r>
      <w:r>
        <w:rPr>
          <w:rFonts w:hint="default" w:ascii="Times New Roman" w:hAnsi="Times New Roman" w:eastAsia="方正仿宋_GBK" w:cs="Times New Roman"/>
          <w:i w:val="0"/>
          <w:caps w:val="0"/>
          <w:color w:val="333333"/>
          <w:spacing w:val="0"/>
          <w:sz w:val="32"/>
          <w:szCs w:val="32"/>
          <w:shd w:val="clear" w:fill="FFFFFF"/>
          <w:lang w:val="en-US" w:eastAsia="zh-CN"/>
        </w:rPr>
        <w:t>开展禁毒、扫黑除恶和法治教育等工作；负责组织协调有关</w:t>
      </w:r>
      <w:r>
        <w:rPr>
          <w:rFonts w:hint="eastAsia" w:ascii="Times New Roman" w:hAnsi="Times New Roman" w:eastAsia="方正仿宋_GBK" w:cs="Times New Roman"/>
          <w:i w:val="0"/>
          <w:caps w:val="0"/>
          <w:color w:val="333333"/>
          <w:spacing w:val="0"/>
          <w:sz w:val="32"/>
          <w:szCs w:val="32"/>
          <w:shd w:val="clear" w:fill="FFFFFF"/>
          <w:lang w:val="en-US" w:eastAsia="zh-CN"/>
        </w:rPr>
        <w:t>部门</w:t>
      </w:r>
      <w:r>
        <w:rPr>
          <w:rFonts w:hint="default" w:ascii="Times New Roman" w:hAnsi="Times New Roman" w:eastAsia="方正仿宋_GBK" w:cs="Times New Roman"/>
          <w:i w:val="0"/>
          <w:caps w:val="0"/>
          <w:color w:val="333333"/>
          <w:spacing w:val="0"/>
          <w:sz w:val="32"/>
          <w:szCs w:val="32"/>
          <w:shd w:val="clear" w:fill="FFFFFF"/>
          <w:lang w:val="en-US" w:eastAsia="zh-CN"/>
        </w:rPr>
        <w:t>共同解决辖区内突发治安问题，及时化解矛盾，维护社会稳定。</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5.规划建设管理环保办公室。主要职责：宣传贯彻村镇规划建设、自然资源、生态环保法律法规政策；负责村镇规划编制实施，辖区内生产建设、公共设施、农房建设等项目的审核、审批（转报）工作；负责环境污染防治、农业生态保护、地质灾害防治工作；负责农房安全、建筑质量监督管理工作；负责集镇市容市貌、市政基础设施、环境卫生、小区物业管理工作；协调协助相关</w:t>
      </w:r>
      <w:r>
        <w:rPr>
          <w:rFonts w:hint="eastAsia" w:ascii="Times New Roman" w:hAnsi="Times New Roman" w:eastAsia="方正仿宋_GBK" w:cs="Times New Roman"/>
          <w:i w:val="0"/>
          <w:caps w:val="0"/>
          <w:color w:val="333333"/>
          <w:spacing w:val="0"/>
          <w:sz w:val="32"/>
          <w:szCs w:val="32"/>
          <w:shd w:val="clear" w:fill="FFFFFF"/>
          <w:lang w:val="en-US" w:eastAsia="zh-CN"/>
        </w:rPr>
        <w:t>部门</w:t>
      </w:r>
      <w:r>
        <w:rPr>
          <w:rFonts w:hint="default" w:ascii="Times New Roman" w:hAnsi="Times New Roman" w:eastAsia="方正仿宋_GBK" w:cs="Times New Roman"/>
          <w:i w:val="0"/>
          <w:caps w:val="0"/>
          <w:color w:val="333333"/>
          <w:spacing w:val="0"/>
          <w:sz w:val="32"/>
          <w:szCs w:val="32"/>
          <w:shd w:val="clear" w:fill="FFFFFF"/>
          <w:lang w:val="en-US" w:eastAsia="zh-CN"/>
        </w:rPr>
        <w:t>开展人防、土地征用、房屋征收、土地和矿产资源管理工作；承担其他规划自然资源生态环保管理职责。</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6.财政办公室。主要负责：贯彻财经方针政策，执行财政法规、财经制度，指导监督辖区内</w:t>
      </w:r>
      <w:r>
        <w:rPr>
          <w:rFonts w:hint="eastAsia" w:ascii="Times New Roman" w:hAnsi="Times New Roman" w:eastAsia="方正仿宋_GBK" w:cs="Times New Roman"/>
          <w:i w:val="0"/>
          <w:caps w:val="0"/>
          <w:color w:val="333333"/>
          <w:spacing w:val="0"/>
          <w:sz w:val="32"/>
          <w:szCs w:val="32"/>
          <w:shd w:val="clear" w:fill="FFFFFF"/>
          <w:lang w:val="en-US" w:eastAsia="zh-CN"/>
        </w:rPr>
        <w:t>部门</w:t>
      </w:r>
      <w:r>
        <w:rPr>
          <w:rFonts w:hint="default" w:ascii="Times New Roman" w:hAnsi="Times New Roman" w:eastAsia="方正仿宋_GBK" w:cs="Times New Roman"/>
          <w:i w:val="0"/>
          <w:caps w:val="0"/>
          <w:color w:val="333333"/>
          <w:spacing w:val="0"/>
          <w:sz w:val="32"/>
          <w:szCs w:val="32"/>
          <w:shd w:val="clear" w:fill="FFFFFF"/>
          <w:lang w:val="en-US" w:eastAsia="zh-CN"/>
        </w:rPr>
        <w:t>财务活动；负责本级财政收支、预决算、总会计、惠农资金兑付、财政资金监督检查、绩效评价、债权债务、村级财务管理等工作；负责国有资产的购置、登记、处置、保值增值、政府采购等工作；协调税务等</w:t>
      </w:r>
      <w:r>
        <w:rPr>
          <w:rFonts w:hint="eastAsia" w:ascii="Times New Roman" w:hAnsi="Times New Roman" w:eastAsia="方正仿宋_GBK" w:cs="Times New Roman"/>
          <w:i w:val="0"/>
          <w:caps w:val="0"/>
          <w:color w:val="333333"/>
          <w:spacing w:val="0"/>
          <w:sz w:val="32"/>
          <w:szCs w:val="32"/>
          <w:shd w:val="clear" w:fill="FFFFFF"/>
          <w:lang w:val="en-US" w:eastAsia="zh-CN"/>
        </w:rPr>
        <w:t>部门</w:t>
      </w:r>
      <w:r>
        <w:rPr>
          <w:rFonts w:hint="default" w:ascii="Times New Roman" w:hAnsi="Times New Roman" w:eastAsia="方正仿宋_GBK" w:cs="Times New Roman"/>
          <w:i w:val="0"/>
          <w:caps w:val="0"/>
          <w:color w:val="333333"/>
          <w:spacing w:val="0"/>
          <w:sz w:val="32"/>
          <w:szCs w:val="32"/>
          <w:shd w:val="clear" w:fill="FFFFFF"/>
          <w:lang w:val="en-US" w:eastAsia="zh-CN"/>
        </w:rPr>
        <w:t>组织财政收入；承担其他财政财务管理职责。</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7.应急管理办公室。主要负责：宣传贯彻安全生产、职业健康等法律法规；负责辖区内应急救援、安全生产综合监管工作；负责协助开展煤矿、非煤矿山、危险化学品、烟花爆竹、交通等安全生产的日常监管和隐患排查、事故调查、情况分析等工作；承担其他应急管理职责。</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8.综合行政执法办公室。集中行使依法授权或委托乡镇政府承担的各项行政执法权；协调、配合县级有关</w:t>
      </w:r>
      <w:r>
        <w:rPr>
          <w:rFonts w:hint="eastAsia" w:ascii="Times New Roman" w:hAnsi="Times New Roman" w:eastAsia="方正仿宋_GBK" w:cs="Times New Roman"/>
          <w:i w:val="0"/>
          <w:caps w:val="0"/>
          <w:color w:val="333333"/>
          <w:spacing w:val="0"/>
          <w:sz w:val="32"/>
          <w:szCs w:val="32"/>
          <w:shd w:val="clear" w:fill="FFFFFF"/>
          <w:lang w:val="en-US" w:eastAsia="zh-CN"/>
        </w:rPr>
        <w:t>部门</w:t>
      </w:r>
      <w:r>
        <w:rPr>
          <w:rFonts w:hint="default" w:ascii="Times New Roman" w:hAnsi="Times New Roman" w:eastAsia="方正仿宋_GBK" w:cs="Times New Roman"/>
          <w:i w:val="0"/>
          <w:caps w:val="0"/>
          <w:color w:val="333333"/>
          <w:spacing w:val="0"/>
          <w:sz w:val="32"/>
          <w:szCs w:val="32"/>
          <w:shd w:val="clear" w:fill="FFFFFF"/>
          <w:lang w:val="en-US" w:eastAsia="zh-CN"/>
        </w:rPr>
        <w:t>及派驻机构开展其他领域的联合执法。</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9.党建工作办公室。统筹负责基层党建、群团等工作。</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10.人大办公室。主要负责在人大主席团的领导下处理人大日常事务，起草编写主席团文件、材料，会议准备、人代会筹备，资料立卷归档和保密工作。</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11.纪委办公室。主要负责维护党的章程和其他党内法规，协助党委检查党的路线方针、政策和决议贯彻执行情况，传达贯彻上级纪委有关纪检工作的指示、决议、决定，协助党委抓好党风廉政建设和组织协调反腐败工作。对党员进行党风党纪和廉政建设教育。对党员领导干部行使权利进行监督。负责纪委的日常工作。</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12.武装办公室。主要负责做好军、烈属、荣军和复、转退役军人的登记和优抚工作；负责学校集中军事技能训练和分散军事理论教学，积极开展教学总结和研究，不断提高教学质量；完成上级交办的其他工作事务。</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13.工会。主要职能是维护职工合法权益；参与职能、维护职能、建设职能和教育职能。</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14.团委。主要职责是领导镇共青团工作，对镇上的青少年组织进行指导和管理；调查青少年思想动态和青少年工作情况；组织和带领青少年在改革开放和现代化建设中发挥生力军和突击队作用。</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15.妇联。主要职责是代表和维护妇女利益，促进男女和平。</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16.农业服务中心。主要职责：承担农技、农机、畜牧、水利水产等方面的技术推广、信息服务、水土保持、灾害防治、土地规模经营管理、农产品质量安全监管，农业综合服务等工作。</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17.文化服务中心。主要职责：承担辖区内文化体育阵地建设，组织开展文化体育、文化交流、全民健身活动，组织辖区内文艺培训等；规范农家乐和文娱活动等旅游场所、旅游设施、旅游项目的经营服务；统筹旅游市场秩序，协调旅游执法管理，调处涉旅投诉纠纷，营造诚信经营、文明有序的旅游市场环境；指导旅游项目、旅游产品开发等工作。</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18.劳动就业和社会保障服务所。主要职责：承担就业、再就业、农村富余劳动力转移，劳动和社会保障、城镇居民最低生活保障、社保救济、医疗保障服务等社会保障相关具体工作。</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19.退役军人服务站。主要职责：负责做好面对面、个性化、一对一服务退役军人工作，做好关系转接、联络接待、困难帮扶、信息采集、情况反映、立功喜报、悬挂光荣牌和</w:t>
      </w:r>
      <w:r>
        <w:rPr>
          <w:rFonts w:hint="eastAsia" w:ascii="Times New Roman" w:hAnsi="Times New Roman" w:eastAsia="方正仿宋_GBK" w:cs="Times New Roman"/>
          <w:i w:val="0"/>
          <w:caps w:val="0"/>
          <w:color w:val="333333"/>
          <w:spacing w:val="0"/>
          <w:sz w:val="32"/>
          <w:szCs w:val="32"/>
          <w:shd w:val="clear" w:fill="FFFFFF"/>
          <w:lang w:val="en-US" w:eastAsia="zh-CN"/>
        </w:rPr>
        <w:t>“</w:t>
      </w:r>
      <w:r>
        <w:rPr>
          <w:rFonts w:hint="default" w:ascii="Times New Roman" w:hAnsi="Times New Roman" w:eastAsia="方正仿宋_GBK" w:cs="Times New Roman"/>
          <w:i w:val="0"/>
          <w:caps w:val="0"/>
          <w:color w:val="333333"/>
          <w:spacing w:val="0"/>
          <w:sz w:val="32"/>
          <w:szCs w:val="32"/>
          <w:shd w:val="clear" w:fill="FFFFFF"/>
          <w:lang w:val="en-US" w:eastAsia="zh-CN"/>
        </w:rPr>
        <w:t>八一</w:t>
      </w:r>
      <w:r>
        <w:rPr>
          <w:rFonts w:hint="eastAsia" w:ascii="Times New Roman" w:hAnsi="Times New Roman" w:eastAsia="方正仿宋_GBK" w:cs="Times New Roman"/>
          <w:i w:val="0"/>
          <w:caps w:val="0"/>
          <w:color w:val="333333"/>
          <w:spacing w:val="0"/>
          <w:sz w:val="32"/>
          <w:szCs w:val="32"/>
          <w:shd w:val="clear" w:fill="FFFFFF"/>
          <w:lang w:val="en-US" w:eastAsia="zh-CN"/>
        </w:rPr>
        <w:t>”</w:t>
      </w:r>
      <w:r>
        <w:rPr>
          <w:rFonts w:hint="default" w:ascii="Times New Roman" w:hAnsi="Times New Roman" w:eastAsia="方正仿宋_GBK" w:cs="Times New Roman"/>
          <w:i w:val="0"/>
          <w:caps w:val="0"/>
          <w:color w:val="333333"/>
          <w:spacing w:val="0"/>
          <w:sz w:val="32"/>
          <w:szCs w:val="32"/>
          <w:shd w:val="clear" w:fill="FFFFFF"/>
          <w:lang w:val="en-US" w:eastAsia="zh-CN"/>
        </w:rPr>
        <w:t>、春节等节日以及重大变故走访慰问等具体事务，搭建政策咨询、帮扶援助、沟通联系、学习交流等活动场所，把党和政府的关怀温暖送到每一个退役军人身边；完成上级交办的其他任务。</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20.综合行政执法大队。主要职责：集中行使乡镇依法承担和</w:t>
      </w:r>
      <w:r>
        <w:rPr>
          <w:rFonts w:hint="eastAsia" w:ascii="Times New Roman" w:hAnsi="Times New Roman" w:eastAsia="方正仿宋_GBK" w:cs="Times New Roman"/>
          <w:i w:val="0"/>
          <w:caps w:val="0"/>
          <w:color w:val="333333"/>
          <w:spacing w:val="0"/>
          <w:sz w:val="32"/>
          <w:szCs w:val="32"/>
          <w:shd w:val="clear" w:fill="FFFFFF"/>
          <w:lang w:val="en-US" w:eastAsia="zh-CN"/>
        </w:rPr>
        <w:t>部门</w:t>
      </w:r>
      <w:r>
        <w:rPr>
          <w:rFonts w:hint="default" w:ascii="Times New Roman" w:hAnsi="Times New Roman" w:eastAsia="方正仿宋_GBK" w:cs="Times New Roman"/>
          <w:i w:val="0"/>
          <w:caps w:val="0"/>
          <w:color w:val="333333"/>
          <w:spacing w:val="0"/>
          <w:sz w:val="32"/>
          <w:szCs w:val="32"/>
          <w:shd w:val="clear" w:fill="FFFFFF"/>
          <w:lang w:val="en-US" w:eastAsia="zh-CN"/>
        </w:rPr>
        <w:t>授权或委托的各项行政执法权，制止、打击各类行政违法行为，协助、配合县级有关</w:t>
      </w:r>
      <w:r>
        <w:rPr>
          <w:rFonts w:hint="eastAsia" w:ascii="Times New Roman" w:hAnsi="Times New Roman" w:eastAsia="方正仿宋_GBK" w:cs="Times New Roman"/>
          <w:i w:val="0"/>
          <w:caps w:val="0"/>
          <w:color w:val="333333"/>
          <w:spacing w:val="0"/>
          <w:sz w:val="32"/>
          <w:szCs w:val="32"/>
          <w:shd w:val="clear" w:fill="FFFFFF"/>
          <w:lang w:val="en-US" w:eastAsia="zh-CN"/>
        </w:rPr>
        <w:t>部门</w:t>
      </w:r>
      <w:r>
        <w:rPr>
          <w:rFonts w:hint="default" w:ascii="Times New Roman" w:hAnsi="Times New Roman" w:eastAsia="方正仿宋_GBK" w:cs="Times New Roman"/>
          <w:i w:val="0"/>
          <w:caps w:val="0"/>
          <w:color w:val="333333"/>
          <w:spacing w:val="0"/>
          <w:sz w:val="32"/>
          <w:szCs w:val="32"/>
          <w:shd w:val="clear" w:fill="FFFFFF"/>
          <w:lang w:val="en-US" w:eastAsia="zh-CN"/>
        </w:rPr>
        <w:t>及其派驻机构开展联合执法。</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21.特色产业发展中心。主要职责：承担本乡镇特色产业项目的发展规划拟订并组织实施等服务职能。</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二、</w:t>
      </w:r>
      <w:r>
        <w:rPr>
          <w:rStyle w:val="8"/>
          <w:rFonts w:hint="eastAsia" w:ascii="Times New Roman" w:hAnsi="Times New Roman" w:eastAsia="方正黑体_GBK" w:cs="Times New Roman"/>
          <w:b w:val="0"/>
          <w:bCs/>
          <w:sz w:val="32"/>
          <w:szCs w:val="32"/>
          <w:shd w:val="clear" w:color="auto" w:fill="FFFFFF"/>
          <w:lang w:eastAsia="zh-CN"/>
        </w:rPr>
        <w:t>部门</w:t>
      </w:r>
      <w:r>
        <w:rPr>
          <w:rStyle w:val="8"/>
          <w:rFonts w:hint="default" w:ascii="Times New Roman" w:hAnsi="Times New Roman" w:eastAsia="方正黑体_GBK" w:cs="Times New Roman"/>
          <w:b w:val="0"/>
          <w:bCs/>
          <w:sz w:val="32"/>
          <w:szCs w:val="32"/>
          <w:shd w:val="clear" w:color="auto" w:fill="FFFFFF"/>
        </w:rPr>
        <w:t>决算情况说明</w:t>
      </w:r>
    </w:p>
    <w:p>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0" w:firstLineChars="200"/>
        <w:jc w:val="both"/>
        <w:textAlignment w:val="auto"/>
        <w:outlineLvl w:val="9"/>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eastAsia" w:ascii="Times New Roman" w:hAnsi="Times New Roman" w:eastAsia="方正楷体_GBK" w:cs="Times New Roman"/>
          <w:b w:val="0"/>
          <w:bCs/>
          <w:sz w:val="32"/>
          <w:szCs w:val="32"/>
          <w:shd w:val="clear" w:color="auto" w:fill="FFFFFF"/>
          <w:lang w:val="en-US" w:eastAsia="zh-CN" w:bidi="ar-SA"/>
        </w:rPr>
        <w:t>（一）收入支出决算总体情况说明</w:t>
      </w:r>
      <w:bookmarkStart w:id="0" w:name="_GoBack"/>
      <w:bookmarkEnd w:id="0"/>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 w:cs="方正仿宋"/>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1.总体情况。2023年度收入总计1733.99万元，支出总计1733.99万元。收支较上年决算数减少473.15万元，下降21.44%，主要原因是</w:t>
      </w:r>
      <w:r>
        <w:rPr>
          <w:rFonts w:hint="eastAsia" w:ascii="Times New Roman" w:hAnsi="Times New Roman" w:eastAsia="方正仿宋_GBK" w:cs="Times New Roman"/>
          <w:i w:val="0"/>
          <w:caps w:val="0"/>
          <w:color w:val="333333"/>
          <w:spacing w:val="0"/>
          <w:sz w:val="32"/>
          <w:szCs w:val="32"/>
          <w:shd w:val="clear" w:fill="FFFFFF"/>
          <w:lang w:val="en-US" w:eastAsia="zh-CN"/>
        </w:rPr>
        <w:t>整合项目资金减少</w:t>
      </w:r>
      <w:r>
        <w:rPr>
          <w:rFonts w:hint="eastAsia" w:ascii="Times New Roman" w:hAnsi="Times New Roman" w:eastAsia="方正仿宋" w:cs="方正仿宋"/>
          <w:i w:val="0"/>
          <w:caps w:val="0"/>
          <w:color w:val="333333"/>
          <w:spacing w:val="0"/>
          <w:sz w:val="32"/>
          <w:szCs w:val="32"/>
          <w:shd w:val="clear" w:fill="FFFFFF"/>
          <w:lang w:val="en-US"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2.收入情况。2023年度收入合计1708.90万元，较上年决算数减少251.44万元，下降12.83%，主要原因是</w:t>
      </w:r>
      <w:r>
        <w:rPr>
          <w:rFonts w:hint="eastAsia" w:ascii="Times New Roman" w:hAnsi="Times New Roman" w:eastAsia="方正仿宋_GBK" w:cs="Times New Roman"/>
          <w:i w:val="0"/>
          <w:caps w:val="0"/>
          <w:color w:val="333333"/>
          <w:spacing w:val="0"/>
          <w:sz w:val="32"/>
          <w:szCs w:val="32"/>
          <w:shd w:val="clear" w:fill="FFFFFF"/>
          <w:lang w:val="en-US" w:eastAsia="zh-CN"/>
        </w:rPr>
        <w:t>落实政府过紧日子政策，</w:t>
      </w:r>
      <w:r>
        <w:rPr>
          <w:rFonts w:hint="default" w:ascii="Times New Roman" w:hAnsi="Times New Roman" w:eastAsia="方正仿宋_GBK" w:cs="Times New Roman"/>
          <w:i w:val="0"/>
          <w:caps w:val="0"/>
          <w:color w:val="333333"/>
          <w:spacing w:val="0"/>
          <w:sz w:val="32"/>
          <w:szCs w:val="32"/>
          <w:shd w:val="clear" w:fill="FFFFFF"/>
          <w:lang w:val="en-US" w:eastAsia="zh-CN"/>
        </w:rPr>
        <w:t>其中：财政拨款收入1708.90万元，占100.00%</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lang w:val="en-US" w:eastAsia="zh-CN"/>
        </w:rPr>
        <w:t>0.00</w:t>
      </w:r>
      <w:r>
        <w:rPr>
          <w:rFonts w:hint="default" w:ascii="Times New Roman" w:hAnsi="Times New Roman" w:eastAsia="方正仿宋_GBK" w:cs="Times New Roman"/>
          <w:sz w:val="32"/>
          <w:szCs w:val="32"/>
          <w:shd w:val="clear" w:color="auto" w:fill="FFFFFF"/>
        </w:rPr>
        <w:t>%；经营收入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eastAsia"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lang w:val="en-US" w:eastAsia="zh-CN"/>
        </w:rPr>
        <w:t>0.00</w:t>
      </w:r>
      <w:r>
        <w:rPr>
          <w:rFonts w:hint="default" w:ascii="Times New Roman" w:hAnsi="Times New Roman" w:eastAsia="方正仿宋_GBK" w:cs="Times New Roman"/>
          <w:sz w:val="32"/>
          <w:szCs w:val="32"/>
          <w:shd w:val="clear" w:color="auto" w:fill="FFFFFF"/>
        </w:rPr>
        <w:t>%。此外，使用非财政拨款结余和专用结余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i w:val="0"/>
          <w:caps w:val="0"/>
          <w:color w:val="333333"/>
          <w:spacing w:val="0"/>
          <w:sz w:val="32"/>
          <w:szCs w:val="32"/>
          <w:shd w:val="clear" w:fill="FFFFFF"/>
          <w:lang w:val="en-US" w:eastAsia="zh-CN"/>
        </w:rPr>
        <w:t>，使用年初结转和结余25.09万元。</w:t>
      </w:r>
    </w:p>
    <w:p>
      <w:pPr>
        <w:pStyle w:val="6"/>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3.支出情况。2023年度支出合计1705.48万元，较上年决算数减少501.66万元，下降22.73%，主要原因是</w:t>
      </w:r>
      <w:r>
        <w:rPr>
          <w:rFonts w:hint="eastAsia" w:ascii="Times New Roman" w:hAnsi="Times New Roman" w:eastAsia="方正仿宋_GBK" w:cs="Times New Roman"/>
          <w:i w:val="0"/>
          <w:caps w:val="0"/>
          <w:color w:val="333333"/>
          <w:spacing w:val="0"/>
          <w:sz w:val="32"/>
          <w:szCs w:val="32"/>
          <w:shd w:val="clear" w:fill="FFFFFF"/>
          <w:lang w:val="en-US" w:eastAsia="zh-CN"/>
        </w:rPr>
        <w:t>整合项目资金减少。</w:t>
      </w:r>
      <w:r>
        <w:rPr>
          <w:rFonts w:hint="default" w:ascii="Times New Roman" w:hAnsi="Times New Roman" w:eastAsia="方正仿宋_GBK" w:cs="Times New Roman"/>
          <w:i w:val="0"/>
          <w:caps w:val="0"/>
          <w:color w:val="333333"/>
          <w:spacing w:val="0"/>
          <w:sz w:val="32"/>
          <w:szCs w:val="32"/>
          <w:shd w:val="clear" w:fill="FFFFFF"/>
          <w:lang w:val="en-US" w:eastAsia="zh-CN"/>
        </w:rPr>
        <w:t>其中：基本支出899.52万元，占52.74%；项目支出805.96万元，占47.26%</w:t>
      </w:r>
      <w:r>
        <w:rPr>
          <w:rFonts w:hint="eastAsia" w:ascii="Times New Roman" w:hAnsi="Times New Roman" w:eastAsia="方正仿宋_GBK" w:cs="Times New Roman"/>
          <w:i w:val="0"/>
          <w:caps w:val="0"/>
          <w:color w:val="333333"/>
          <w:spacing w:val="0"/>
          <w:sz w:val="32"/>
          <w:szCs w:val="32"/>
          <w:shd w:val="clear" w:fill="FFFFFF"/>
          <w:lang w:val="en-US" w:eastAsia="zh-CN"/>
        </w:rPr>
        <w:t>；</w:t>
      </w:r>
      <w:r>
        <w:rPr>
          <w:rFonts w:hint="default" w:ascii="Times New Roman" w:hAnsi="Times New Roman" w:eastAsia="方正仿宋_GBK" w:cs="Times New Roman"/>
          <w:sz w:val="32"/>
          <w:szCs w:val="32"/>
          <w:shd w:val="clear" w:color="auto" w:fill="FFFFFF"/>
        </w:rPr>
        <w:t>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4.结转结余情况。2023年度年末结转和结余28.51万元，较上年决算数增加28.51万元，增长100.00%，主要原因是</w:t>
      </w:r>
      <w:r>
        <w:rPr>
          <w:rFonts w:hint="eastAsia" w:ascii="Times New Roman" w:hAnsi="Times New Roman" w:eastAsia="方正仿宋_GBK" w:cs="Times New Roman"/>
          <w:i w:val="0"/>
          <w:caps w:val="0"/>
          <w:color w:val="333333"/>
          <w:spacing w:val="0"/>
          <w:sz w:val="32"/>
          <w:szCs w:val="32"/>
          <w:shd w:val="clear" w:fill="FFFFFF"/>
          <w:lang w:val="en-US" w:eastAsia="zh-CN"/>
        </w:rPr>
        <w:t>2023年预算内资金支付效率较低，造成结转结余。</w:t>
      </w:r>
    </w:p>
    <w:p>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0" w:firstLineChars="200"/>
        <w:jc w:val="both"/>
        <w:textAlignment w:val="auto"/>
        <w:outlineLvl w:val="9"/>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eastAsia" w:ascii="Times New Roman" w:hAnsi="Times New Roman" w:eastAsia="方正楷体_GBK" w:cs="Times New Roman"/>
          <w:b w:val="0"/>
          <w:bCs/>
          <w:sz w:val="32"/>
          <w:szCs w:val="32"/>
          <w:shd w:val="clear" w:color="auto" w:fill="FFFFFF"/>
          <w:lang w:val="en-US" w:eastAsia="zh-CN" w:bidi="ar-SA"/>
        </w:rPr>
        <w:t>（二）财政拨款收入支出决算总体情况说明</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bCs/>
          <w:i w:val="0"/>
          <w:caps w:val="0"/>
          <w:color w:val="333333"/>
          <w:spacing w:val="0"/>
          <w:sz w:val="32"/>
          <w:szCs w:val="32"/>
          <w:shd w:val="clear" w:fill="FFFFFF"/>
          <w:lang w:val="en-US" w:eastAsia="zh-CN"/>
        </w:rPr>
      </w:pPr>
      <w:r>
        <w:rPr>
          <w:rFonts w:hint="default" w:ascii="Times New Roman" w:hAnsi="Times New Roman" w:eastAsia="方正仿宋_GBK" w:cs="Times New Roman"/>
          <w:b w:val="0"/>
          <w:bCs w:val="0"/>
          <w:i w:val="0"/>
          <w:caps w:val="0"/>
          <w:color w:val="333333"/>
          <w:spacing w:val="0"/>
          <w:sz w:val="32"/>
          <w:szCs w:val="32"/>
          <w:shd w:val="clear" w:fill="FFFFFF"/>
          <w:lang w:val="en-US" w:eastAsia="zh-CN"/>
        </w:rPr>
        <w:t>2023年度财政拨款收、支总计1708.90万元。与2022年相比，财政拨款收、支总计各减少251.44万元，下降12.83%。主要原因是落实政府过紧日子政策。</w:t>
      </w:r>
    </w:p>
    <w:p>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0" w:firstLineChars="200"/>
        <w:jc w:val="both"/>
        <w:textAlignment w:val="auto"/>
        <w:outlineLvl w:val="9"/>
        <w:rPr>
          <w:rStyle w:val="8"/>
          <w:rFonts w:hint="eastAsia" w:ascii="Times New Roman" w:hAnsi="Times New Roman" w:eastAsia="方正楷体_GBK" w:cs="Times New Roman"/>
          <w:b w:val="0"/>
          <w:bCs/>
          <w:sz w:val="32"/>
          <w:szCs w:val="32"/>
          <w:shd w:val="clear" w:color="auto" w:fill="FFFFFF"/>
          <w:lang w:val="en-US" w:eastAsia="zh-CN" w:bidi="ar-SA"/>
        </w:rPr>
      </w:pPr>
      <w:r>
        <w:rPr>
          <w:rStyle w:val="8"/>
          <w:rFonts w:hint="eastAsia" w:ascii="Times New Roman" w:hAnsi="Times New Roman" w:eastAsia="方正楷体_GBK" w:cs="Times New Roman"/>
          <w:b w:val="0"/>
          <w:bCs/>
          <w:sz w:val="32"/>
          <w:szCs w:val="32"/>
          <w:shd w:val="clear" w:color="auto" w:fill="FFFFFF"/>
          <w:lang w:val="en-US" w:eastAsia="zh-CN" w:bidi="ar-SA"/>
        </w:rPr>
        <w:t>（三）一般公共预算财政拨款收入支出决算情况说明</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1.收入情况。2023年度一般公共预算财政拨款收入1708.90万元，较上年决算数减少203.74万元，下降10.65%。主要原因是</w:t>
      </w:r>
      <w:r>
        <w:rPr>
          <w:rFonts w:hint="eastAsia" w:ascii="Times New Roman" w:hAnsi="Times New Roman" w:eastAsia="方正仿宋_GBK" w:cs="Times New Roman"/>
          <w:i w:val="0"/>
          <w:caps w:val="0"/>
          <w:color w:val="333333"/>
          <w:spacing w:val="0"/>
          <w:sz w:val="32"/>
          <w:szCs w:val="32"/>
          <w:shd w:val="clear" w:fill="FFFFFF"/>
          <w:lang w:val="en-US" w:eastAsia="zh-CN"/>
        </w:rPr>
        <w:t>人员减少，项目减少</w:t>
      </w:r>
      <w:r>
        <w:rPr>
          <w:rFonts w:hint="default" w:ascii="Times New Roman" w:hAnsi="Times New Roman" w:eastAsia="方正仿宋_GBK" w:cs="Times New Roman"/>
          <w:i w:val="0"/>
          <w:caps w:val="0"/>
          <w:color w:val="333333"/>
          <w:spacing w:val="0"/>
          <w:sz w:val="32"/>
          <w:szCs w:val="32"/>
          <w:shd w:val="clear" w:fill="FFFFFF"/>
          <w:lang w:val="en-US" w:eastAsia="zh-CN"/>
        </w:rPr>
        <w:t>。较年初预算数增加592.67万元，增长53.10%。主要原因是</w:t>
      </w:r>
      <w:r>
        <w:rPr>
          <w:rFonts w:hint="eastAsia" w:ascii="Times New Roman" w:hAnsi="Times New Roman" w:eastAsia="方正仿宋_GBK" w:cs="Times New Roman"/>
          <w:i w:val="0"/>
          <w:caps w:val="0"/>
          <w:color w:val="333333"/>
          <w:spacing w:val="0"/>
          <w:sz w:val="32"/>
          <w:szCs w:val="32"/>
          <w:shd w:val="clear" w:fill="FFFFFF"/>
          <w:lang w:val="en-US" w:eastAsia="zh-CN"/>
        </w:rPr>
        <w:t>人员政策性增资等</w:t>
      </w:r>
      <w:r>
        <w:rPr>
          <w:rFonts w:hint="default" w:ascii="Times New Roman" w:hAnsi="Times New Roman" w:eastAsia="方正仿宋_GBK" w:cs="Times New Roman"/>
          <w:i w:val="0"/>
          <w:caps w:val="0"/>
          <w:color w:val="333333"/>
          <w:spacing w:val="0"/>
          <w:sz w:val="32"/>
          <w:szCs w:val="32"/>
          <w:shd w:val="clear" w:fill="FFFFFF"/>
          <w:lang w:val="en-US"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2.支出情况。2023年度一般公共预算财政拨款支出1680.39万元，较上年决算数减少232.25万元，下降12.14%。主要原因是</w:t>
      </w:r>
      <w:r>
        <w:rPr>
          <w:rFonts w:hint="eastAsia" w:ascii="Times New Roman" w:hAnsi="Times New Roman" w:eastAsia="方正仿宋_GBK" w:cs="Times New Roman"/>
          <w:i w:val="0"/>
          <w:caps w:val="0"/>
          <w:color w:val="333333"/>
          <w:spacing w:val="0"/>
          <w:sz w:val="32"/>
          <w:szCs w:val="32"/>
          <w:shd w:val="clear" w:fill="FFFFFF"/>
          <w:lang w:val="en-US" w:eastAsia="zh-CN"/>
        </w:rPr>
        <w:t>人员减少，项目减少。</w:t>
      </w:r>
      <w:r>
        <w:rPr>
          <w:rFonts w:hint="default" w:ascii="Times New Roman" w:hAnsi="Times New Roman" w:eastAsia="方正仿宋_GBK" w:cs="Times New Roman"/>
          <w:i w:val="0"/>
          <w:caps w:val="0"/>
          <w:color w:val="333333"/>
          <w:spacing w:val="0"/>
          <w:sz w:val="32"/>
          <w:szCs w:val="32"/>
          <w:shd w:val="clear" w:fill="FFFFFF"/>
          <w:lang w:val="en-US" w:eastAsia="zh-CN"/>
        </w:rPr>
        <w:t>较年初预算数增加360.67万元，增长27.33%。主要原因是</w:t>
      </w:r>
      <w:r>
        <w:rPr>
          <w:rFonts w:hint="eastAsia" w:ascii="Times New Roman" w:hAnsi="Times New Roman" w:eastAsia="方正仿宋_GBK" w:cs="Times New Roman"/>
          <w:i w:val="0"/>
          <w:caps w:val="0"/>
          <w:color w:val="333333"/>
          <w:spacing w:val="0"/>
          <w:sz w:val="32"/>
          <w:szCs w:val="32"/>
          <w:shd w:val="clear" w:fill="FFFFFF"/>
          <w:lang w:val="en-US" w:eastAsia="zh-CN"/>
        </w:rPr>
        <w:t>人员政策性增资等。</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3.结转结余情况。2023年度年末一般公共预算财政拨款结转和结余28.51万元，较上年决算数增加28.51万元，增长100.00%，主要原因是</w:t>
      </w:r>
      <w:r>
        <w:rPr>
          <w:rFonts w:hint="eastAsia" w:ascii="Times New Roman" w:hAnsi="Times New Roman" w:eastAsia="方正仿宋_GBK" w:cs="Times New Roman"/>
          <w:i w:val="0"/>
          <w:caps w:val="0"/>
          <w:color w:val="333333"/>
          <w:spacing w:val="0"/>
          <w:sz w:val="32"/>
          <w:szCs w:val="32"/>
          <w:shd w:val="clear" w:fill="FFFFFF"/>
          <w:lang w:val="en-US" w:eastAsia="zh-CN"/>
        </w:rPr>
        <w:t>2023年预算内资金支付效率较低，造成结转结余。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4.比较情况。本</w:t>
      </w:r>
      <w:r>
        <w:rPr>
          <w:rFonts w:hint="eastAsia" w:ascii="Times New Roman" w:hAnsi="Times New Roman" w:eastAsia="方正仿宋_GBK" w:cs="Times New Roman"/>
          <w:i w:val="0"/>
          <w:caps w:val="0"/>
          <w:color w:val="333333"/>
          <w:spacing w:val="0"/>
          <w:sz w:val="32"/>
          <w:szCs w:val="32"/>
          <w:shd w:val="clear" w:fill="FFFFFF"/>
          <w:lang w:val="en-US" w:eastAsia="zh-CN"/>
        </w:rPr>
        <w:t>部门</w:t>
      </w:r>
      <w:r>
        <w:rPr>
          <w:rFonts w:hint="default" w:ascii="Times New Roman" w:hAnsi="Times New Roman" w:eastAsia="方正仿宋_GBK" w:cs="Times New Roman"/>
          <w:i w:val="0"/>
          <w:caps w:val="0"/>
          <w:color w:val="333333"/>
          <w:spacing w:val="0"/>
          <w:sz w:val="32"/>
          <w:szCs w:val="32"/>
          <w:shd w:val="clear" w:fill="FFFFFF"/>
          <w:lang w:val="en-US" w:eastAsia="zh-CN"/>
        </w:rPr>
        <w:t>2023年度一般公共预算财政拨款支出主要用于以下几个方面：</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（1）一般公共服务支出492.00万元，占29.28%，较年初预算数增加48.85万元，增长11.02%，主要原因是</w:t>
      </w:r>
      <w:r>
        <w:rPr>
          <w:rFonts w:hint="eastAsia" w:ascii="Times New Roman" w:hAnsi="Times New Roman" w:eastAsia="方正仿宋_GBK" w:cs="Times New Roman"/>
          <w:i w:val="0"/>
          <w:caps w:val="0"/>
          <w:color w:val="333333"/>
          <w:spacing w:val="0"/>
          <w:sz w:val="32"/>
          <w:szCs w:val="32"/>
          <w:shd w:val="clear" w:fill="FFFFFF"/>
          <w:lang w:val="en-US" w:eastAsia="zh-CN"/>
        </w:rPr>
        <w:t>人员增减变动。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w:t>
      </w:r>
      <w:r>
        <w:rPr>
          <w:rFonts w:hint="eastAsia" w:ascii="Times New Roman" w:hAnsi="Times New Roman" w:eastAsia="方正仿宋_GBK" w:cs="Times New Roman"/>
          <w:i w:val="0"/>
          <w:caps w:val="0"/>
          <w:color w:val="333333"/>
          <w:spacing w:val="0"/>
          <w:sz w:val="32"/>
          <w:szCs w:val="32"/>
          <w:shd w:val="clear" w:fill="FFFFFF"/>
          <w:lang w:val="en-US" w:eastAsia="zh-CN"/>
        </w:rPr>
        <w:t>2</w:t>
      </w:r>
      <w:r>
        <w:rPr>
          <w:rFonts w:hint="default" w:ascii="Times New Roman" w:hAnsi="Times New Roman" w:eastAsia="方正仿宋_GBK" w:cs="Times New Roman"/>
          <w:i w:val="0"/>
          <w:caps w:val="0"/>
          <w:color w:val="333333"/>
          <w:spacing w:val="0"/>
          <w:sz w:val="32"/>
          <w:szCs w:val="32"/>
          <w:shd w:val="clear" w:fill="FFFFFF"/>
          <w:lang w:val="en-US" w:eastAsia="zh-CN"/>
        </w:rPr>
        <w:t>）国防支出3.00万元，占0.18%，较年初预算数增加3.00万元，增长100.00%，主要原因是</w:t>
      </w:r>
      <w:r>
        <w:rPr>
          <w:rFonts w:hint="eastAsia" w:ascii="Times New Roman" w:hAnsi="Times New Roman" w:eastAsia="方正仿宋_GBK" w:cs="Times New Roman"/>
          <w:i w:val="0"/>
          <w:caps w:val="0"/>
          <w:color w:val="333333"/>
          <w:spacing w:val="0"/>
          <w:sz w:val="32"/>
          <w:szCs w:val="32"/>
          <w:shd w:val="clear" w:fill="FFFFFF"/>
          <w:lang w:val="en-US" w:eastAsia="zh-CN"/>
        </w:rPr>
        <w:t>年中大学生入伍奖励增加。</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w:t>
      </w:r>
      <w:r>
        <w:rPr>
          <w:rFonts w:hint="eastAsia" w:ascii="Times New Roman" w:hAnsi="Times New Roman" w:eastAsia="方正仿宋_GBK" w:cs="Times New Roman"/>
          <w:i w:val="0"/>
          <w:caps w:val="0"/>
          <w:color w:val="333333"/>
          <w:spacing w:val="0"/>
          <w:sz w:val="32"/>
          <w:szCs w:val="32"/>
          <w:shd w:val="clear" w:fill="FFFFFF"/>
          <w:lang w:val="en-US" w:eastAsia="zh-CN"/>
        </w:rPr>
        <w:t>3</w:t>
      </w:r>
      <w:r>
        <w:rPr>
          <w:rFonts w:hint="default" w:ascii="Times New Roman" w:hAnsi="Times New Roman" w:eastAsia="方正仿宋_GBK" w:cs="Times New Roman"/>
          <w:i w:val="0"/>
          <w:caps w:val="0"/>
          <w:color w:val="333333"/>
          <w:spacing w:val="0"/>
          <w:sz w:val="32"/>
          <w:szCs w:val="32"/>
          <w:shd w:val="clear" w:fill="FFFFFF"/>
          <w:lang w:val="en-US" w:eastAsia="zh-CN"/>
        </w:rPr>
        <w:t>）公共安全支出10.59万元，占0.63%，较年初预算数增加5.79万元，增长120.63%，主要原因是</w:t>
      </w:r>
      <w:r>
        <w:rPr>
          <w:rFonts w:hint="eastAsia" w:ascii="Times New Roman" w:hAnsi="Times New Roman" w:eastAsia="方正仿宋_GBK" w:cs="Times New Roman"/>
          <w:i w:val="0"/>
          <w:caps w:val="0"/>
          <w:color w:val="333333"/>
          <w:spacing w:val="0"/>
          <w:sz w:val="32"/>
          <w:szCs w:val="32"/>
          <w:shd w:val="clear" w:fill="FFFFFF"/>
          <w:lang w:val="en-US" w:eastAsia="zh-CN"/>
        </w:rPr>
        <w:t>年中追加安排平安建设经费。</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w:t>
      </w:r>
      <w:r>
        <w:rPr>
          <w:rFonts w:hint="eastAsia" w:ascii="Times New Roman" w:hAnsi="Times New Roman" w:eastAsia="方正仿宋_GBK" w:cs="Times New Roman"/>
          <w:i w:val="0"/>
          <w:caps w:val="0"/>
          <w:color w:val="333333"/>
          <w:spacing w:val="0"/>
          <w:sz w:val="32"/>
          <w:szCs w:val="32"/>
          <w:shd w:val="clear" w:fill="FFFFFF"/>
          <w:lang w:val="en-US" w:eastAsia="zh-CN"/>
        </w:rPr>
        <w:t>4</w:t>
      </w:r>
      <w:r>
        <w:rPr>
          <w:rFonts w:hint="default" w:ascii="Times New Roman" w:hAnsi="Times New Roman" w:eastAsia="方正仿宋_GBK" w:cs="Times New Roman"/>
          <w:i w:val="0"/>
          <w:caps w:val="0"/>
          <w:color w:val="333333"/>
          <w:spacing w:val="0"/>
          <w:sz w:val="32"/>
          <w:szCs w:val="32"/>
          <w:shd w:val="clear" w:fill="FFFFFF"/>
          <w:lang w:val="en-US" w:eastAsia="zh-CN"/>
        </w:rPr>
        <w:t>）文化旅游体育与传媒支出56.99万元，占3.39%，较年初预算数减少3.06万元，下降5.10%，主要原因是</w:t>
      </w:r>
      <w:r>
        <w:rPr>
          <w:rFonts w:hint="eastAsia" w:ascii="Times New Roman" w:hAnsi="Times New Roman" w:eastAsia="方正仿宋_GBK" w:cs="Times New Roman"/>
          <w:i w:val="0"/>
          <w:caps w:val="0"/>
          <w:color w:val="333333"/>
          <w:spacing w:val="0"/>
          <w:sz w:val="32"/>
          <w:szCs w:val="32"/>
          <w:shd w:val="clear" w:fill="FFFFFF"/>
          <w:lang w:val="en-US" w:eastAsia="zh-CN"/>
        </w:rPr>
        <w:t>人员变动。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w:t>
      </w:r>
      <w:r>
        <w:rPr>
          <w:rFonts w:hint="eastAsia" w:ascii="Times New Roman" w:hAnsi="Times New Roman" w:eastAsia="方正仿宋_GBK" w:cs="Times New Roman"/>
          <w:i w:val="0"/>
          <w:caps w:val="0"/>
          <w:color w:val="333333"/>
          <w:spacing w:val="0"/>
          <w:sz w:val="32"/>
          <w:szCs w:val="32"/>
          <w:shd w:val="clear" w:fill="FFFFFF"/>
          <w:lang w:val="en-US" w:eastAsia="zh-CN"/>
        </w:rPr>
        <w:t>5</w:t>
      </w:r>
      <w:r>
        <w:rPr>
          <w:rFonts w:hint="default" w:ascii="Times New Roman" w:hAnsi="Times New Roman" w:eastAsia="方正仿宋_GBK" w:cs="Times New Roman"/>
          <w:i w:val="0"/>
          <w:caps w:val="0"/>
          <w:color w:val="333333"/>
          <w:spacing w:val="0"/>
          <w:sz w:val="32"/>
          <w:szCs w:val="32"/>
          <w:shd w:val="clear" w:fill="FFFFFF"/>
          <w:lang w:val="en-US" w:eastAsia="zh-CN"/>
        </w:rPr>
        <w:t>）社会保障与就业支出206.74万元，占12.30%，较年初预算数减少12.90万元，下降5.87%，主要原因是</w:t>
      </w:r>
      <w:r>
        <w:rPr>
          <w:rFonts w:hint="eastAsia" w:ascii="Times New Roman" w:hAnsi="Times New Roman" w:eastAsia="方正仿宋_GBK" w:cs="Times New Roman"/>
          <w:i w:val="0"/>
          <w:caps w:val="0"/>
          <w:color w:val="333333"/>
          <w:spacing w:val="0"/>
          <w:sz w:val="32"/>
          <w:szCs w:val="32"/>
          <w:shd w:val="clear" w:fill="FFFFFF"/>
          <w:lang w:val="en-US" w:eastAsia="zh-CN"/>
        </w:rPr>
        <w:t>人员增减变动。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w:t>
      </w:r>
      <w:r>
        <w:rPr>
          <w:rFonts w:hint="eastAsia" w:ascii="Times New Roman" w:hAnsi="Times New Roman" w:eastAsia="方正仿宋_GBK" w:cs="Times New Roman"/>
          <w:i w:val="0"/>
          <w:caps w:val="0"/>
          <w:color w:val="333333"/>
          <w:spacing w:val="0"/>
          <w:sz w:val="32"/>
          <w:szCs w:val="32"/>
          <w:shd w:val="clear" w:fill="FFFFFF"/>
          <w:lang w:val="en-US" w:eastAsia="zh-CN"/>
        </w:rPr>
        <w:t>6</w:t>
      </w:r>
      <w:r>
        <w:rPr>
          <w:rFonts w:hint="default" w:ascii="Times New Roman" w:hAnsi="Times New Roman" w:eastAsia="方正仿宋_GBK" w:cs="Times New Roman"/>
          <w:i w:val="0"/>
          <w:caps w:val="0"/>
          <w:color w:val="333333"/>
          <w:spacing w:val="0"/>
          <w:sz w:val="32"/>
          <w:szCs w:val="32"/>
          <w:shd w:val="clear" w:fill="FFFFFF"/>
          <w:lang w:val="en-US" w:eastAsia="zh-CN"/>
        </w:rPr>
        <w:t>）卫生健康支出51.77万元，占3.08%，较年初预算数增加12.79万元，增长32.81%，主要原因是</w:t>
      </w:r>
      <w:r>
        <w:rPr>
          <w:rFonts w:hint="eastAsia" w:ascii="Times New Roman" w:hAnsi="Times New Roman" w:eastAsia="方正仿宋_GBK" w:cs="Times New Roman"/>
          <w:i w:val="0"/>
          <w:caps w:val="0"/>
          <w:color w:val="333333"/>
          <w:spacing w:val="0"/>
          <w:sz w:val="32"/>
          <w:szCs w:val="32"/>
          <w:shd w:val="clear" w:fill="FFFFFF"/>
          <w:lang w:val="en-US" w:eastAsia="zh-CN"/>
        </w:rPr>
        <w:t>人员政策性增资。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w:t>
      </w:r>
      <w:r>
        <w:rPr>
          <w:rFonts w:hint="eastAsia" w:ascii="Times New Roman" w:hAnsi="Times New Roman" w:eastAsia="方正仿宋_GBK" w:cs="Times New Roman"/>
          <w:i w:val="0"/>
          <w:caps w:val="0"/>
          <w:color w:val="333333"/>
          <w:spacing w:val="0"/>
          <w:sz w:val="32"/>
          <w:szCs w:val="32"/>
          <w:shd w:val="clear" w:fill="FFFFFF"/>
          <w:lang w:val="en-US" w:eastAsia="zh-CN"/>
        </w:rPr>
        <w:t>7</w:t>
      </w:r>
      <w:r>
        <w:rPr>
          <w:rFonts w:hint="default" w:ascii="Times New Roman" w:hAnsi="Times New Roman" w:eastAsia="方正仿宋_GBK" w:cs="Times New Roman"/>
          <w:i w:val="0"/>
          <w:caps w:val="0"/>
          <w:color w:val="333333"/>
          <w:spacing w:val="0"/>
          <w:sz w:val="32"/>
          <w:szCs w:val="32"/>
          <w:shd w:val="clear" w:fill="FFFFFF"/>
          <w:lang w:val="en-US" w:eastAsia="zh-CN"/>
        </w:rPr>
        <w:t>）节能环保支出65.95万元，占3.92%，较年初预算数增加15.95万元，增长31.90%，主要原因是</w:t>
      </w:r>
      <w:r>
        <w:rPr>
          <w:rFonts w:hint="eastAsia" w:ascii="Times New Roman" w:hAnsi="Times New Roman" w:eastAsia="方正仿宋_GBK" w:cs="Times New Roman"/>
          <w:i w:val="0"/>
          <w:caps w:val="0"/>
          <w:color w:val="333333"/>
          <w:spacing w:val="0"/>
          <w:sz w:val="32"/>
          <w:szCs w:val="32"/>
          <w:shd w:val="clear" w:fill="FFFFFF"/>
          <w:lang w:val="en-US" w:eastAsia="zh-CN"/>
        </w:rPr>
        <w:t>临时人员工资待遇调整。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w:t>
      </w:r>
      <w:r>
        <w:rPr>
          <w:rFonts w:hint="eastAsia" w:ascii="Times New Roman" w:hAnsi="Times New Roman" w:eastAsia="方正仿宋_GBK" w:cs="Times New Roman"/>
          <w:i w:val="0"/>
          <w:caps w:val="0"/>
          <w:color w:val="333333"/>
          <w:spacing w:val="0"/>
          <w:sz w:val="32"/>
          <w:szCs w:val="32"/>
          <w:shd w:val="clear" w:fill="FFFFFF"/>
          <w:lang w:val="en-US" w:eastAsia="zh-CN"/>
        </w:rPr>
        <w:t>8</w:t>
      </w:r>
      <w:r>
        <w:rPr>
          <w:rFonts w:hint="default" w:ascii="Times New Roman" w:hAnsi="Times New Roman" w:eastAsia="方正仿宋_GBK" w:cs="Times New Roman"/>
          <w:i w:val="0"/>
          <w:caps w:val="0"/>
          <w:color w:val="333333"/>
          <w:spacing w:val="0"/>
          <w:sz w:val="32"/>
          <w:szCs w:val="32"/>
          <w:shd w:val="clear" w:fill="FFFFFF"/>
          <w:lang w:val="en-US" w:eastAsia="zh-CN"/>
        </w:rPr>
        <w:t>）城乡社区支出29.80万元，占1.77%，较年初预算数减少0.93万元，下降3.03%，主要原因是</w:t>
      </w:r>
      <w:r>
        <w:rPr>
          <w:rFonts w:hint="eastAsia" w:ascii="Times New Roman" w:hAnsi="Times New Roman" w:eastAsia="方正仿宋_GBK" w:cs="Times New Roman"/>
          <w:i w:val="0"/>
          <w:caps w:val="0"/>
          <w:color w:val="333333"/>
          <w:spacing w:val="0"/>
          <w:sz w:val="32"/>
          <w:szCs w:val="32"/>
          <w:shd w:val="clear" w:fill="FFFFFF"/>
          <w:lang w:val="en-US" w:eastAsia="zh-CN"/>
        </w:rPr>
        <w:t>年中人员减少。</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w:t>
      </w:r>
      <w:r>
        <w:rPr>
          <w:rFonts w:hint="eastAsia" w:ascii="Times New Roman" w:hAnsi="Times New Roman" w:eastAsia="方正仿宋_GBK" w:cs="Times New Roman"/>
          <w:i w:val="0"/>
          <w:caps w:val="0"/>
          <w:color w:val="333333"/>
          <w:spacing w:val="0"/>
          <w:sz w:val="32"/>
          <w:szCs w:val="32"/>
          <w:shd w:val="clear" w:fill="FFFFFF"/>
          <w:lang w:val="en-US" w:eastAsia="zh-CN"/>
        </w:rPr>
        <w:t>9</w:t>
      </w:r>
      <w:r>
        <w:rPr>
          <w:rFonts w:hint="default" w:ascii="Times New Roman" w:hAnsi="Times New Roman" w:eastAsia="方正仿宋_GBK" w:cs="Times New Roman"/>
          <w:i w:val="0"/>
          <w:caps w:val="0"/>
          <w:color w:val="333333"/>
          <w:spacing w:val="0"/>
          <w:sz w:val="32"/>
          <w:szCs w:val="32"/>
          <w:shd w:val="clear" w:fill="FFFFFF"/>
          <w:lang w:val="en-US" w:eastAsia="zh-CN"/>
        </w:rPr>
        <w:t>）农林水支出638.14万元，占37.98%，较年初预算数增加233.30万元，增长57.63%，主要原因是</w:t>
      </w:r>
      <w:r>
        <w:rPr>
          <w:rFonts w:hint="eastAsia" w:ascii="Times New Roman" w:hAnsi="Times New Roman" w:eastAsia="方正仿宋_GBK" w:cs="Times New Roman"/>
          <w:i w:val="0"/>
          <w:caps w:val="0"/>
          <w:color w:val="333333"/>
          <w:spacing w:val="0"/>
          <w:sz w:val="32"/>
          <w:szCs w:val="32"/>
          <w:shd w:val="clear" w:fill="FFFFFF"/>
          <w:lang w:val="en-US" w:eastAsia="zh-CN"/>
        </w:rPr>
        <w:t>人员政策性增资、调整年初预算数。</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（1</w:t>
      </w:r>
      <w:r>
        <w:rPr>
          <w:rFonts w:hint="eastAsia" w:ascii="Times New Roman" w:hAnsi="Times New Roman" w:eastAsia="方正仿宋_GBK" w:cs="Times New Roman"/>
          <w:i w:val="0"/>
          <w:caps w:val="0"/>
          <w:color w:val="333333"/>
          <w:spacing w:val="0"/>
          <w:sz w:val="32"/>
          <w:szCs w:val="32"/>
          <w:shd w:val="clear" w:fill="FFFFFF"/>
          <w:lang w:val="en-US" w:eastAsia="zh-CN"/>
        </w:rPr>
        <w:t>0</w:t>
      </w:r>
      <w:r>
        <w:rPr>
          <w:rFonts w:hint="default" w:ascii="Times New Roman" w:hAnsi="Times New Roman" w:eastAsia="方正仿宋_GBK" w:cs="Times New Roman"/>
          <w:i w:val="0"/>
          <w:caps w:val="0"/>
          <w:color w:val="333333"/>
          <w:spacing w:val="0"/>
          <w:sz w:val="32"/>
          <w:szCs w:val="32"/>
          <w:shd w:val="clear" w:fill="FFFFFF"/>
          <w:lang w:val="en-US" w:eastAsia="zh-CN"/>
        </w:rPr>
        <w:t>）自然资源海洋气象等支出41.46万元，占2.47%，较年初预算数增加41.46万元，增长100.00%，主要原因是</w:t>
      </w:r>
      <w:r>
        <w:rPr>
          <w:rFonts w:hint="eastAsia" w:ascii="Times New Roman" w:hAnsi="Times New Roman" w:eastAsia="方正仿宋_GBK" w:cs="Times New Roman"/>
          <w:i w:val="0"/>
          <w:caps w:val="0"/>
          <w:color w:val="333333"/>
          <w:spacing w:val="0"/>
          <w:sz w:val="32"/>
          <w:szCs w:val="32"/>
          <w:shd w:val="clear" w:fill="FFFFFF"/>
          <w:lang w:val="en-US" w:eastAsia="zh-CN"/>
        </w:rPr>
        <w:t>应对自然环境变化。</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（1</w:t>
      </w:r>
      <w:r>
        <w:rPr>
          <w:rFonts w:hint="eastAsia" w:ascii="Times New Roman" w:hAnsi="Times New Roman" w:eastAsia="方正仿宋_GBK" w:cs="Times New Roman"/>
          <w:i w:val="0"/>
          <w:caps w:val="0"/>
          <w:color w:val="333333"/>
          <w:spacing w:val="0"/>
          <w:sz w:val="32"/>
          <w:szCs w:val="32"/>
          <w:shd w:val="clear" w:fill="FFFFFF"/>
          <w:lang w:val="en-US" w:eastAsia="zh-CN"/>
        </w:rPr>
        <w:t>1</w:t>
      </w:r>
      <w:r>
        <w:rPr>
          <w:rFonts w:hint="default" w:ascii="Times New Roman" w:hAnsi="Times New Roman" w:eastAsia="方正仿宋_GBK" w:cs="Times New Roman"/>
          <w:i w:val="0"/>
          <w:caps w:val="0"/>
          <w:color w:val="333333"/>
          <w:spacing w:val="0"/>
          <w:sz w:val="32"/>
          <w:szCs w:val="32"/>
          <w:shd w:val="clear" w:fill="FFFFFF"/>
          <w:lang w:val="en-US" w:eastAsia="zh-CN"/>
        </w:rPr>
        <w:t>）住房保障支出57.37万元，占3.41%，较年初预算数减少10.16万元，下降15.05%，主要原因是</w:t>
      </w:r>
      <w:r>
        <w:rPr>
          <w:rFonts w:hint="eastAsia" w:ascii="Times New Roman" w:hAnsi="Times New Roman" w:eastAsia="方正仿宋_GBK" w:cs="Times New Roman"/>
          <w:i w:val="0"/>
          <w:caps w:val="0"/>
          <w:color w:val="333333"/>
          <w:spacing w:val="0"/>
          <w:sz w:val="32"/>
          <w:szCs w:val="32"/>
          <w:shd w:val="clear" w:fill="FFFFFF"/>
          <w:lang w:val="en-US" w:eastAsia="zh-CN"/>
        </w:rPr>
        <w:t>人员增减变动。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w:t>
      </w:r>
      <w:r>
        <w:rPr>
          <w:rFonts w:hint="eastAsia" w:ascii="Times New Roman" w:hAnsi="Times New Roman" w:eastAsia="方正仿宋_GBK" w:cs="Times New Roman"/>
          <w:i w:val="0"/>
          <w:caps w:val="0"/>
          <w:color w:val="333333"/>
          <w:spacing w:val="0"/>
          <w:sz w:val="32"/>
          <w:szCs w:val="32"/>
          <w:shd w:val="clear" w:fill="FFFFFF"/>
          <w:lang w:val="en-US" w:eastAsia="zh-CN"/>
        </w:rPr>
        <w:t>12</w:t>
      </w:r>
      <w:r>
        <w:rPr>
          <w:rFonts w:hint="default" w:ascii="Times New Roman" w:hAnsi="Times New Roman" w:eastAsia="方正仿宋_GBK" w:cs="Times New Roman"/>
          <w:i w:val="0"/>
          <w:caps w:val="0"/>
          <w:color w:val="333333"/>
          <w:spacing w:val="0"/>
          <w:sz w:val="32"/>
          <w:szCs w:val="32"/>
          <w:shd w:val="clear" w:fill="FFFFFF"/>
          <w:lang w:val="en-US" w:eastAsia="zh-CN"/>
        </w:rPr>
        <w:t>）灾害防治及应急管理支出26.58万元，占1.58%，较年初预算数增加26.58万元，增长100.00%，主要原因是</w:t>
      </w:r>
      <w:r>
        <w:rPr>
          <w:rFonts w:hint="eastAsia" w:ascii="Times New Roman" w:hAnsi="Times New Roman" w:eastAsia="方正仿宋_GBK" w:cs="Times New Roman"/>
          <w:i w:val="0"/>
          <w:caps w:val="0"/>
          <w:color w:val="333333"/>
          <w:spacing w:val="0"/>
          <w:sz w:val="32"/>
          <w:szCs w:val="32"/>
          <w:shd w:val="clear" w:fill="FFFFFF"/>
          <w:lang w:val="en-US" w:eastAsia="zh-CN"/>
        </w:rPr>
        <w:t>年中追加安排应急预算</w:t>
      </w:r>
      <w:r>
        <w:rPr>
          <w:rFonts w:hint="default" w:ascii="Times New Roman" w:hAnsi="Times New Roman" w:eastAsia="方正仿宋_GBK" w:cs="Times New Roman"/>
          <w:i w:val="0"/>
          <w:caps w:val="0"/>
          <w:color w:val="333333"/>
          <w:spacing w:val="0"/>
          <w:sz w:val="32"/>
          <w:szCs w:val="32"/>
          <w:shd w:val="clear" w:fill="FFFFFF"/>
          <w:lang w:val="en-US" w:eastAsia="zh-CN"/>
        </w:rPr>
        <w:t>。</w:t>
      </w:r>
    </w:p>
    <w:p>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0" w:firstLineChars="200"/>
        <w:jc w:val="both"/>
        <w:textAlignment w:val="auto"/>
        <w:outlineLvl w:val="9"/>
        <w:rPr>
          <w:rStyle w:val="8"/>
          <w:rFonts w:hint="eastAsia" w:ascii="Times New Roman" w:hAnsi="Times New Roman" w:eastAsia="方正楷体_GBK" w:cs="Times New Roman"/>
          <w:b w:val="0"/>
          <w:bCs/>
          <w:sz w:val="32"/>
          <w:szCs w:val="32"/>
          <w:shd w:val="clear" w:color="auto" w:fill="FFFFFF"/>
          <w:lang w:val="en-US" w:eastAsia="zh-CN" w:bidi="ar-SA"/>
        </w:rPr>
      </w:pPr>
      <w:r>
        <w:rPr>
          <w:rStyle w:val="8"/>
          <w:rFonts w:hint="eastAsia" w:ascii="Times New Roman" w:hAnsi="Times New Roman" w:eastAsia="方正楷体_GBK" w:cs="Times New Roman"/>
          <w:b w:val="0"/>
          <w:bCs/>
          <w:sz w:val="32"/>
          <w:szCs w:val="32"/>
          <w:shd w:val="clear" w:color="auto" w:fill="FFFFFF"/>
          <w:lang w:val="en-US" w:eastAsia="zh-CN" w:bidi="ar-SA"/>
        </w:rPr>
        <w:t>（四）一般公共预算财政拨款基本支出决算情况说明</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2023年度一般公共财政拨款基本支出899.52万元。其中：人员经费776.19万元，较上年决算数增加23.37万元，增长3.10%，主要原因是</w:t>
      </w:r>
      <w:r>
        <w:rPr>
          <w:rFonts w:hint="eastAsia" w:ascii="Times New Roman" w:hAnsi="Times New Roman" w:eastAsia="方正仿宋_GBK" w:cs="Times New Roman"/>
          <w:i w:val="0"/>
          <w:caps w:val="0"/>
          <w:color w:val="333333"/>
          <w:spacing w:val="0"/>
          <w:sz w:val="32"/>
          <w:szCs w:val="32"/>
          <w:shd w:val="clear" w:fill="FFFFFF"/>
          <w:lang w:val="en-US" w:eastAsia="zh-CN"/>
        </w:rPr>
        <w:t>新增在职在编人员</w:t>
      </w:r>
      <w:r>
        <w:rPr>
          <w:rFonts w:hint="default" w:ascii="Times New Roman" w:hAnsi="Times New Roman" w:eastAsia="方正仿宋_GBK" w:cs="Times New Roman"/>
          <w:i w:val="0"/>
          <w:caps w:val="0"/>
          <w:color w:val="333333"/>
          <w:spacing w:val="0"/>
          <w:sz w:val="32"/>
          <w:szCs w:val="32"/>
          <w:shd w:val="clear" w:fill="FFFFFF"/>
          <w:lang w:val="en-US" w:eastAsia="zh-CN"/>
        </w:rPr>
        <w:t>。人员经费用途主要包括</w:t>
      </w:r>
      <w:r>
        <w:rPr>
          <w:rFonts w:hint="eastAsia" w:ascii="Times New Roman" w:hAnsi="Times New Roman" w:eastAsia="方正仿宋_GBK" w:cs="Times New Roman"/>
          <w:i w:val="0"/>
          <w:caps w:val="0"/>
          <w:color w:val="333333"/>
          <w:spacing w:val="0"/>
          <w:sz w:val="32"/>
          <w:szCs w:val="32"/>
          <w:shd w:val="clear" w:fill="FFFFFF"/>
          <w:lang w:val="en-US" w:eastAsia="zh-CN"/>
        </w:rPr>
        <w:t>基本工资、津贴补贴、社会保障缴费等</w:t>
      </w:r>
      <w:r>
        <w:rPr>
          <w:rFonts w:hint="default" w:ascii="Times New Roman" w:hAnsi="Times New Roman" w:eastAsia="方正仿宋_GBK" w:cs="Times New Roman"/>
          <w:i w:val="0"/>
          <w:caps w:val="0"/>
          <w:color w:val="333333"/>
          <w:spacing w:val="0"/>
          <w:sz w:val="32"/>
          <w:szCs w:val="32"/>
          <w:shd w:val="clear" w:fill="FFFFFF"/>
          <w:lang w:val="en-US" w:eastAsia="zh-CN"/>
        </w:rPr>
        <w:t>。公用经费123.33万元，较上年决算数增加20.51万元，增长19.95%，主要原因是</w:t>
      </w:r>
      <w:r>
        <w:rPr>
          <w:rFonts w:hint="eastAsia" w:ascii="Times New Roman" w:hAnsi="Times New Roman" w:eastAsia="方正仿宋_GBK" w:cs="Times New Roman"/>
          <w:i w:val="0"/>
          <w:caps w:val="0"/>
          <w:color w:val="333333"/>
          <w:spacing w:val="0"/>
          <w:sz w:val="32"/>
          <w:szCs w:val="32"/>
          <w:shd w:val="clear" w:fill="FFFFFF"/>
          <w:lang w:val="en-US" w:eastAsia="zh-CN"/>
        </w:rPr>
        <w:t>人员增减变动</w:t>
      </w:r>
      <w:r>
        <w:rPr>
          <w:rFonts w:hint="default" w:ascii="Times New Roman" w:hAnsi="Times New Roman" w:eastAsia="方正仿宋_GBK" w:cs="Times New Roman"/>
          <w:i w:val="0"/>
          <w:caps w:val="0"/>
          <w:color w:val="333333"/>
          <w:spacing w:val="0"/>
          <w:sz w:val="32"/>
          <w:szCs w:val="32"/>
          <w:shd w:val="clear" w:fill="FFFFFF"/>
          <w:lang w:val="en-US" w:eastAsia="zh-CN"/>
        </w:rPr>
        <w:t>。公用经费用途主要包括</w:t>
      </w:r>
      <w:r>
        <w:rPr>
          <w:rFonts w:hint="eastAsia" w:ascii="Times New Roman" w:hAnsi="Times New Roman" w:eastAsia="方正仿宋_GBK" w:cs="Times New Roman"/>
          <w:i w:val="0"/>
          <w:caps w:val="0"/>
          <w:color w:val="333333"/>
          <w:spacing w:val="0"/>
          <w:sz w:val="32"/>
          <w:szCs w:val="32"/>
          <w:shd w:val="clear" w:fill="FFFFFF"/>
          <w:lang w:val="en-US" w:eastAsia="zh-CN"/>
        </w:rPr>
        <w:t>办公费、印刷费、差旅费、电费、水费等。</w:t>
      </w:r>
    </w:p>
    <w:p>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0" w:firstLineChars="200"/>
        <w:jc w:val="both"/>
        <w:textAlignment w:val="auto"/>
        <w:outlineLvl w:val="9"/>
        <w:rPr>
          <w:rStyle w:val="8"/>
          <w:rFonts w:hint="eastAsia" w:ascii="Times New Roman" w:hAnsi="Times New Roman" w:eastAsia="方正楷体_GBK" w:cs="Times New Roman"/>
          <w:b w:val="0"/>
          <w:bCs/>
          <w:sz w:val="32"/>
          <w:szCs w:val="32"/>
          <w:shd w:val="clear" w:color="auto" w:fill="FFFFFF"/>
          <w:lang w:val="en-US" w:eastAsia="zh-CN" w:bidi="ar-SA"/>
        </w:rPr>
      </w:pPr>
      <w:r>
        <w:rPr>
          <w:rStyle w:val="8"/>
          <w:rFonts w:hint="eastAsia" w:ascii="Times New Roman" w:hAnsi="Times New Roman" w:eastAsia="方正楷体_GBK" w:cs="Times New Roman"/>
          <w:b w:val="0"/>
          <w:bCs/>
          <w:sz w:val="32"/>
          <w:szCs w:val="32"/>
          <w:shd w:val="clear" w:color="auto" w:fill="FFFFFF"/>
          <w:lang w:val="en-US" w:eastAsia="zh-CN" w:bidi="ar-SA"/>
        </w:rPr>
        <w:t>（五）政府性基金预算收支决算情况说明</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本</w:t>
      </w:r>
      <w:r>
        <w:rPr>
          <w:rFonts w:hint="eastAsia" w:ascii="Times New Roman" w:hAnsi="Times New Roman" w:eastAsia="方正仿宋_GBK" w:cs="Times New Roman"/>
          <w:i w:val="0"/>
          <w:caps w:val="0"/>
          <w:color w:val="333333"/>
          <w:spacing w:val="0"/>
          <w:sz w:val="32"/>
          <w:szCs w:val="32"/>
          <w:shd w:val="clear" w:fill="FFFFFF"/>
          <w:lang w:val="en-US" w:eastAsia="zh-CN"/>
        </w:rPr>
        <w:t>部门</w:t>
      </w:r>
      <w:r>
        <w:rPr>
          <w:rFonts w:hint="default" w:ascii="Times New Roman" w:hAnsi="Times New Roman" w:eastAsia="方正仿宋_GBK" w:cs="Times New Roman"/>
          <w:i w:val="0"/>
          <w:caps w:val="0"/>
          <w:color w:val="333333"/>
          <w:spacing w:val="0"/>
          <w:sz w:val="32"/>
          <w:szCs w:val="32"/>
          <w:shd w:val="clear" w:fill="FFFFFF"/>
          <w:lang w:val="en-US" w:eastAsia="zh-CN"/>
        </w:rPr>
        <w:t>2023年度无政府性基金预算财政拨款收支。</w:t>
      </w:r>
    </w:p>
    <w:p>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0" w:firstLineChars="200"/>
        <w:jc w:val="both"/>
        <w:textAlignment w:val="auto"/>
        <w:outlineLvl w:val="9"/>
        <w:rPr>
          <w:rStyle w:val="8"/>
          <w:rFonts w:hint="eastAsia" w:ascii="Times New Roman" w:hAnsi="Times New Roman" w:eastAsia="方正楷体_GBK" w:cs="Times New Roman"/>
          <w:b w:val="0"/>
          <w:bCs/>
          <w:sz w:val="32"/>
          <w:szCs w:val="32"/>
          <w:shd w:val="clear" w:color="auto" w:fill="FFFFFF"/>
          <w:lang w:val="en-US" w:eastAsia="zh-CN" w:bidi="ar-SA"/>
        </w:rPr>
      </w:pPr>
      <w:r>
        <w:rPr>
          <w:rStyle w:val="8"/>
          <w:rFonts w:hint="eastAsia" w:ascii="Times New Roman" w:hAnsi="Times New Roman" w:eastAsia="方正楷体_GBK" w:cs="Times New Roman"/>
          <w:b w:val="0"/>
          <w:bCs/>
          <w:sz w:val="32"/>
          <w:szCs w:val="32"/>
          <w:shd w:val="clear" w:color="auto" w:fill="FFFFFF"/>
          <w:lang w:val="en-US" w:eastAsia="zh-CN" w:bidi="ar-SA"/>
        </w:rPr>
        <w:t>（六）国有资本经营预算财政拨款支出决算情况说明</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本</w:t>
      </w:r>
      <w:r>
        <w:rPr>
          <w:rFonts w:hint="eastAsia" w:ascii="Times New Roman" w:hAnsi="Times New Roman" w:eastAsia="方正仿宋_GBK" w:cs="Times New Roman"/>
          <w:i w:val="0"/>
          <w:caps w:val="0"/>
          <w:color w:val="333333"/>
          <w:spacing w:val="0"/>
          <w:sz w:val="32"/>
          <w:szCs w:val="32"/>
          <w:shd w:val="clear" w:fill="FFFFFF"/>
          <w:lang w:val="en-US" w:eastAsia="zh-CN"/>
        </w:rPr>
        <w:t>部门</w:t>
      </w:r>
      <w:r>
        <w:rPr>
          <w:rFonts w:hint="default" w:ascii="Times New Roman" w:hAnsi="Times New Roman" w:eastAsia="方正仿宋_GBK" w:cs="Times New Roman"/>
          <w:i w:val="0"/>
          <w:caps w:val="0"/>
          <w:color w:val="333333"/>
          <w:spacing w:val="0"/>
          <w:sz w:val="32"/>
          <w:szCs w:val="32"/>
          <w:shd w:val="clear" w:fill="FFFFFF"/>
          <w:lang w:val="en-US" w:eastAsia="zh-CN"/>
        </w:rPr>
        <w:t>2023年度无国有资本经营预算财政拨款支出。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三、</w:t>
      </w:r>
      <w:r>
        <w:rPr>
          <w:rStyle w:val="8"/>
          <w:rFonts w:hint="eastAsia" w:ascii="Times New Roman" w:hAnsi="Times New Roman" w:eastAsia="方正黑体_GBK" w:cs="Times New Roman"/>
          <w:b w:val="0"/>
          <w:bCs/>
          <w:sz w:val="32"/>
          <w:szCs w:val="32"/>
          <w:shd w:val="clear" w:color="auto" w:fill="FFFFFF"/>
          <w:lang w:eastAsia="zh-CN"/>
        </w:rPr>
        <w:t>“</w:t>
      </w:r>
      <w:r>
        <w:rPr>
          <w:rStyle w:val="8"/>
          <w:rFonts w:hint="default" w:ascii="Times New Roman" w:hAnsi="Times New Roman" w:eastAsia="方正黑体_GBK" w:cs="Times New Roman"/>
          <w:b w:val="0"/>
          <w:bCs/>
          <w:sz w:val="32"/>
          <w:szCs w:val="32"/>
          <w:shd w:val="clear" w:color="auto" w:fill="FFFFFF"/>
        </w:rPr>
        <w:t>三公</w:t>
      </w:r>
      <w:r>
        <w:rPr>
          <w:rStyle w:val="8"/>
          <w:rFonts w:hint="eastAsia" w:ascii="Times New Roman" w:hAnsi="Times New Roman" w:eastAsia="方正黑体_GBK" w:cs="Times New Roman"/>
          <w:b w:val="0"/>
          <w:bCs/>
          <w:sz w:val="32"/>
          <w:szCs w:val="32"/>
          <w:shd w:val="clear" w:color="auto" w:fill="FFFFFF"/>
          <w:lang w:eastAsia="zh-CN"/>
        </w:rPr>
        <w:t>”</w:t>
      </w:r>
      <w:r>
        <w:rPr>
          <w:rStyle w:val="8"/>
          <w:rFonts w:hint="default" w:ascii="Times New Roman" w:hAnsi="Times New Roman" w:eastAsia="方正黑体_GBK" w:cs="Times New Roman"/>
          <w:b w:val="0"/>
          <w:bCs/>
          <w:sz w:val="32"/>
          <w:szCs w:val="32"/>
          <w:shd w:val="clear" w:color="auto" w:fill="FFFFFF"/>
        </w:rPr>
        <w:t>经费情况说明</w:t>
      </w:r>
    </w:p>
    <w:p>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0" w:firstLineChars="200"/>
        <w:jc w:val="both"/>
        <w:textAlignment w:val="auto"/>
        <w:outlineLvl w:val="9"/>
        <w:rPr>
          <w:rStyle w:val="8"/>
          <w:rFonts w:hint="eastAsia" w:ascii="Times New Roman" w:hAnsi="Times New Roman" w:eastAsia="方正楷体_GBK" w:cs="Times New Roman"/>
          <w:b w:val="0"/>
          <w:bCs/>
          <w:sz w:val="32"/>
          <w:szCs w:val="32"/>
          <w:shd w:val="clear" w:color="auto" w:fill="FFFFFF"/>
          <w:lang w:val="en-US" w:eastAsia="zh-CN" w:bidi="ar-SA"/>
        </w:rPr>
      </w:pPr>
      <w:r>
        <w:rPr>
          <w:rStyle w:val="8"/>
          <w:rFonts w:hint="eastAsia" w:ascii="Times New Roman" w:hAnsi="Times New Roman" w:eastAsia="方正楷体_GBK" w:cs="Times New Roman"/>
          <w:b w:val="0"/>
          <w:bCs/>
          <w:sz w:val="32"/>
          <w:szCs w:val="32"/>
          <w:shd w:val="clear" w:color="auto" w:fill="FFFFFF"/>
          <w:lang w:val="en-US" w:eastAsia="zh-CN" w:bidi="ar-SA"/>
        </w:rPr>
        <w:t>（一）“三公”经费支出总体情况说明</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2023年度</w:t>
      </w:r>
      <w:r>
        <w:rPr>
          <w:rFonts w:hint="eastAsia" w:ascii="Times New Roman" w:hAnsi="Times New Roman" w:eastAsia="方正仿宋_GBK" w:cs="Times New Roman"/>
          <w:i w:val="0"/>
          <w:caps w:val="0"/>
          <w:color w:val="333333"/>
          <w:spacing w:val="0"/>
          <w:sz w:val="32"/>
          <w:szCs w:val="32"/>
          <w:shd w:val="clear" w:fill="FFFFFF"/>
          <w:lang w:val="en-US" w:eastAsia="zh-CN"/>
        </w:rPr>
        <w:t>“</w:t>
      </w:r>
      <w:r>
        <w:rPr>
          <w:rFonts w:hint="default" w:ascii="Times New Roman" w:hAnsi="Times New Roman" w:eastAsia="方正仿宋_GBK" w:cs="Times New Roman"/>
          <w:i w:val="0"/>
          <w:caps w:val="0"/>
          <w:color w:val="333333"/>
          <w:spacing w:val="0"/>
          <w:sz w:val="32"/>
          <w:szCs w:val="32"/>
          <w:shd w:val="clear" w:fill="FFFFFF"/>
          <w:lang w:val="en-US" w:eastAsia="zh-CN"/>
        </w:rPr>
        <w:t>三公</w:t>
      </w:r>
      <w:r>
        <w:rPr>
          <w:rFonts w:hint="eastAsia" w:ascii="Times New Roman" w:hAnsi="Times New Roman" w:eastAsia="方正仿宋_GBK" w:cs="Times New Roman"/>
          <w:i w:val="0"/>
          <w:caps w:val="0"/>
          <w:color w:val="333333"/>
          <w:spacing w:val="0"/>
          <w:sz w:val="32"/>
          <w:szCs w:val="32"/>
          <w:shd w:val="clear" w:fill="FFFFFF"/>
          <w:lang w:val="en-US" w:eastAsia="zh-CN"/>
        </w:rPr>
        <w:t>”</w:t>
      </w:r>
      <w:r>
        <w:rPr>
          <w:rFonts w:hint="default" w:ascii="Times New Roman" w:hAnsi="Times New Roman" w:eastAsia="方正仿宋_GBK" w:cs="Times New Roman"/>
          <w:i w:val="0"/>
          <w:caps w:val="0"/>
          <w:color w:val="333333"/>
          <w:spacing w:val="0"/>
          <w:sz w:val="32"/>
          <w:szCs w:val="32"/>
          <w:shd w:val="clear" w:fill="FFFFFF"/>
          <w:lang w:val="en-US" w:eastAsia="zh-CN"/>
        </w:rPr>
        <w:t>经费支出共计9.15万元，较年初预算数减少0.85万元，下降8.50%，主要原因是</w:t>
      </w:r>
      <w:r>
        <w:rPr>
          <w:rFonts w:hint="eastAsia" w:ascii="Times New Roman" w:hAnsi="Times New Roman" w:eastAsia="方正仿宋_GBK" w:cs="Times New Roman"/>
          <w:i w:val="0"/>
          <w:caps w:val="0"/>
          <w:color w:val="333333"/>
          <w:spacing w:val="0"/>
          <w:sz w:val="32"/>
          <w:szCs w:val="32"/>
          <w:shd w:val="clear" w:fill="FFFFFF"/>
          <w:lang w:val="en-US" w:eastAsia="zh-CN"/>
        </w:rPr>
        <w:t>落实过紧日子政策</w:t>
      </w:r>
      <w:r>
        <w:rPr>
          <w:rFonts w:hint="default" w:ascii="Times New Roman" w:hAnsi="Times New Roman" w:eastAsia="方正仿宋_GBK" w:cs="Times New Roman"/>
          <w:i w:val="0"/>
          <w:caps w:val="0"/>
          <w:color w:val="333333"/>
          <w:spacing w:val="0"/>
          <w:sz w:val="32"/>
          <w:szCs w:val="32"/>
          <w:shd w:val="clear" w:fill="FFFFFF"/>
          <w:lang w:val="en-US" w:eastAsia="zh-CN"/>
        </w:rPr>
        <w:t>。较上年支出数增加1.70万元，增长22.82%，主要原因是</w:t>
      </w:r>
      <w:r>
        <w:rPr>
          <w:rFonts w:hint="eastAsia" w:ascii="Times New Roman" w:hAnsi="Times New Roman" w:eastAsia="方正仿宋_GBK" w:cs="Times New Roman"/>
          <w:i w:val="0"/>
          <w:caps w:val="0"/>
          <w:color w:val="333333"/>
          <w:spacing w:val="0"/>
          <w:sz w:val="32"/>
          <w:szCs w:val="32"/>
          <w:shd w:val="clear" w:fill="FFFFFF"/>
          <w:lang w:val="en-US" w:eastAsia="zh-CN"/>
        </w:rPr>
        <w:t>人员增减变动</w:t>
      </w:r>
      <w:r>
        <w:rPr>
          <w:rFonts w:hint="default" w:ascii="Times New Roman" w:hAnsi="Times New Roman" w:eastAsia="方正仿宋_GBK" w:cs="Times New Roman"/>
          <w:i w:val="0"/>
          <w:caps w:val="0"/>
          <w:color w:val="333333"/>
          <w:spacing w:val="0"/>
          <w:sz w:val="32"/>
          <w:szCs w:val="32"/>
          <w:shd w:val="clear" w:fill="FFFFFF"/>
          <w:lang w:val="en-US" w:eastAsia="zh-CN"/>
        </w:rPr>
        <w:t>。</w:t>
      </w:r>
    </w:p>
    <w:p>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0" w:firstLineChars="200"/>
        <w:jc w:val="both"/>
        <w:textAlignment w:val="auto"/>
        <w:outlineLvl w:val="9"/>
        <w:rPr>
          <w:rStyle w:val="8"/>
          <w:rFonts w:hint="eastAsia" w:ascii="Times New Roman" w:hAnsi="Times New Roman" w:eastAsia="方正楷体_GBK" w:cs="Times New Roman"/>
          <w:b w:val="0"/>
          <w:bCs/>
          <w:sz w:val="32"/>
          <w:szCs w:val="32"/>
          <w:shd w:val="clear" w:color="auto" w:fill="FFFFFF"/>
          <w:lang w:val="en-US" w:eastAsia="zh-CN" w:bidi="ar-SA"/>
        </w:rPr>
      </w:pPr>
      <w:r>
        <w:rPr>
          <w:rStyle w:val="8"/>
          <w:rFonts w:hint="eastAsia" w:ascii="Times New Roman" w:hAnsi="Times New Roman" w:eastAsia="方正楷体_GBK" w:cs="Times New Roman"/>
          <w:b w:val="0"/>
          <w:bCs/>
          <w:sz w:val="32"/>
          <w:szCs w:val="32"/>
          <w:shd w:val="clear" w:color="auto" w:fill="FFFFFF"/>
          <w:lang w:val="en-US" w:eastAsia="zh-CN" w:bidi="ar-SA"/>
        </w:rPr>
        <w:t>（二）“三公”经费分项支出情况</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2023年度本</w:t>
      </w:r>
      <w:r>
        <w:rPr>
          <w:rFonts w:hint="eastAsia" w:ascii="Times New Roman" w:hAnsi="Times New Roman" w:eastAsia="方正仿宋_GBK" w:cs="Times New Roman"/>
          <w:i w:val="0"/>
          <w:caps w:val="0"/>
          <w:color w:val="333333"/>
          <w:spacing w:val="0"/>
          <w:sz w:val="32"/>
          <w:szCs w:val="32"/>
          <w:shd w:val="clear" w:fill="FFFFFF"/>
          <w:lang w:val="en-US" w:eastAsia="zh-CN"/>
        </w:rPr>
        <w:t>部门</w:t>
      </w:r>
      <w:r>
        <w:rPr>
          <w:rFonts w:hint="default" w:ascii="Times New Roman" w:hAnsi="Times New Roman" w:eastAsia="方正仿宋_GBK" w:cs="Times New Roman"/>
          <w:i w:val="0"/>
          <w:caps w:val="0"/>
          <w:color w:val="333333"/>
          <w:spacing w:val="0"/>
          <w:sz w:val="32"/>
          <w:szCs w:val="32"/>
          <w:shd w:val="clear" w:fill="FFFFFF"/>
          <w:lang w:val="en-US" w:eastAsia="zh-CN"/>
        </w:rPr>
        <w:t>因公出国（境）费用0.00万元</w:t>
      </w:r>
      <w:r>
        <w:rPr>
          <w:rFonts w:hint="eastAsia" w:ascii="Times New Roman" w:hAnsi="Times New Roman" w:eastAsia="方正仿宋_GBK" w:cs="Times New Roman"/>
          <w:i w:val="0"/>
          <w:caps w:val="0"/>
          <w:color w:val="333333"/>
          <w:spacing w:val="0"/>
          <w:sz w:val="32"/>
          <w:szCs w:val="32"/>
          <w:shd w:val="clear" w:fill="FFFFFF"/>
          <w:lang w:val="en-US" w:eastAsia="zh-CN"/>
        </w:rPr>
        <w:t>。</w:t>
      </w:r>
      <w:r>
        <w:rPr>
          <w:rFonts w:hint="default" w:ascii="Times New Roman" w:hAnsi="Times New Roman" w:eastAsia="方正仿宋_GBK" w:cs="Times New Roman"/>
          <w:i w:val="0"/>
          <w:caps w:val="0"/>
          <w:color w:val="333333"/>
          <w:spacing w:val="0"/>
          <w:sz w:val="32"/>
          <w:szCs w:val="32"/>
          <w:shd w:val="clear" w:fill="FFFFFF"/>
          <w:lang w:val="en-US" w:eastAsia="zh-CN"/>
        </w:rPr>
        <w:t>费用支出较年初预算数无增减，主要原因是</w:t>
      </w:r>
      <w:r>
        <w:rPr>
          <w:rFonts w:hint="eastAsia" w:ascii="Times New Roman" w:hAnsi="Times New Roman" w:eastAsia="方正仿宋_GBK" w:cs="Times New Roman"/>
          <w:i w:val="0"/>
          <w:caps w:val="0"/>
          <w:color w:val="333333"/>
          <w:spacing w:val="0"/>
          <w:sz w:val="32"/>
          <w:szCs w:val="32"/>
          <w:shd w:val="clear" w:fill="FFFFFF"/>
          <w:lang w:val="en-US" w:eastAsia="zh-CN"/>
        </w:rPr>
        <w:t>无因公出国（境）。</w:t>
      </w:r>
      <w:r>
        <w:rPr>
          <w:rFonts w:hint="default" w:ascii="Times New Roman" w:hAnsi="Times New Roman" w:eastAsia="方正仿宋_GBK" w:cs="Times New Roman"/>
          <w:i w:val="0"/>
          <w:caps w:val="0"/>
          <w:color w:val="333333"/>
          <w:spacing w:val="0"/>
          <w:sz w:val="32"/>
          <w:szCs w:val="32"/>
          <w:shd w:val="clear" w:fill="FFFFFF"/>
          <w:lang w:val="en-US" w:eastAsia="zh-CN"/>
        </w:rPr>
        <w:t>较上年支出数无增减，主要原因是</w:t>
      </w:r>
      <w:r>
        <w:rPr>
          <w:rFonts w:hint="eastAsia" w:ascii="Times New Roman" w:hAnsi="Times New Roman" w:eastAsia="方正仿宋_GBK" w:cs="Times New Roman"/>
          <w:i w:val="0"/>
          <w:caps w:val="0"/>
          <w:color w:val="333333"/>
          <w:spacing w:val="0"/>
          <w:sz w:val="32"/>
          <w:szCs w:val="32"/>
          <w:shd w:val="clear" w:fill="FFFFFF"/>
          <w:lang w:val="en-US" w:eastAsia="zh-CN"/>
        </w:rPr>
        <w:t>未安排此项支出。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公务车购置费0.00万元。费用支出较年初预算数无增减，主要原因是</w:t>
      </w:r>
      <w:r>
        <w:rPr>
          <w:rFonts w:hint="eastAsia" w:ascii="Times New Roman" w:hAnsi="Times New Roman" w:eastAsia="方正仿宋_GBK" w:cs="Times New Roman"/>
          <w:i w:val="0"/>
          <w:caps w:val="0"/>
          <w:color w:val="333333"/>
          <w:spacing w:val="0"/>
          <w:sz w:val="32"/>
          <w:szCs w:val="32"/>
          <w:shd w:val="clear" w:fill="FFFFFF"/>
          <w:lang w:val="en-US" w:eastAsia="zh-CN"/>
        </w:rPr>
        <w:t>未购置公务车辆。</w:t>
      </w:r>
      <w:r>
        <w:rPr>
          <w:rFonts w:hint="default" w:ascii="Times New Roman" w:hAnsi="Times New Roman" w:eastAsia="方正仿宋_GBK" w:cs="Times New Roman"/>
          <w:i w:val="0"/>
          <w:caps w:val="0"/>
          <w:color w:val="333333"/>
          <w:spacing w:val="0"/>
          <w:sz w:val="32"/>
          <w:szCs w:val="32"/>
          <w:shd w:val="clear" w:fill="FFFFFF"/>
          <w:lang w:val="en-US" w:eastAsia="zh-CN"/>
        </w:rPr>
        <w:t>较上年支出数无增减，主要原因是</w:t>
      </w:r>
      <w:r>
        <w:rPr>
          <w:rFonts w:hint="eastAsia" w:ascii="Times New Roman" w:hAnsi="Times New Roman" w:eastAsia="方正仿宋_GBK" w:cs="Times New Roman"/>
          <w:i w:val="0"/>
          <w:caps w:val="0"/>
          <w:color w:val="333333"/>
          <w:spacing w:val="0"/>
          <w:sz w:val="32"/>
          <w:szCs w:val="32"/>
          <w:shd w:val="clear" w:fill="FFFFFF"/>
          <w:lang w:val="en-US" w:eastAsia="zh-CN"/>
        </w:rPr>
        <w:t>未购置公务车辆</w:t>
      </w:r>
      <w:r>
        <w:rPr>
          <w:rFonts w:hint="default" w:ascii="Times New Roman" w:hAnsi="Times New Roman" w:eastAsia="方正仿宋_GBK" w:cs="Times New Roman"/>
          <w:i w:val="0"/>
          <w:caps w:val="0"/>
          <w:color w:val="333333"/>
          <w:spacing w:val="0"/>
          <w:sz w:val="32"/>
          <w:szCs w:val="32"/>
          <w:shd w:val="clear" w:fill="FFFFFF"/>
          <w:lang w:val="en-US"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公务车运行维护费9.15万元，主要用于</w:t>
      </w:r>
      <w:r>
        <w:rPr>
          <w:rFonts w:hint="eastAsia" w:ascii="Times New Roman" w:hAnsi="Times New Roman" w:eastAsia="方正仿宋_GBK" w:cs="Times New Roman"/>
          <w:i w:val="0"/>
          <w:caps w:val="0"/>
          <w:color w:val="333333"/>
          <w:spacing w:val="0"/>
          <w:sz w:val="32"/>
          <w:szCs w:val="32"/>
          <w:shd w:val="clear" w:fill="FFFFFF"/>
          <w:lang w:val="en-US" w:eastAsia="zh-CN"/>
        </w:rPr>
        <w:t>维护公务用车。</w:t>
      </w:r>
      <w:r>
        <w:rPr>
          <w:rFonts w:hint="default" w:ascii="Times New Roman" w:hAnsi="Times New Roman" w:eastAsia="方正仿宋_GBK" w:cs="Times New Roman"/>
          <w:i w:val="0"/>
          <w:caps w:val="0"/>
          <w:color w:val="333333"/>
          <w:spacing w:val="0"/>
          <w:sz w:val="32"/>
          <w:szCs w:val="32"/>
          <w:shd w:val="clear" w:fill="FFFFFF"/>
          <w:lang w:val="en-US" w:eastAsia="zh-CN"/>
        </w:rPr>
        <w:t>费用支出较年初预算数减少0.85万元，下降8.50%，主要原因是</w:t>
      </w:r>
      <w:r>
        <w:rPr>
          <w:rFonts w:hint="eastAsia" w:ascii="Times New Roman" w:hAnsi="Times New Roman" w:eastAsia="方正仿宋_GBK" w:cs="Times New Roman"/>
          <w:i w:val="0"/>
          <w:caps w:val="0"/>
          <w:color w:val="333333"/>
          <w:spacing w:val="0"/>
          <w:sz w:val="32"/>
          <w:szCs w:val="32"/>
          <w:shd w:val="clear" w:fill="FFFFFF"/>
          <w:lang w:val="en-US" w:eastAsia="zh-CN"/>
        </w:rPr>
        <w:t>落实过紧日子政策，</w:t>
      </w:r>
      <w:r>
        <w:rPr>
          <w:rFonts w:hint="default" w:ascii="Times New Roman" w:hAnsi="Times New Roman" w:eastAsia="方正仿宋_GBK" w:cs="Times New Roman"/>
          <w:i w:val="0"/>
          <w:caps w:val="0"/>
          <w:color w:val="333333"/>
          <w:spacing w:val="0"/>
          <w:sz w:val="32"/>
          <w:szCs w:val="32"/>
          <w:shd w:val="clear" w:fill="FFFFFF"/>
          <w:lang w:val="en-US" w:eastAsia="zh-CN"/>
        </w:rPr>
        <w:t>较上年支出数增加1.70万元，增长22.82%，主要原因是</w:t>
      </w:r>
      <w:r>
        <w:rPr>
          <w:rFonts w:hint="eastAsia" w:ascii="Times New Roman" w:hAnsi="Times New Roman" w:eastAsia="方正仿宋_GBK" w:cs="Times New Roman"/>
          <w:i w:val="0"/>
          <w:caps w:val="0"/>
          <w:color w:val="333333"/>
          <w:spacing w:val="0"/>
          <w:sz w:val="32"/>
          <w:szCs w:val="32"/>
          <w:shd w:val="clear" w:fill="FFFFFF"/>
          <w:lang w:val="en-US" w:eastAsia="zh-CN"/>
        </w:rPr>
        <w:t>公务车运行成本增加。</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公务接待费0.00万元</w:t>
      </w:r>
      <w:r>
        <w:rPr>
          <w:rFonts w:hint="eastAsia" w:ascii="Times New Roman" w:hAnsi="Times New Roman" w:eastAsia="方正仿宋_GBK" w:cs="Times New Roman"/>
          <w:i w:val="0"/>
          <w:caps w:val="0"/>
          <w:color w:val="333333"/>
          <w:spacing w:val="0"/>
          <w:sz w:val="32"/>
          <w:szCs w:val="32"/>
          <w:shd w:val="clear" w:fill="FFFFFF"/>
          <w:lang w:val="en-US" w:eastAsia="zh-CN"/>
        </w:rPr>
        <w:t>。</w:t>
      </w:r>
      <w:r>
        <w:rPr>
          <w:rFonts w:hint="default" w:ascii="Times New Roman" w:hAnsi="Times New Roman" w:eastAsia="方正仿宋_GBK" w:cs="Times New Roman"/>
          <w:i w:val="0"/>
          <w:caps w:val="0"/>
          <w:color w:val="333333"/>
          <w:spacing w:val="0"/>
          <w:sz w:val="32"/>
          <w:szCs w:val="32"/>
          <w:shd w:val="clear" w:fill="FFFFFF"/>
          <w:lang w:val="en-US" w:eastAsia="zh-CN"/>
        </w:rPr>
        <w:t>费用支出较年初预算数无增减，主要原因是</w:t>
      </w:r>
      <w:r>
        <w:rPr>
          <w:rFonts w:hint="eastAsia" w:ascii="Times New Roman" w:hAnsi="Times New Roman" w:eastAsia="方正仿宋_GBK" w:cs="Times New Roman"/>
          <w:i w:val="0"/>
          <w:caps w:val="0"/>
          <w:color w:val="333333"/>
          <w:spacing w:val="0"/>
          <w:sz w:val="32"/>
          <w:szCs w:val="32"/>
          <w:shd w:val="clear" w:fill="FFFFFF"/>
          <w:lang w:val="en-US" w:eastAsia="zh-CN"/>
        </w:rPr>
        <w:t>无公务接待。</w:t>
      </w:r>
      <w:r>
        <w:rPr>
          <w:rFonts w:hint="default" w:ascii="Times New Roman" w:hAnsi="Times New Roman" w:eastAsia="方正仿宋_GBK" w:cs="Times New Roman"/>
          <w:i w:val="0"/>
          <w:caps w:val="0"/>
          <w:color w:val="333333"/>
          <w:spacing w:val="0"/>
          <w:sz w:val="32"/>
          <w:szCs w:val="32"/>
          <w:shd w:val="clear" w:fill="FFFFFF"/>
          <w:lang w:val="en-US" w:eastAsia="zh-CN"/>
        </w:rPr>
        <w:t>较上年支出数无增减，主要原因是</w:t>
      </w:r>
      <w:r>
        <w:rPr>
          <w:rFonts w:hint="eastAsia" w:ascii="Times New Roman" w:hAnsi="Times New Roman" w:eastAsia="方正仿宋_GBK" w:cs="Times New Roman"/>
          <w:i w:val="0"/>
          <w:caps w:val="0"/>
          <w:color w:val="333333"/>
          <w:spacing w:val="0"/>
          <w:sz w:val="32"/>
          <w:szCs w:val="32"/>
          <w:shd w:val="clear" w:fill="FFFFFF"/>
          <w:lang w:val="en-US" w:eastAsia="zh-CN"/>
        </w:rPr>
        <w:t>无公务接待。</w:t>
      </w:r>
    </w:p>
    <w:p>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0" w:firstLineChars="200"/>
        <w:jc w:val="both"/>
        <w:textAlignment w:val="auto"/>
        <w:outlineLvl w:val="9"/>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eastAsia" w:ascii="Times New Roman" w:hAnsi="Times New Roman" w:eastAsia="方正楷体_GBK" w:cs="Times New Roman"/>
          <w:b w:val="0"/>
          <w:bCs/>
          <w:sz w:val="32"/>
          <w:szCs w:val="32"/>
          <w:shd w:val="clear" w:color="auto" w:fill="FFFFFF"/>
          <w:lang w:val="en-US" w:eastAsia="zh-CN" w:bidi="ar-SA"/>
        </w:rPr>
        <w:t>（三）“三公”经费实物量情况</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2023年度本</w:t>
      </w:r>
      <w:r>
        <w:rPr>
          <w:rFonts w:hint="eastAsia" w:ascii="Times New Roman" w:hAnsi="Times New Roman" w:eastAsia="方正仿宋_GBK" w:cs="Times New Roman"/>
          <w:i w:val="0"/>
          <w:caps w:val="0"/>
          <w:color w:val="333333"/>
          <w:spacing w:val="0"/>
          <w:sz w:val="32"/>
          <w:szCs w:val="32"/>
          <w:shd w:val="clear" w:fill="FFFFFF"/>
          <w:lang w:val="en-US" w:eastAsia="zh-CN"/>
        </w:rPr>
        <w:t>部门</w:t>
      </w:r>
      <w:r>
        <w:rPr>
          <w:rFonts w:hint="default" w:ascii="Times New Roman" w:hAnsi="Times New Roman" w:eastAsia="方正仿宋_GBK" w:cs="Times New Roman"/>
          <w:i w:val="0"/>
          <w:caps w:val="0"/>
          <w:color w:val="333333"/>
          <w:spacing w:val="0"/>
          <w:sz w:val="32"/>
          <w:szCs w:val="32"/>
          <w:shd w:val="clear" w:fill="FFFFFF"/>
          <w:lang w:val="en-US" w:eastAsia="zh-CN"/>
        </w:rPr>
        <w:t>因公出国（境）共计0个团组，0人；公务用车购置0辆，公务车保有量为2辆；国内公务接待0批次0人，其中：国内外事接待0批次，0人；国（境）外公务接待0批次，0人。2023年本</w:t>
      </w:r>
      <w:r>
        <w:rPr>
          <w:rFonts w:hint="eastAsia" w:ascii="Times New Roman" w:hAnsi="Times New Roman" w:eastAsia="方正仿宋_GBK" w:cs="Times New Roman"/>
          <w:i w:val="0"/>
          <w:caps w:val="0"/>
          <w:color w:val="333333"/>
          <w:spacing w:val="0"/>
          <w:sz w:val="32"/>
          <w:szCs w:val="32"/>
          <w:shd w:val="clear" w:fill="FFFFFF"/>
          <w:lang w:val="en-US" w:eastAsia="zh-CN"/>
        </w:rPr>
        <w:t>部门</w:t>
      </w:r>
      <w:r>
        <w:rPr>
          <w:rFonts w:hint="default" w:ascii="Times New Roman" w:hAnsi="Times New Roman" w:eastAsia="方正仿宋_GBK" w:cs="Times New Roman"/>
          <w:i w:val="0"/>
          <w:caps w:val="0"/>
          <w:color w:val="333333"/>
          <w:spacing w:val="0"/>
          <w:sz w:val="32"/>
          <w:szCs w:val="32"/>
          <w:shd w:val="clear" w:fill="FFFFFF"/>
          <w:lang w:val="en-US" w:eastAsia="zh-CN"/>
        </w:rPr>
        <w:t>人均接待费0元，车均购置费0万元，车均维护费4.57万元。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四、其他需要说明的事项</w:t>
      </w:r>
    </w:p>
    <w:p>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0" w:firstLineChars="200"/>
        <w:jc w:val="both"/>
        <w:textAlignment w:val="auto"/>
        <w:outlineLvl w:val="9"/>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eastAsia" w:ascii="Times New Roman" w:hAnsi="Times New Roman" w:eastAsia="方正楷体_GBK" w:cs="Times New Roman"/>
          <w:b w:val="0"/>
          <w:bCs/>
          <w:sz w:val="32"/>
          <w:szCs w:val="32"/>
          <w:shd w:val="clear" w:color="auto" w:fill="FFFFFF"/>
          <w:lang w:val="en-US" w:eastAsia="zh-CN" w:bidi="ar-SA"/>
        </w:rPr>
        <w:t>（一）财政拨款会议费和培训费情况说明</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本年度会议费支出0.15万元，较上年决算数增加0.15万元，增长100.00%，主要原因是</w:t>
      </w:r>
      <w:r>
        <w:rPr>
          <w:rFonts w:hint="eastAsia" w:ascii="Times New Roman" w:hAnsi="Times New Roman" w:eastAsia="方正仿宋_GBK" w:cs="Times New Roman"/>
          <w:i w:val="0"/>
          <w:caps w:val="0"/>
          <w:color w:val="333333"/>
          <w:spacing w:val="0"/>
          <w:sz w:val="32"/>
          <w:szCs w:val="32"/>
          <w:shd w:val="clear" w:fill="FFFFFF"/>
          <w:lang w:val="en-US" w:eastAsia="zh-CN"/>
        </w:rPr>
        <w:t>本年会议增加</w:t>
      </w:r>
      <w:r>
        <w:rPr>
          <w:rFonts w:hint="default" w:ascii="Times New Roman" w:hAnsi="Times New Roman" w:eastAsia="方正仿宋_GBK" w:cs="Times New Roman"/>
          <w:i w:val="0"/>
          <w:caps w:val="0"/>
          <w:color w:val="333333"/>
          <w:spacing w:val="0"/>
          <w:sz w:val="32"/>
          <w:szCs w:val="32"/>
          <w:shd w:val="clear" w:fill="FFFFFF"/>
          <w:lang w:val="en-US" w:eastAsia="zh-CN"/>
        </w:rPr>
        <w:t>。本年度培训费支出5.63万元，较上年决算数增加4.96万元，增长740.30%，主要原因是</w:t>
      </w:r>
      <w:r>
        <w:rPr>
          <w:rFonts w:hint="eastAsia" w:ascii="Times New Roman" w:hAnsi="Times New Roman" w:eastAsia="方正仿宋_GBK" w:cs="Times New Roman"/>
          <w:i w:val="0"/>
          <w:caps w:val="0"/>
          <w:color w:val="333333"/>
          <w:spacing w:val="0"/>
          <w:sz w:val="32"/>
          <w:szCs w:val="32"/>
          <w:shd w:val="clear" w:fill="FFFFFF"/>
          <w:lang w:val="en-US" w:eastAsia="zh-CN"/>
        </w:rPr>
        <w:t>本年培训增加</w:t>
      </w:r>
      <w:r>
        <w:rPr>
          <w:rFonts w:hint="default" w:ascii="Times New Roman" w:hAnsi="Times New Roman" w:eastAsia="方正仿宋_GBK" w:cs="Times New Roman"/>
          <w:i w:val="0"/>
          <w:caps w:val="0"/>
          <w:color w:val="333333"/>
          <w:spacing w:val="0"/>
          <w:sz w:val="32"/>
          <w:szCs w:val="32"/>
          <w:shd w:val="clear" w:fill="FFFFFF"/>
          <w:lang w:val="en-US" w:eastAsia="zh-CN"/>
        </w:rPr>
        <w:t>。</w:t>
      </w:r>
    </w:p>
    <w:p>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0" w:firstLineChars="200"/>
        <w:jc w:val="both"/>
        <w:textAlignment w:val="auto"/>
        <w:outlineLvl w:val="9"/>
        <w:rPr>
          <w:rStyle w:val="8"/>
          <w:rFonts w:hint="eastAsia" w:ascii="Times New Roman" w:hAnsi="Times New Roman" w:eastAsia="方正楷体_GBK" w:cs="Times New Roman"/>
          <w:b w:val="0"/>
          <w:bCs/>
          <w:sz w:val="32"/>
          <w:szCs w:val="32"/>
          <w:shd w:val="clear" w:color="auto" w:fill="FFFFFF"/>
          <w:lang w:val="en-US" w:eastAsia="zh-CN" w:bidi="ar-SA"/>
        </w:rPr>
      </w:pPr>
      <w:r>
        <w:rPr>
          <w:rStyle w:val="8"/>
          <w:rFonts w:hint="eastAsia" w:ascii="Times New Roman" w:hAnsi="Times New Roman" w:eastAsia="方正楷体_GBK" w:cs="Times New Roman"/>
          <w:b w:val="0"/>
          <w:bCs/>
          <w:sz w:val="32"/>
          <w:szCs w:val="32"/>
          <w:shd w:val="clear" w:color="auto" w:fill="FFFFFF"/>
          <w:lang w:val="en-US" w:eastAsia="zh-CN" w:bidi="ar-SA"/>
        </w:rPr>
        <w:t>（二）机关运行经费情况说明</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2023年度本</w:t>
      </w:r>
      <w:r>
        <w:rPr>
          <w:rFonts w:hint="eastAsia" w:ascii="Times New Roman" w:hAnsi="Times New Roman" w:eastAsia="方正仿宋_GBK" w:cs="Times New Roman"/>
          <w:i w:val="0"/>
          <w:caps w:val="0"/>
          <w:color w:val="333333"/>
          <w:spacing w:val="0"/>
          <w:sz w:val="32"/>
          <w:szCs w:val="32"/>
          <w:shd w:val="clear" w:fill="FFFFFF"/>
          <w:lang w:val="en-US" w:eastAsia="zh-CN"/>
        </w:rPr>
        <w:t>部门</w:t>
      </w:r>
      <w:r>
        <w:rPr>
          <w:rFonts w:hint="default" w:ascii="Times New Roman" w:hAnsi="Times New Roman" w:eastAsia="方正仿宋_GBK" w:cs="Times New Roman"/>
          <w:i w:val="0"/>
          <w:caps w:val="0"/>
          <w:color w:val="333333"/>
          <w:spacing w:val="0"/>
          <w:sz w:val="32"/>
          <w:szCs w:val="32"/>
          <w:shd w:val="clear" w:fill="FFFFFF"/>
          <w:lang w:val="en-US" w:eastAsia="zh-CN"/>
        </w:rPr>
        <w:t>机关运行经费支出101.08万元，机关运行经费主要用于开支</w:t>
      </w:r>
      <w:r>
        <w:rPr>
          <w:rFonts w:hint="eastAsia" w:ascii="Times New Roman" w:hAnsi="Times New Roman" w:eastAsia="方正仿宋_GBK" w:cs="Times New Roman"/>
          <w:i w:val="0"/>
          <w:caps w:val="0"/>
          <w:color w:val="333333"/>
          <w:spacing w:val="0"/>
          <w:sz w:val="32"/>
          <w:szCs w:val="32"/>
          <w:shd w:val="clear" w:fill="FFFFFF"/>
          <w:lang w:val="en-US" w:eastAsia="zh-CN"/>
        </w:rPr>
        <w:t>办公费、公务车运行维护费、水费、电费、差旅费等</w:t>
      </w:r>
      <w:r>
        <w:rPr>
          <w:rFonts w:hint="default" w:ascii="Times New Roman" w:hAnsi="Times New Roman" w:eastAsia="方正仿宋_GBK" w:cs="Times New Roman"/>
          <w:i w:val="0"/>
          <w:caps w:val="0"/>
          <w:color w:val="333333"/>
          <w:spacing w:val="0"/>
          <w:sz w:val="32"/>
          <w:szCs w:val="32"/>
          <w:shd w:val="clear" w:fill="FFFFFF"/>
          <w:lang w:val="en-US" w:eastAsia="zh-CN"/>
        </w:rPr>
        <w:t>。机关运行经费较上年支出数增加12.37万元，增长13.94%，主要原因是</w:t>
      </w:r>
      <w:r>
        <w:rPr>
          <w:rFonts w:hint="eastAsia" w:ascii="Times New Roman" w:hAnsi="Times New Roman" w:eastAsia="方正仿宋_GBK" w:cs="Times New Roman"/>
          <w:i w:val="0"/>
          <w:caps w:val="0"/>
          <w:color w:val="333333"/>
          <w:spacing w:val="0"/>
          <w:sz w:val="32"/>
          <w:szCs w:val="32"/>
          <w:shd w:val="clear" w:fill="FFFFFF"/>
          <w:lang w:val="en-US" w:eastAsia="zh-CN"/>
        </w:rPr>
        <w:t>人员增减变动。</w:t>
      </w:r>
    </w:p>
    <w:p>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0" w:firstLineChars="200"/>
        <w:jc w:val="both"/>
        <w:textAlignment w:val="auto"/>
        <w:outlineLvl w:val="9"/>
        <w:rPr>
          <w:rStyle w:val="8"/>
          <w:rFonts w:hint="eastAsia" w:ascii="Times New Roman" w:hAnsi="Times New Roman" w:eastAsia="方正楷体_GBK" w:cs="Times New Roman"/>
          <w:b w:val="0"/>
          <w:bCs/>
          <w:sz w:val="32"/>
          <w:szCs w:val="32"/>
          <w:shd w:val="clear" w:color="auto" w:fill="FFFFFF"/>
          <w:lang w:val="en-US" w:eastAsia="zh-CN" w:bidi="ar-SA"/>
        </w:rPr>
      </w:pPr>
      <w:r>
        <w:rPr>
          <w:rStyle w:val="8"/>
          <w:rFonts w:hint="eastAsia" w:ascii="Times New Roman" w:hAnsi="Times New Roman" w:eastAsia="方正楷体_GBK" w:cs="Times New Roman"/>
          <w:b w:val="0"/>
          <w:bCs/>
          <w:sz w:val="32"/>
          <w:szCs w:val="32"/>
          <w:shd w:val="clear" w:color="auto" w:fill="FFFFFF"/>
          <w:lang w:val="en-US" w:eastAsia="zh-CN" w:bidi="ar-SA"/>
        </w:rPr>
        <w:t>（三）国有资产占用情况说明</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截至2023年12月31日，本</w:t>
      </w:r>
      <w:r>
        <w:rPr>
          <w:rFonts w:hint="eastAsia" w:ascii="Times New Roman" w:hAnsi="Times New Roman" w:eastAsia="方正仿宋_GBK" w:cs="Times New Roman"/>
          <w:i w:val="0"/>
          <w:caps w:val="0"/>
          <w:color w:val="333333"/>
          <w:spacing w:val="0"/>
          <w:sz w:val="32"/>
          <w:szCs w:val="32"/>
          <w:shd w:val="clear" w:fill="FFFFFF"/>
          <w:lang w:val="en-US" w:eastAsia="zh-CN"/>
        </w:rPr>
        <w:t>部门</w:t>
      </w:r>
      <w:r>
        <w:rPr>
          <w:rFonts w:hint="default" w:ascii="Times New Roman" w:hAnsi="Times New Roman" w:eastAsia="方正仿宋_GBK" w:cs="Times New Roman"/>
          <w:i w:val="0"/>
          <w:caps w:val="0"/>
          <w:color w:val="333333"/>
          <w:spacing w:val="0"/>
          <w:sz w:val="32"/>
          <w:szCs w:val="32"/>
          <w:shd w:val="clear" w:fill="FFFFFF"/>
          <w:lang w:val="en-US" w:eastAsia="zh-CN"/>
        </w:rPr>
        <w:t>共有车辆2辆，其中，副部（省）级及以上领导用车0辆、主要负责人用车0辆、机要通信用车0辆、应急保障用车2辆、执法执勤用车0辆，特种专业技术用车0辆，离退休干部用车0辆。单价100万元（含）以上专用设备0台（套）。</w:t>
      </w:r>
    </w:p>
    <w:p>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0" w:firstLineChars="200"/>
        <w:jc w:val="both"/>
        <w:textAlignment w:val="auto"/>
        <w:outlineLvl w:val="9"/>
        <w:rPr>
          <w:rStyle w:val="8"/>
          <w:rFonts w:hint="eastAsia" w:ascii="Times New Roman" w:hAnsi="Times New Roman" w:eastAsia="方正楷体_GBK" w:cs="Times New Roman"/>
          <w:b w:val="0"/>
          <w:bCs/>
          <w:sz w:val="32"/>
          <w:szCs w:val="32"/>
          <w:shd w:val="clear" w:color="auto" w:fill="FFFFFF"/>
          <w:lang w:val="en-US" w:eastAsia="zh-CN" w:bidi="ar-SA"/>
        </w:rPr>
      </w:pPr>
      <w:r>
        <w:rPr>
          <w:rStyle w:val="8"/>
          <w:rFonts w:hint="eastAsia" w:ascii="Times New Roman" w:hAnsi="Times New Roman" w:eastAsia="方正楷体_GBK" w:cs="Times New Roman"/>
          <w:b w:val="0"/>
          <w:bCs/>
          <w:sz w:val="32"/>
          <w:szCs w:val="32"/>
          <w:shd w:val="clear" w:color="auto" w:fill="FFFFFF"/>
          <w:lang w:val="en-US" w:eastAsia="zh-CN" w:bidi="ar-SA"/>
        </w:rPr>
        <w:t>（四）政府采购支出情况说明</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2023年度本</w:t>
      </w:r>
      <w:r>
        <w:rPr>
          <w:rFonts w:hint="eastAsia" w:ascii="Times New Roman" w:hAnsi="Times New Roman" w:eastAsia="方正仿宋_GBK" w:cs="Times New Roman"/>
          <w:i w:val="0"/>
          <w:caps w:val="0"/>
          <w:color w:val="333333"/>
          <w:spacing w:val="0"/>
          <w:sz w:val="32"/>
          <w:szCs w:val="32"/>
          <w:shd w:val="clear" w:fill="FFFFFF"/>
          <w:lang w:val="en-US" w:eastAsia="zh-CN"/>
        </w:rPr>
        <w:t>部门</w:t>
      </w:r>
      <w:r>
        <w:rPr>
          <w:rFonts w:hint="default" w:ascii="Times New Roman" w:hAnsi="Times New Roman" w:eastAsia="方正仿宋_GBK" w:cs="Times New Roman"/>
          <w:i w:val="0"/>
          <w:caps w:val="0"/>
          <w:color w:val="333333"/>
          <w:spacing w:val="0"/>
          <w:sz w:val="32"/>
          <w:szCs w:val="32"/>
          <w:shd w:val="clear" w:fill="FFFFFF"/>
          <w:lang w:val="en-US" w:eastAsia="zh-CN"/>
        </w:rPr>
        <w:t>政府采购支出总额0.50万元，其中：政府采购货物支出0.50万元、政府采购工程支出0.00万元、政府采购服务支出0.00万元。授予中小企业合同金额0.50万元，占政府采购支出总额的100.00%，其中：授予小微企业合同金额0.50万元，占政府采购支出总额的100.00 %。主要用于采购</w:t>
      </w:r>
      <w:r>
        <w:rPr>
          <w:rFonts w:hint="eastAsia" w:ascii="Times New Roman" w:hAnsi="Times New Roman" w:eastAsia="方正仿宋_GBK" w:cs="Times New Roman"/>
          <w:i w:val="0"/>
          <w:caps w:val="0"/>
          <w:color w:val="333333"/>
          <w:spacing w:val="0"/>
          <w:sz w:val="32"/>
          <w:szCs w:val="32"/>
          <w:shd w:val="clear" w:fill="FFFFFF"/>
          <w:lang w:val="en-US" w:eastAsia="zh-CN"/>
        </w:rPr>
        <w:t>办公电脑。</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Times New Roman" w:hAnsi="Times New Roman" w:eastAsia="方正黑体_GBK" w:cs="Times New Roman"/>
          <w:b w:val="0"/>
          <w:bCs/>
          <w:sz w:val="32"/>
          <w:szCs w:val="32"/>
          <w:shd w:val="clear" w:color="auto" w:fill="FFFFFF"/>
        </w:rPr>
      </w:pPr>
      <w:r>
        <w:rPr>
          <w:rStyle w:val="8"/>
          <w:rFonts w:hint="eastAsia" w:ascii="Times New Roman" w:hAnsi="Times New Roman" w:eastAsia="方正黑体_GBK" w:cs="Times New Roman"/>
          <w:b w:val="0"/>
          <w:bCs/>
          <w:sz w:val="32"/>
          <w:szCs w:val="32"/>
          <w:shd w:val="clear" w:color="auto" w:fill="FFFFFF"/>
          <w:lang w:eastAsia="zh-CN"/>
        </w:rPr>
        <w:t>五、</w:t>
      </w:r>
      <w:r>
        <w:rPr>
          <w:rStyle w:val="8"/>
          <w:rFonts w:hint="default" w:ascii="Times New Roman" w:hAnsi="Times New Roman" w:eastAsia="方正黑体_GBK" w:cs="Times New Roman"/>
          <w:b w:val="0"/>
          <w:bCs/>
          <w:sz w:val="32"/>
          <w:szCs w:val="32"/>
          <w:shd w:val="clear" w:color="auto" w:fill="FFFFFF"/>
        </w:rPr>
        <w:t>预算绩效管理情况说明</w:t>
      </w:r>
    </w:p>
    <w:p>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0" w:firstLineChars="200"/>
        <w:jc w:val="both"/>
        <w:textAlignment w:val="auto"/>
        <w:outlineLvl w:val="9"/>
        <w:rPr>
          <w:rStyle w:val="8"/>
          <w:rFonts w:hint="eastAsia" w:ascii="Times New Roman" w:hAnsi="Times New Roman" w:eastAsia="方正楷体_GBK" w:cs="Times New Roman"/>
          <w:b w:val="0"/>
          <w:bCs/>
          <w:sz w:val="32"/>
          <w:szCs w:val="32"/>
          <w:shd w:val="clear" w:color="auto" w:fill="FFFFFF"/>
          <w:lang w:val="en-US" w:eastAsia="zh-CN" w:bidi="ar-SA"/>
        </w:rPr>
      </w:pPr>
      <w:r>
        <w:rPr>
          <w:rStyle w:val="8"/>
          <w:rFonts w:hint="eastAsia" w:ascii="Times New Roman" w:hAnsi="Times New Roman" w:eastAsia="方正楷体_GBK" w:cs="Times New Roman"/>
          <w:b w:val="0"/>
          <w:bCs/>
          <w:sz w:val="32"/>
          <w:szCs w:val="32"/>
          <w:shd w:val="clear" w:color="auto" w:fill="FFFFFF"/>
          <w:lang w:val="en-US" w:eastAsia="zh-CN" w:bidi="ar-SA"/>
        </w:rPr>
        <w:t>（一）部门自评情况</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i w:val="0"/>
          <w:caps w:val="0"/>
          <w:color w:val="333333"/>
          <w:spacing w:val="0"/>
          <w:sz w:val="32"/>
          <w:szCs w:val="32"/>
          <w:shd w:val="clear" w:fill="FFFFFF"/>
          <w:lang w:val="en-US" w:eastAsia="zh-CN"/>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eastAsia" w:ascii="Times New Roman" w:hAnsi="Times New Roman" w:eastAsia="方正仿宋_GBK" w:cs="Times New Roman"/>
          <w:i w:val="0"/>
          <w:caps w:val="0"/>
          <w:color w:val="333333"/>
          <w:spacing w:val="0"/>
          <w:sz w:val="32"/>
          <w:szCs w:val="32"/>
          <w:shd w:val="clear" w:fill="FFFFFF"/>
          <w:lang w:val="en-US" w:eastAsia="zh-CN"/>
        </w:rPr>
        <w:t>根据预算绩效管理要求，我部门对部门整体和92个二级项目开展了绩效自评，涉及财政拨款项目支出资金805.96万元。</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i w:val="0"/>
          <w:caps w:val="0"/>
          <w:color w:val="333333"/>
          <w:spacing w:val="0"/>
          <w:sz w:val="32"/>
          <w:szCs w:val="32"/>
          <w:shd w:val="clear" w:fill="FFFFFF"/>
          <w:lang w:val="en-US" w:eastAsia="zh-CN"/>
        </w:rPr>
      </w:pPr>
    </w:p>
    <w:tbl>
      <w:tblPr>
        <w:tblStyle w:val="9"/>
        <w:tblpPr w:leftFromText="180" w:rightFromText="180" w:vertAnchor="text" w:horzAnchor="page" w:tblpX="2148" w:tblpY="502"/>
        <w:tblOverlap w:val="never"/>
        <w:tblW w:w="127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89"/>
        <w:gridCol w:w="741"/>
        <w:gridCol w:w="647"/>
        <w:gridCol w:w="416"/>
        <w:gridCol w:w="5"/>
        <w:gridCol w:w="1078"/>
        <w:gridCol w:w="821"/>
        <w:gridCol w:w="882"/>
        <w:gridCol w:w="1046"/>
        <w:gridCol w:w="1211"/>
        <w:gridCol w:w="1103"/>
        <w:gridCol w:w="997"/>
        <w:gridCol w:w="1616"/>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00" w:hRule="atLeast"/>
        </w:trPr>
        <w:tc>
          <w:tcPr>
            <w:tcW w:w="12769" w:type="dxa"/>
            <w:gridSpan w:val="14"/>
            <w:tcBorders>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ascii="方正小标宋_GBK" w:hAnsi="方正小标宋_GBK" w:eastAsia="方正小标宋_GBK" w:cs="方正小标宋_GBK"/>
                <w:b/>
                <w:i w:val="0"/>
                <w:color w:val="000000"/>
                <w:sz w:val="40"/>
                <w:szCs w:val="40"/>
                <w:u w:val="none"/>
              </w:rPr>
            </w:pPr>
            <w:r>
              <w:rPr>
                <w:rFonts w:hint="eastAsia" w:ascii="方正小标宋_GBK" w:hAnsi="方正小标宋_GBK" w:eastAsia="方正小标宋_GBK" w:cs="方正小标宋_GBK"/>
                <w:b/>
                <w:i w:val="0"/>
                <w:color w:val="000000"/>
                <w:kern w:val="0"/>
                <w:sz w:val="40"/>
                <w:szCs w:val="40"/>
                <w:u w:val="none"/>
                <w:lang w:val="en-US" w:eastAsia="zh-CN" w:bidi="ar"/>
              </w:rPr>
              <w:t>中平乡人民政府2023年度部门整体绩效自评表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00"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i w:val="0"/>
                <w:color w:val="000000"/>
                <w:sz w:val="22"/>
                <w:szCs w:val="22"/>
                <w:u w:val="none"/>
              </w:rPr>
            </w:pPr>
            <w:r>
              <w:rPr>
                <w:rStyle w:val="16"/>
                <w:rFonts w:hint="eastAsia"/>
                <w:lang w:val="en-US" w:eastAsia="zh-CN" w:bidi="ar"/>
              </w:rPr>
              <w:t>主管部门</w:t>
            </w:r>
          </w:p>
        </w:tc>
        <w:tc>
          <w:tcPr>
            <w:tcW w:w="2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826-</w:t>
            </w:r>
            <w:r>
              <w:rPr>
                <w:rStyle w:val="17"/>
                <w:lang w:val="en-US" w:eastAsia="zh-CN" w:bidi="ar"/>
              </w:rPr>
              <w:t>秀山土家族苗族自治县中平乡人民政府</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Style w:val="17"/>
                <w:lang w:val="en-US" w:eastAsia="zh-CN" w:bidi="ar"/>
              </w:rPr>
              <w:t>部门编码</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826</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自评总分（分</w:t>
            </w:r>
            <w:r>
              <w:rPr>
                <w:rStyle w:val="18"/>
                <w:rFonts w:eastAsia="方正仿宋_GBK"/>
                <w:lang w:val="en-US" w:eastAsia="zh-CN" w:bidi="ar"/>
              </w:rPr>
              <w:t>)</w:t>
            </w:r>
          </w:p>
        </w:tc>
        <w:tc>
          <w:tcPr>
            <w:tcW w:w="4230"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98.84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69"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i w:val="0"/>
                <w:color w:val="000000"/>
                <w:sz w:val="22"/>
                <w:szCs w:val="22"/>
                <w:u w:val="none"/>
              </w:rPr>
            </w:pPr>
            <w:r>
              <w:rPr>
                <w:rStyle w:val="16"/>
                <w:rFonts w:hint="eastAsia"/>
                <w:lang w:val="en-US" w:eastAsia="zh-CN" w:bidi="ar"/>
              </w:rPr>
              <w:t>部门联系人</w:t>
            </w:r>
          </w:p>
        </w:tc>
        <w:tc>
          <w:tcPr>
            <w:tcW w:w="6106"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Style w:val="17"/>
                <w:lang w:val="en-US" w:eastAsia="zh-CN" w:bidi="ar"/>
              </w:rPr>
              <w:t>何雨夏</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Style w:val="17"/>
                <w:lang w:val="en-US" w:eastAsia="zh-CN" w:bidi="ar"/>
              </w:rPr>
              <w:t>联系电话</w:t>
            </w:r>
          </w:p>
        </w:tc>
        <w:tc>
          <w:tcPr>
            <w:tcW w:w="4230"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023-76624210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37" w:hRule="atLeast"/>
        </w:trPr>
        <w:tc>
          <w:tcPr>
            <w:tcW w:w="23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outlineLvl w:val="9"/>
              <w:rPr>
                <w:rFonts w:hint="default" w:ascii="Times New Roman" w:hAnsi="Times New Roman" w:eastAsia="宋体" w:cs="Times New Roman"/>
                <w:i w:val="0"/>
                <w:color w:val="000000"/>
                <w:sz w:val="22"/>
                <w:szCs w:val="22"/>
                <w:u w:val="none"/>
              </w:rPr>
            </w:pPr>
          </w:p>
        </w:tc>
        <w:tc>
          <w:tcPr>
            <w:tcW w:w="1904"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i w:val="0"/>
                <w:color w:val="000000"/>
                <w:sz w:val="22"/>
                <w:szCs w:val="22"/>
                <w:u w:val="none"/>
              </w:rPr>
            </w:pPr>
            <w:r>
              <w:rPr>
                <w:rStyle w:val="16"/>
                <w:rFonts w:hint="eastAsia"/>
                <w:lang w:val="en-US" w:eastAsia="zh-CN" w:bidi="ar"/>
              </w:rPr>
              <w:t>年初预算数</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i w:val="0"/>
                <w:color w:val="000000"/>
                <w:sz w:val="22"/>
                <w:szCs w:val="22"/>
                <w:u w:val="none"/>
              </w:rPr>
            </w:pPr>
            <w:r>
              <w:rPr>
                <w:rStyle w:val="16"/>
                <w:rFonts w:hint="eastAsia"/>
                <w:lang w:val="en-US" w:eastAsia="zh-CN" w:bidi="ar"/>
              </w:rPr>
              <w:t>全年（调整）预算数</w:t>
            </w:r>
          </w:p>
        </w:tc>
        <w:tc>
          <w:tcPr>
            <w:tcW w:w="231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i w:val="0"/>
                <w:color w:val="000000"/>
                <w:sz w:val="22"/>
                <w:szCs w:val="22"/>
                <w:u w:val="none"/>
              </w:rPr>
            </w:pPr>
            <w:r>
              <w:rPr>
                <w:rStyle w:val="16"/>
                <w:rFonts w:hint="eastAsia"/>
                <w:lang w:val="en-US" w:eastAsia="zh-CN" w:bidi="ar"/>
              </w:rPr>
              <w:t>全年执行数</w:t>
            </w: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i w:val="0"/>
                <w:color w:val="000000"/>
                <w:sz w:val="22"/>
                <w:szCs w:val="22"/>
                <w:u w:val="none"/>
              </w:rPr>
            </w:pPr>
            <w:r>
              <w:rPr>
                <w:rStyle w:val="16"/>
                <w:rFonts w:hint="eastAsia"/>
                <w:lang w:val="en-US" w:eastAsia="zh-CN" w:bidi="ar"/>
              </w:rPr>
              <w:t>执行率</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i w:val="0"/>
                <w:color w:val="000000"/>
                <w:sz w:val="22"/>
                <w:szCs w:val="22"/>
                <w:u w:val="none"/>
              </w:rPr>
            </w:pPr>
            <w:r>
              <w:rPr>
                <w:rStyle w:val="16"/>
                <w:rFonts w:hint="eastAsia"/>
                <w:lang w:val="en-US" w:eastAsia="zh-CN" w:bidi="ar"/>
              </w:rPr>
              <w:t>执行率权重</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i w:val="0"/>
                <w:color w:val="000000"/>
                <w:sz w:val="22"/>
                <w:szCs w:val="22"/>
                <w:u w:val="none"/>
              </w:rPr>
            </w:pPr>
            <w:r>
              <w:rPr>
                <w:rStyle w:val="16"/>
                <w:rFonts w:hint="eastAsia"/>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2" w:hRule="atLeast"/>
        </w:trPr>
        <w:tc>
          <w:tcPr>
            <w:tcW w:w="23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Style w:val="17"/>
                <w:lang w:val="en-US" w:eastAsia="zh-CN" w:bidi="ar"/>
              </w:rPr>
              <w:t>年度总金额</w:t>
            </w:r>
          </w:p>
        </w:tc>
        <w:tc>
          <w:tcPr>
            <w:tcW w:w="1904"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13,197,244.33 </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19,612,288.02 </w:t>
            </w:r>
          </w:p>
        </w:tc>
        <w:tc>
          <w:tcPr>
            <w:tcW w:w="231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17,339,853.22 </w:t>
            </w: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88.41</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3" w:hRule="atLeast"/>
        </w:trPr>
        <w:tc>
          <w:tcPr>
            <w:tcW w:w="23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Style w:val="17"/>
                <w:lang w:val="en-US" w:eastAsia="zh-CN" w:bidi="ar"/>
              </w:rPr>
              <w:t>其中：财政拨款</w:t>
            </w:r>
          </w:p>
        </w:tc>
        <w:tc>
          <w:tcPr>
            <w:tcW w:w="1904"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13,197,244.33 </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19,612,288.02 </w:t>
            </w:r>
          </w:p>
        </w:tc>
        <w:tc>
          <w:tcPr>
            <w:tcW w:w="231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17,339,853.22 </w:t>
            </w: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88.41</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3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Style w:val="17"/>
                <w:lang w:val="en-US" w:eastAsia="zh-CN" w:bidi="ar"/>
              </w:rPr>
              <w:t>一般公共预算</w:t>
            </w:r>
          </w:p>
        </w:tc>
        <w:tc>
          <w:tcPr>
            <w:tcW w:w="1904"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13,197,244.33 </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19,612,288.02 </w:t>
            </w:r>
          </w:p>
        </w:tc>
        <w:tc>
          <w:tcPr>
            <w:tcW w:w="231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17,339,853.22 </w:t>
            </w: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88.41</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00" w:hRule="atLeast"/>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当年绩效目标</w:t>
            </w:r>
          </w:p>
        </w:tc>
        <w:tc>
          <w:tcPr>
            <w:tcW w:w="3708"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i w:val="0"/>
                <w:color w:val="000000"/>
                <w:sz w:val="22"/>
                <w:szCs w:val="22"/>
                <w:u w:val="none"/>
              </w:rPr>
            </w:pPr>
            <w:r>
              <w:rPr>
                <w:rStyle w:val="16"/>
                <w:rFonts w:hint="eastAsia"/>
                <w:lang w:val="en-US" w:eastAsia="zh-CN" w:bidi="ar"/>
              </w:rPr>
              <w:t>年初绩效目标</w:t>
            </w: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i w:val="0"/>
                <w:color w:val="000000"/>
                <w:sz w:val="22"/>
                <w:szCs w:val="22"/>
                <w:u w:val="none"/>
              </w:rPr>
            </w:pPr>
            <w:r>
              <w:rPr>
                <w:rStyle w:val="16"/>
                <w:rFonts w:hint="eastAsia"/>
                <w:lang w:val="en-US" w:eastAsia="zh-CN" w:bidi="ar"/>
              </w:rPr>
              <w:t>全年（调整）绩效目标</w:t>
            </w:r>
          </w:p>
        </w:tc>
        <w:tc>
          <w:tcPr>
            <w:tcW w:w="4230"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i w:val="0"/>
                <w:color w:val="000000"/>
                <w:sz w:val="22"/>
                <w:szCs w:val="22"/>
                <w:u w:val="none"/>
              </w:rPr>
            </w:pPr>
            <w:r>
              <w:rPr>
                <w:rStyle w:val="16"/>
                <w:rFonts w:hint="eastAsia"/>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outlineLvl w:val="9"/>
              <w:rPr>
                <w:rFonts w:hint="default" w:ascii="Times New Roman" w:hAnsi="Times New Roman" w:eastAsia="宋体" w:cs="Times New Roman"/>
                <w:b/>
                <w:i w:val="0"/>
                <w:color w:val="000000"/>
                <w:sz w:val="22"/>
                <w:szCs w:val="22"/>
                <w:u w:val="none"/>
              </w:rPr>
            </w:pPr>
          </w:p>
        </w:tc>
        <w:tc>
          <w:tcPr>
            <w:tcW w:w="3708"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both"/>
              <w:textAlignment w:val="top"/>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r>
              <w:rPr>
                <w:rStyle w:val="17"/>
                <w:lang w:val="en-US" w:eastAsia="zh-CN" w:bidi="ar"/>
              </w:rPr>
              <w:t>、负责组织和管理街道财政收入和支出，编制执行街道年度财政预算，监督街道部门预算执行，编制财政决算；</w:t>
            </w:r>
            <w:r>
              <w:rPr>
                <w:rStyle w:val="18"/>
                <w:rFonts w:eastAsia="宋体"/>
                <w:lang w:val="en-US" w:eastAsia="zh-CN" w:bidi="ar"/>
              </w:rPr>
              <w:br w:type="textWrapping"/>
            </w:r>
            <w:r>
              <w:rPr>
                <w:rStyle w:val="18"/>
                <w:rFonts w:eastAsia="宋体"/>
                <w:lang w:val="en-US" w:eastAsia="zh-CN" w:bidi="ar"/>
              </w:rPr>
              <w:t>2</w:t>
            </w:r>
            <w:r>
              <w:rPr>
                <w:rStyle w:val="17"/>
                <w:lang w:val="en-US" w:eastAsia="zh-CN" w:bidi="ar"/>
              </w:rPr>
              <w:t>、负责对街道国有资产的购置、登记、处置进行管理；保障我部门在职职工</w:t>
            </w:r>
            <w:r>
              <w:rPr>
                <w:rStyle w:val="18"/>
                <w:rFonts w:eastAsia="宋体"/>
                <w:lang w:val="en-US" w:eastAsia="zh-CN" w:bidi="ar"/>
              </w:rPr>
              <w:t>35</w:t>
            </w:r>
            <w:r>
              <w:rPr>
                <w:rStyle w:val="17"/>
                <w:lang w:val="en-US" w:eastAsia="zh-CN" w:bidi="ar"/>
              </w:rPr>
              <w:t>人，退休职工</w:t>
            </w:r>
            <w:r>
              <w:rPr>
                <w:rStyle w:val="18"/>
                <w:rFonts w:eastAsia="宋体"/>
                <w:lang w:val="en-US" w:eastAsia="zh-CN" w:bidi="ar"/>
              </w:rPr>
              <w:t>11</w:t>
            </w:r>
            <w:r>
              <w:rPr>
                <w:rStyle w:val="17"/>
                <w:lang w:val="en-US" w:eastAsia="zh-CN" w:bidi="ar"/>
              </w:rPr>
              <w:t>人的正常办公、生活秩序，做好干部的教育、培养、选拔和监督工作；</w:t>
            </w:r>
            <w:r>
              <w:rPr>
                <w:rStyle w:val="18"/>
                <w:rFonts w:eastAsia="宋体"/>
                <w:lang w:val="en-US" w:eastAsia="zh-CN" w:bidi="ar"/>
              </w:rPr>
              <w:br w:type="textWrapping"/>
            </w:r>
            <w:r>
              <w:rPr>
                <w:rStyle w:val="18"/>
                <w:rFonts w:eastAsia="宋体"/>
                <w:lang w:val="en-US" w:eastAsia="zh-CN" w:bidi="ar"/>
              </w:rPr>
              <w:t>3</w:t>
            </w:r>
            <w:r>
              <w:rPr>
                <w:rStyle w:val="17"/>
                <w:lang w:val="en-US" w:eastAsia="zh-CN" w:bidi="ar"/>
              </w:rPr>
              <w:t>、贯彻执行上级的各项方针政策，抓好基层党建及扶贫工作，稳定和完善政府各项决策部署；</w:t>
            </w:r>
            <w:r>
              <w:rPr>
                <w:rStyle w:val="18"/>
                <w:rFonts w:eastAsia="宋体"/>
                <w:lang w:val="en-US" w:eastAsia="zh-CN" w:bidi="ar"/>
              </w:rPr>
              <w:br w:type="textWrapping"/>
            </w:r>
            <w:r>
              <w:rPr>
                <w:rStyle w:val="18"/>
                <w:rFonts w:eastAsia="宋体"/>
                <w:lang w:val="en-US" w:eastAsia="zh-CN" w:bidi="ar"/>
              </w:rPr>
              <w:t>4</w:t>
            </w:r>
            <w:r>
              <w:rPr>
                <w:rStyle w:val="17"/>
                <w:lang w:val="en-US" w:eastAsia="zh-CN" w:bidi="ar"/>
              </w:rPr>
              <w:t>、抓好本街道领域农业、工业经济、第三产业的发展、安全生产、经济可持续发展、征地拆迁、信访维稳等工作，落实计划生育基本国策，推动优生优育，加强计划生育奖扶政策的落实；</w:t>
            </w:r>
            <w:r>
              <w:rPr>
                <w:rStyle w:val="18"/>
                <w:rFonts w:eastAsia="宋体"/>
                <w:lang w:val="en-US" w:eastAsia="zh-CN" w:bidi="ar"/>
              </w:rPr>
              <w:t xml:space="preserve">                                                                                                                            5</w:t>
            </w:r>
            <w:r>
              <w:rPr>
                <w:rStyle w:val="17"/>
                <w:lang w:val="en-US" w:eastAsia="zh-CN" w:bidi="ar"/>
              </w:rPr>
              <w:t>、做好民政行政工作的管理，发展社会福利事业，做好社会保障工作，及时发放、兑现义务兵优待金及其他优抚对象等补贴，进一步做好征兵工作，激励广大士兵安心服役、献身国防。</w:t>
            </w:r>
            <w:r>
              <w:rPr>
                <w:rStyle w:val="18"/>
                <w:rFonts w:eastAsia="宋体"/>
                <w:lang w:val="en-US" w:eastAsia="zh-CN" w:bidi="ar"/>
              </w:rPr>
              <w:br w:type="textWrapping"/>
            </w:r>
            <w:r>
              <w:rPr>
                <w:rStyle w:val="18"/>
                <w:rFonts w:eastAsia="宋体"/>
                <w:lang w:val="en-US" w:eastAsia="zh-CN" w:bidi="ar"/>
              </w:rPr>
              <w:t>6</w:t>
            </w:r>
            <w:r>
              <w:rPr>
                <w:rStyle w:val="17"/>
                <w:lang w:val="en-US" w:eastAsia="zh-CN" w:bidi="ar"/>
              </w:rPr>
              <w:t>、保障社区组织的正常运转，维护社会稳定，落实党的政策和法律法规，促进社区各项事业的发展，提高社区居民幸福指数。</w:t>
            </w:r>
            <w:r>
              <w:rPr>
                <w:rStyle w:val="18"/>
                <w:rFonts w:eastAsia="宋体"/>
                <w:lang w:val="en-US" w:eastAsia="zh-CN" w:bidi="ar"/>
              </w:rPr>
              <w:br w:type="textWrapping"/>
            </w:r>
            <w:r>
              <w:rPr>
                <w:rStyle w:val="18"/>
                <w:rFonts w:eastAsia="宋体"/>
                <w:lang w:val="en-US" w:eastAsia="zh-CN" w:bidi="ar"/>
              </w:rPr>
              <w:t>7</w:t>
            </w:r>
            <w:r>
              <w:rPr>
                <w:rStyle w:val="17"/>
                <w:lang w:val="en-US" w:eastAsia="zh-CN" w:bidi="ar"/>
              </w:rPr>
              <w:t>、保障辖区内道路正常通行，提高社区居民交通便捷性，按时发放背街小巷清运人员的工资，维护各社区环境卫生。</w:t>
            </w:r>
            <w:r>
              <w:rPr>
                <w:rStyle w:val="18"/>
                <w:rFonts w:eastAsia="宋体"/>
                <w:lang w:val="en-US" w:eastAsia="zh-CN" w:bidi="ar"/>
              </w:rPr>
              <w:br w:type="textWrapping"/>
            </w:r>
            <w:r>
              <w:rPr>
                <w:rStyle w:val="18"/>
                <w:rFonts w:eastAsia="宋体"/>
                <w:lang w:val="en-US" w:eastAsia="zh-CN" w:bidi="ar"/>
              </w:rPr>
              <w:t>8</w:t>
            </w:r>
            <w:r>
              <w:rPr>
                <w:rStyle w:val="17"/>
                <w:lang w:val="en-US" w:eastAsia="zh-CN" w:bidi="ar"/>
              </w:rPr>
              <w:t>、认真完成上级主管部门交办的其他事项。</w:t>
            </w:r>
            <w:r>
              <w:rPr>
                <w:rStyle w:val="19"/>
                <w:rFonts w:hint="eastAsia" w:eastAsia="宋体"/>
                <w:lang w:val="en-US" w:eastAsia="zh-CN" w:bidi="ar"/>
              </w:rPr>
              <w:t xml:space="preserve">   </w:t>
            </w: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both"/>
              <w:textAlignment w:val="top"/>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r>
              <w:rPr>
                <w:rStyle w:val="17"/>
                <w:lang w:val="en-US" w:eastAsia="zh-CN" w:bidi="ar"/>
              </w:rPr>
              <w:t>、负责组织和管理街道财政收入和支出，编制执行街道年度财政预算，监督街道部门预算执行，编制财政决算；</w:t>
            </w:r>
            <w:r>
              <w:rPr>
                <w:rStyle w:val="18"/>
                <w:rFonts w:eastAsia="宋体"/>
                <w:lang w:val="en-US" w:eastAsia="zh-CN" w:bidi="ar"/>
              </w:rPr>
              <w:br w:type="textWrapping"/>
            </w:r>
            <w:r>
              <w:rPr>
                <w:rStyle w:val="18"/>
                <w:rFonts w:eastAsia="宋体"/>
                <w:lang w:val="en-US" w:eastAsia="zh-CN" w:bidi="ar"/>
              </w:rPr>
              <w:t>2</w:t>
            </w:r>
            <w:r>
              <w:rPr>
                <w:rStyle w:val="17"/>
                <w:lang w:val="en-US" w:eastAsia="zh-CN" w:bidi="ar"/>
              </w:rPr>
              <w:t>、负责对街道国有资产的购置、登记、处置进行管理；保障我部门在职职工</w:t>
            </w:r>
            <w:r>
              <w:rPr>
                <w:rStyle w:val="18"/>
                <w:rFonts w:eastAsia="宋体"/>
                <w:lang w:val="en-US" w:eastAsia="zh-CN" w:bidi="ar"/>
              </w:rPr>
              <w:t>35</w:t>
            </w:r>
            <w:r>
              <w:rPr>
                <w:rStyle w:val="17"/>
                <w:lang w:val="en-US" w:eastAsia="zh-CN" w:bidi="ar"/>
              </w:rPr>
              <w:t>人，退休职工</w:t>
            </w:r>
            <w:r>
              <w:rPr>
                <w:rStyle w:val="18"/>
                <w:rFonts w:eastAsia="宋体"/>
                <w:lang w:val="en-US" w:eastAsia="zh-CN" w:bidi="ar"/>
              </w:rPr>
              <w:t>11</w:t>
            </w:r>
            <w:r>
              <w:rPr>
                <w:rStyle w:val="17"/>
                <w:lang w:val="en-US" w:eastAsia="zh-CN" w:bidi="ar"/>
              </w:rPr>
              <w:t>人的正常办公、生活秩序，做好干部的教育、培养、选拔和监督工作；</w:t>
            </w:r>
            <w:r>
              <w:rPr>
                <w:rStyle w:val="18"/>
                <w:rFonts w:eastAsia="宋体"/>
                <w:lang w:val="en-US" w:eastAsia="zh-CN" w:bidi="ar"/>
              </w:rPr>
              <w:br w:type="textWrapping"/>
            </w:r>
            <w:r>
              <w:rPr>
                <w:rStyle w:val="18"/>
                <w:rFonts w:eastAsia="宋体"/>
                <w:lang w:val="en-US" w:eastAsia="zh-CN" w:bidi="ar"/>
              </w:rPr>
              <w:t>3</w:t>
            </w:r>
            <w:r>
              <w:rPr>
                <w:rStyle w:val="17"/>
                <w:lang w:val="en-US" w:eastAsia="zh-CN" w:bidi="ar"/>
              </w:rPr>
              <w:t>、贯彻执行上级的各项方针政策，抓好基层党建及扶贫工作，稳定和完善政府各项决策部署；</w:t>
            </w:r>
            <w:r>
              <w:rPr>
                <w:rStyle w:val="18"/>
                <w:rFonts w:eastAsia="宋体"/>
                <w:lang w:val="en-US" w:eastAsia="zh-CN" w:bidi="ar"/>
              </w:rPr>
              <w:br w:type="textWrapping"/>
            </w:r>
            <w:r>
              <w:rPr>
                <w:rStyle w:val="18"/>
                <w:rFonts w:eastAsia="宋体"/>
                <w:lang w:val="en-US" w:eastAsia="zh-CN" w:bidi="ar"/>
              </w:rPr>
              <w:t>4</w:t>
            </w:r>
            <w:r>
              <w:rPr>
                <w:rStyle w:val="17"/>
                <w:lang w:val="en-US" w:eastAsia="zh-CN" w:bidi="ar"/>
              </w:rPr>
              <w:t>、抓好本街道领域农业、工业经济、第三产业的发展、安全生产、经济可持续发展、征地拆迁、信访维稳等工作，落实计划生育基本国策，推动优生优育，加强计划生育奖扶政策的落实；</w:t>
            </w:r>
            <w:r>
              <w:rPr>
                <w:rStyle w:val="18"/>
                <w:rFonts w:eastAsia="宋体"/>
                <w:lang w:val="en-US" w:eastAsia="zh-CN" w:bidi="ar"/>
              </w:rPr>
              <w:t xml:space="preserve">                                                                                                                            5</w:t>
            </w:r>
            <w:r>
              <w:rPr>
                <w:rStyle w:val="17"/>
                <w:lang w:val="en-US" w:eastAsia="zh-CN" w:bidi="ar"/>
              </w:rPr>
              <w:t>、做好民政行政工作的管理，发展社会福利事业，做好社会保障工作，及时发放、兑现义务兵优待金及其他优抚对象等补贴，进一步做好征兵工作，激励广大士兵安心服役、献身国防。</w:t>
            </w:r>
            <w:r>
              <w:rPr>
                <w:rStyle w:val="18"/>
                <w:rFonts w:eastAsia="宋体"/>
                <w:lang w:val="en-US" w:eastAsia="zh-CN" w:bidi="ar"/>
              </w:rPr>
              <w:br w:type="textWrapping"/>
            </w:r>
            <w:r>
              <w:rPr>
                <w:rStyle w:val="18"/>
                <w:rFonts w:eastAsia="宋体"/>
                <w:lang w:val="en-US" w:eastAsia="zh-CN" w:bidi="ar"/>
              </w:rPr>
              <w:t>6</w:t>
            </w:r>
            <w:r>
              <w:rPr>
                <w:rStyle w:val="17"/>
                <w:lang w:val="en-US" w:eastAsia="zh-CN" w:bidi="ar"/>
              </w:rPr>
              <w:t>、保障社区组织的正常运转，维护社会稳定，落实党的政策和法律法规，促进社区各项事业的发展，提高社区居民幸福指数。</w:t>
            </w:r>
            <w:r>
              <w:rPr>
                <w:rStyle w:val="18"/>
                <w:rFonts w:eastAsia="宋体"/>
                <w:lang w:val="en-US" w:eastAsia="zh-CN" w:bidi="ar"/>
              </w:rPr>
              <w:br w:type="textWrapping"/>
            </w:r>
            <w:r>
              <w:rPr>
                <w:rStyle w:val="18"/>
                <w:rFonts w:eastAsia="宋体"/>
                <w:lang w:val="en-US" w:eastAsia="zh-CN" w:bidi="ar"/>
              </w:rPr>
              <w:t>7</w:t>
            </w:r>
            <w:r>
              <w:rPr>
                <w:rStyle w:val="17"/>
                <w:lang w:val="en-US" w:eastAsia="zh-CN" w:bidi="ar"/>
              </w:rPr>
              <w:t>、保障辖区内道路正常通行，提高社区居民交通便捷性，按时发放背街小巷清运人员的工资，维护各社区环境卫生。</w:t>
            </w:r>
            <w:r>
              <w:rPr>
                <w:rStyle w:val="18"/>
                <w:rFonts w:eastAsia="宋体"/>
                <w:lang w:val="en-US" w:eastAsia="zh-CN" w:bidi="ar"/>
              </w:rPr>
              <w:br w:type="textWrapping"/>
            </w:r>
            <w:r>
              <w:rPr>
                <w:rStyle w:val="18"/>
                <w:rFonts w:eastAsia="宋体"/>
                <w:lang w:val="en-US" w:eastAsia="zh-CN" w:bidi="ar"/>
              </w:rPr>
              <w:t>8</w:t>
            </w:r>
            <w:r>
              <w:rPr>
                <w:rStyle w:val="17"/>
                <w:lang w:val="en-US" w:eastAsia="zh-CN" w:bidi="ar"/>
              </w:rPr>
              <w:t>、认真完成上级主管部门交办的其他事项。</w:t>
            </w:r>
            <w:r>
              <w:rPr>
                <w:rStyle w:val="19"/>
                <w:rFonts w:hint="eastAsia" w:eastAsia="宋体"/>
                <w:lang w:val="en-US" w:eastAsia="zh-CN" w:bidi="ar"/>
              </w:rPr>
              <w:t xml:space="preserve">   </w:t>
            </w:r>
          </w:p>
        </w:tc>
        <w:tc>
          <w:tcPr>
            <w:tcW w:w="4230"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both"/>
              <w:textAlignment w:val="top"/>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r>
              <w:rPr>
                <w:rStyle w:val="17"/>
                <w:lang w:val="en-US" w:eastAsia="zh-CN" w:bidi="ar"/>
              </w:rPr>
              <w:t>、负责组织和管理街道财政收入和支出，编制执行街道年度财政预算，监督街道部门预算执行，编制财政决算；</w:t>
            </w:r>
            <w:r>
              <w:rPr>
                <w:rStyle w:val="18"/>
                <w:rFonts w:eastAsia="宋体"/>
                <w:lang w:val="en-US" w:eastAsia="zh-CN" w:bidi="ar"/>
              </w:rPr>
              <w:br w:type="textWrapping"/>
            </w:r>
            <w:r>
              <w:rPr>
                <w:rStyle w:val="18"/>
                <w:rFonts w:eastAsia="宋体"/>
                <w:lang w:val="en-US" w:eastAsia="zh-CN" w:bidi="ar"/>
              </w:rPr>
              <w:t>2</w:t>
            </w:r>
            <w:r>
              <w:rPr>
                <w:rStyle w:val="17"/>
                <w:lang w:val="en-US" w:eastAsia="zh-CN" w:bidi="ar"/>
              </w:rPr>
              <w:t>、负责对街道国有资产的购置、登记、处置进行管理；保障我部门在职职工</w:t>
            </w:r>
            <w:r>
              <w:rPr>
                <w:rStyle w:val="18"/>
                <w:rFonts w:eastAsia="宋体"/>
                <w:lang w:val="en-US" w:eastAsia="zh-CN" w:bidi="ar"/>
              </w:rPr>
              <w:t>35</w:t>
            </w:r>
            <w:r>
              <w:rPr>
                <w:rStyle w:val="17"/>
                <w:lang w:val="en-US" w:eastAsia="zh-CN" w:bidi="ar"/>
              </w:rPr>
              <w:t>人，退休职工</w:t>
            </w:r>
            <w:r>
              <w:rPr>
                <w:rStyle w:val="18"/>
                <w:rFonts w:eastAsia="宋体"/>
                <w:lang w:val="en-US" w:eastAsia="zh-CN" w:bidi="ar"/>
              </w:rPr>
              <w:t>11</w:t>
            </w:r>
            <w:r>
              <w:rPr>
                <w:rStyle w:val="17"/>
                <w:lang w:val="en-US" w:eastAsia="zh-CN" w:bidi="ar"/>
              </w:rPr>
              <w:t>人的正常办公、生活秩序，做好干部的教育、培养、选拔和监督工作；</w:t>
            </w:r>
            <w:r>
              <w:rPr>
                <w:rStyle w:val="18"/>
                <w:rFonts w:eastAsia="宋体"/>
                <w:lang w:val="en-US" w:eastAsia="zh-CN" w:bidi="ar"/>
              </w:rPr>
              <w:br w:type="textWrapping"/>
            </w:r>
            <w:r>
              <w:rPr>
                <w:rStyle w:val="18"/>
                <w:rFonts w:eastAsia="宋体"/>
                <w:lang w:val="en-US" w:eastAsia="zh-CN" w:bidi="ar"/>
              </w:rPr>
              <w:t>3</w:t>
            </w:r>
            <w:r>
              <w:rPr>
                <w:rStyle w:val="17"/>
                <w:lang w:val="en-US" w:eastAsia="zh-CN" w:bidi="ar"/>
              </w:rPr>
              <w:t>、贯彻执行上级的各项方针政策，抓好基层党建及扶贫工作，稳定和完善政府各项决策部署；</w:t>
            </w:r>
            <w:r>
              <w:rPr>
                <w:rStyle w:val="18"/>
                <w:rFonts w:eastAsia="宋体"/>
                <w:lang w:val="en-US" w:eastAsia="zh-CN" w:bidi="ar"/>
              </w:rPr>
              <w:br w:type="textWrapping"/>
            </w:r>
            <w:r>
              <w:rPr>
                <w:rStyle w:val="18"/>
                <w:rFonts w:eastAsia="宋体"/>
                <w:lang w:val="en-US" w:eastAsia="zh-CN" w:bidi="ar"/>
              </w:rPr>
              <w:t>4</w:t>
            </w:r>
            <w:r>
              <w:rPr>
                <w:rStyle w:val="17"/>
                <w:lang w:val="en-US" w:eastAsia="zh-CN" w:bidi="ar"/>
              </w:rPr>
              <w:t>、抓好本街道领域农业、工业经济、第三产业的发展、安全生产、经济可持续发展、征地拆迁、信访维稳等工作，落实计划生育基本国策，推动优生优育，加强计划生育奖扶政策的落实；</w:t>
            </w:r>
            <w:r>
              <w:rPr>
                <w:rStyle w:val="18"/>
                <w:rFonts w:eastAsia="宋体"/>
                <w:lang w:val="en-US" w:eastAsia="zh-CN" w:bidi="ar"/>
              </w:rPr>
              <w:t xml:space="preserve">                                                                                                                            5</w:t>
            </w:r>
            <w:r>
              <w:rPr>
                <w:rStyle w:val="17"/>
                <w:lang w:val="en-US" w:eastAsia="zh-CN" w:bidi="ar"/>
              </w:rPr>
              <w:t>、做好民政行政工作的管理，发展社会福利事业，做好社会保障工作，及时发放、兑现义务兵优待金及其他优抚对象等补贴，进一步做好征兵工作，激励广大士兵安心服役、献身国防。</w:t>
            </w:r>
            <w:r>
              <w:rPr>
                <w:rStyle w:val="18"/>
                <w:rFonts w:eastAsia="宋体"/>
                <w:lang w:val="en-US" w:eastAsia="zh-CN" w:bidi="ar"/>
              </w:rPr>
              <w:br w:type="textWrapping"/>
            </w:r>
            <w:r>
              <w:rPr>
                <w:rStyle w:val="18"/>
                <w:rFonts w:eastAsia="宋体"/>
                <w:lang w:val="en-US" w:eastAsia="zh-CN" w:bidi="ar"/>
              </w:rPr>
              <w:t>6</w:t>
            </w:r>
            <w:r>
              <w:rPr>
                <w:rStyle w:val="17"/>
                <w:lang w:val="en-US" w:eastAsia="zh-CN" w:bidi="ar"/>
              </w:rPr>
              <w:t>、保障社区组织的正常运转，维护社会稳定，落实党的政策和法律法规，促进社区各项事业的发展，提高社区居民幸福指数。</w:t>
            </w:r>
            <w:r>
              <w:rPr>
                <w:rStyle w:val="18"/>
                <w:rFonts w:eastAsia="宋体"/>
                <w:lang w:val="en-US" w:eastAsia="zh-CN" w:bidi="ar"/>
              </w:rPr>
              <w:br w:type="textWrapping"/>
            </w:r>
            <w:r>
              <w:rPr>
                <w:rStyle w:val="18"/>
                <w:rFonts w:eastAsia="宋体"/>
                <w:lang w:val="en-US" w:eastAsia="zh-CN" w:bidi="ar"/>
              </w:rPr>
              <w:t>7</w:t>
            </w:r>
            <w:r>
              <w:rPr>
                <w:rStyle w:val="17"/>
                <w:lang w:val="en-US" w:eastAsia="zh-CN" w:bidi="ar"/>
              </w:rPr>
              <w:t>、保障辖区内道路正常通行，提高社区居民交通便捷性，按时发放背街小巷清运人员的工资，维护各社区环境卫生。</w:t>
            </w:r>
            <w:r>
              <w:rPr>
                <w:rStyle w:val="18"/>
                <w:rFonts w:eastAsia="宋体"/>
                <w:lang w:val="en-US" w:eastAsia="zh-CN" w:bidi="ar"/>
              </w:rPr>
              <w:br w:type="textWrapping"/>
            </w:r>
            <w:r>
              <w:rPr>
                <w:rStyle w:val="18"/>
                <w:rFonts w:eastAsia="宋体"/>
                <w:lang w:val="en-US" w:eastAsia="zh-CN" w:bidi="ar"/>
              </w:rPr>
              <w:t>8</w:t>
            </w:r>
            <w:r>
              <w:rPr>
                <w:rStyle w:val="17"/>
                <w:lang w:val="en-US" w:eastAsia="zh-CN" w:bidi="ar"/>
              </w:rPr>
              <w:t>、认真完成上级主管部门交办的其他事项。</w:t>
            </w:r>
            <w:r>
              <w:rPr>
                <w:rStyle w:val="19"/>
                <w:rFonts w:hint="eastAsia" w:eastAsia="宋体"/>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49" w:hRule="atLeast"/>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绩效指标</w:t>
            </w:r>
          </w:p>
        </w:tc>
        <w:tc>
          <w:tcPr>
            <w:tcW w:w="138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i w:val="0"/>
                <w:color w:val="000000"/>
                <w:sz w:val="22"/>
                <w:szCs w:val="22"/>
                <w:u w:val="none"/>
              </w:rPr>
            </w:pPr>
            <w:r>
              <w:rPr>
                <w:rStyle w:val="16"/>
                <w:rFonts w:hint="eastAsia"/>
                <w:lang w:val="en-US" w:eastAsia="zh-CN" w:bidi="ar"/>
              </w:rPr>
              <w:t>指标名称</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i w:val="0"/>
                <w:color w:val="000000"/>
                <w:sz w:val="22"/>
                <w:szCs w:val="22"/>
                <w:u w:val="none"/>
              </w:rPr>
            </w:pPr>
            <w:r>
              <w:rPr>
                <w:rStyle w:val="16"/>
                <w:rFonts w:hint="eastAsia"/>
                <w:lang w:val="en-US" w:eastAsia="zh-CN" w:bidi="ar"/>
              </w:rPr>
              <w:t>计量单位</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i w:val="0"/>
                <w:color w:val="000000"/>
                <w:sz w:val="22"/>
                <w:szCs w:val="22"/>
                <w:u w:val="none"/>
              </w:rPr>
            </w:pPr>
            <w:r>
              <w:rPr>
                <w:rStyle w:val="16"/>
                <w:rFonts w:hint="eastAsia"/>
                <w:lang w:val="en-US" w:eastAsia="zh-CN" w:bidi="ar"/>
              </w:rPr>
              <w:t>指标性质</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i w:val="0"/>
                <w:color w:val="000000"/>
                <w:sz w:val="22"/>
                <w:szCs w:val="22"/>
                <w:u w:val="none"/>
              </w:rPr>
            </w:pPr>
            <w:r>
              <w:rPr>
                <w:rStyle w:val="16"/>
                <w:rFonts w:hint="eastAsia"/>
                <w:lang w:val="en-US" w:eastAsia="zh-CN" w:bidi="ar"/>
              </w:rPr>
              <w:t>指标值</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i w:val="0"/>
                <w:color w:val="000000"/>
                <w:sz w:val="22"/>
                <w:szCs w:val="22"/>
                <w:u w:val="none"/>
              </w:rPr>
            </w:pPr>
            <w:r>
              <w:rPr>
                <w:rStyle w:val="16"/>
                <w:rFonts w:hint="eastAsia"/>
                <w:lang w:val="en-US" w:eastAsia="zh-CN" w:bidi="ar"/>
              </w:rPr>
              <w:t>全年完成值</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i w:val="0"/>
                <w:color w:val="000000"/>
                <w:sz w:val="22"/>
                <w:szCs w:val="22"/>
                <w:u w:val="none"/>
              </w:rPr>
            </w:pPr>
            <w:r>
              <w:rPr>
                <w:rStyle w:val="16"/>
                <w:rFonts w:hint="eastAsia"/>
                <w:lang w:val="en-US" w:eastAsia="zh-CN" w:bidi="ar"/>
              </w:rPr>
              <w:t>偏离度（</w:t>
            </w:r>
            <w:r>
              <w:rPr>
                <w:rStyle w:val="20"/>
                <w:rFonts w:eastAsia="宋体"/>
                <w:lang w:val="en-US" w:eastAsia="zh-CN" w:bidi="ar"/>
              </w:rPr>
              <w:t>%</w:t>
            </w:r>
            <w:r>
              <w:rPr>
                <w:rStyle w:val="16"/>
                <w:rFonts w:hint="eastAsia"/>
                <w:lang w:val="en-US" w:eastAsia="zh-CN" w:bidi="ar"/>
              </w:rPr>
              <w:t>）</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i w:val="0"/>
                <w:color w:val="000000"/>
                <w:sz w:val="22"/>
                <w:szCs w:val="22"/>
                <w:u w:val="none"/>
              </w:rPr>
            </w:pPr>
            <w:r>
              <w:rPr>
                <w:rStyle w:val="16"/>
                <w:rFonts w:hint="eastAsia"/>
                <w:lang w:val="en-US" w:eastAsia="zh-CN" w:bidi="ar"/>
              </w:rPr>
              <w:t>得分系数（</w:t>
            </w:r>
            <w:r>
              <w:rPr>
                <w:rStyle w:val="20"/>
                <w:rFonts w:eastAsia="宋体"/>
                <w:lang w:val="en-US" w:eastAsia="zh-CN" w:bidi="ar"/>
              </w:rPr>
              <w:t>%</w:t>
            </w:r>
            <w:r>
              <w:rPr>
                <w:rStyle w:val="16"/>
                <w:rFonts w:hint="eastAsia"/>
                <w:lang w:val="en-US" w:eastAsia="zh-CN" w:bidi="ar"/>
              </w:rPr>
              <w:t>）</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指标权重</w:t>
            </w:r>
            <w:r>
              <w:rPr>
                <w:rStyle w:val="20"/>
                <w:rFonts w:eastAsia="方正仿宋_GBK"/>
                <w:lang w:val="en-US" w:eastAsia="zh-CN" w:bidi="ar"/>
              </w:rPr>
              <w:t>(</w:t>
            </w:r>
            <w:r>
              <w:rPr>
                <w:rStyle w:val="21"/>
                <w:lang w:val="en-US" w:eastAsia="zh-CN" w:bidi="ar"/>
              </w:rPr>
              <w:t>分）</w:t>
            </w:r>
          </w:p>
        </w:tc>
        <w:tc>
          <w:tcPr>
            <w:tcW w:w="261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指标得分（分）</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i w:val="0"/>
                <w:color w:val="000000"/>
                <w:sz w:val="22"/>
                <w:szCs w:val="22"/>
                <w:u w:val="none"/>
              </w:rPr>
            </w:pPr>
            <w:r>
              <w:rPr>
                <w:rStyle w:val="16"/>
                <w:rFonts w:hint="eastAsia"/>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0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outlineLvl w:val="9"/>
              <w:rPr>
                <w:rFonts w:hint="eastAsia" w:ascii="方正仿宋_GBK" w:hAnsi="方正仿宋_GBK" w:eastAsia="方正仿宋_GBK" w:cs="方正仿宋_GBK"/>
                <w:b/>
                <w:i w:val="0"/>
                <w:color w:val="000000"/>
                <w:sz w:val="22"/>
                <w:szCs w:val="22"/>
                <w:u w:val="none"/>
              </w:rPr>
            </w:pPr>
          </w:p>
        </w:tc>
        <w:tc>
          <w:tcPr>
            <w:tcW w:w="138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Style w:val="17"/>
                <w:lang w:val="en-US" w:eastAsia="zh-CN" w:bidi="ar"/>
              </w:rPr>
              <w:t>各事项工作开展率</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98</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98</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261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0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outlineLvl w:val="9"/>
              <w:rPr>
                <w:rFonts w:hint="eastAsia" w:ascii="方正仿宋_GBK" w:hAnsi="方正仿宋_GBK" w:eastAsia="方正仿宋_GBK" w:cs="方正仿宋_GBK"/>
                <w:b/>
                <w:i w:val="0"/>
                <w:color w:val="000000"/>
                <w:sz w:val="22"/>
                <w:szCs w:val="22"/>
                <w:u w:val="none"/>
              </w:rPr>
            </w:pPr>
          </w:p>
        </w:tc>
        <w:tc>
          <w:tcPr>
            <w:tcW w:w="138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Style w:val="17"/>
                <w:lang w:val="en-US" w:eastAsia="zh-CN" w:bidi="ar"/>
              </w:rPr>
              <w:t>重点项目数量</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Style w:val="17"/>
                <w:lang w:val="en-US" w:eastAsia="zh-CN" w:bidi="ar"/>
              </w:rPr>
              <w:t>个</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261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0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outlineLvl w:val="9"/>
              <w:rPr>
                <w:rFonts w:hint="eastAsia" w:ascii="方正仿宋_GBK" w:hAnsi="方正仿宋_GBK" w:eastAsia="方正仿宋_GBK" w:cs="方正仿宋_GBK"/>
                <w:b/>
                <w:i w:val="0"/>
                <w:color w:val="000000"/>
                <w:sz w:val="22"/>
                <w:szCs w:val="22"/>
                <w:u w:val="none"/>
              </w:rPr>
            </w:pPr>
          </w:p>
        </w:tc>
        <w:tc>
          <w:tcPr>
            <w:tcW w:w="138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Style w:val="17"/>
                <w:lang w:val="en-US" w:eastAsia="zh-CN" w:bidi="ar"/>
              </w:rPr>
              <w:t>工作完成时效性</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261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0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outlineLvl w:val="9"/>
              <w:rPr>
                <w:rFonts w:hint="eastAsia" w:ascii="方正仿宋_GBK" w:hAnsi="方正仿宋_GBK" w:eastAsia="方正仿宋_GBK" w:cs="方正仿宋_GBK"/>
                <w:b/>
                <w:i w:val="0"/>
                <w:color w:val="000000"/>
                <w:sz w:val="22"/>
                <w:szCs w:val="22"/>
                <w:u w:val="none"/>
              </w:rPr>
            </w:pPr>
          </w:p>
        </w:tc>
        <w:tc>
          <w:tcPr>
            <w:tcW w:w="138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Style w:val="17"/>
                <w:lang w:val="en-US" w:eastAsia="zh-CN" w:bidi="ar"/>
              </w:rPr>
              <w:t>改善人居环境</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outlineLvl w:val="9"/>
              <w:rPr>
                <w:rFonts w:hint="default" w:ascii="Times New Roman" w:hAnsi="Times New Roman" w:eastAsia="宋体" w:cs="Times New Roman"/>
                <w:i w:val="0"/>
                <w:color w:val="000000"/>
                <w:sz w:val="22"/>
                <w:szCs w:val="22"/>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Style w:val="17"/>
                <w:lang w:val="en-US" w:eastAsia="zh-CN" w:bidi="ar"/>
              </w:rPr>
              <w:t>定性</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Style w:val="17"/>
                <w:lang w:val="en-US" w:eastAsia="zh-CN" w:bidi="ar"/>
              </w:rPr>
              <w:t>定性</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261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7"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outlineLvl w:val="9"/>
              <w:rPr>
                <w:rFonts w:hint="eastAsia" w:ascii="方正仿宋_GBK" w:hAnsi="方正仿宋_GBK" w:eastAsia="方正仿宋_GBK" w:cs="方正仿宋_GBK"/>
                <w:b/>
                <w:i w:val="0"/>
                <w:color w:val="000000"/>
                <w:sz w:val="22"/>
                <w:szCs w:val="22"/>
                <w:u w:val="none"/>
              </w:rPr>
            </w:pPr>
          </w:p>
        </w:tc>
        <w:tc>
          <w:tcPr>
            <w:tcW w:w="138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Style w:val="17"/>
                <w:lang w:val="en-US" w:eastAsia="zh-CN" w:bidi="ar"/>
              </w:rPr>
              <w:t>提高居民办事效率</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outlineLvl w:val="9"/>
              <w:rPr>
                <w:rFonts w:hint="default" w:ascii="Times New Roman" w:hAnsi="Times New Roman" w:eastAsia="宋体" w:cs="Times New Roman"/>
                <w:i w:val="0"/>
                <w:color w:val="000000"/>
                <w:sz w:val="22"/>
                <w:szCs w:val="22"/>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Style w:val="17"/>
                <w:lang w:val="en-US" w:eastAsia="zh-CN" w:bidi="ar"/>
              </w:rPr>
              <w:t>定性</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Style w:val="17"/>
                <w:lang w:val="en-US" w:eastAsia="zh-CN" w:bidi="ar"/>
              </w:rPr>
              <w:t>定性</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 </w:t>
            </w:r>
          </w:p>
        </w:tc>
        <w:tc>
          <w:tcPr>
            <w:tcW w:w="261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 </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总体说明</w:t>
            </w:r>
          </w:p>
        </w:tc>
        <w:tc>
          <w:tcPr>
            <w:tcW w:w="12180" w:type="dxa"/>
            <w:gridSpan w:val="1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bl>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i w:val="0"/>
          <w:caps w:val="0"/>
          <w:color w:val="333333"/>
          <w:spacing w:val="0"/>
          <w:sz w:val="32"/>
          <w:szCs w:val="32"/>
          <w:shd w:val="clear" w:fill="FFFFFF"/>
          <w:lang w:val="en-US" w:eastAsia="zh-CN"/>
        </w:rPr>
      </w:pPr>
    </w:p>
    <w:p>
      <w:pPr>
        <w:pStyle w:val="12"/>
        <w:keepNext w:val="0"/>
        <w:keepLines w:val="0"/>
        <w:pageBreakBefore w:val="0"/>
        <w:kinsoku/>
        <w:wordWrap/>
        <w:overflowPunct/>
        <w:topLinePunct w:val="0"/>
        <w:autoSpaceDN/>
        <w:bidi w:val="0"/>
        <w:adjustRightInd/>
        <w:spacing w:before="0" w:beforeAutospacing="0" w:afterAutospacing="0" w:line="560" w:lineRule="exact"/>
        <w:ind w:firstLine="640" w:firstLineChars="200"/>
        <w:jc w:val="both"/>
        <w:textAlignment w:val="auto"/>
        <w:outlineLvl w:val="9"/>
        <w:rPr>
          <w:rFonts w:ascii="方正仿宋_GBK" w:hAnsi="方正仿宋_GBK" w:eastAsia="方正仿宋_GBK" w:cs="方正仿宋_GBK"/>
          <w:sz w:val="32"/>
          <w:szCs w:val="32"/>
          <w:shd w:val="clear" w:color="auto" w:fill="FFFFFF"/>
        </w:rPr>
      </w:pPr>
    </w:p>
    <w:tbl>
      <w:tblPr>
        <w:tblStyle w:val="9"/>
        <w:tblW w:w="126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80"/>
        <w:gridCol w:w="1080"/>
        <w:gridCol w:w="1080"/>
        <w:gridCol w:w="1080"/>
        <w:gridCol w:w="1080"/>
        <w:gridCol w:w="1080"/>
        <w:gridCol w:w="1080"/>
        <w:gridCol w:w="1611"/>
        <w:gridCol w:w="1351"/>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70" w:hRule="atLeast"/>
        </w:trPr>
        <w:tc>
          <w:tcPr>
            <w:tcW w:w="12682" w:type="dxa"/>
            <w:gridSpan w:val="11"/>
            <w:shd w:val="clear" w:color="auto" w:fill="auto"/>
            <w:tcMar>
              <w:top w:w="10" w:type="dxa"/>
              <w:left w:w="10" w:type="dxa"/>
              <w:right w:w="10"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中平乡人民政府2023年度项目支出绩效自评表（二级项目）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1"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指标权重</w:t>
            </w:r>
          </w:p>
        </w:tc>
        <w:tc>
          <w:tcPr>
            <w:tcW w:w="16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全年完成值</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说明</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乡镇环保专项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年度投资计划完成率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6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4"/>
                <w:szCs w:val="24"/>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预期使用人数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6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验收合格率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6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1"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受益人数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6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1"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cs="宋体"/>
                <w:i w:val="0"/>
                <w:color w:val="000000"/>
                <w:kern w:val="0"/>
                <w:sz w:val="24"/>
                <w:szCs w:val="24"/>
                <w:u w:val="none"/>
                <w:lang w:val="en-US" w:eastAsia="zh-CN" w:bidi="ar"/>
              </w:rPr>
              <w:t>资金</w:t>
            </w:r>
            <w:r>
              <w:rPr>
                <w:rFonts w:hint="eastAsia" w:ascii="宋体" w:hAnsi="宋体" w:eastAsia="宋体" w:cs="宋体"/>
                <w:i w:val="0"/>
                <w:color w:val="000000"/>
                <w:kern w:val="0"/>
                <w:sz w:val="24"/>
                <w:szCs w:val="24"/>
                <w:u w:val="none"/>
                <w:lang w:val="en-US" w:eastAsia="zh-CN" w:bidi="ar"/>
              </w:rPr>
              <w:t>执行</w:t>
            </w:r>
            <w:r>
              <w:rPr>
                <w:rFonts w:hint="eastAsia" w:cs="宋体"/>
                <w:i w:val="0"/>
                <w:color w:val="000000"/>
                <w:kern w:val="0"/>
                <w:sz w:val="24"/>
                <w:szCs w:val="24"/>
                <w:u w:val="none"/>
                <w:lang w:val="en-US" w:eastAsia="zh-CN" w:bidi="ar"/>
              </w:rPr>
              <w:t>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6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1" w:hRule="atLeast"/>
        </w:trPr>
        <w:tc>
          <w:tcPr>
            <w:tcW w:w="10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w:t>
            </w:r>
          </w:p>
        </w:tc>
        <w:tc>
          <w:tcPr>
            <w:tcW w:w="10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驻乡驻村工作经费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驻村数量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30</w:t>
            </w:r>
          </w:p>
        </w:tc>
        <w:tc>
          <w:tcPr>
            <w:tcW w:w="16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30</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4"/>
                <w:szCs w:val="24"/>
                <w:u w:val="none"/>
              </w:rPr>
            </w:pPr>
          </w:p>
        </w:tc>
        <w:tc>
          <w:tcPr>
            <w:tcW w:w="10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1" w:hRule="atLeast"/>
        </w:trPr>
        <w:tc>
          <w:tcPr>
            <w:tcW w:w="10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总成本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30</w:t>
            </w:r>
          </w:p>
        </w:tc>
        <w:tc>
          <w:tcPr>
            <w:tcW w:w="16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30</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1" w:hRule="atLeast"/>
        </w:trPr>
        <w:tc>
          <w:tcPr>
            <w:tcW w:w="10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驻村情况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30</w:t>
            </w:r>
          </w:p>
        </w:tc>
        <w:tc>
          <w:tcPr>
            <w:tcW w:w="16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30</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1" w:hRule="atLeast"/>
        </w:trPr>
        <w:tc>
          <w:tcPr>
            <w:tcW w:w="108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资金</w:t>
            </w:r>
            <w:r>
              <w:rPr>
                <w:rFonts w:hint="eastAsia" w:ascii="宋体" w:hAnsi="宋体" w:eastAsia="宋体" w:cs="宋体"/>
                <w:i w:val="0"/>
                <w:color w:val="000000"/>
                <w:kern w:val="0"/>
                <w:sz w:val="24"/>
                <w:szCs w:val="24"/>
                <w:u w:val="none"/>
                <w:lang w:val="en-US" w:eastAsia="zh-CN" w:bidi="ar"/>
              </w:rPr>
              <w:t>执行</w:t>
            </w:r>
            <w:r>
              <w:rPr>
                <w:rFonts w:hint="eastAsia" w:cs="宋体"/>
                <w:i w:val="0"/>
                <w:color w:val="000000"/>
                <w:kern w:val="0"/>
                <w:sz w:val="24"/>
                <w:szCs w:val="24"/>
                <w:u w:val="none"/>
                <w:lang w:val="en-US" w:eastAsia="zh-CN" w:bidi="ar"/>
              </w:rPr>
              <w:t>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10</w:t>
            </w:r>
          </w:p>
        </w:tc>
        <w:tc>
          <w:tcPr>
            <w:tcW w:w="16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10</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4"/>
                <w:szCs w:val="24"/>
                <w:u w:val="none"/>
              </w:rPr>
            </w:pPr>
          </w:p>
        </w:tc>
      </w:tr>
    </w:tbl>
    <w:p>
      <w:pPr>
        <w:pStyle w:val="12"/>
        <w:keepNext w:val="0"/>
        <w:keepLines w:val="0"/>
        <w:pageBreakBefore w:val="0"/>
        <w:kinsoku/>
        <w:wordWrap/>
        <w:overflowPunct/>
        <w:topLinePunct w:val="0"/>
        <w:autoSpaceDN/>
        <w:bidi w:val="0"/>
        <w:adjustRightInd/>
        <w:spacing w:before="0" w:beforeAutospacing="0" w:afterAutospacing="0" w:line="560" w:lineRule="exact"/>
        <w:ind w:firstLine="640" w:firstLineChars="200"/>
        <w:jc w:val="both"/>
        <w:textAlignment w:val="auto"/>
        <w:outlineLvl w:val="9"/>
        <w:rPr>
          <w:rFonts w:ascii="方正仿宋_GBK" w:hAnsi="方正仿宋_GBK" w:eastAsia="方正仿宋_GBK" w:cs="方正仿宋_GBK"/>
          <w:sz w:val="32"/>
          <w:szCs w:val="32"/>
          <w:shd w:val="clear" w:color="auto" w:fill="FFFFFF"/>
        </w:rPr>
        <w:sectPr>
          <w:pgSz w:w="16840" w:h="11915" w:orient="landscape"/>
          <w:pgMar w:top="1587" w:right="2098" w:bottom="1474" w:left="1984" w:header="851" w:footer="992" w:gutter="0"/>
          <w:pgNumType w:fmt="numberInDash"/>
          <w:cols w:space="720" w:num="1"/>
          <w:docGrid w:type="lines" w:linePitch="312" w:charSpace="0"/>
        </w:sectPr>
      </w:pPr>
    </w:p>
    <w:p>
      <w:pPr>
        <w:pStyle w:val="12"/>
        <w:keepNext w:val="0"/>
        <w:keepLines w:val="0"/>
        <w:pageBreakBefore w:val="0"/>
        <w:kinsoku/>
        <w:wordWrap/>
        <w:overflowPunct/>
        <w:topLinePunct w:val="0"/>
        <w:autoSpaceDN/>
        <w:bidi w:val="0"/>
        <w:adjustRightInd/>
        <w:spacing w:before="0" w:beforeAutospacing="0" w:afterAutospacing="0" w:line="560" w:lineRule="exact"/>
        <w:ind w:firstLine="640" w:firstLineChars="200"/>
        <w:jc w:val="both"/>
        <w:textAlignment w:val="auto"/>
        <w:outlineLvl w:val="9"/>
        <w:rPr>
          <w:rFonts w:ascii="方正仿宋_GBK" w:hAnsi="方正仿宋_GBK" w:eastAsia="方正仿宋_GBK" w:cs="方正仿宋_GBK"/>
          <w:sz w:val="32"/>
          <w:szCs w:val="32"/>
          <w:shd w:val="clear" w:color="auto" w:fill="FFFFFF"/>
        </w:rPr>
      </w:pPr>
    </w:p>
    <w:p>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0" w:firstLineChars="200"/>
        <w:jc w:val="both"/>
        <w:textAlignment w:val="auto"/>
        <w:outlineLvl w:val="9"/>
        <w:rPr>
          <w:rStyle w:val="8"/>
          <w:rFonts w:hint="eastAsia" w:ascii="Times New Roman" w:hAnsi="Times New Roman" w:eastAsia="方正楷体_GBK" w:cs="Times New Roman"/>
          <w:b w:val="0"/>
          <w:bCs/>
          <w:sz w:val="32"/>
          <w:szCs w:val="32"/>
          <w:shd w:val="clear" w:color="auto" w:fill="FFFFFF"/>
          <w:lang w:val="en-US" w:eastAsia="zh-CN" w:bidi="ar-SA"/>
        </w:rPr>
      </w:pPr>
      <w:r>
        <w:rPr>
          <w:rStyle w:val="8"/>
          <w:rFonts w:hint="eastAsia" w:ascii="Times New Roman" w:hAnsi="Times New Roman" w:eastAsia="方正楷体_GBK" w:cs="Times New Roman"/>
          <w:b w:val="0"/>
          <w:bCs/>
          <w:sz w:val="32"/>
          <w:szCs w:val="32"/>
          <w:shd w:val="clear" w:color="auto" w:fill="FFFFFF"/>
          <w:lang w:val="en-US" w:eastAsia="zh-CN" w:bidi="ar-SA"/>
        </w:rPr>
        <w:t>（二）部门绩效评价情况</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sz w:val="32"/>
          <w:szCs w:val="32"/>
          <w:shd w:val="clear" w:color="auto" w:fill="FFFFFF"/>
          <w:lang w:val="en-US" w:eastAsia="zh-CN" w:bidi="ar"/>
        </w:rPr>
      </w:pPr>
      <w:r>
        <w:rPr>
          <w:rFonts w:hint="default" w:ascii="Times New Roman" w:hAnsi="Times New Roman" w:eastAsia="方正仿宋_GBK" w:cs="Times New Roman"/>
          <w:sz w:val="32"/>
          <w:szCs w:val="32"/>
          <w:shd w:val="clear" w:color="auto" w:fill="FFFFFF"/>
          <w:lang w:bidi="ar"/>
        </w:rPr>
        <w:t>我部门对</w:t>
      </w:r>
      <w:r>
        <w:rPr>
          <w:rFonts w:hint="eastAsia" w:ascii="Times New Roman" w:hAnsi="Times New Roman" w:eastAsia="方正仿宋_GBK" w:cs="Times New Roman"/>
          <w:sz w:val="32"/>
          <w:szCs w:val="32"/>
          <w:shd w:val="clear" w:color="auto" w:fill="FFFFFF"/>
          <w:lang w:eastAsia="zh-CN" w:bidi="ar"/>
        </w:rPr>
        <w:t>驻乡驻村工作经费</w:t>
      </w:r>
      <w:r>
        <w:rPr>
          <w:rFonts w:hint="default" w:ascii="Times New Roman" w:hAnsi="Times New Roman" w:eastAsia="方正仿宋_GBK" w:cs="Times New Roman"/>
          <w:sz w:val="32"/>
          <w:szCs w:val="32"/>
          <w:shd w:val="clear" w:color="auto" w:fill="FFFFFF"/>
          <w:lang w:bidi="ar"/>
        </w:rPr>
        <w:t>开展了绩效评价，涉及财政拨款项目资金</w:t>
      </w:r>
      <w:r>
        <w:rPr>
          <w:rFonts w:hint="eastAsia" w:ascii="Times New Roman" w:hAnsi="Times New Roman" w:eastAsia="方正仿宋_GBK" w:cs="Times New Roman"/>
          <w:sz w:val="32"/>
          <w:szCs w:val="32"/>
          <w:shd w:val="clear" w:color="auto" w:fill="FFFFFF"/>
          <w:lang w:val="en-US" w:eastAsia="zh-CN" w:bidi="ar"/>
        </w:rPr>
        <w:t>6.00</w:t>
      </w:r>
      <w:r>
        <w:rPr>
          <w:rFonts w:hint="default" w:ascii="Times New Roman" w:hAnsi="Times New Roman" w:eastAsia="方正仿宋_GBK" w:cs="Times New Roman"/>
          <w:sz w:val="32"/>
          <w:szCs w:val="32"/>
          <w:shd w:val="clear" w:color="auto" w:fill="FFFFFF"/>
          <w:lang w:bidi="ar"/>
        </w:rPr>
        <w:t>万元，评价得分</w:t>
      </w:r>
      <w:r>
        <w:rPr>
          <w:rFonts w:hint="eastAsia" w:ascii="Times New Roman" w:hAnsi="Times New Roman" w:eastAsia="方正仿宋_GBK" w:cs="Times New Roman"/>
          <w:sz w:val="32"/>
          <w:szCs w:val="32"/>
          <w:shd w:val="clear" w:color="auto" w:fill="FFFFFF"/>
          <w:lang w:val="en-US" w:eastAsia="zh-CN" w:bidi="ar"/>
        </w:rPr>
        <w:t>100</w:t>
      </w:r>
      <w:r>
        <w:rPr>
          <w:rFonts w:hint="default" w:ascii="Times New Roman" w:hAnsi="Times New Roman" w:eastAsia="方正仿宋_GBK" w:cs="Times New Roman"/>
          <w:sz w:val="32"/>
          <w:szCs w:val="32"/>
          <w:shd w:val="clear" w:color="auto" w:fill="FFFFFF"/>
          <w:lang w:bidi="ar"/>
        </w:rPr>
        <w:t>分，评价等次为</w:t>
      </w:r>
      <w:r>
        <w:rPr>
          <w:rFonts w:hint="eastAsia" w:ascii="Times New Roman" w:hAnsi="Times New Roman" w:eastAsia="方正仿宋_GBK" w:cs="Times New Roman"/>
          <w:sz w:val="32"/>
          <w:szCs w:val="32"/>
          <w:shd w:val="clear" w:color="auto" w:fill="FFFFFF"/>
          <w:lang w:eastAsia="zh-CN" w:bidi="ar"/>
        </w:rPr>
        <w:t>优</w:t>
      </w:r>
      <w:r>
        <w:rPr>
          <w:rFonts w:hint="default" w:ascii="Times New Roman" w:hAnsi="Times New Roman" w:eastAsia="方正仿宋_GBK" w:cs="Times New Roman"/>
          <w:sz w:val="32"/>
          <w:szCs w:val="32"/>
          <w:shd w:val="clear" w:color="auto" w:fill="FFFFFF"/>
          <w:lang w:bidi="ar"/>
        </w:rPr>
        <w:t>，绩效评价发现了</w:t>
      </w:r>
      <w:r>
        <w:rPr>
          <w:rFonts w:hint="eastAsia" w:ascii="Times New Roman" w:hAnsi="Times New Roman" w:eastAsia="方正仿宋_GBK" w:cs="Times New Roman"/>
          <w:sz w:val="32"/>
          <w:szCs w:val="32"/>
          <w:shd w:val="clear" w:color="auto" w:fill="FFFFFF"/>
          <w:lang w:eastAsia="zh-CN" w:bidi="ar"/>
        </w:rPr>
        <w:t>报账不及时</w:t>
      </w:r>
      <w:r>
        <w:rPr>
          <w:rFonts w:hint="default" w:ascii="Times New Roman" w:hAnsi="Times New Roman" w:eastAsia="方正仿宋_GBK" w:cs="Times New Roman"/>
          <w:sz w:val="32"/>
          <w:szCs w:val="32"/>
          <w:shd w:val="clear" w:color="auto" w:fill="FFFFFF"/>
          <w:lang w:bidi="ar"/>
        </w:rPr>
        <w:t>等主要问题，提出</w:t>
      </w:r>
      <w:r>
        <w:rPr>
          <w:rFonts w:hint="eastAsia" w:ascii="Times New Roman" w:hAnsi="Times New Roman" w:eastAsia="方正仿宋_GBK" w:cs="Times New Roman"/>
          <w:sz w:val="32"/>
          <w:szCs w:val="32"/>
          <w:shd w:val="clear" w:color="auto" w:fill="FFFFFF"/>
          <w:lang w:eastAsia="zh-CN" w:bidi="ar"/>
        </w:rPr>
        <w:t>及时报账</w:t>
      </w:r>
      <w:r>
        <w:rPr>
          <w:rFonts w:hint="default" w:ascii="Times New Roman" w:hAnsi="Times New Roman" w:eastAsia="方正仿宋_GBK" w:cs="Times New Roman"/>
          <w:sz w:val="32"/>
          <w:szCs w:val="32"/>
          <w:shd w:val="clear" w:color="auto" w:fill="FFFFFF"/>
          <w:lang w:bidi="ar"/>
        </w:rPr>
        <w:t>等下一步工作建议；对</w:t>
      </w:r>
      <w:r>
        <w:rPr>
          <w:rFonts w:hint="eastAsia" w:ascii="Times New Roman" w:hAnsi="Times New Roman" w:eastAsia="方正仿宋_GBK" w:cs="Times New Roman"/>
          <w:sz w:val="32"/>
          <w:szCs w:val="32"/>
          <w:shd w:val="clear" w:color="auto" w:fill="FFFFFF"/>
          <w:lang w:eastAsia="zh-CN" w:bidi="ar"/>
        </w:rPr>
        <w:t>乡镇环保专项</w:t>
      </w:r>
      <w:r>
        <w:rPr>
          <w:rFonts w:hint="default" w:ascii="Times New Roman" w:hAnsi="Times New Roman" w:eastAsia="方正仿宋_GBK" w:cs="Times New Roman"/>
          <w:sz w:val="32"/>
          <w:szCs w:val="32"/>
          <w:shd w:val="clear" w:color="auto" w:fill="FFFFFF"/>
          <w:lang w:bidi="ar"/>
        </w:rPr>
        <w:t>开展了绩效评价，涉及财政拨款项目资金</w:t>
      </w:r>
      <w:r>
        <w:rPr>
          <w:rFonts w:hint="eastAsia" w:ascii="Times New Roman" w:hAnsi="Times New Roman" w:eastAsia="方正仿宋_GBK" w:cs="Times New Roman"/>
          <w:sz w:val="32"/>
          <w:szCs w:val="32"/>
          <w:shd w:val="clear" w:color="auto" w:fill="FFFFFF"/>
          <w:lang w:val="en-US" w:eastAsia="zh-CN" w:bidi="ar"/>
        </w:rPr>
        <w:t>50.00</w:t>
      </w:r>
      <w:r>
        <w:rPr>
          <w:rFonts w:hint="default" w:ascii="Times New Roman" w:hAnsi="Times New Roman" w:eastAsia="方正仿宋_GBK" w:cs="Times New Roman"/>
          <w:sz w:val="32"/>
          <w:szCs w:val="32"/>
          <w:shd w:val="clear" w:color="auto" w:fill="FFFFFF"/>
          <w:lang w:bidi="ar"/>
        </w:rPr>
        <w:t>万元，评价得分</w:t>
      </w:r>
      <w:r>
        <w:rPr>
          <w:rFonts w:hint="eastAsia" w:ascii="Times New Roman" w:hAnsi="Times New Roman" w:eastAsia="方正仿宋_GBK" w:cs="Times New Roman"/>
          <w:sz w:val="32"/>
          <w:szCs w:val="32"/>
          <w:shd w:val="clear" w:color="auto" w:fill="FFFFFF"/>
          <w:lang w:val="en-US" w:eastAsia="zh-CN" w:bidi="ar"/>
        </w:rPr>
        <w:t>100</w:t>
      </w:r>
      <w:r>
        <w:rPr>
          <w:rFonts w:hint="default" w:ascii="Times New Roman" w:hAnsi="Times New Roman" w:eastAsia="方正仿宋_GBK" w:cs="Times New Roman"/>
          <w:sz w:val="32"/>
          <w:szCs w:val="32"/>
          <w:shd w:val="clear" w:color="auto" w:fill="FFFFFF"/>
          <w:lang w:bidi="ar"/>
        </w:rPr>
        <w:t>分，评价等次为</w:t>
      </w:r>
      <w:r>
        <w:rPr>
          <w:rFonts w:hint="eastAsia" w:ascii="Times New Roman" w:hAnsi="Times New Roman" w:eastAsia="方正仿宋_GBK" w:cs="Times New Roman"/>
          <w:sz w:val="32"/>
          <w:szCs w:val="32"/>
          <w:shd w:val="clear" w:color="auto" w:fill="FFFFFF"/>
          <w:lang w:eastAsia="zh-CN" w:bidi="ar"/>
        </w:rPr>
        <w:t>优</w:t>
      </w:r>
      <w:r>
        <w:rPr>
          <w:rFonts w:hint="default" w:ascii="Times New Roman" w:hAnsi="Times New Roman" w:eastAsia="方正仿宋_GBK" w:cs="Times New Roman"/>
          <w:sz w:val="32"/>
          <w:szCs w:val="32"/>
          <w:shd w:val="clear" w:color="auto" w:fill="FFFFFF"/>
          <w:lang w:bidi="ar"/>
        </w:rPr>
        <w:t>，绩效评价发现了</w:t>
      </w:r>
      <w:r>
        <w:rPr>
          <w:rFonts w:hint="eastAsia" w:ascii="Times New Roman" w:hAnsi="Times New Roman" w:eastAsia="方正仿宋_GBK" w:cs="Times New Roman"/>
          <w:sz w:val="32"/>
          <w:szCs w:val="32"/>
          <w:shd w:val="clear" w:color="auto" w:fill="FFFFFF"/>
          <w:lang w:eastAsia="zh-CN" w:bidi="ar"/>
        </w:rPr>
        <w:t>报账不及时</w:t>
      </w:r>
      <w:r>
        <w:rPr>
          <w:rFonts w:hint="default" w:ascii="Times New Roman" w:hAnsi="Times New Roman" w:eastAsia="方正仿宋_GBK" w:cs="Times New Roman"/>
          <w:sz w:val="32"/>
          <w:szCs w:val="32"/>
          <w:shd w:val="clear" w:color="auto" w:fill="FFFFFF"/>
          <w:lang w:bidi="ar"/>
        </w:rPr>
        <w:t>等主要问题，提出</w:t>
      </w:r>
      <w:r>
        <w:rPr>
          <w:rFonts w:hint="eastAsia" w:ascii="Times New Roman" w:hAnsi="Times New Roman" w:eastAsia="方正仿宋_GBK" w:cs="Times New Roman"/>
          <w:sz w:val="32"/>
          <w:szCs w:val="32"/>
          <w:shd w:val="clear" w:color="auto" w:fill="FFFFFF"/>
          <w:lang w:eastAsia="zh-CN" w:bidi="ar"/>
        </w:rPr>
        <w:t>及时报账</w:t>
      </w:r>
      <w:r>
        <w:rPr>
          <w:rFonts w:hint="default" w:ascii="Times New Roman" w:hAnsi="Times New Roman" w:eastAsia="方正仿宋_GBK" w:cs="Times New Roman"/>
          <w:sz w:val="32"/>
          <w:szCs w:val="32"/>
          <w:shd w:val="clear" w:color="auto" w:fill="FFFFFF"/>
          <w:lang w:bidi="ar"/>
        </w:rPr>
        <w:t>等下一步工作建议</w:t>
      </w:r>
      <w:r>
        <w:rPr>
          <w:rFonts w:hint="eastAsia" w:ascii="Times New Roman" w:hAnsi="Times New Roman" w:eastAsia="方正仿宋_GBK" w:cs="Times New Roman"/>
          <w:sz w:val="32"/>
          <w:szCs w:val="32"/>
          <w:shd w:val="clear" w:color="auto" w:fill="FFFFFF"/>
          <w:lang w:eastAsia="zh-CN" w:bidi="ar"/>
        </w:rPr>
        <w:t>。</w:t>
      </w:r>
    </w:p>
    <w:p>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0" w:firstLineChars="200"/>
        <w:jc w:val="both"/>
        <w:textAlignment w:val="auto"/>
        <w:outlineLvl w:val="9"/>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eastAsia" w:ascii="Times New Roman" w:hAnsi="Times New Roman" w:eastAsia="方正楷体_GBK" w:cs="Times New Roman"/>
          <w:b w:val="0"/>
          <w:bCs/>
          <w:sz w:val="32"/>
          <w:szCs w:val="32"/>
          <w:shd w:val="clear" w:color="auto" w:fill="FFFFFF"/>
          <w:lang w:val="en-US" w:eastAsia="zh-CN" w:bidi="ar-SA"/>
        </w:rPr>
        <w:t>（三）财政绩效评价情况</w:t>
      </w:r>
    </w:p>
    <w:p>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0" w:firstLineChars="200"/>
        <w:jc w:val="both"/>
        <w:textAlignment w:val="auto"/>
        <w:outlineLvl w:val="9"/>
        <w:rPr>
          <w:rFonts w:hint="eastAsia" w:ascii="方正仿宋_GBK" w:hAnsi="方正仿宋_GBK" w:eastAsia="方正仿宋_GBK" w:cs="方正仿宋_GBK"/>
          <w:sz w:val="32"/>
          <w:szCs w:val="32"/>
          <w:shd w:val="clear" w:color="auto" w:fill="FFFFFF"/>
          <w:lang w:val="en-US" w:eastAsia="zh-CN" w:bidi="ar-SA"/>
        </w:rPr>
      </w:pPr>
      <w:r>
        <w:rPr>
          <w:rFonts w:hint="eastAsia" w:ascii="Times New Roman" w:hAnsi="Times New Roman" w:eastAsia="方正仿宋_GBK" w:cs="Times New Roman"/>
          <w:i w:val="0"/>
          <w:caps w:val="0"/>
          <w:color w:val="333333"/>
          <w:spacing w:val="0"/>
          <w:sz w:val="32"/>
          <w:szCs w:val="32"/>
          <w:shd w:val="clear" w:fill="FFFFFF"/>
          <w:lang w:val="en-US" w:eastAsia="zh-CN" w:bidi="ar-SA"/>
        </w:rPr>
        <w:t>县财政局未委托第三方对我部门开展绩效评价。</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六、专业名词解释</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i w:val="0"/>
          <w:caps w:val="0"/>
          <w:color w:val="333333"/>
          <w:spacing w:val="0"/>
          <w:sz w:val="32"/>
          <w:szCs w:val="32"/>
          <w:shd w:val="clear" w:fill="FFFFFF"/>
          <w:lang w:val="en-US" w:eastAsia="zh-CN" w:bidi="ar-SA"/>
        </w:rPr>
      </w:pPr>
      <w:r>
        <w:rPr>
          <w:rStyle w:val="8"/>
          <w:rFonts w:hint="default" w:ascii="Times New Roman" w:hAnsi="Times New Roman" w:eastAsia="方正楷体_GBK" w:cs="Times New Roman"/>
          <w:b w:val="0"/>
          <w:bCs/>
          <w:sz w:val="32"/>
          <w:szCs w:val="32"/>
          <w:shd w:val="clear" w:color="auto" w:fill="FFFFFF"/>
        </w:rPr>
        <w:t>（一）财政拨款收入：</w:t>
      </w:r>
      <w:r>
        <w:rPr>
          <w:rFonts w:hint="eastAsia" w:ascii="Times New Roman" w:hAnsi="Times New Roman" w:eastAsia="方正仿宋_GBK" w:cs="Times New Roman"/>
          <w:i w:val="0"/>
          <w:caps w:val="0"/>
          <w:color w:val="333333"/>
          <w:spacing w:val="0"/>
          <w:sz w:val="32"/>
          <w:szCs w:val="32"/>
          <w:shd w:val="clear" w:fill="FFFFFF"/>
          <w:lang w:val="en-US" w:eastAsia="zh-CN" w:bidi="ar-SA"/>
        </w:rPr>
        <w:t>指本年度从本级财政部门取得的财政拨款，包括一般公共预算财政拨款和政府性基金预算财政拨款。</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i w:val="0"/>
          <w:caps w:val="0"/>
          <w:color w:val="333333"/>
          <w:spacing w:val="0"/>
          <w:sz w:val="32"/>
          <w:szCs w:val="32"/>
          <w:shd w:val="clear" w:fill="FFFFFF"/>
          <w:lang w:val="en-US" w:eastAsia="zh-CN" w:bidi="ar-SA"/>
        </w:rPr>
      </w:pPr>
      <w:r>
        <w:rPr>
          <w:rStyle w:val="8"/>
          <w:rFonts w:hint="default" w:ascii="Times New Roman" w:hAnsi="Times New Roman" w:eastAsia="方正楷体_GBK" w:cs="Times New Roman"/>
          <w:b w:val="0"/>
          <w:bCs/>
          <w:sz w:val="32"/>
          <w:szCs w:val="32"/>
          <w:shd w:val="clear" w:color="auto" w:fill="FFFFFF"/>
        </w:rPr>
        <w:t>（二）事业收入：</w:t>
      </w:r>
      <w:r>
        <w:rPr>
          <w:rFonts w:hint="eastAsia" w:ascii="Times New Roman" w:hAnsi="Times New Roman" w:eastAsia="方正仿宋_GBK" w:cs="Times New Roman"/>
          <w:i w:val="0"/>
          <w:caps w:val="0"/>
          <w:color w:val="333333"/>
          <w:spacing w:val="0"/>
          <w:sz w:val="32"/>
          <w:szCs w:val="32"/>
          <w:shd w:val="clear" w:fill="FFFFFF"/>
          <w:lang w:val="en-US" w:eastAsia="zh-CN" w:bidi="ar-SA"/>
        </w:rPr>
        <w:t>指事业部门开展专业业务活动及其辅助活动取得的现金流入；事业部门收到的财政专户实际核拨的教育收费等资金在此反映。</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Style w:val="8"/>
          <w:rFonts w:hint="default" w:ascii="Times New Roman" w:hAnsi="Times New Roman" w:eastAsia="方正楷体_GBK" w:cs="Times New Roman"/>
          <w:b w:val="0"/>
          <w:bCs/>
          <w:sz w:val="32"/>
          <w:szCs w:val="32"/>
          <w:shd w:val="clear" w:color="auto" w:fill="FFFFFF"/>
        </w:rPr>
        <w:t>（三）经营收入：</w:t>
      </w:r>
      <w:r>
        <w:rPr>
          <w:rFonts w:ascii="方正仿宋_GBK" w:hAnsi="方正仿宋_GBK" w:eastAsia="方正仿宋_GBK" w:cs="方正仿宋_GBK"/>
          <w:sz w:val="32"/>
          <w:szCs w:val="32"/>
          <w:shd w:val="clear" w:color="auto" w:fill="FFFFFF"/>
        </w:rPr>
        <w:t>指事业</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在专业业务活动及其辅助活动之外开展非独立核算经营活动取得的现金流入。</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Style w:val="8"/>
          <w:rFonts w:hint="default" w:ascii="Times New Roman" w:hAnsi="Times New Roman" w:eastAsia="方正楷体_GBK" w:cs="Times New Roman"/>
          <w:b w:val="0"/>
          <w:bCs/>
          <w:sz w:val="32"/>
          <w:szCs w:val="32"/>
          <w:shd w:val="clear" w:color="auto" w:fill="FFFFFF"/>
        </w:rPr>
        <w:t>（四）其他收入：</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取得的除</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财政拨款收入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经营收入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从本级财政</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以外的同级</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取得的经费、从非本级财政</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取得的经费，以及行政</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收到的财政专户管理资金反映在本项内。</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Style w:val="8"/>
          <w:rFonts w:hint="default" w:ascii="Times New Roman" w:hAnsi="Times New Roman" w:eastAsia="方正楷体_GBK" w:cs="Times New Roman"/>
          <w:b w:val="0"/>
          <w:bCs/>
          <w:sz w:val="32"/>
          <w:szCs w:val="32"/>
          <w:shd w:val="clear" w:color="auto" w:fill="FFFFFF"/>
        </w:rPr>
        <w:t>（五）使用非财政拨款结余：</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在当年的</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财政拨款收入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经营收入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其他收入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等不足以安排当年支出的情况下，使用以前年度积累的非财政拨款结余弥补本年度收支缺口的资金。</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Style w:val="8"/>
          <w:rFonts w:hint="default" w:ascii="Times New Roman" w:hAnsi="Times New Roman" w:eastAsia="方正楷体_GBK" w:cs="Times New Roman"/>
          <w:b w:val="0"/>
          <w:bCs/>
          <w:sz w:val="32"/>
          <w:szCs w:val="32"/>
          <w:shd w:val="clear" w:color="auto" w:fill="FFFFFF"/>
        </w:rPr>
        <w:t>（六）年初结转和结余：</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上年结转本年使用的基本支出结转、项目支出结转和结余、经营结余。</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Style w:val="8"/>
          <w:rFonts w:hint="default" w:ascii="Times New Roman" w:hAnsi="Times New Roman" w:eastAsia="方正楷体_GBK" w:cs="Times New Roman"/>
          <w:b w:val="0"/>
          <w:bCs/>
          <w:sz w:val="32"/>
          <w:szCs w:val="32"/>
          <w:shd w:val="clear" w:color="auto" w:fill="FFFFFF"/>
        </w:rPr>
        <w:t>（七）结余分配：</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按照国家有关规定，缴纳所得税、提取专用基金、转入非财政拨款结余等当年结余的分配情况。</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Style w:val="8"/>
          <w:rFonts w:hint="default" w:ascii="Times New Roman" w:hAnsi="Times New Roman" w:eastAsia="方正楷体_GBK" w:cs="Times New Roman"/>
          <w:b w:val="0"/>
          <w:bCs/>
          <w:sz w:val="32"/>
          <w:szCs w:val="32"/>
          <w:shd w:val="clear" w:color="auto" w:fill="FFFFFF"/>
        </w:rPr>
        <w:t>（八）年末结转和结余：</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结转下年的基本支出结转、项目支出结转和结余、经营结余。</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Style w:val="8"/>
          <w:rFonts w:hint="default" w:ascii="Times New Roman" w:hAnsi="Times New Roman" w:eastAsia="方正楷体_GBK" w:cs="Times New Roman"/>
          <w:b w:val="0"/>
          <w:bCs/>
          <w:sz w:val="32"/>
          <w:szCs w:val="32"/>
          <w:shd w:val="clear" w:color="auto" w:fill="FFFFFF"/>
        </w:rPr>
        <w:t>（九）基本支出：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工资福利支出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和</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对个人和家庭的补助</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；公用经费指政府收支分类经济科目中除</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工资福利支出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和</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对个人和家庭的补助</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外的其他支出。</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Style w:val="8"/>
          <w:rFonts w:hint="default" w:ascii="Times New Roman" w:hAnsi="Times New Roman" w:eastAsia="方正楷体_GBK" w:cs="Times New Roman"/>
          <w:b w:val="0"/>
          <w:bCs/>
          <w:sz w:val="32"/>
          <w:szCs w:val="32"/>
          <w:shd w:val="clear" w:color="auto" w:fill="FFFFFF"/>
        </w:rPr>
        <w:t>（十）项目支出：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Style w:val="8"/>
          <w:rFonts w:hint="default" w:ascii="Times New Roman" w:hAnsi="Times New Roman" w:eastAsia="方正楷体_GBK" w:cs="Times New Roman"/>
          <w:b w:val="0"/>
          <w:bCs/>
          <w:sz w:val="32"/>
          <w:szCs w:val="32"/>
          <w:shd w:val="clear" w:color="auto" w:fill="FFFFFF"/>
        </w:rPr>
        <w:t>（十一）经营支出：</w:t>
      </w:r>
      <w:r>
        <w:rPr>
          <w:rFonts w:ascii="方正仿宋_GBK" w:hAnsi="方正仿宋_GBK" w:eastAsia="方正仿宋_GBK" w:cs="方正仿宋_GBK"/>
          <w:sz w:val="32"/>
          <w:szCs w:val="32"/>
          <w:shd w:val="clear" w:color="auto" w:fill="FFFFFF"/>
        </w:rPr>
        <w:t>指事业</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在专业业务活动及其辅助活动之外开展非独立核算经营活动发生的支出。</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Style w:val="8"/>
          <w:rFonts w:hint="default" w:ascii="Times New Roman" w:hAnsi="Times New Roman" w:eastAsia="方正楷体_GBK" w:cs="Times New Roman"/>
          <w:b w:val="0"/>
          <w:bCs/>
          <w:sz w:val="32"/>
          <w:szCs w:val="32"/>
          <w:shd w:val="clear" w:color="auto" w:fill="FFFFFF"/>
        </w:rPr>
        <w:t>（十二）</w:t>
      </w:r>
      <w:r>
        <w:rPr>
          <w:rStyle w:val="8"/>
          <w:rFonts w:hint="eastAsia" w:ascii="Times New Roman" w:hAnsi="Times New Roman" w:eastAsia="方正楷体_GBK" w:cs="Times New Roman"/>
          <w:b w:val="0"/>
          <w:bCs/>
          <w:sz w:val="32"/>
          <w:szCs w:val="32"/>
          <w:shd w:val="clear" w:color="auto" w:fill="FFFFFF"/>
          <w:lang w:eastAsia="zh-CN"/>
        </w:rPr>
        <w:t>“</w:t>
      </w:r>
      <w:r>
        <w:rPr>
          <w:rStyle w:val="8"/>
          <w:rFonts w:hint="default" w:ascii="Times New Roman" w:hAnsi="Times New Roman" w:eastAsia="方正楷体_GBK" w:cs="Times New Roman"/>
          <w:b w:val="0"/>
          <w:bCs/>
          <w:sz w:val="32"/>
          <w:szCs w:val="32"/>
          <w:shd w:val="clear" w:color="auto" w:fill="FFFFFF"/>
        </w:rPr>
        <w:t>三公</w:t>
      </w:r>
      <w:r>
        <w:rPr>
          <w:rStyle w:val="8"/>
          <w:rFonts w:hint="eastAsia" w:ascii="Times New Roman" w:hAnsi="Times New Roman" w:eastAsia="方正楷体_GBK" w:cs="Times New Roman"/>
          <w:b w:val="0"/>
          <w:bCs/>
          <w:sz w:val="32"/>
          <w:szCs w:val="32"/>
          <w:shd w:val="clear" w:color="auto" w:fill="FFFFFF"/>
          <w:lang w:eastAsia="zh-CN"/>
        </w:rPr>
        <w:t>”</w:t>
      </w:r>
      <w:r>
        <w:rPr>
          <w:rStyle w:val="8"/>
          <w:rFonts w:hint="default" w:ascii="Times New Roman" w:hAnsi="Times New Roman" w:eastAsia="方正楷体_GBK" w:cs="Times New Roman"/>
          <w:b w:val="0"/>
          <w:bCs/>
          <w:sz w:val="32"/>
          <w:szCs w:val="32"/>
          <w:shd w:val="clear" w:color="auto" w:fill="FFFFFF"/>
        </w:rPr>
        <w:t>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公务出国（境）的国际旅费、国外城市间交通费、住宿费、伙食费、培训费、公杂费等支出；公务用车购置费反映</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公务用车购置支出（含车辆购置税）；公务用车运行维护费反映</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按规定保留的公务用车燃料费、维修费、过路过桥费、保险费、安全奖励费用等支出；公务接待费反映</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按规定开支的各类公务接待（含外宾接待）支出。</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Style w:val="8"/>
          <w:rFonts w:hint="default" w:ascii="Times New Roman" w:hAnsi="Times New Roman" w:eastAsia="方正楷体_GBK" w:cs="Times New Roman"/>
          <w:b w:val="0"/>
          <w:bCs/>
          <w:sz w:val="32"/>
          <w:szCs w:val="32"/>
          <w:shd w:val="clear" w:color="auto" w:fill="FFFFFF"/>
        </w:rPr>
        <w:t>（十三）机关运行经费：</w:t>
      </w:r>
      <w:r>
        <w:rPr>
          <w:rFonts w:ascii="方正仿宋_GBK" w:hAnsi="方正仿宋_GBK" w:eastAsia="方正仿宋_GBK" w:cs="方正仿宋_GBK"/>
          <w:sz w:val="32"/>
          <w:szCs w:val="32"/>
          <w:shd w:val="clear" w:color="auto" w:fill="FFFFFF"/>
        </w:rPr>
        <w:t>为保障行政</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（含参照公务员法管理的事业</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Style w:val="8"/>
          <w:rFonts w:hint="default" w:ascii="Times New Roman" w:hAnsi="Times New Roman" w:eastAsia="方正楷体_GBK" w:cs="Times New Roman"/>
          <w:b w:val="0"/>
          <w:bCs/>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开支的在职职工和编制外长期聘用人员的各类劳动报酬，以及为上述人员缴纳的各项社会保险费等。</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Style w:val="8"/>
          <w:rFonts w:hint="default" w:ascii="Times New Roman" w:hAnsi="Times New Roman" w:eastAsia="方正楷体_GBK" w:cs="Times New Roman"/>
          <w:b w:val="0"/>
          <w:bCs/>
          <w:sz w:val="32"/>
          <w:szCs w:val="32"/>
          <w:shd w:val="clear" w:color="auto" w:fill="FFFFFF"/>
        </w:rPr>
        <w:t>（十五）商品和服务支出（支出经济分类科目类级）：</w:t>
      </w:r>
      <w:r>
        <w:rPr>
          <w:rFonts w:ascii="方正仿宋_GBK" w:hAnsi="方正仿宋_GBK" w:eastAsia="方正仿宋_GBK" w:cs="方正仿宋_GBK"/>
          <w:sz w:val="32"/>
          <w:szCs w:val="32"/>
          <w:shd w:val="clear" w:color="auto" w:fill="FFFFFF"/>
        </w:rPr>
        <w:t>反映</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购买商品和服务的支出（不包括用于购置固定资产的支出、战略性和应急储备支出）。</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Style w:val="8"/>
          <w:rFonts w:hint="default" w:ascii="Times New Roman" w:hAnsi="Times New Roman" w:eastAsia="方正楷体_GBK" w:cs="Times New Roman"/>
          <w:b w:val="0"/>
          <w:bCs/>
          <w:sz w:val="32"/>
          <w:szCs w:val="32"/>
          <w:shd w:val="clear" w:color="auto" w:fill="FFFFFF"/>
        </w:rPr>
        <w:t>（十六）对个人和家庭的补助（支出经济分类科目类级）：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Style w:val="8"/>
          <w:rFonts w:hint="default" w:ascii="Times New Roman" w:hAnsi="Times New Roman" w:eastAsia="方正楷体_GBK" w:cs="Times New Roman"/>
          <w:b w:val="0"/>
          <w:bCs/>
          <w:sz w:val="32"/>
          <w:szCs w:val="32"/>
          <w:shd w:val="clear" w:color="auto" w:fill="FFFFFF"/>
        </w:rPr>
        <w:t>（十七）其他资本性支出（支出经济分类科目类级）：</w:t>
      </w:r>
      <w:r>
        <w:rPr>
          <w:rFonts w:ascii="方正仿宋_GBK" w:hAnsi="方正仿宋_GBK" w:eastAsia="方正仿宋_GBK" w:cs="方正仿宋_GBK"/>
          <w:sz w:val="32"/>
          <w:szCs w:val="32"/>
          <w:shd w:val="clear" w:color="auto" w:fill="FFFFFF"/>
        </w:rPr>
        <w:t>反映非各级发展与改革</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集中安排的用于购置固定资产、战略性和应急性储备、土地和无形资产，以及构建基础设施、大型修缮和财政支持企业更新改造所发生的支出。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七、决算公开联系方式及信息反馈渠道</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决算公开信息反馈和联系方式：</w:t>
      </w:r>
      <w:r>
        <w:rPr>
          <w:rFonts w:hint="eastAsia" w:ascii="方正仿宋_GBK" w:hAnsi="方正仿宋_GBK" w:eastAsia="方正仿宋_GBK" w:cs="方正仿宋_GBK"/>
          <w:sz w:val="32"/>
          <w:szCs w:val="32"/>
          <w:shd w:val="clear" w:color="auto" w:fill="FFFFFF"/>
          <w:lang w:eastAsia="zh-CN"/>
        </w:rPr>
        <w:t>联系人：王运杰；</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办公电话023-</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76624210</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w:t>
      </w:r>
    </w:p>
    <w:p>
      <w:pPr>
        <w:pStyle w:val="11"/>
        <w:keepNext w:val="0"/>
        <w:keepLines w:val="0"/>
        <w:pageBreakBefore w:val="0"/>
        <w:kinsoku/>
        <w:wordWrap/>
        <w:overflowPunct/>
        <w:topLinePunct w:val="0"/>
        <w:autoSpaceDE w:val="0"/>
        <w:autoSpaceDN/>
        <w:bidi w:val="0"/>
        <w:adjustRightInd/>
        <w:spacing w:line="560" w:lineRule="exact"/>
        <w:ind w:firstLine="643" w:firstLineChars="200"/>
        <w:jc w:val="both"/>
        <w:rPr>
          <w:rStyle w:val="8"/>
          <w:rFonts w:ascii="方正仿宋_GBK" w:hAnsi="方正仿宋_GBK" w:eastAsia="方正仿宋_GBK" w:cs="方正仿宋_GBK"/>
          <w:sz w:val="32"/>
          <w:szCs w:val="32"/>
          <w:shd w:val="clear" w:color="auto" w:fill="FFFF00"/>
        </w:rPr>
        <w:sectPr>
          <w:pgSz w:w="11915" w:h="16840"/>
          <w:pgMar w:top="2098" w:right="1474" w:bottom="1984" w:left="1587" w:header="851" w:footer="992" w:gutter="0"/>
          <w:pgNumType w:fmt="numberInDash"/>
          <w:cols w:space="720" w:num="1"/>
          <w:docGrid w:type="lines" w:linePitch="312" w:charSpace="0"/>
        </w:sectPr>
      </w:pPr>
    </w:p>
    <w:p>
      <w:pPr>
        <w:rPr>
          <w:rFonts w:hint="default" w:cs="宋体"/>
          <w:sz w:val="21"/>
          <w:szCs w:val="21"/>
        </w:rPr>
      </w:pPr>
    </w:p>
    <w:tbl>
      <w:tblPr>
        <w:tblStyle w:val="9"/>
        <w:tblW w:w="15337" w:type="dxa"/>
        <w:tblInd w:w="0" w:type="dxa"/>
        <w:tblLayout w:type="fixed"/>
        <w:tblCellMar>
          <w:top w:w="0" w:type="dxa"/>
          <w:left w:w="0" w:type="dxa"/>
          <w:bottom w:w="0" w:type="dxa"/>
          <w:right w:w="0" w:type="dxa"/>
        </w:tblCellMar>
      </w:tblPr>
      <w:tblGrid>
        <w:gridCol w:w="5105"/>
        <w:gridCol w:w="2012"/>
        <w:gridCol w:w="4791"/>
        <w:gridCol w:w="3429"/>
      </w:tblGrid>
      <w:tr>
        <w:tblPrEx>
          <w:tblLayout w:type="fixed"/>
          <w:tblCellMar>
            <w:top w:w="0" w:type="dxa"/>
            <w:left w:w="0" w:type="dxa"/>
            <w:bottom w:w="0" w:type="dxa"/>
            <w:right w:w="0" w:type="dxa"/>
          </w:tblCellMar>
        </w:tblPrEx>
        <w:trPr>
          <w:trHeight w:val="232" w:hRule="atLeast"/>
        </w:trPr>
        <w:tc>
          <w:tcPr>
            <w:tcW w:w="153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51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012"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79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4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公开01表</w:t>
            </w:r>
          </w:p>
        </w:tc>
      </w:tr>
      <w:tr>
        <w:tblPrEx>
          <w:tblLayout w:type="fixed"/>
          <w:tblCellMar>
            <w:top w:w="0" w:type="dxa"/>
            <w:left w:w="0" w:type="dxa"/>
            <w:bottom w:w="0" w:type="dxa"/>
            <w:right w:w="0" w:type="dxa"/>
          </w:tblCellMar>
        </w:tblPrEx>
        <w:trPr>
          <w:trHeight w:val="232" w:hRule="atLeast"/>
        </w:trPr>
        <w:tc>
          <w:tcPr>
            <w:tcW w:w="7117"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公开部门：</w:t>
            </w:r>
            <w:r>
              <w:rPr>
                <w:sz w:val="20"/>
                <w:u w:color="auto"/>
              </w:rPr>
              <w:t>重庆市秀山土家族苗族自治县中平乡人民政府</w:t>
            </w:r>
          </w:p>
        </w:tc>
        <w:tc>
          <w:tcPr>
            <w:tcW w:w="479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34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117"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8220"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201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342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1,708.90</w:t>
            </w: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492.00</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二、外交支出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三、国防支出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3.00</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四、上级补助收入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四、公共安全支出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10.59</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五、事业收入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五、教育支出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六、经营收入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六、科学技术支出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56.99</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八、其他收入</w:t>
            </w:r>
          </w:p>
        </w:tc>
        <w:tc>
          <w:tcPr>
            <w:tcW w:w="2012" w:type="dxa"/>
            <w:tcBorders>
              <w:top w:val="nil"/>
              <w:left w:val="nil"/>
              <w:bottom w:val="nil"/>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206.74</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九、卫生健康支出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51.77</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十、节能环保支出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65.95</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29.80</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十二、农林水支出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663.23</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十六、金融支出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41.46</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57.37</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26.58</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二十三、其他支出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rPr>
                <w:rFonts w:hint="default" w:cs="宋体"/>
                <w:b/>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1,708.90</w:t>
            </w: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1,705.48</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结余分配</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年初结转和结余</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25.09</w:t>
            </w: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年末结转和结余</w:t>
            </w:r>
          </w:p>
        </w:tc>
        <w:tc>
          <w:tcPr>
            <w:tcW w:w="342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28.51</w:t>
            </w:r>
            <w:r>
              <w:rPr>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1,733.99</w:t>
            </w:r>
            <w:r>
              <w:rPr>
                <w:color w:val="000000"/>
                <w:sz w:val="20"/>
                <w:u w:color="auto"/>
              </w:rPr>
              <w:t xml:space="preserve"> </w:t>
            </w:r>
          </w:p>
        </w:tc>
        <w:tc>
          <w:tcPr>
            <w:tcW w:w="4791"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4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1,733.99</w:t>
            </w:r>
            <w:r>
              <w:rPr>
                <w:color w:val="000000"/>
                <w:sz w:val="20"/>
                <w:u w:color="auto"/>
              </w:rPr>
              <w:t xml:space="preserve"> </w:t>
            </w:r>
          </w:p>
        </w:tc>
      </w:tr>
    </w:tbl>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322" w:type="dxa"/>
        <w:tblInd w:w="0" w:type="dxa"/>
        <w:tblLayout w:type="fixed"/>
        <w:tblCellMar>
          <w:top w:w="0" w:type="dxa"/>
          <w:left w:w="0" w:type="dxa"/>
          <w:bottom w:w="0" w:type="dxa"/>
          <w:right w:w="0" w:type="dxa"/>
        </w:tblCellMar>
      </w:tblPr>
      <w:tblGrid>
        <w:gridCol w:w="1694"/>
        <w:gridCol w:w="3159"/>
        <w:gridCol w:w="1229"/>
        <w:gridCol w:w="1229"/>
        <w:gridCol w:w="1229"/>
        <w:gridCol w:w="1229"/>
        <w:gridCol w:w="1361"/>
        <w:gridCol w:w="1302"/>
        <w:gridCol w:w="1434"/>
        <w:gridCol w:w="1456"/>
      </w:tblGrid>
      <w:tr>
        <w:tblPrEx>
          <w:tblLayout w:type="fixed"/>
          <w:tblCellMar>
            <w:top w:w="0" w:type="dxa"/>
            <w:left w:w="0" w:type="dxa"/>
            <w:bottom w:w="0" w:type="dxa"/>
            <w:right w:w="0" w:type="dxa"/>
          </w:tblCellMar>
        </w:tblPrEx>
        <w:trPr>
          <w:trHeight w:val="641" w:hRule="atLeast"/>
        </w:trPr>
        <w:tc>
          <w:tcPr>
            <w:tcW w:w="15322"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sz w:val="20"/>
                <w:u w:color="auto"/>
              </w:rPr>
              <w:t>重庆市秀山土家族苗族自治县中平乡人民政府</w:t>
            </w: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0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公开02表</w:t>
            </w:r>
          </w:p>
        </w:tc>
      </w:tr>
      <w:tr>
        <w:tblPrEx>
          <w:tblLayout w:type="fixed"/>
          <w:tblCellMar>
            <w:top w:w="0" w:type="dxa"/>
            <w:left w:w="0" w:type="dxa"/>
            <w:bottom w:w="0" w:type="dxa"/>
            <w:right w:w="0" w:type="dxa"/>
          </w:tblCellMar>
        </w:tblPrEx>
        <w:trPr>
          <w:trHeight w:val="328" w:hRule="atLeast"/>
        </w:trPr>
        <w:tc>
          <w:tcPr>
            <w:tcW w:w="60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0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853" w:type="dxa"/>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30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45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59"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30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159"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159"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159"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853"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2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1,708.90</w:t>
            </w:r>
            <w:r>
              <w:rPr>
                <w:b/>
                <w:color w:val="000000"/>
                <w:sz w:val="20"/>
                <w:u w:color="auto"/>
              </w:rPr>
              <w:t xml:space="preserve"> </w:t>
            </w:r>
          </w:p>
        </w:tc>
        <w:tc>
          <w:tcPr>
            <w:tcW w:w="12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1,708.90</w:t>
            </w:r>
            <w:r>
              <w:rPr>
                <w:b/>
                <w:color w:val="000000"/>
                <w:sz w:val="20"/>
                <w:u w:color="auto"/>
              </w:rPr>
              <w:t xml:space="preserve"> </w:t>
            </w:r>
          </w:p>
        </w:tc>
        <w:tc>
          <w:tcPr>
            <w:tcW w:w="12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2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3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4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492.00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492.00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41.37</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41.37</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36.99</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36.99</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4.38</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4.38</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404.40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404.40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392.40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392.40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35.57</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35.57</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35.57</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35.57</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20123</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民族事务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3.30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3.30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2012304</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民族工作专项</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3.30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3.30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7.36</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7.36</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7.36</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7.36</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3.00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3.00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20306</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国防动员</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3.00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3.00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2030607</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民兵</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10.59</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10.59</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1.92</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1.92</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其他公安支出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1.92</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1.92</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8.67</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8.67</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8.67</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8.67</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56.99</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56.99</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56.99</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56.99</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55.34</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55.34</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1.65</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1.65</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206.74</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206.74</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29.76</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29.76</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29.76</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29.76</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0.72</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0.72</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其他民政管理事务支出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0.72</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0.72</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132.85</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132.85</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15.48</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15.48</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12.50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12.50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72.01</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72.01</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32.85</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32.85</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8.60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8.60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义务兵优待</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8.60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8.60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9.49</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9.49</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9.49</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9.49</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0.57</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0.57</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0.57</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0.57</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21.42</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21.42</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21.42</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21.42</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3.34</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3.34</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3.34</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3.34</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51.77</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51.77</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14.16</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14.16</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2100410</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突发公共卫生事件应急处理</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14.16</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14.16</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32.37</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32.37</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21.19</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21.19</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11.18</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11.18</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5.24</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5.24</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5.24</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5.24</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65.95</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65.95</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天然林保护</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15.95</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15.95</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15.95</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15.95</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其他节能环保支出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50.00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50.00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2119999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其他节能环保支出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29.80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29.80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24.80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24.80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24.80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24.80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666.65</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666.65</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171.57</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171.57</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105.95</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105.95</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0.72</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0.72</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64.40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64.40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农业资源保护修复与利用</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0.50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0.50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39.95</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39.95</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6.15</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6.15</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32.80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32.80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0.12</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0.12</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0.12</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0.12</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272.44</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272.44</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68.73</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68.73</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195.71</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195.71</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177.57</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177.57</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5.84</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5.84</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171.74</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171.74</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其他农林水支出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2139999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其他农林水支出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41.46</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41.46</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41.46</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41.46</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41.46</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41.46</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57.37</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57.37</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57.37</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57.37</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57.37</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57.37</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26.58</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26.58</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4.19</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4.19</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4.19</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4.19</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22.39</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22.39</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18.89</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18.89</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3.50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3.50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795"/>
        <w:gridCol w:w="3343"/>
        <w:gridCol w:w="1695"/>
        <w:gridCol w:w="1695"/>
        <w:gridCol w:w="1695"/>
        <w:gridCol w:w="1679"/>
        <w:gridCol w:w="1679"/>
        <w:gridCol w:w="1741"/>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33"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 xml:space="preserve">重庆市秀山土家族苗族自治县中平乡人民政府 </w:t>
            </w:r>
          </w:p>
        </w:tc>
        <w:tc>
          <w:tcPr>
            <w:tcW w:w="169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4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公开03表</w:t>
            </w:r>
          </w:p>
        </w:tc>
      </w:tr>
      <w:tr>
        <w:tblPrEx>
          <w:tblLayout w:type="fixed"/>
          <w:tblCellMar>
            <w:top w:w="0" w:type="dxa"/>
            <w:left w:w="0" w:type="dxa"/>
            <w:bottom w:w="0" w:type="dxa"/>
            <w:right w:w="0" w:type="dxa"/>
          </w:tblCellMar>
        </w:tblPrEx>
        <w:trPr>
          <w:trHeight w:val="342" w:hRule="atLeast"/>
        </w:trPr>
        <w:tc>
          <w:tcPr>
            <w:tcW w:w="6833"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4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38"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74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79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343"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79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43"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79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43"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79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43"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3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1,705.48</w:t>
            </w:r>
            <w:r>
              <w:rPr>
                <w:b/>
                <w:color w:val="000000"/>
                <w:sz w:val="20"/>
                <w:u w:color="auto"/>
              </w:rPr>
              <w:t xml:space="preserve"> </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899.52</w:t>
            </w:r>
            <w:r>
              <w:rPr>
                <w:b/>
                <w:color w:val="000000"/>
                <w:sz w:val="20"/>
                <w:u w:color="auto"/>
              </w:rPr>
              <w:t xml:space="preserve"> </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805.96</w:t>
            </w:r>
            <w:r>
              <w:rPr>
                <w:b/>
                <w:color w:val="000000"/>
                <w:sz w:val="20"/>
                <w:u w:color="auto"/>
              </w:rPr>
              <w:t xml:space="preserve"> </w:t>
            </w:r>
          </w:p>
        </w:tc>
        <w:tc>
          <w:tcPr>
            <w:tcW w:w="16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6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492.00</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464.96</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27.04</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41.37</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36.99</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4.38</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36.99</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36.99</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4.38</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4.38</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404.40</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392.40</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12.00</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392.40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392.40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12.00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12.00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35.57</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35.57</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35.57</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35.57</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20123</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民族事务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3.30</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3.30</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2012304</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民族工作专项</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3.30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3.30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7.36</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7.36</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7.36</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7.36</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3.00</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3.00</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20306</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国防动员</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3.00</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3.00</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2030607</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民兵</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10.59</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10.59</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1.92</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1.92</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其他公安支出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1.92</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1.92</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8.67</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8.67</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8.67</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8.67</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56.99</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55.34</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1.65</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56.99</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55.34</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1.65</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55.34</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55.34</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1.65</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1.65</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206.74</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187.24</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19.50</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29.76</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29.76</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29.76</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29.76</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0.72</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0.72</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其他民政管理事务支出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0.72</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0.72</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132.85</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132.85</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15.48</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15.48</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12.50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12.50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72.01</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72.01</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32.85</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32.85</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8.60</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8.60</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义务兵优待</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8.60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8.60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9.49</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9.49</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9.49</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9.49</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0.57</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0.57</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0.57</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0.57</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21.42</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21.42</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21.42</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21.42</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3.34</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3.22</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0.12</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3.34</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3.22</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0.12</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51.77</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32.37</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19.40</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14.16</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14.16</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2100410</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突发公共卫生事件应急处理</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14.16</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14.16</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32.37</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32.37</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21.19</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21.19</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11.18</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11.18</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5.24</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5.24</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5.24</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5.24</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65.95</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65.95</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天然林保护</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15.95</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15.95</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15.95</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15.95</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其他节能环保支出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50.00</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50.00</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2119999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其他节能环保支出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29.80</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24.80</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5.00</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24.80</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24.80</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24.80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24.80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5.00</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5.00</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663.23</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77.44</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585.79</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151.91</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77.44</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74.47</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77.44</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77.44</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0.72</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0.72</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64.40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64.40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农业资源保护修复与利用</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0.50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0.50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8.85</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8.85</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39.95</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39.95</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6.15</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6.15</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32.80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32.80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0.12</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0.12</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0.12</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0.12</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287.80</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287.80</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8.00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8.00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83.66</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83.66</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196.14</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196.14</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178.46</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178.46</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5.84</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5.84</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171.74</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171.74</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2130706</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对村集体经济组织的补助</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0.88</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0.88</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其他农林水支出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5.00</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5.00</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2139999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其他农林水支出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41.46</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41.46</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41.46</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41.46</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41.46</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41.46</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57.37</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57.37</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57.37</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57.37</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57.37</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57.37</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26.58</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26.58</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4.19</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4.19</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4.19</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4.19</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22.39</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22.39</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18.89</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18.89</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3.50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3.50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公开部门</w:t>
            </w:r>
            <w:r>
              <w:rPr>
                <w:rFonts w:cs="宋体"/>
                <w:color w:val="000000"/>
                <w:sz w:val="20"/>
                <w:szCs w:val="20"/>
              </w:rPr>
              <w:t xml:space="preserve">： </w:t>
            </w:r>
            <w:r>
              <w:rPr>
                <w:color w:val="000000"/>
                <w:sz w:val="20"/>
                <w:u w:color="auto"/>
              </w:rPr>
              <w:t>重庆市秀山土家族苗族自治县中平乡人民政府</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公开04表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1,708.90</w:t>
            </w: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492.00</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492.00</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3.00</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3.00</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10.59</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10.59</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56.99</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56.99</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206.74</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206.74</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51.77</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51.77</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65.95</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65.95</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29.80</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29.80</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638.14</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638.14</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41.46</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41.46</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57.37</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57.37</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26.58</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26.58</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1,708.90</w:t>
            </w: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1,680.39</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1,680.39</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28.51</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28.51</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1,708.90</w:t>
            </w: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1,708.90</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1,708.90</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852"/>
        <w:gridCol w:w="3536"/>
        <w:gridCol w:w="3306"/>
        <w:gridCol w:w="3306"/>
        <w:gridCol w:w="3322"/>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94"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重庆市秀山土家族苗族自治县中平乡人民政府</w:t>
            </w:r>
          </w:p>
        </w:tc>
        <w:tc>
          <w:tcPr>
            <w:tcW w:w="330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22"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公开05表</w:t>
            </w:r>
          </w:p>
        </w:tc>
      </w:tr>
      <w:tr>
        <w:tblPrEx>
          <w:tblLayout w:type="fixed"/>
          <w:tblCellMar>
            <w:top w:w="0" w:type="dxa"/>
            <w:left w:w="0" w:type="dxa"/>
            <w:bottom w:w="0" w:type="dxa"/>
            <w:right w:w="0" w:type="dxa"/>
          </w:tblCellMar>
        </w:tblPrEx>
        <w:trPr>
          <w:trHeight w:val="285" w:hRule="atLeast"/>
        </w:trPr>
        <w:tc>
          <w:tcPr>
            <w:tcW w:w="869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22"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3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85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2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85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53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2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85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53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2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8"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1,680.39</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899.52</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780.87</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492.00</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464.96</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27.04</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41.37</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36.99</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4.38</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36.99</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36.99</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4.38</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4.38</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404.40</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392.40</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12.00</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392.40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392.40</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12.00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12.00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35.57</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35.57</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35.57</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35.57</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20123</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民族事务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3.30</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3.30</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2012304</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民族工作专项</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3.30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3.30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7.36</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7.36</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7.36</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7.36</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3.00</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3.00</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20306</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国防动员</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3.00</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3.00</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2030607</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民兵</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3.00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3.00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10.59</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10.59</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1.92</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1.92</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1.92</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1.92</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8.67</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8.67</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8.67</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8.67</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56.99</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55.34</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1.65</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56.99</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55.34</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1.65</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55.34</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55.34</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1.65</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1.65</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206.74</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187.24</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19.50</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29.76</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29.76</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29.76</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29.76</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0.72</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0.72</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其他民政管理事务支出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0.72</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0.72</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132.85</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132.85</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15.48</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15.48</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12.50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12.50</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72.01</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72.01</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32.85</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32.85</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8.60</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8.60</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义务兵优待</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8.60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8.60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9.49</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9.49</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9.49</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9.49</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0.57</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0.57</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0.57</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0.57</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21.42</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21.42</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21.42</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21.42</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3.34</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3.22</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0.12</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3.34</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3.22</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0.12</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51.77</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32.37</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19.40</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14.16</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14.16</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2100410</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突发公共卫生事件应急处理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14.16</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14.16</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32.37</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32.37</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21.19</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21.19</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11.18</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11.18</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5.24</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5.24</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5.24</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5.24</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65.95</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65.95</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天然林保护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15.95</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15.95</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15.95</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15.95</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其他节能环保支出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50.00</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50.00</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2119999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其他节能环保支出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50.00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50.00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29.80</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24.80</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5.00</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24.80</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24.80</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24.80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24.80</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5.00</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5.00</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5.00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5.00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638.14</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77.44</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560.70</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143.06</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77.44</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65.62</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77.44</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77.44</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0.72</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0.72</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64.40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64.40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农业资源保护修复与利用</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0.50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0.50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39.95</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39.95</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1.00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1.00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6.15</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6.15</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32.80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32.80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0.12</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0.12</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0.12</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0.12</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272.44</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272.44</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8.00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8.00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68.73</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68.73</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195.71</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195.71</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177.57</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177.57</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5.84</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5.84</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171.74</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171.74</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5.00</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5.00</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2139999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5.00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5.00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41.46</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41.46</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41.46</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41.46</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41.46</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41.46</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57.37</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57.37</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57.37</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57.37</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57.37</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57.37</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26.58</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26.58</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4.19</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4.19</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4.19</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4.19</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22.39</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22.39</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18.89</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18.89</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3.50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3.50</w:t>
            </w:r>
            <w:r>
              <w:rPr>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公开部门</w:t>
            </w:r>
            <w:r>
              <w:rPr>
                <w:rFonts w:cs="宋体"/>
                <w:color w:val="000000"/>
                <w:sz w:val="20"/>
                <w:szCs w:val="20"/>
              </w:rPr>
              <w:t xml:space="preserve">： </w:t>
            </w:r>
            <w:r>
              <w:rPr>
                <w:color w:val="000000"/>
                <w:sz w:val="20"/>
                <w:u w:color="auto"/>
              </w:rPr>
              <w:t>重庆市秀山土家族苗族自治县中平乡人民政府</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公开06表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707.44</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123.13</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0.20</w:t>
            </w: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161.15</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34.86</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115.18</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1.90</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0.20</w:t>
            </w: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132.19</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2.07</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94.70</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2.16</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72.01</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1.75</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32.85</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13.59</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32.37</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1.96</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0.77</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57.37</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5.60</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1.12</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68.75</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0.15</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5.63</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17.11</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48.96</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2.68</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18.99</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5.73</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9.15</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19.95</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7.40</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3333"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cs="宋体"/>
                <w:color w:val="000000"/>
                <w:sz w:val="18"/>
                <w:szCs w:val="18"/>
              </w:rPr>
            </w:pPr>
            <w:r>
              <w:rPr>
                <w:rFonts w:cs="宋体"/>
                <w:color w:val="000000"/>
                <w:sz w:val="18"/>
                <w:szCs w:val="18"/>
              </w:rPr>
              <w:t>776.19</w:t>
            </w:r>
            <w:r>
              <w:rPr>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123.33</w:t>
            </w:r>
            <w:r>
              <w:rPr>
                <w:color w:val="000000"/>
                <w:sz w:val="18"/>
                <w:u w:color="auto"/>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847"/>
        <w:gridCol w:w="3077"/>
        <w:gridCol w:w="1701"/>
        <w:gridCol w:w="1701"/>
        <w:gridCol w:w="1701"/>
        <w:gridCol w:w="1701"/>
        <w:gridCol w:w="1765"/>
        <w:gridCol w:w="182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重庆市秀山土家族苗族自治县中平乡人民政府</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2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公开07表</w:t>
            </w:r>
          </w:p>
        </w:tc>
      </w:tr>
      <w:tr>
        <w:tblPrEx>
          <w:tblLayout w:type="fixed"/>
          <w:tblCellMar>
            <w:top w:w="0" w:type="dxa"/>
            <w:left w:w="0" w:type="dxa"/>
            <w:bottom w:w="0" w:type="dxa"/>
            <w:right w:w="0" w:type="dxa"/>
          </w:tblCellMar>
        </w:tblPrEx>
        <w:trPr>
          <w:trHeight w:val="329" w:hRule="atLeast"/>
        </w:trPr>
        <w:tc>
          <w:tcPr>
            <w:tcW w:w="662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2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4"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84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8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07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8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07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4"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8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875"/>
        <w:gridCol w:w="3049"/>
        <w:gridCol w:w="3264"/>
        <w:gridCol w:w="199"/>
        <w:gridCol w:w="3463"/>
        <w:gridCol w:w="77"/>
        <w:gridCol w:w="3395"/>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8"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重庆市秀山土家族苗族自治县中平乡人民政府</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9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公开08表</w:t>
            </w:r>
          </w:p>
        </w:tc>
      </w:tr>
      <w:tr>
        <w:tblPrEx>
          <w:tblLayout w:type="fixed"/>
          <w:tblCellMar>
            <w:top w:w="0" w:type="dxa"/>
            <w:left w:w="0" w:type="dxa"/>
            <w:bottom w:w="0" w:type="dxa"/>
            <w:right w:w="0" w:type="dxa"/>
          </w:tblCellMar>
        </w:tblPrEx>
        <w:trPr>
          <w:trHeight w:val="332" w:hRule="atLeast"/>
        </w:trPr>
        <w:tc>
          <w:tcPr>
            <w:tcW w:w="8188"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9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24"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398" w:type="dxa"/>
            <w:gridSpan w:val="5"/>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87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4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2"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87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0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72"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87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0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72"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87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0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72"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24"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b/>
                <w:color w:val="000000"/>
                <w:sz w:val="20"/>
                <w:szCs w:val="20"/>
              </w:rPr>
            </w:pPr>
          </w:p>
        </w:tc>
        <w:tc>
          <w:tcPr>
            <w:tcW w:w="347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862" w:type="dxa"/>
        <w:tblInd w:w="0" w:type="dxa"/>
        <w:tblLayout w:type="fixed"/>
        <w:tblCellMar>
          <w:top w:w="0" w:type="dxa"/>
          <w:left w:w="170" w:type="dxa"/>
          <w:bottom w:w="0" w:type="dxa"/>
          <w:right w:w="170" w:type="dxa"/>
        </w:tblCellMar>
      </w:tblPr>
      <w:tblGrid>
        <w:gridCol w:w="4004"/>
        <w:gridCol w:w="2146"/>
        <w:gridCol w:w="2093"/>
        <w:gridCol w:w="4482"/>
        <w:gridCol w:w="2137"/>
      </w:tblGrid>
      <w:tr>
        <w:tblPrEx>
          <w:tblLayout w:type="fixed"/>
          <w:tblCellMar>
            <w:top w:w="0" w:type="dxa"/>
            <w:left w:w="170" w:type="dxa"/>
            <w:bottom w:w="0" w:type="dxa"/>
            <w:right w:w="170" w:type="dxa"/>
          </w:tblCellMar>
        </w:tblPrEx>
        <w:trPr>
          <w:trHeight w:val="343" w:hRule="atLeast"/>
        </w:trPr>
        <w:tc>
          <w:tcPr>
            <w:tcW w:w="14862"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400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14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093"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4482"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13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公开09表</w:t>
            </w:r>
          </w:p>
        </w:tc>
      </w:tr>
      <w:tr>
        <w:tblPrEx>
          <w:tblLayout w:type="fixed"/>
          <w:tblCellMar>
            <w:top w:w="0" w:type="dxa"/>
            <w:left w:w="170" w:type="dxa"/>
            <w:bottom w:w="0" w:type="dxa"/>
            <w:right w:w="170" w:type="dxa"/>
          </w:tblCellMar>
        </w:tblPrEx>
        <w:trPr>
          <w:trHeight w:val="244" w:hRule="atLeast"/>
        </w:trPr>
        <w:tc>
          <w:tcPr>
            <w:tcW w:w="6150"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公开部门</w:t>
            </w:r>
            <w:r>
              <w:rPr>
                <w:rFonts w:cs="宋体"/>
                <w:color w:val="000000"/>
                <w:kern w:val="2"/>
                <w:sz w:val="20"/>
                <w:szCs w:val="20"/>
              </w:rPr>
              <w:t xml:space="preserve">： </w:t>
            </w:r>
            <w:r>
              <w:rPr>
                <w:color w:val="000000"/>
                <w:sz w:val="20"/>
                <w:u w:color="auto"/>
              </w:rPr>
              <w:t>重庆市秀山土家族苗族自治县中平乡人民政府</w:t>
            </w:r>
          </w:p>
        </w:tc>
        <w:tc>
          <w:tcPr>
            <w:tcW w:w="2093"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4482"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13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146"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093"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137"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一、“三公”经费支出</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四、机关运行经费</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101.08</w:t>
            </w: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（一）支出合计</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9.15</w:t>
            </w:r>
            <w:r>
              <w:rPr>
                <w:color w:val="000000"/>
                <w:sz w:val="16"/>
                <w:u w:color="auto"/>
              </w:rPr>
              <w:t xml:space="preserve"> </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9.15</w:t>
            </w: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（一）行政单位</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95.89</w:t>
            </w: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1．因公出国（境）费</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（二）参照公务员法管理事业单位</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5.19</w:t>
            </w: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2．公务用车购置及运行维护费</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9.15</w:t>
            </w:r>
            <w:r>
              <w:rPr>
                <w:color w:val="000000"/>
                <w:sz w:val="16"/>
                <w:u w:color="auto"/>
              </w:rPr>
              <w:t xml:space="preserve"> </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9.15</w:t>
            </w: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五、资产信息</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（1）公务用车购置费</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（一）车辆数合计（辆）</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2</w:t>
            </w: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（2）公务用车运行维护费</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9.15</w:t>
            </w:r>
            <w:r>
              <w:rPr>
                <w:color w:val="000000"/>
                <w:sz w:val="16"/>
                <w:u w:color="auto"/>
              </w:rPr>
              <w:t xml:space="preserve"> </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9.15</w:t>
            </w: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1．副部（省）级及以上领导用车</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3．公务接待费</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2．主要领导干部用车</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（1）国内接待费</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3．机要通信用车</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其中：外事接待费</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4．应急保障用车</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2</w:t>
            </w: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（2）国（境）外接待费</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5．执法执勤用车</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（二）相关统计数</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4482"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6．特种专业技术用车</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1．因公出国（境）团组数（个）</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7．离退休干部用车</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2．因公出国（境）人次数（人）</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8．其他用车</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3．公务用车购置数（辆）</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（二）单价100万元（含）以上设备（不含车辆）</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4．公务用车保有量（辆）</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2</w:t>
            </w: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六、政府采购支出信息</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5．国内公务接待批次（个）</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（一）政府采购支出合计</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0.50</w:t>
            </w: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其中：外事接待批次（个）</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1．政府采购货物支出</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0.50</w:t>
            </w: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6．国内公务接待人次（人）</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2．政府采购工程支出</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其中：外事接待人次（人）</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3．政府采购服务支出</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7．国（境）外公务接待批次（个）</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（二）政府采购授予中小企业合同金额</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0.50</w:t>
            </w: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8．国（境）外公务接待人次（人）</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其中：授予小微企业合同金额</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0.50</w:t>
            </w:r>
            <w:r>
              <w:rPr>
                <w:color w:val="000000"/>
                <w:sz w:val="16"/>
                <w:u w:color="auto"/>
              </w:rPr>
              <w:t xml:space="preserve"> </w:t>
            </w:r>
          </w:p>
        </w:tc>
      </w:tr>
      <w:tr>
        <w:tblPrEx>
          <w:tblLayout w:type="fixed"/>
          <w:tblCellMar>
            <w:top w:w="0" w:type="dxa"/>
            <w:left w:w="170" w:type="dxa"/>
            <w:bottom w:w="0" w:type="dxa"/>
            <w:right w:w="170" w:type="dxa"/>
          </w:tblCellMar>
        </w:tblPrEx>
        <w:trPr>
          <w:trHeight w:val="286"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二、会议费</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0.15</w:t>
            </w: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rPr>
                <w:rFonts w:hint="default" w:cs="宋体"/>
                <w:color w:val="000000"/>
                <w:kern w:val="2"/>
                <w:sz w:val="16"/>
                <w:szCs w:val="16"/>
              </w:rPr>
            </w:pP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三、培训费</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5.63</w:t>
            </w: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rPr>
                <w:rFonts w:hint="default" w:cs="宋体"/>
                <w:color w:val="000000"/>
                <w:kern w:val="2"/>
                <w:sz w:val="16"/>
                <w:szCs w:val="16"/>
              </w:rPr>
            </w:pP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rPr>
                <w:rFonts w:hint="default" w:cs="宋体"/>
                <w:color w:val="000000"/>
                <w:kern w:val="2"/>
                <w:sz w:val="16"/>
                <w:szCs w:val="16"/>
              </w:rPr>
            </w:pPr>
          </w:p>
        </w:tc>
      </w:tr>
    </w:tbl>
    <w:p>
      <w:pPr>
        <w:rPr>
          <w:rFonts w:hint="default"/>
        </w:rPr>
      </w:pPr>
      <w:r>
        <w:rPr>
          <w:rFonts w:cs="宋体"/>
          <w:sz w:val="20"/>
          <w:szCs w:val="20"/>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spacing w:line="240" w:lineRule="exact"/>
        <w:rPr>
          <w:rFonts w:hint="default" w:ascii="Times New Roman" w:hAnsi="Times New Roman" w:cs="Times New Roman"/>
          <w:sz w:val="20"/>
          <w:szCs w:val="20"/>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- 22 -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kVuwWAgAAFQQAAA4AAABkcnMvZTJvRG9jLnhtbK1TzY7TMBC+I/EO&#10;lu80aStW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M32d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Q5FbsFgIAABUEAAAOAAAAAAAA&#10;AAEAIAAAAB8BAABkcnMvZTJvRG9jLnhtbFBLBQYAAAAABgAGAFkBAACnBQ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ZtBg+xcCAAAUBAAADgAAAGRycy9lMm9Eb2MueG1srVPN&#10;jtMwEL4j8Q6W7zRpEKtSNV2VXRUhrdiVCuLsOnZjyfZYttukPAC8AScu3Pe5+hyMnaaLgBPiYo89&#10;/998s7jujSYH4YMCW9PppKREWA6NsruafvywfjGjJERmG6bBipoeRaDXy+fPFp2biwpa0I3wBIPY&#10;MO9cTdsY3bwoAm+FYWECTlhUSvCGRXz6XdF41mF0o4uqLK+KDnzjPHARAv7eDkq6zPGlFDzeSxlE&#10;JLqmWFvMp8/nNp3FcsHmO89cq/i5DPYPVRimLCa9hLplkZG9V3+EMop7CCDjhIMpQErFRe4Bu5mW&#10;v3WzaZkTuRcEJ7gLTOH/heXvDw+eqKamFSWWGRzR6dvX0/fH048vpErwdC7M0Wrj0C72b6DHMY//&#10;AT9T1730Jt3YD0E9An28gCv6SHhymlWzWYkqjrqqKl/PMvrFk7fzIb4VYEgSaupxeBlTdrgLEStB&#10;09EkJbOwVlrnAWpLuppevXxVZoeLBj20TbYiU+EcJnU0VJ6k2G/7c5tbaI7YpYeBJsHxtcJS7liI&#10;D8wjL7B65Hq8x0NqwJRwlihpwX/+23+yx3GhlpIOeVZTi4tAiX5ncYyJkqPgR2E7CnZvbgCJO8Ud&#10;cjyL6OCjHkXpwXzCBVilHKhilmOmmsZRvIkD13GBuFitshESz7F4ZzeOp9ADlKt9BKkyygmUAQmE&#10;PD2Qehn885okbv/6zlZPy7z8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m0GD7FwIAABQE&#10;AAAOAAAAAAAAAAEAIAAAACcBAABkcnMvZTJvRG9jLnhtbFBLBQYAAAAABgAGAFkBAACwBQ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702"/>
    <w:rsid w:val="002E5443"/>
    <w:rsid w:val="004C12FF"/>
    <w:rsid w:val="00550ABE"/>
    <w:rsid w:val="005B023C"/>
    <w:rsid w:val="006137D7"/>
    <w:rsid w:val="00634FA8"/>
    <w:rsid w:val="0063613A"/>
    <w:rsid w:val="00792285"/>
    <w:rsid w:val="007A0D2E"/>
    <w:rsid w:val="007A3314"/>
    <w:rsid w:val="007B419D"/>
    <w:rsid w:val="00810F13"/>
    <w:rsid w:val="00944711"/>
    <w:rsid w:val="00984852"/>
    <w:rsid w:val="009B67B8"/>
    <w:rsid w:val="00A03B1E"/>
    <w:rsid w:val="00A67739"/>
    <w:rsid w:val="00A820B7"/>
    <w:rsid w:val="00AC5566"/>
    <w:rsid w:val="00B03CCD"/>
    <w:rsid w:val="00BF5A85"/>
    <w:rsid w:val="00C96B11"/>
    <w:rsid w:val="00CC6B99"/>
    <w:rsid w:val="00DF7706"/>
    <w:rsid w:val="00E654E2"/>
    <w:rsid w:val="00E76362"/>
    <w:rsid w:val="00F137D3"/>
    <w:rsid w:val="00F13C36"/>
    <w:rsid w:val="00F32C53"/>
    <w:rsid w:val="00F73F90"/>
    <w:rsid w:val="00F7623D"/>
    <w:rsid w:val="01474EBF"/>
    <w:rsid w:val="01F3521E"/>
    <w:rsid w:val="036E282B"/>
    <w:rsid w:val="03B87EA0"/>
    <w:rsid w:val="03E3214F"/>
    <w:rsid w:val="03E94C80"/>
    <w:rsid w:val="044C50BA"/>
    <w:rsid w:val="05BC6D49"/>
    <w:rsid w:val="06194FF1"/>
    <w:rsid w:val="0682736D"/>
    <w:rsid w:val="06A2550B"/>
    <w:rsid w:val="06B07A9E"/>
    <w:rsid w:val="06F80EE2"/>
    <w:rsid w:val="07001CCA"/>
    <w:rsid w:val="075678DB"/>
    <w:rsid w:val="079D7CC7"/>
    <w:rsid w:val="08051BCA"/>
    <w:rsid w:val="086C12F4"/>
    <w:rsid w:val="08BA052C"/>
    <w:rsid w:val="08DB07BA"/>
    <w:rsid w:val="09266FD5"/>
    <w:rsid w:val="0969353F"/>
    <w:rsid w:val="098305D0"/>
    <w:rsid w:val="098A0877"/>
    <w:rsid w:val="0A5C4B69"/>
    <w:rsid w:val="0A86124A"/>
    <w:rsid w:val="0AB54CC0"/>
    <w:rsid w:val="0B170447"/>
    <w:rsid w:val="0B9335CE"/>
    <w:rsid w:val="0C307468"/>
    <w:rsid w:val="0C7927C4"/>
    <w:rsid w:val="0C9B098C"/>
    <w:rsid w:val="0CBF4708"/>
    <w:rsid w:val="0D673E11"/>
    <w:rsid w:val="0DDA54E4"/>
    <w:rsid w:val="0E3A5F83"/>
    <w:rsid w:val="0E74421A"/>
    <w:rsid w:val="0E9D4166"/>
    <w:rsid w:val="0EB93982"/>
    <w:rsid w:val="0F836721"/>
    <w:rsid w:val="0FA25D96"/>
    <w:rsid w:val="104B3353"/>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6F16C67"/>
    <w:rsid w:val="173708E3"/>
    <w:rsid w:val="17C374FC"/>
    <w:rsid w:val="189079DC"/>
    <w:rsid w:val="189B0D0B"/>
    <w:rsid w:val="18B43F7C"/>
    <w:rsid w:val="194A1770"/>
    <w:rsid w:val="19B906A4"/>
    <w:rsid w:val="1B6F15B6"/>
    <w:rsid w:val="1BAA2EDC"/>
    <w:rsid w:val="1C0E1E8F"/>
    <w:rsid w:val="1C2009EA"/>
    <w:rsid w:val="1C5C0973"/>
    <w:rsid w:val="1C9A3D9D"/>
    <w:rsid w:val="1CA55E64"/>
    <w:rsid w:val="1D014A01"/>
    <w:rsid w:val="1D022362"/>
    <w:rsid w:val="1D1B04B0"/>
    <w:rsid w:val="1DBD6767"/>
    <w:rsid w:val="1DC52125"/>
    <w:rsid w:val="1DD26311"/>
    <w:rsid w:val="1E374ACB"/>
    <w:rsid w:val="1E5E27E3"/>
    <w:rsid w:val="1ECF0A66"/>
    <w:rsid w:val="1EF67CA4"/>
    <w:rsid w:val="1F020D3A"/>
    <w:rsid w:val="1F0F76C1"/>
    <w:rsid w:val="1F2C5189"/>
    <w:rsid w:val="1F4B0B02"/>
    <w:rsid w:val="1FBB35CD"/>
    <w:rsid w:val="1FCD26AF"/>
    <w:rsid w:val="20642787"/>
    <w:rsid w:val="21556F04"/>
    <w:rsid w:val="21A703C8"/>
    <w:rsid w:val="22403BD3"/>
    <w:rsid w:val="22CC2344"/>
    <w:rsid w:val="23DA37D9"/>
    <w:rsid w:val="24B92327"/>
    <w:rsid w:val="24C14514"/>
    <w:rsid w:val="24C368C4"/>
    <w:rsid w:val="2533755C"/>
    <w:rsid w:val="25791755"/>
    <w:rsid w:val="258D3E4D"/>
    <w:rsid w:val="26396DF4"/>
    <w:rsid w:val="27167136"/>
    <w:rsid w:val="27B23302"/>
    <w:rsid w:val="29310A5F"/>
    <w:rsid w:val="29C37A35"/>
    <w:rsid w:val="2A076083"/>
    <w:rsid w:val="2A73162E"/>
    <w:rsid w:val="2B167953"/>
    <w:rsid w:val="2B200583"/>
    <w:rsid w:val="2B8209DE"/>
    <w:rsid w:val="2C6762A3"/>
    <w:rsid w:val="2D362DC3"/>
    <w:rsid w:val="2E7F262D"/>
    <w:rsid w:val="2E9036F2"/>
    <w:rsid w:val="2EBF7B3E"/>
    <w:rsid w:val="2EDE1934"/>
    <w:rsid w:val="2F626530"/>
    <w:rsid w:val="2FCA4B37"/>
    <w:rsid w:val="2FE029D7"/>
    <w:rsid w:val="2FF06E00"/>
    <w:rsid w:val="2FF54A5F"/>
    <w:rsid w:val="30562E26"/>
    <w:rsid w:val="30586FEC"/>
    <w:rsid w:val="30EC7046"/>
    <w:rsid w:val="3106391A"/>
    <w:rsid w:val="315F0B22"/>
    <w:rsid w:val="319D022C"/>
    <w:rsid w:val="31C90022"/>
    <w:rsid w:val="31D84415"/>
    <w:rsid w:val="32285F6F"/>
    <w:rsid w:val="3269071D"/>
    <w:rsid w:val="32770556"/>
    <w:rsid w:val="328B3672"/>
    <w:rsid w:val="329C0913"/>
    <w:rsid w:val="32AA0460"/>
    <w:rsid w:val="3337290D"/>
    <w:rsid w:val="33E31118"/>
    <w:rsid w:val="33ED2255"/>
    <w:rsid w:val="33EF7674"/>
    <w:rsid w:val="342D7BC6"/>
    <w:rsid w:val="345B3E27"/>
    <w:rsid w:val="34C34445"/>
    <w:rsid w:val="352930DB"/>
    <w:rsid w:val="354620DE"/>
    <w:rsid w:val="35573069"/>
    <w:rsid w:val="355F6038"/>
    <w:rsid w:val="358C217E"/>
    <w:rsid w:val="359313B3"/>
    <w:rsid w:val="35937598"/>
    <w:rsid w:val="36C9128A"/>
    <w:rsid w:val="372E3953"/>
    <w:rsid w:val="37841E99"/>
    <w:rsid w:val="37BF1123"/>
    <w:rsid w:val="383C3F15"/>
    <w:rsid w:val="38BE4696"/>
    <w:rsid w:val="3939115E"/>
    <w:rsid w:val="39B82A39"/>
    <w:rsid w:val="39C42CA8"/>
    <w:rsid w:val="39DC4FD6"/>
    <w:rsid w:val="39F03D7A"/>
    <w:rsid w:val="39F33306"/>
    <w:rsid w:val="3A2C1C67"/>
    <w:rsid w:val="3B0C79F7"/>
    <w:rsid w:val="3B1705E5"/>
    <w:rsid w:val="3B18334B"/>
    <w:rsid w:val="3B36794F"/>
    <w:rsid w:val="3B605751"/>
    <w:rsid w:val="3C0B5484"/>
    <w:rsid w:val="3C566AD6"/>
    <w:rsid w:val="3C6A5B02"/>
    <w:rsid w:val="3CA96CBD"/>
    <w:rsid w:val="3D2757A1"/>
    <w:rsid w:val="3D3D4FC4"/>
    <w:rsid w:val="3DDF3AB1"/>
    <w:rsid w:val="3E1D0952"/>
    <w:rsid w:val="3E42660A"/>
    <w:rsid w:val="3E7555B1"/>
    <w:rsid w:val="3E787ED9"/>
    <w:rsid w:val="3EA41DB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6C7CBF"/>
    <w:rsid w:val="438D0E97"/>
    <w:rsid w:val="43BB152F"/>
    <w:rsid w:val="44C37687"/>
    <w:rsid w:val="44E17FDA"/>
    <w:rsid w:val="456C278B"/>
    <w:rsid w:val="45CB699A"/>
    <w:rsid w:val="465B470D"/>
    <w:rsid w:val="469D6AD4"/>
    <w:rsid w:val="471E6C84"/>
    <w:rsid w:val="4748792B"/>
    <w:rsid w:val="475D719D"/>
    <w:rsid w:val="47674801"/>
    <w:rsid w:val="47BA7CE7"/>
    <w:rsid w:val="48225EF7"/>
    <w:rsid w:val="488F422B"/>
    <w:rsid w:val="48E36915"/>
    <w:rsid w:val="495C4A24"/>
    <w:rsid w:val="497135DF"/>
    <w:rsid w:val="4A263DF2"/>
    <w:rsid w:val="4A6F6675"/>
    <w:rsid w:val="4A922235"/>
    <w:rsid w:val="4AA0012C"/>
    <w:rsid w:val="4B135857"/>
    <w:rsid w:val="4B7951CB"/>
    <w:rsid w:val="4B7C315C"/>
    <w:rsid w:val="4B7F0EF8"/>
    <w:rsid w:val="4DAC4ACA"/>
    <w:rsid w:val="4DBE01D2"/>
    <w:rsid w:val="4E521E40"/>
    <w:rsid w:val="4EFC6D10"/>
    <w:rsid w:val="4F0C6BA3"/>
    <w:rsid w:val="4F10477D"/>
    <w:rsid w:val="4F186D58"/>
    <w:rsid w:val="4FEA65B7"/>
    <w:rsid w:val="50F06B6E"/>
    <w:rsid w:val="52234D33"/>
    <w:rsid w:val="522F6E0C"/>
    <w:rsid w:val="52463BA1"/>
    <w:rsid w:val="52F163D4"/>
    <w:rsid w:val="531A2DB4"/>
    <w:rsid w:val="53C0244D"/>
    <w:rsid w:val="53DD4D4E"/>
    <w:rsid w:val="53E578CE"/>
    <w:rsid w:val="541330F0"/>
    <w:rsid w:val="54272666"/>
    <w:rsid w:val="543B029D"/>
    <w:rsid w:val="546608CA"/>
    <w:rsid w:val="54861779"/>
    <w:rsid w:val="552256E1"/>
    <w:rsid w:val="554E5773"/>
    <w:rsid w:val="555A3CBC"/>
    <w:rsid w:val="5582012B"/>
    <w:rsid w:val="558E4E05"/>
    <w:rsid w:val="55BE2E85"/>
    <w:rsid w:val="56530F5D"/>
    <w:rsid w:val="567700D3"/>
    <w:rsid w:val="56EE0125"/>
    <w:rsid w:val="56FF7E9E"/>
    <w:rsid w:val="578867FC"/>
    <w:rsid w:val="5842572D"/>
    <w:rsid w:val="58A23B69"/>
    <w:rsid w:val="5A3B59D6"/>
    <w:rsid w:val="5AD134D8"/>
    <w:rsid w:val="5B6503B1"/>
    <w:rsid w:val="5C263CE4"/>
    <w:rsid w:val="5C5D2777"/>
    <w:rsid w:val="5CD2214E"/>
    <w:rsid w:val="5CF66BF3"/>
    <w:rsid w:val="5D290C69"/>
    <w:rsid w:val="5F2D4A41"/>
    <w:rsid w:val="5FEA3FD1"/>
    <w:rsid w:val="60C74F6C"/>
    <w:rsid w:val="61025A59"/>
    <w:rsid w:val="613D5BBC"/>
    <w:rsid w:val="61536C39"/>
    <w:rsid w:val="6259269D"/>
    <w:rsid w:val="62944DD7"/>
    <w:rsid w:val="6319381F"/>
    <w:rsid w:val="63236436"/>
    <w:rsid w:val="63655042"/>
    <w:rsid w:val="63C25DC5"/>
    <w:rsid w:val="63C62057"/>
    <w:rsid w:val="64571EF5"/>
    <w:rsid w:val="64FB113D"/>
    <w:rsid w:val="656152C6"/>
    <w:rsid w:val="6587477F"/>
    <w:rsid w:val="658C3A08"/>
    <w:rsid w:val="65C031CA"/>
    <w:rsid w:val="65CE6852"/>
    <w:rsid w:val="66267C04"/>
    <w:rsid w:val="663F505A"/>
    <w:rsid w:val="66967186"/>
    <w:rsid w:val="66EE5541"/>
    <w:rsid w:val="66F825CF"/>
    <w:rsid w:val="67924660"/>
    <w:rsid w:val="68407834"/>
    <w:rsid w:val="6883293E"/>
    <w:rsid w:val="688412AD"/>
    <w:rsid w:val="68EB1B71"/>
    <w:rsid w:val="69475C96"/>
    <w:rsid w:val="6AAD2300"/>
    <w:rsid w:val="6B435728"/>
    <w:rsid w:val="6B474EF5"/>
    <w:rsid w:val="6BBF53FD"/>
    <w:rsid w:val="6C560CAE"/>
    <w:rsid w:val="6C576495"/>
    <w:rsid w:val="6D903FF5"/>
    <w:rsid w:val="6DA955B8"/>
    <w:rsid w:val="6DE346AB"/>
    <w:rsid w:val="6DE5391A"/>
    <w:rsid w:val="6DEB0EB2"/>
    <w:rsid w:val="6EFD1324"/>
    <w:rsid w:val="6F5A53AC"/>
    <w:rsid w:val="6FAC003D"/>
    <w:rsid w:val="6FE55E12"/>
    <w:rsid w:val="6FFB2E76"/>
    <w:rsid w:val="6FFD0E98"/>
    <w:rsid w:val="703B01F5"/>
    <w:rsid w:val="708F6F7F"/>
    <w:rsid w:val="70D94BD3"/>
    <w:rsid w:val="71C34D91"/>
    <w:rsid w:val="7286035B"/>
    <w:rsid w:val="72DB435C"/>
    <w:rsid w:val="72E2613A"/>
    <w:rsid w:val="72F771F4"/>
    <w:rsid w:val="736650B0"/>
    <w:rsid w:val="73726A0E"/>
    <w:rsid w:val="73934AD2"/>
    <w:rsid w:val="7429680B"/>
    <w:rsid w:val="750837F0"/>
    <w:rsid w:val="754758CF"/>
    <w:rsid w:val="764F62AB"/>
    <w:rsid w:val="765C45EC"/>
    <w:rsid w:val="768A7619"/>
    <w:rsid w:val="76E240E7"/>
    <w:rsid w:val="772E1EBA"/>
    <w:rsid w:val="773E4FF7"/>
    <w:rsid w:val="77EB79F7"/>
    <w:rsid w:val="796D60A4"/>
    <w:rsid w:val="79A031D5"/>
    <w:rsid w:val="79A65F9D"/>
    <w:rsid w:val="7A1525F7"/>
    <w:rsid w:val="7B420052"/>
    <w:rsid w:val="7B73091E"/>
    <w:rsid w:val="7B861484"/>
    <w:rsid w:val="7BC96BBC"/>
    <w:rsid w:val="7BD06A28"/>
    <w:rsid w:val="7C3A7C0B"/>
    <w:rsid w:val="7C5248E4"/>
    <w:rsid w:val="7C566698"/>
    <w:rsid w:val="7C5866A3"/>
    <w:rsid w:val="7D1E312F"/>
    <w:rsid w:val="7D7406BB"/>
    <w:rsid w:val="7DE94331"/>
    <w:rsid w:val="7E17635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 w:type="character" w:customStyle="1" w:styleId="16">
    <w:name w:val="font61"/>
    <w:basedOn w:val="7"/>
    <w:qFormat/>
    <w:uiPriority w:val="0"/>
    <w:rPr>
      <w:rFonts w:ascii="方正仿宋_GBK" w:hAnsi="方正仿宋_GBK" w:eastAsia="方正仿宋_GBK" w:cs="方正仿宋_GBK"/>
      <w:b/>
      <w:color w:val="000000"/>
      <w:sz w:val="22"/>
      <w:szCs w:val="22"/>
      <w:u w:val="none"/>
    </w:rPr>
  </w:style>
  <w:style w:type="character" w:customStyle="1" w:styleId="17">
    <w:name w:val="font71"/>
    <w:basedOn w:val="7"/>
    <w:qFormat/>
    <w:uiPriority w:val="0"/>
    <w:rPr>
      <w:rFonts w:hint="eastAsia" w:ascii="方正仿宋_GBK" w:hAnsi="方正仿宋_GBK" w:eastAsia="方正仿宋_GBK" w:cs="方正仿宋_GBK"/>
      <w:color w:val="000000"/>
      <w:sz w:val="22"/>
      <w:szCs w:val="22"/>
      <w:u w:val="none"/>
    </w:rPr>
  </w:style>
  <w:style w:type="character" w:customStyle="1" w:styleId="18">
    <w:name w:val="font81"/>
    <w:basedOn w:val="7"/>
    <w:qFormat/>
    <w:uiPriority w:val="0"/>
    <w:rPr>
      <w:rFonts w:hint="default" w:ascii="Times New Roman" w:hAnsi="Times New Roman" w:cs="Times New Roman"/>
      <w:color w:val="000000"/>
      <w:sz w:val="22"/>
      <w:szCs w:val="22"/>
      <w:u w:val="none"/>
    </w:rPr>
  </w:style>
  <w:style w:type="character" w:customStyle="1" w:styleId="19">
    <w:name w:val="font41"/>
    <w:basedOn w:val="7"/>
    <w:qFormat/>
    <w:uiPriority w:val="0"/>
    <w:rPr>
      <w:rFonts w:ascii="Arial" w:hAnsi="Arial" w:cs="Arial"/>
      <w:color w:val="000000"/>
      <w:sz w:val="22"/>
      <w:szCs w:val="22"/>
      <w:u w:val="none"/>
    </w:rPr>
  </w:style>
  <w:style w:type="character" w:customStyle="1" w:styleId="20">
    <w:name w:val="font31"/>
    <w:basedOn w:val="7"/>
    <w:qFormat/>
    <w:uiPriority w:val="0"/>
    <w:rPr>
      <w:rFonts w:hint="default" w:ascii="Times New Roman" w:hAnsi="Times New Roman" w:cs="Times New Roman"/>
      <w:b/>
      <w:color w:val="000000"/>
      <w:sz w:val="22"/>
      <w:szCs w:val="22"/>
      <w:u w:val="none"/>
    </w:rPr>
  </w:style>
  <w:style w:type="character" w:customStyle="1" w:styleId="21">
    <w:name w:val="font01"/>
    <w:basedOn w:val="7"/>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4098</Words>
  <Characters>23363</Characters>
  <Lines>194</Lines>
  <Paragraphs>54</Paragraphs>
  <TotalTime>2</TotalTime>
  <ScaleCrop>false</ScaleCrop>
  <LinksUpToDate>false</LinksUpToDate>
  <CharactersWithSpaces>27407</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2024-10-12T12:37:23Z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