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秀山土家族苗族自治县妇女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联合会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shd w:val="clear" w:color="auto" w:fill="FFFFFF"/>
          <w:lang w:eastAsia="zh-CN"/>
        </w:rPr>
        <w:t>本级</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w:t>
      </w:r>
      <w:r>
        <w:rPr>
          <w:rFonts w:hint="default" w:ascii="Times New Roman" w:hAnsi="Times New Roman" w:eastAsia="方正小标宋_GBK" w:cs="Times New Roman"/>
          <w:b/>
          <w:bCs/>
          <w:sz w:val="44"/>
          <w:szCs w:val="44"/>
          <w:shd w:val="clear" w:color="auto" w:fill="FFFFFF"/>
        </w:rPr>
        <w:t>023</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方正小标宋_GBK" w:hAnsi="方正小标宋_GBK" w:eastAsia="方正小标宋_GBK" w:cs="方正小标宋_GBK"/>
          <w:sz w:val="44"/>
          <w:szCs w:val="44"/>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b w:val="0"/>
          <w:bCs/>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1</w:t>
      </w:r>
      <w:r>
        <w:rPr>
          <w:rFonts w:hint="eastAsia" w:ascii="Times New Roman" w:hAnsi="Times New Roman" w:eastAsia="方正仿宋_GBK" w:cs="Times New Roman"/>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坚持党的领导。坚决贯彻党的意志和主张，坚定不移走中国特色社会主义妇联发展道路，切实增强妇联工作的政治性和妇联组织的先进性群众性，汇聚全县广大妇女群众推进社会主义现代化建设的强大合力。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val="en-US" w:eastAsia="zh-CN"/>
        </w:rPr>
        <w:t>依法依章程独立自主开展工作。按照县委和全国妇联及市妇联要求，指导全县各级妇联按照《中华全国妇女联合会章程》和妇女代表大会的决议，开展妇女儿童工作。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val="en-US" w:eastAsia="zh-CN"/>
        </w:rPr>
        <w:t>团结动员广大妇女群众干事创业。组织动员广大妇女群众围绕中心、服务大局，积极主动参与党委、政府各项中心工作，把妇女“半边天”作用转化为促进经济社会发展的强大力量。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突出妇联代表维护妇女合法权益、促进男女平等职责，服务妇女发展、提升妇女素质。代表广大妇女群众参与相关法律法规和政策的制定，帮助妇女群众通过合法渠道、正常途径，合法伸张利益诉求，促进社会公平正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(6)拓</w:t>
      </w:r>
      <w:r>
        <w:rPr>
          <w:rFonts w:hint="eastAsia" w:ascii="方正仿宋_GBK" w:hAnsi="方正仿宋_GBK" w:eastAsia="方正仿宋_GBK" w:cs="方正仿宋_GBK"/>
          <w:b w:val="0"/>
          <w:bCs w:val="0"/>
          <w:color w:val="auto"/>
          <w:sz w:val="32"/>
          <w:szCs w:val="32"/>
          <w:lang w:val="en-US" w:eastAsia="zh-CN"/>
        </w:rPr>
        <w:t>展妇联的组织覆盖和工作覆盖。适应人口流动、新兴群体发展等新情况，以社区、农村、家庭为主阵地,加强对乡镇(街道)、村(社区)等妇女群众集中区域的组织覆盖。积极探索开展网上妇联工作，创新活动开展和工作评价机制。巩固和扩大妇女统战工作。联系团体会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xml:space="preserve">(7) </w:t>
      </w:r>
      <w:r>
        <w:rPr>
          <w:rFonts w:hint="eastAsia" w:ascii="方正仿宋_GBK" w:hAnsi="方正仿宋_GBK" w:eastAsia="方正仿宋_GBK" w:cs="方正仿宋_GBK"/>
          <w:b w:val="0"/>
          <w:bCs w:val="0"/>
          <w:color w:val="auto"/>
          <w:sz w:val="32"/>
          <w:szCs w:val="32"/>
          <w:lang w:val="en-US" w:eastAsia="zh-CN"/>
        </w:rPr>
        <w:t>积极参与社会治理。切实发挥妇联参与社会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val="0"/>
          <w:bCs w:val="0"/>
          <w:color w:val="auto"/>
          <w:sz w:val="32"/>
          <w:szCs w:val="32"/>
          <w:lang w:val="en-US" w:eastAsia="zh-CN"/>
        </w:rPr>
        <w:t>(8)</w:t>
      </w:r>
      <w:r>
        <w:rPr>
          <w:rFonts w:hint="eastAsia" w:ascii="方正仿宋_GBK" w:hAnsi="方正仿宋_GBK" w:eastAsia="方正仿宋_GBK" w:cs="方正仿宋_GBK"/>
          <w:b w:val="0"/>
          <w:bCs w:val="0"/>
          <w:color w:val="auto"/>
          <w:sz w:val="32"/>
          <w:szCs w:val="32"/>
          <w:lang w:val="en-US" w:eastAsia="zh-CN"/>
        </w:rPr>
        <w:t>研究指导妇联自身改革和建设。加强理论政策研究,调查、研究全县城乡妇女儿童的状况、问题,及时为县委、县</w:t>
      </w:r>
      <w:bookmarkStart w:id="0" w:name="_GoBack"/>
      <w:bookmarkEnd w:id="0"/>
      <w:r>
        <w:rPr>
          <w:rFonts w:hint="eastAsia" w:ascii="方正仿宋_GBK" w:hAnsi="方正仿宋_GBK" w:eastAsia="方正仿宋_GBK" w:cs="方正仿宋_GBK"/>
          <w:b w:val="0"/>
          <w:bCs w:val="0"/>
          <w:color w:val="auto"/>
          <w:sz w:val="32"/>
          <w:szCs w:val="32"/>
          <w:lang w:val="en-US" w:eastAsia="zh-CN"/>
        </w:rPr>
        <w:t xml:space="preserve">政府决策提出建议。加强宣传，营造有利于妇女全面发展的社会氛围。表彰、宣传先进妇女，培养推荐女性人才，开展妇女干部培训。协助管理下一级妇联组织领导干部。 </w:t>
      </w:r>
      <w:r>
        <w:rPr>
          <w:rFonts w:hint="eastAsia" w:ascii="方正仿宋_GBK" w:hAnsi="方正仿宋_GBK" w:eastAsia="方正仿宋_GBK" w:cs="方正仿宋_GBK"/>
          <w:sz w:val="32"/>
          <w:szCs w:val="32"/>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w:t>
      </w:r>
      <w:r>
        <w:rPr>
          <w:rFonts w:hint="eastAsia"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综合部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①.</w:t>
      </w:r>
      <w:r>
        <w:rPr>
          <w:rFonts w:hint="eastAsia" w:ascii="方正仿宋_GBK" w:hAnsi="方正仿宋_GBK" w:eastAsia="方正仿宋_GBK" w:cs="方正仿宋_GBK"/>
          <w:b w:val="0"/>
          <w:bCs w:val="0"/>
          <w:color w:val="auto"/>
          <w:sz w:val="32"/>
          <w:szCs w:val="32"/>
          <w:lang w:val="en-US" w:eastAsia="zh-CN"/>
        </w:rPr>
        <w:t>负责文电、会务、机要、档案、信息、行政后勤等机关日常运转工作，负责安全保密、机关财务等工作。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②</w:t>
      </w:r>
      <w:r>
        <w:rPr>
          <w:rFonts w:hint="eastAsia" w:ascii="方正仿宋_GBK" w:hAnsi="方正仿宋_GBK" w:eastAsia="方正仿宋_GBK" w:cs="方正仿宋_GBK"/>
          <w:b w:val="0"/>
          <w:bCs w:val="0"/>
          <w:color w:val="auto"/>
          <w:sz w:val="32"/>
          <w:szCs w:val="32"/>
          <w:lang w:val="en-US" w:eastAsia="zh-CN"/>
        </w:rPr>
        <w:t>.负责指导妇联系统的基层组织建设工作。考察推荐各条战线优秀妇女人才，协助党委组织部门做好女干部的培养选拔工作。指导、协调组织妇联系统干部培训。负责各界妇女统战、联谊工作。负责妇女代表、执委、常委的常规性工作。管理、指导团体会员工作，联系服务以女性为主的社会组织。负责机关和事业单位人员调配、劳动工资、职称评定、机构编制等工作。负责机关和事业单位职工的管理、考核和奖惩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③.负责宣传党的路线、方针、政策，教育引导全县妇女树立和践行社会主义核心价值观，指导和实施对全县妇女的自尊自信自立自强的“四自”教育。组织开展提高妇女素质、促进妇女进步的活动。负责妇联系统的对外宣传交流工作，承担网络宣传的建设与管理。负责妇女理论研究和妇女热点、难点问题调查研究，指导基层调研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④.负责做好《妇女权益保障法》等法律法规的宣传教育及实施工作。参与研究、制定有关维护妇女儿童权益方面的法律、法规。参与社会治理，处理群众来信来访，配合有关部门查处侵犯妇女儿童权益的重大案件；开展心理咨询、法律援助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⑤.负责机关离退休人员管理服务工作。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发展部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①.负责动员和组织妇女参与经济社会建设，开发妇女人力资源。组织妇女参加文化科技和职业技能培训，提高妇女的综合素质和业务能力。组织开展“巾帼建功、巾帼兴业、巾帼促农”三大行动，促进妇女创业就业。促进巾帼志愿者服务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②.负责牵头组织、协调县级“六一”庆祝活动。组织实施困境儿童关爱帮扶工作，实施“春蕾计划”。贯彻实施《重庆市儿童发展纲要》、重庆市家庭教育规划，搞好家教的理论研究，培训家教骨干，办好家长学校，推动建立家庭教育指导服务体系。负责指导推动家庭文明建设和家庭文化建设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③.负责组织编制县妇女和儿童发展规划。协调推动县政府妇女儿童工作委员会成员单位实施妇女和儿童发展规划，组织开展妇女和儿童发展规划实施情况监测评估工作。负责县政府妇女儿童工作委员会的日常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1.总体情况。</w:t>
      </w:r>
      <w:r>
        <w:rPr>
          <w:rFonts w:hint="eastAsia"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sz w:val="32"/>
          <w:szCs w:val="32"/>
          <w:shd w:val="clear" w:color="auto" w:fill="FFFFFF"/>
        </w:rPr>
        <w:t>年度收入总计</w:t>
      </w:r>
      <w:r>
        <w:rPr>
          <w:rFonts w:hint="eastAsia" w:ascii="Times New Roman" w:hAnsi="Times New Roman" w:eastAsia="方正仿宋_GBK" w:cs="Times New Roman"/>
          <w:b w:val="0"/>
          <w:bCs w:val="0"/>
          <w:color w:val="auto"/>
          <w:sz w:val="32"/>
          <w:szCs w:val="32"/>
          <w:lang w:val="en-US" w:eastAsia="zh-CN"/>
        </w:rPr>
        <w:t>371.53</w:t>
      </w:r>
      <w:r>
        <w:rPr>
          <w:rFonts w:hint="eastAsia" w:ascii="方正仿宋_GBK" w:hAnsi="方正仿宋_GBK" w:eastAsia="方正仿宋_GBK" w:cs="方正仿宋_GBK"/>
          <w:sz w:val="32"/>
          <w:szCs w:val="32"/>
          <w:shd w:val="clear" w:color="auto" w:fill="FFFFFF"/>
        </w:rPr>
        <w:t>万元，支出总计</w:t>
      </w:r>
      <w:r>
        <w:rPr>
          <w:rFonts w:hint="eastAsia" w:ascii="Times New Roman" w:hAnsi="Times New Roman" w:eastAsia="方正仿宋_GBK" w:cs="Times New Roman"/>
          <w:b w:val="0"/>
          <w:bCs w:val="0"/>
          <w:color w:val="auto"/>
          <w:sz w:val="32"/>
          <w:szCs w:val="32"/>
          <w:lang w:val="en-US" w:eastAsia="zh-CN"/>
        </w:rPr>
        <w:t>371.53</w:t>
      </w:r>
      <w:r>
        <w:rPr>
          <w:rFonts w:hint="eastAsia" w:ascii="方正仿宋_GBK" w:hAnsi="方正仿宋_GBK" w:eastAsia="方正仿宋_GBK" w:cs="方正仿宋_GBK"/>
          <w:sz w:val="32"/>
          <w:szCs w:val="32"/>
          <w:shd w:val="clear" w:color="auto" w:fill="FFFFFF"/>
        </w:rPr>
        <w:t>万元。收支较上年决算数减少</w:t>
      </w:r>
      <w:r>
        <w:rPr>
          <w:rFonts w:hint="eastAsia" w:ascii="Times New Roman" w:hAnsi="Times New Roman" w:eastAsia="方正仿宋_GBK" w:cs="Times New Roman"/>
          <w:b w:val="0"/>
          <w:bCs w:val="0"/>
          <w:color w:val="auto"/>
          <w:sz w:val="32"/>
          <w:szCs w:val="32"/>
          <w:lang w:val="en-US" w:eastAsia="zh-CN"/>
        </w:rPr>
        <w:t>41.10</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b w:val="0"/>
          <w:bCs w:val="0"/>
          <w:color w:val="auto"/>
          <w:sz w:val="32"/>
          <w:szCs w:val="32"/>
          <w:lang w:val="en-US" w:eastAsia="zh-CN"/>
        </w:rPr>
        <w:t>9.96%，</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val="0"/>
          <w:color w:val="auto"/>
          <w:sz w:val="32"/>
          <w:szCs w:val="32"/>
          <w:lang w:val="en-US" w:eastAsia="zh-CN"/>
        </w:rPr>
        <w:t>合理规划支出，减少了上年度的结转结余</w:t>
      </w:r>
      <w:r>
        <w:rPr>
          <w:rFonts w:hint="eastAsia" w:ascii="方正仿宋_GBK" w:hAnsi="方正仿宋_GBK" w:eastAsia="方正仿宋_GBK" w:cs="方正仿宋_GBK"/>
          <w:color w:val="FF0000"/>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Style w:val="9"/>
          <w:rFonts w:hint="eastAsia" w:ascii="方正仿宋_GBK" w:hAnsi="方正仿宋_GBK" w:eastAsia="方正仿宋_GBK" w:cs="方正仿宋_GBK"/>
          <w:sz w:val="32"/>
          <w:szCs w:val="32"/>
          <w:shd w:val="clear" w:color="auto" w:fill="FFFFFF"/>
        </w:rPr>
        <w:t>2.收入情况。</w:t>
      </w:r>
      <w:r>
        <w:rPr>
          <w:rFonts w:hint="eastAsia"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cs="Times New Roman"/>
          <w:b w:val="0"/>
          <w:bCs w:val="0"/>
          <w:color w:val="auto"/>
          <w:sz w:val="32"/>
          <w:szCs w:val="32"/>
          <w:lang w:val="en-US" w:eastAsia="zh-CN"/>
        </w:rPr>
        <w:t>361.18</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b w:val="0"/>
          <w:bCs w:val="0"/>
          <w:color w:val="auto"/>
          <w:sz w:val="32"/>
          <w:szCs w:val="32"/>
          <w:lang w:val="en-US" w:eastAsia="zh-CN"/>
        </w:rPr>
        <w:t>3.45</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b w:val="0"/>
          <w:bCs w:val="0"/>
          <w:color w:val="auto"/>
          <w:sz w:val="32"/>
          <w:szCs w:val="32"/>
          <w:lang w:val="en-US" w:eastAsia="zh-CN"/>
        </w:rPr>
        <w:t>0.95%</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val="0"/>
          <w:color w:val="auto"/>
          <w:sz w:val="32"/>
          <w:szCs w:val="32"/>
          <w:lang w:val="en-US" w:eastAsia="zh-CN"/>
        </w:rPr>
        <w:t>主要原因是合理规划支出，减少了上年度的结转结余。</w:t>
      </w:r>
      <w:r>
        <w:rPr>
          <w:rFonts w:hint="eastAsia" w:ascii="方正仿宋_GBK" w:hAnsi="方正仿宋_GBK" w:eastAsia="方正仿宋_GBK" w:cs="方正仿宋_GBK"/>
          <w:sz w:val="32"/>
          <w:szCs w:val="32"/>
          <w:shd w:val="clear" w:color="auto" w:fill="FFFFFF"/>
        </w:rPr>
        <w:t>其中：财政拨款收入</w:t>
      </w:r>
      <w:r>
        <w:rPr>
          <w:rFonts w:hint="eastAsia" w:ascii="Times New Roman" w:hAnsi="Times New Roman" w:eastAsia="方正仿宋_GBK" w:cs="Times New Roman"/>
          <w:b w:val="0"/>
          <w:bCs w:val="0"/>
          <w:color w:val="auto"/>
          <w:sz w:val="32"/>
          <w:szCs w:val="32"/>
          <w:lang w:val="en-US" w:eastAsia="zh-CN"/>
        </w:rPr>
        <w:t>361.18</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b w:val="0"/>
          <w:bCs w:val="0"/>
          <w:color w:val="auto"/>
          <w:sz w:val="32"/>
          <w:szCs w:val="32"/>
          <w:lang w:val="en-US" w:eastAsia="zh-CN"/>
        </w:rPr>
        <w:t>100.00%</w:t>
      </w:r>
      <w:r>
        <w:rPr>
          <w:rFonts w:hint="eastAsia" w:ascii="方正仿宋_GBK" w:hAnsi="方正仿宋_GBK" w:eastAsia="方正仿宋_GBK" w:cs="方正仿宋_GBK"/>
          <w:sz w:val="32"/>
          <w:szCs w:val="32"/>
          <w:shd w:val="clear" w:color="auto" w:fill="FFFFFF"/>
        </w:rPr>
        <w:t>；事业收入</w:t>
      </w:r>
      <w:r>
        <w:rPr>
          <w:rFonts w:hint="eastAsia" w:ascii="Times New Roman" w:hAnsi="Times New Roman" w:eastAsia="方正仿宋_GBK" w:cs="Times New Roman"/>
          <w:b w:val="0"/>
          <w:bCs w:val="0"/>
          <w:color w:val="auto"/>
          <w:sz w:val="32"/>
          <w:szCs w:val="32"/>
          <w:lang w:val="en-US" w:eastAsia="zh-CN"/>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b w:val="0"/>
          <w:bCs w:val="0"/>
          <w:color w:val="auto"/>
          <w:sz w:val="32"/>
          <w:szCs w:val="32"/>
          <w:lang w:val="en-US" w:eastAsia="zh-CN"/>
        </w:rPr>
        <w:t>0.00%；经营收入0.00万元，占0.00%；其他收入0.00万元，占0.00%</w:t>
      </w:r>
      <w:r>
        <w:rPr>
          <w:rFonts w:hint="eastAsia" w:ascii="方正仿宋_GBK" w:hAnsi="方正仿宋_GBK" w:eastAsia="方正仿宋_GBK" w:cs="方正仿宋_GBK"/>
          <w:sz w:val="32"/>
          <w:szCs w:val="32"/>
          <w:shd w:val="clear" w:color="auto" w:fill="FFFFFF"/>
        </w:rPr>
        <w:t>。此外，使用非财政拨款结余和</w:t>
      </w:r>
      <w:r>
        <w:rPr>
          <w:rFonts w:hint="eastAsia" w:ascii="Times New Roman" w:hAnsi="Times New Roman" w:eastAsia="方正仿宋_GBK" w:cs="Times New Roman"/>
          <w:b w:val="0"/>
          <w:bCs w:val="0"/>
          <w:color w:val="auto"/>
          <w:sz w:val="32"/>
          <w:szCs w:val="32"/>
          <w:lang w:val="en-US" w:eastAsia="zh-CN"/>
        </w:rPr>
        <w:t>专用结余0.00万元，年初结转和结余10.35万元。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color w:val="auto"/>
          <w:sz w:val="32"/>
          <w:szCs w:val="32"/>
          <w:lang w:val="en-US" w:eastAsia="zh-CN"/>
        </w:rPr>
        <w:t>3.支出情况。</w:t>
      </w:r>
      <w:r>
        <w:rPr>
          <w:rFonts w:hint="eastAsia" w:ascii="Times New Roman" w:hAnsi="Times New Roman" w:eastAsia="方正仿宋_GBK" w:cs="Times New Roman"/>
          <w:b w:val="0"/>
          <w:bCs w:val="0"/>
          <w:color w:val="auto"/>
          <w:sz w:val="32"/>
          <w:szCs w:val="32"/>
          <w:lang w:val="en-US" w:eastAsia="zh-CN"/>
        </w:rPr>
        <w:t>2023年度支出合计361.18万元，较上年决算数减少41.10万元，下降10.22%，主要原因是合理规划支出，减少了上年度的结转结余。其中：基本支出179.69万元，占49.75%；项目支出181.49万元，占50.25%；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4.结转</w:t>
      </w:r>
      <w:r>
        <w:rPr>
          <w:rStyle w:val="9"/>
          <w:rFonts w:hint="eastAsia" w:ascii="方正仿宋_GBK" w:hAnsi="方正仿宋_GBK" w:eastAsia="方正仿宋_GBK" w:cs="方正仿宋_GBK"/>
          <w:b/>
          <w:bCs/>
          <w:sz w:val="32"/>
          <w:szCs w:val="32"/>
          <w:shd w:val="clear" w:color="auto" w:fill="FFFFFF"/>
        </w:rPr>
        <w:t>结余情</w:t>
      </w:r>
      <w:r>
        <w:rPr>
          <w:rFonts w:hint="eastAsia" w:ascii="Times New Roman" w:hAnsi="Times New Roman" w:eastAsia="方正仿宋_GBK" w:cs="Times New Roman"/>
          <w:b/>
          <w:bCs/>
          <w:color w:val="auto"/>
          <w:sz w:val="32"/>
          <w:szCs w:val="32"/>
          <w:lang w:val="en-US" w:eastAsia="zh-CN"/>
        </w:rPr>
        <w:t>况。</w:t>
      </w:r>
      <w:r>
        <w:rPr>
          <w:rFonts w:hint="eastAsia" w:ascii="Times New Roman" w:hAnsi="Times New Roman" w:eastAsia="方正仿宋_GBK" w:cs="Times New Roman"/>
          <w:b w:val="0"/>
          <w:bCs w:val="0"/>
          <w:color w:val="auto"/>
          <w:sz w:val="32"/>
          <w:szCs w:val="32"/>
          <w:lang w:val="en-US" w:eastAsia="zh-CN"/>
        </w:rPr>
        <w:t>2023年度年末结转和结余10.35万元，较上年决算数无增减。</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2023年度财政拨款收、支总计371.53万元。与2022年相比，财政拨款收、支总计各减少11.10万元，下降2.90%。主要原因是专项经费减少。</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1.收</w:t>
      </w:r>
      <w:r>
        <w:rPr>
          <w:rStyle w:val="9"/>
          <w:rFonts w:ascii="方正仿宋_GBK" w:hAnsi="方正仿宋_GBK" w:eastAsia="方正仿宋_GBK" w:cs="方正仿宋_GBK"/>
          <w:b/>
          <w:bCs/>
          <w:sz w:val="32"/>
          <w:szCs w:val="32"/>
          <w:shd w:val="clear" w:color="auto" w:fill="FFFFFF"/>
        </w:rPr>
        <w:t>入情况。</w:t>
      </w:r>
      <w:r>
        <w:rPr>
          <w:rFonts w:hint="eastAsia" w:ascii="Times New Roman" w:hAnsi="Times New Roman" w:eastAsia="方正仿宋_GBK" w:cs="Times New Roman"/>
          <w:b w:val="0"/>
          <w:bCs w:val="0"/>
          <w:color w:val="auto"/>
          <w:sz w:val="32"/>
          <w:szCs w:val="32"/>
          <w:lang w:val="en-US" w:eastAsia="zh-CN"/>
        </w:rPr>
        <w:t>2023年度一般公共预算财政拨款收入361.18万元，较上年决算数减少3.45万元，下降0.95%。主要原因是专项经费减少。较年初预算数增加87.75万元，增长32.09%。主要原因是主要原因是年中追加专项经费支出预算及公用经费。此外，年初财政拨款结转和结余10.35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2.支出情况。</w:t>
      </w:r>
      <w:r>
        <w:rPr>
          <w:rFonts w:hint="eastAsia" w:ascii="Times New Roman" w:hAnsi="Times New Roman" w:eastAsia="方正仿宋_GBK" w:cs="Times New Roman"/>
          <w:b w:val="0"/>
          <w:bCs w:val="0"/>
          <w:color w:val="auto"/>
          <w:sz w:val="32"/>
          <w:szCs w:val="32"/>
          <w:lang w:val="en-US" w:eastAsia="zh-CN"/>
        </w:rPr>
        <w:t>2023年度一般公共预算财政拨款支出361.18万元，较上年决算数减少11.10万元，下降2.98%。主要原因是专项经费减少。较年初预算数增加83.61万元，增长30.12%。主要原因是年中追加专项经费支出预算及公用经费。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3.结转结余情况。</w:t>
      </w:r>
      <w:r>
        <w:rPr>
          <w:rFonts w:hint="eastAsia" w:ascii="Times New Roman" w:hAnsi="Times New Roman" w:eastAsia="方正仿宋_GBK" w:cs="Times New Roman"/>
          <w:b w:val="0"/>
          <w:bCs w:val="0"/>
          <w:color w:val="auto"/>
          <w:sz w:val="32"/>
          <w:szCs w:val="32"/>
          <w:lang w:val="en-US" w:eastAsia="zh-CN"/>
        </w:rPr>
        <w:t>2023年度年末一般公共预算财政拨款结转和结余10.35万元，较上年决算数无增减。</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4.比较情况。</w:t>
      </w:r>
      <w:r>
        <w:rPr>
          <w:rFonts w:hint="eastAsia" w:ascii="Times New Roman" w:hAnsi="Times New Roman" w:eastAsia="方正仿宋_GBK" w:cs="Times New Roman"/>
          <w:b w:val="0"/>
          <w:bCs w:val="0"/>
          <w:color w:val="auto"/>
          <w:sz w:val="32"/>
          <w:szCs w:val="32"/>
          <w:lang w:val="en-US" w:eastAsia="zh-CN"/>
        </w:rPr>
        <w:t>本单位2023年度一般公共预算财政拨款支出主要用于以下几个方面：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（1）一般公共服务支出236.05万元，占65.35%，较年初预算数增加7.85万元，增长3.44%，主要原因是办公经费增加。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（2）社会保障与就业支出41.97万元，占11.62%，较年初预算数增加10.50万元，增长33.37%，主要原因是人员经费调整。</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（3）卫生健康支出6.16万元，占1.70%，较年初预算数无增减。</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（4）农林水支出63.00万元，占17.44%，较年初预算数增加63.00万元，增长100.00%，主要原因是专项经费增加。</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2023年度一般公共财政拨款基本支出179.69万元。其中：人员经费158.02万元，较上年决算数增加9.85万元，增长6.65%，主要原因是人员经费调整增加人员经费支出。人员经费用途主要包括基本工资、津贴补贴、奖金、社会保障缴费等</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公用经费21.67万元，较上年决算数减少1.09万元，下降4.79%，主要原因是严格落实政府过“紧日子”要求，进一步压缩公用经费规模</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公用经费用途主要包括</w:t>
      </w:r>
      <w:r>
        <w:rPr>
          <w:rFonts w:hint="default" w:ascii="Times New Roman" w:hAnsi="Times New Roman" w:eastAsia="方正仿宋_GBK" w:cs="Times New Roman"/>
          <w:b w:val="0"/>
          <w:bCs w:val="0"/>
          <w:color w:val="auto"/>
          <w:sz w:val="32"/>
          <w:szCs w:val="32"/>
          <w:lang w:val="en-US" w:eastAsia="zh-CN"/>
        </w:rPr>
        <w:t>办公费、差旅费、物管费、电费、车辆运行维护费、会议费、培训费等。</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本单位2023年度无政府性基金预算财政拨款收支。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2023年度“三公”经费支出共计3.95万元，较年初预算数减少1.95万元，下降33.05%，主要原因是严格落实政府过“紧日子”要求，厉行节约</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较上年支出数减少0.35万元，下降8.14%，主要原因是严格按照规定安排使用公务车，合理安排支出，减少运行开支。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年度本</w:t>
      </w:r>
      <w:r>
        <w:rPr>
          <w:rFonts w:hint="eastAsia" w:ascii="Times New Roman" w:hAnsi="Times New Roman" w:eastAsia="方正仿宋_GBK" w:cs="Times New Roman"/>
          <w:b w:val="0"/>
          <w:bCs w:val="0"/>
          <w:color w:val="auto"/>
          <w:sz w:val="32"/>
          <w:szCs w:val="32"/>
          <w:lang w:val="en-US" w:eastAsia="zh-CN"/>
        </w:rPr>
        <w:t>单位</w:t>
      </w:r>
      <w:r>
        <w:rPr>
          <w:rFonts w:hint="default" w:ascii="Times New Roman" w:hAnsi="Times New Roman" w:eastAsia="方正仿宋_GBK" w:cs="Times New Roman"/>
          <w:b w:val="0"/>
          <w:bCs w:val="0"/>
          <w:color w:val="auto"/>
          <w:sz w:val="32"/>
          <w:szCs w:val="32"/>
          <w:lang w:val="en-US" w:eastAsia="zh-CN"/>
        </w:rPr>
        <w:t>未发生因公出国（境）费用。</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eastAsia="zh-CN"/>
        </w:rPr>
        <w:t>、上年支出数</w:t>
      </w:r>
      <w:r>
        <w:rPr>
          <w:rFonts w:hint="default" w:ascii="Times New Roman" w:hAnsi="Times New Roman" w:eastAsia="方正仿宋_GBK" w:cs="Times New Roman"/>
          <w:sz w:val="32"/>
          <w:szCs w:val="32"/>
          <w:shd w:val="clear" w:color="auto" w:fill="FFFFFF"/>
        </w:rPr>
        <w:t>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年度本</w:t>
      </w:r>
      <w:r>
        <w:rPr>
          <w:rFonts w:hint="eastAsia" w:ascii="Times New Roman" w:hAnsi="Times New Roman" w:eastAsia="方正仿宋_GBK" w:cs="Times New Roman"/>
          <w:b w:val="0"/>
          <w:bCs w:val="0"/>
          <w:color w:val="auto"/>
          <w:sz w:val="32"/>
          <w:szCs w:val="32"/>
          <w:lang w:val="en-US" w:eastAsia="zh-CN"/>
        </w:rPr>
        <w:t>单位</w:t>
      </w:r>
      <w:r>
        <w:rPr>
          <w:rFonts w:hint="default" w:ascii="Times New Roman" w:hAnsi="Times New Roman" w:eastAsia="方正仿宋_GBK" w:cs="Times New Roman"/>
          <w:b w:val="0"/>
          <w:bCs w:val="0"/>
          <w:color w:val="auto"/>
          <w:sz w:val="32"/>
          <w:szCs w:val="32"/>
          <w:lang w:val="en-US" w:eastAsia="zh-CN"/>
        </w:rPr>
        <w:t>未发生公务车购置费。</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eastAsia="zh-CN"/>
        </w:rPr>
        <w:t>、上年支出数</w:t>
      </w:r>
      <w:r>
        <w:rPr>
          <w:rFonts w:hint="default" w:ascii="Times New Roman" w:hAnsi="Times New Roman" w:eastAsia="方正仿宋_GBK" w:cs="Times New Roman"/>
          <w:sz w:val="32"/>
          <w:szCs w:val="32"/>
          <w:shd w:val="clear" w:color="auto" w:fill="FFFFFF"/>
        </w:rPr>
        <w:t>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b w:val="0"/>
          <w:bCs w:val="0"/>
          <w:color w:val="auto"/>
          <w:sz w:val="32"/>
          <w:szCs w:val="32"/>
          <w:lang w:val="en-US" w:eastAsia="zh-CN"/>
        </w:rPr>
        <w:t>公务车运行维护费3.80万元，主要用于</w:t>
      </w:r>
      <w:r>
        <w:rPr>
          <w:rFonts w:hint="default" w:ascii="Times New Roman" w:hAnsi="Times New Roman" w:eastAsia="方正仿宋_GBK" w:cs="Times New Roman"/>
          <w:b w:val="0"/>
          <w:bCs w:val="0"/>
          <w:color w:val="auto"/>
          <w:sz w:val="32"/>
          <w:szCs w:val="32"/>
          <w:lang w:val="en-US" w:eastAsia="zh-CN"/>
        </w:rPr>
        <w:t>车辆油费、维修费、保险等。</w:t>
      </w:r>
      <w:r>
        <w:rPr>
          <w:rFonts w:hint="eastAsia" w:ascii="Times New Roman" w:hAnsi="Times New Roman" w:eastAsia="方正仿宋_GBK" w:cs="Times New Roman"/>
          <w:b w:val="0"/>
          <w:bCs w:val="0"/>
          <w:color w:val="auto"/>
          <w:sz w:val="32"/>
          <w:szCs w:val="32"/>
          <w:lang w:val="en-US" w:eastAsia="zh-CN"/>
        </w:rPr>
        <w:t>费用支出较年初预算数减少1.20万元，下降24.00%，主要原因是</w:t>
      </w:r>
      <w:r>
        <w:rPr>
          <w:rFonts w:hint="default" w:ascii="Times New Roman" w:hAnsi="Times New Roman" w:eastAsia="方正仿宋_GBK" w:cs="Times New Roman"/>
          <w:b w:val="0"/>
          <w:bCs w:val="0"/>
          <w:color w:val="auto"/>
          <w:sz w:val="32"/>
          <w:szCs w:val="32"/>
          <w:lang w:val="en-US" w:eastAsia="zh-CN"/>
        </w:rPr>
        <w:t>严格按照公车运行管理。</w:t>
      </w:r>
      <w:r>
        <w:rPr>
          <w:rFonts w:hint="eastAsia" w:ascii="Times New Roman" w:hAnsi="Times New Roman" w:eastAsia="方正仿宋_GBK" w:cs="Times New Roman"/>
          <w:b w:val="0"/>
          <w:bCs w:val="0"/>
          <w:color w:val="auto"/>
          <w:sz w:val="32"/>
          <w:szCs w:val="32"/>
          <w:lang w:val="en-US" w:eastAsia="zh-CN"/>
        </w:rPr>
        <w:t>较上年支出数减少0.27万元，下降6.63%，主要原因是严格按照规定安排使用公务车，合理安排支出，减少运行开支。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公务接待费0.15万元，主要用于接待市妇联到我单位调研指导工作</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费用支出较年初预算数减少0.75万元，下降83.33%，主要原因是</w:t>
      </w:r>
      <w:r>
        <w:rPr>
          <w:rFonts w:hint="default" w:ascii="Times New Roman" w:hAnsi="Times New Roman" w:eastAsia="方正仿宋_GBK" w:cs="Times New Roman"/>
          <w:b w:val="0"/>
          <w:bCs w:val="0"/>
          <w:color w:val="auto"/>
          <w:sz w:val="32"/>
          <w:szCs w:val="32"/>
          <w:lang w:val="en-US" w:eastAsia="zh-CN"/>
        </w:rPr>
        <w:t>严格按照中央八项规定，厉行节约</w:t>
      </w:r>
      <w:r>
        <w:rPr>
          <w:rFonts w:hint="eastAsia" w:ascii="Times New Roman" w:hAnsi="Times New Roman" w:eastAsia="方正仿宋_GBK" w:cs="Times New Roman"/>
          <w:b w:val="0"/>
          <w:bCs w:val="0"/>
          <w:color w:val="auto"/>
          <w:sz w:val="32"/>
          <w:szCs w:val="32"/>
          <w:lang w:val="en-US" w:eastAsia="zh-CN"/>
        </w:rPr>
        <w:t>。较上年支出数减少0.08万元，下降34.78%，主要原因是</w:t>
      </w:r>
      <w:r>
        <w:rPr>
          <w:rFonts w:hint="default" w:ascii="Times New Roman" w:hAnsi="Times New Roman" w:eastAsia="方正仿宋_GBK" w:cs="Times New Roman"/>
          <w:b w:val="0"/>
          <w:bCs w:val="0"/>
          <w:color w:val="auto"/>
          <w:sz w:val="32"/>
          <w:szCs w:val="32"/>
          <w:lang w:val="en-US" w:eastAsia="zh-CN"/>
        </w:rPr>
        <w:t>严格按照中央八项规定，厉行节约</w:t>
      </w:r>
      <w:r>
        <w:rPr>
          <w:rFonts w:hint="eastAsia" w:ascii="Times New Roman" w:hAnsi="Times New Roman" w:eastAsia="方正仿宋_GBK" w:cs="Times New Roman"/>
          <w:b w:val="0"/>
          <w:bCs w:val="0"/>
          <w:color w:val="auto"/>
          <w:sz w:val="32"/>
          <w:szCs w:val="32"/>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b w:val="0"/>
          <w:bCs w:val="0"/>
          <w:color w:val="auto"/>
          <w:sz w:val="32"/>
          <w:szCs w:val="32"/>
          <w:lang w:val="en-US" w:eastAsia="zh-CN"/>
        </w:rPr>
        <w:t>2023年度本单位因公出国（境）共计0个团组，0人；公务用车购置0辆，公务车保有量为1辆；国内公务接待3批次19人，其中：国内外事接待0批次，0人；国（境）外公务接待0批次，0人。2023年本单位人均接待费77.53元，车均购置费0万元，车均维护费3.80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eastAsia" w:ascii="Times New Roman" w:hAnsi="Times New Roman" w:eastAsia="方正仿宋_GBK" w:cs="Times New Roman"/>
          <w:b w:val="0"/>
          <w:bCs w:val="0"/>
          <w:color w:val="auto"/>
          <w:sz w:val="32"/>
          <w:szCs w:val="32"/>
          <w:lang w:val="en-US" w:eastAsia="zh-CN" w:bidi="ar-SA"/>
        </w:rPr>
        <w:t>本年度会议费支出0.70万元，较上年决算数减少3.10万元，下降81.58%，主要原因是合理安排会议，减少了相关开支。本年度培训费支出0.00万元，较上年决算数减少25.00万元，下降100.00%，主要原因是合理安排培训事宜，减少了相关开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2023年度本单位机关运行经费支出21.67万元，机关运行经费主要用于开支</w:t>
      </w:r>
      <w:r>
        <w:rPr>
          <w:rFonts w:hint="default" w:ascii="Times New Roman" w:hAnsi="Times New Roman" w:eastAsia="方正仿宋_GBK" w:cs="Times New Roman"/>
          <w:b w:val="0"/>
          <w:bCs w:val="0"/>
          <w:color w:val="auto"/>
          <w:sz w:val="32"/>
          <w:szCs w:val="32"/>
          <w:lang w:val="en-US" w:eastAsia="zh-CN"/>
        </w:rPr>
        <w:t>办公费、差旅费、物管费、电费、车辆运行维护费、会议费、培训费等</w:t>
      </w:r>
      <w:r>
        <w:rPr>
          <w:rFonts w:hint="eastAsia" w:ascii="Times New Roman" w:hAnsi="Times New Roman" w:eastAsia="方正仿宋_GBK" w:cs="Times New Roman"/>
          <w:b w:val="0"/>
          <w:bCs w:val="0"/>
          <w:color w:val="auto"/>
          <w:sz w:val="32"/>
          <w:szCs w:val="32"/>
          <w:lang w:val="en-US" w:eastAsia="zh-CN"/>
        </w:rPr>
        <w:t>。机关运行经费较上年支出数减少1.09万元，下降4.79%，主要原因是</w:t>
      </w:r>
      <w:r>
        <w:rPr>
          <w:rFonts w:hint="default" w:ascii="Times New Roman" w:hAnsi="Times New Roman" w:eastAsia="方正仿宋_GBK" w:cs="Times New Roman"/>
          <w:b w:val="0"/>
          <w:bCs w:val="0"/>
          <w:color w:val="auto"/>
          <w:sz w:val="32"/>
          <w:szCs w:val="32"/>
          <w:lang w:val="en-US" w:eastAsia="zh-CN"/>
        </w:rPr>
        <w:t>合理规划，节约开支</w:t>
      </w:r>
      <w:r>
        <w:rPr>
          <w:rFonts w:hint="eastAsia" w:ascii="Times New Roman" w:hAnsi="Times New Roman" w:eastAsia="方正仿宋_GBK" w:cs="Times New Roman"/>
          <w:b w:val="0"/>
          <w:bCs w:val="0"/>
          <w:color w:val="auto"/>
          <w:sz w:val="32"/>
          <w:szCs w:val="32"/>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b w:val="0"/>
          <w:bCs w:val="0"/>
          <w:color w:val="auto"/>
          <w:sz w:val="32"/>
          <w:szCs w:val="32"/>
          <w:lang w:val="en-US" w:eastAsia="zh-CN"/>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b w:val="0"/>
          <w:bCs w:val="0"/>
          <w:color w:val="auto"/>
          <w:sz w:val="32"/>
          <w:szCs w:val="32"/>
          <w:lang w:val="en-US" w:eastAsia="zh-CN"/>
        </w:rPr>
        <w:t>2023年度本单位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办公电脑设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lang w:eastAsia="zh-CN"/>
        </w:rPr>
        <w:t>五、</w:t>
      </w:r>
      <w:r>
        <w:rPr>
          <w:rStyle w:val="9"/>
          <w:rFonts w:hint="eastAsia" w:ascii="方正黑体_GBK" w:hAnsi="方正黑体_GBK" w:eastAsia="方正黑体_GBK" w:cs="方正黑体_GBK"/>
          <w:b w:val="0"/>
          <w:bCs/>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bidi="ar-SA"/>
        </w:rPr>
      </w:pPr>
      <w:r>
        <w:rPr>
          <w:rFonts w:hint="eastAsia" w:ascii="方正仿宋_GBK" w:hAnsi="方正仿宋_GBK" w:eastAsia="方正仿宋_GBK" w:cs="方正仿宋_GBK"/>
          <w:sz w:val="32"/>
          <w:szCs w:val="32"/>
          <w:shd w:val="clear" w:color="auto" w:fill="FFFFFF"/>
        </w:rPr>
        <w:t>根据预算绩效管</w:t>
      </w:r>
      <w:r>
        <w:rPr>
          <w:rFonts w:hint="eastAsia" w:ascii="Times New Roman" w:hAnsi="Times New Roman" w:eastAsia="方正仿宋_GBK" w:cs="Times New Roman"/>
          <w:b w:val="0"/>
          <w:bCs w:val="0"/>
          <w:color w:val="auto"/>
          <w:sz w:val="32"/>
          <w:szCs w:val="32"/>
          <w:lang w:val="en-US" w:eastAsia="zh-CN" w:bidi="ar-SA"/>
        </w:rPr>
        <w:t>理要求，我单位对部门整体和9个二级项目开展了绩效自评，涉及财政拨款项目支出资金181.48万元。</w:t>
      </w:r>
    </w:p>
    <w:tbl>
      <w:tblPr>
        <w:tblStyle w:val="10"/>
        <w:tblW w:w="8484" w:type="dxa"/>
        <w:tblInd w:w="7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576"/>
        <w:gridCol w:w="1176"/>
        <w:gridCol w:w="1680"/>
        <w:gridCol w:w="612"/>
        <w:gridCol w:w="612"/>
        <w:gridCol w:w="636"/>
        <w:gridCol w:w="648"/>
        <w:gridCol w:w="780"/>
        <w:gridCol w:w="612"/>
        <w:gridCol w:w="504"/>
        <w:gridCol w:w="648"/>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780" w:hRule="atLeast"/>
        </w:trPr>
        <w:tc>
          <w:tcPr>
            <w:tcW w:w="8484" w:type="dxa"/>
            <w:gridSpan w:val="11"/>
            <w:tcBorders>
              <w:top w:val="nil"/>
              <w:left w:val="nil"/>
              <w:bottom w:val="single" w:color="000000" w:sz="4" w:space="0"/>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楷体_GBK" w:hAnsi="方正楷体_GBK" w:eastAsia="方正楷体_GBK" w:cs="方正楷体_GBK"/>
                <w:b w:val="0"/>
                <w:bCs w:val="0"/>
                <w:sz w:val="32"/>
                <w:szCs w:val="32"/>
                <w:shd w:val="clear" w:color="auto" w:fill="FFFFFF"/>
                <w:lang w:val="en-US" w:eastAsia="zh-CN" w:bidi="ar-SA"/>
              </w:rPr>
              <w:t>秀山县妇联2023年度项目支出绩效自评表（一级项目）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序号</w:t>
            </w:r>
          </w:p>
        </w:tc>
        <w:tc>
          <w:tcPr>
            <w:tcW w:w="11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项目名称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指标名称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指标性质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计量单位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指标权重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全年完成值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指标得分</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说明</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自评得分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restart"/>
            <w:tcBorders>
              <w:top w:val="single" w:color="auto" w:sz="4" w:space="0"/>
              <w:left w:val="single" w:color="auto" w:sz="4" w:space="0"/>
              <w:bottom w:val="nil"/>
              <w:right w:val="single" w:color="000000" w:sz="4" w:space="0"/>
            </w:tcBorders>
            <w:shd w:val="clear" w:color="auto" w:fill="auto"/>
            <w:vAlign w:val="center"/>
          </w:tcPr>
          <w:p>
            <w:pPr>
              <w:jc w:val="center"/>
              <w:textAlignment w:val="center"/>
              <w:rPr>
                <w:color w:val="000000"/>
                <w:sz w:val="22"/>
              </w:rPr>
            </w:pPr>
            <w:r>
              <w:rPr>
                <w:color w:val="000000"/>
                <w:kern w:val="0"/>
                <w:sz w:val="22"/>
                <w:lang w:bidi="ar"/>
              </w:rPr>
              <w:t>1</w:t>
            </w:r>
          </w:p>
        </w:tc>
        <w:tc>
          <w:tcPr>
            <w:tcW w:w="1176" w:type="dxa"/>
            <w:vMerge w:val="restart"/>
            <w:tcBorders>
              <w:top w:val="single" w:color="auto" w:sz="4" w:space="0"/>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妇女儿童发展经费</w:t>
            </w: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年度预算执行率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cs="宋体"/>
                <w:color w:val="000000"/>
                <w:sz w:val="22"/>
              </w:rPr>
            </w:pPr>
          </w:p>
        </w:tc>
        <w:tc>
          <w:tcPr>
            <w:tcW w:w="648" w:type="dxa"/>
            <w:vMerge w:val="restart"/>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vMerge w:val="continue"/>
            <w:tcBorders>
              <w:left w:val="single" w:color="auto" w:sz="4" w:space="0"/>
              <w:bottom w:val="nil"/>
              <w:right w:val="single" w:color="000000" w:sz="4" w:space="0"/>
            </w:tcBorders>
            <w:shd w:val="clear" w:color="auto" w:fill="auto"/>
            <w:vAlign w:val="center"/>
          </w:tcPr>
          <w:p>
            <w:pPr>
              <w:jc w:val="center"/>
              <w:textAlignment w:val="center"/>
              <w:rPr>
                <w:color w:val="000000"/>
                <w:sz w:val="22"/>
              </w:rPr>
            </w:pPr>
          </w:p>
        </w:tc>
        <w:tc>
          <w:tcPr>
            <w:tcW w:w="1176" w:type="dxa"/>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发放妇女儿童相关宣传资料份数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20000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份</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eastAsia="zh-CN"/>
              </w:rPr>
              <w:t>20000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cs="宋体"/>
                <w:color w:val="000000"/>
                <w:sz w:val="22"/>
              </w:rPr>
            </w:pPr>
          </w:p>
        </w:tc>
        <w:tc>
          <w:tcPr>
            <w:tcW w:w="648" w:type="dxa"/>
            <w:vMerge w:val="continue"/>
            <w:tcBorders>
              <w:left w:val="single" w:color="auto" w:sz="4" w:space="0"/>
              <w:bottom w:val="nil"/>
              <w:right w:val="single" w:color="000000" w:sz="4" w:space="0"/>
            </w:tcBorders>
            <w:shd w:val="clear" w:color="auto" w:fill="auto"/>
            <w:vAlign w:val="center"/>
          </w:tcPr>
          <w:p>
            <w:pPr>
              <w:jc w:val="center"/>
              <w:rPr>
                <w:rFonts w:hint="eastAsia" w:ascii="宋体" w:hAnsi="宋体" w:cs="宋体" w:eastAsiaTheme="minorEastAsia"/>
                <w:color w:val="000000"/>
                <w:sz w:val="22"/>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Ex>
        <w:trPr>
          <w:trHeight w:val="432" w:hRule="atLeast"/>
        </w:trPr>
        <w:tc>
          <w:tcPr>
            <w:tcW w:w="576" w:type="dxa"/>
            <w:vMerge w:val="continue"/>
            <w:tcBorders>
              <w:left w:val="single" w:color="auto" w:sz="4" w:space="0"/>
              <w:bottom w:val="nil"/>
              <w:right w:val="single" w:color="000000" w:sz="4" w:space="0"/>
            </w:tcBorders>
            <w:shd w:val="clear" w:color="auto" w:fill="auto"/>
            <w:vAlign w:val="center"/>
          </w:tcPr>
          <w:p>
            <w:pPr>
              <w:jc w:val="center"/>
              <w:textAlignment w:val="center"/>
              <w:rPr>
                <w:color w:val="000000"/>
                <w:sz w:val="22"/>
              </w:rPr>
            </w:pPr>
          </w:p>
        </w:tc>
        <w:tc>
          <w:tcPr>
            <w:tcW w:w="1176" w:type="dxa"/>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开展维护妇女儿童权益服务相关工作次数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val="en-US" w:eastAsia="zh-CN"/>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cs="宋体"/>
                <w:color w:val="000000"/>
                <w:sz w:val="22"/>
              </w:rPr>
            </w:pPr>
          </w:p>
        </w:tc>
        <w:tc>
          <w:tcPr>
            <w:tcW w:w="648" w:type="dxa"/>
            <w:vMerge w:val="continue"/>
            <w:tcBorders>
              <w:left w:val="single" w:color="auto" w:sz="4" w:space="0"/>
              <w:bottom w:val="nil"/>
              <w:right w:val="single" w:color="000000" w:sz="4" w:space="0"/>
            </w:tcBorders>
            <w:shd w:val="clear" w:color="auto" w:fill="auto"/>
            <w:vAlign w:val="center"/>
          </w:tcPr>
          <w:p>
            <w:pPr>
              <w:jc w:val="center"/>
              <w:rPr>
                <w:rFonts w:hint="eastAsia" w:ascii="宋体" w:hAnsi="宋体" w:cs="宋体"/>
                <w:color w:val="00000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巾帼心向党系列行动参与人次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16" w:hRule="atLeast"/>
        </w:trPr>
        <w:tc>
          <w:tcPr>
            <w:tcW w:w="576"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巾帼建新功系列行动参与人次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left w:val="single" w:color="000000" w:sz="4" w:space="0"/>
              <w:bottom w:val="nil"/>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网络平台建设个数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节假日慰问妇女儿童人数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网络及报刊宣传数量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top w:val="single" w:color="auto" w:sz="4" w:space="0"/>
              <w:left w:val="single" w:color="auto" w:sz="4" w:space="0"/>
              <w:bottom w:val="nil"/>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乡村振兴系列活动参与人数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巾帼亮形象系列行动参与人次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巾帼善治理系列行动参与人次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巾帼暖人心系列行动参与人次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“最美”系列评选活动参与家庭数量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1680" w:type="dxa"/>
            <w:tcBorders>
              <w:top w:val="single" w:color="000000" w:sz="4" w:space="0"/>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涉及乡镇（街道）个数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27</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5</w:t>
            </w:r>
          </w:p>
        </w:tc>
        <w:tc>
          <w:tcPr>
            <w:tcW w:w="504" w:type="dxa"/>
            <w:tcBorders>
              <w:top w:val="single" w:color="000000" w:sz="4" w:space="0"/>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auto" w:sz="4" w:space="0"/>
              <w:bottom w:val="single" w:color="auto" w:sz="4" w:space="0"/>
              <w:right w:val="single" w:color="000000"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ind w:firstLine="180" w:firstLineChars="100"/>
              <w:jc w:val="both"/>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w:t>
            </w:r>
          </w:p>
        </w:tc>
        <w:tc>
          <w:tcPr>
            <w:tcW w:w="1176"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市级群团事业发展资金</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年度预算执行率</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restart"/>
            <w:tcBorders>
              <w:top w:val="single" w:color="auto" w:sz="4" w:space="0"/>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创建儿童友好社区</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2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建设妇女儿童维权服务站</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培训人数</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助力巴渝巾帼发展项目相关培训</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培训计划按期完成率</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2" w:hRule="atLeast"/>
        </w:trPr>
        <w:tc>
          <w:tcPr>
            <w:tcW w:w="5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受益人口数</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6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504" w:type="dxa"/>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547"/>
              </w:tabs>
              <w:jc w:val="both"/>
              <w:rPr>
                <w:rFonts w:hint="eastAsia" w:ascii="方正仿宋_GBK" w:hAnsi="方正仿宋_GBK" w:eastAsia="方正仿宋_GBK" w:cs="方正仿宋_GBK"/>
                <w:color w:val="000000"/>
                <w:sz w:val="18"/>
                <w:szCs w:val="18"/>
                <w:lang w:eastAsia="zh-CN"/>
              </w:rPr>
            </w:pPr>
          </w:p>
        </w:tc>
        <w:tc>
          <w:tcPr>
            <w:tcW w:w="648" w:type="dxa"/>
            <w:vMerge w:val="continue"/>
            <w:tcBorders>
              <w:left w:val="single" w:color="000000" w:sz="4" w:space="0"/>
              <w:bottom w:val="single" w:color="auto" w:sz="4" w:space="0"/>
              <w:right w:val="single" w:color="auto" w:sz="4" w:space="0"/>
            </w:tcBorders>
            <w:shd w:val="clear" w:color="auto" w:fill="auto"/>
            <w:vAlign w:val="center"/>
          </w:tcPr>
          <w:p>
            <w:pPr>
              <w:tabs>
                <w:tab w:val="left" w:pos="547"/>
              </w:tabs>
              <w:jc w:val="center"/>
              <w:rPr>
                <w:rFonts w:hint="eastAsia" w:ascii="方正仿宋_GBK" w:hAnsi="方正仿宋_GBK" w:eastAsia="方正仿宋_GBK" w:cs="方正仿宋_GBK"/>
                <w:color w:val="000000"/>
                <w:sz w:val="18"/>
                <w:szCs w:val="18"/>
                <w:lang w:eastAsia="zh-CN"/>
              </w:rPr>
            </w:pPr>
          </w:p>
        </w:tc>
      </w:tr>
    </w:tbl>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bidi="ar-SA"/>
        </w:rPr>
      </w:pP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val="0"/>
          <w:bCs w:val="0"/>
          <w:color w:val="auto"/>
          <w:sz w:val="32"/>
          <w:szCs w:val="32"/>
          <w:lang w:val="en-US" w:eastAsia="zh-CN" w:bidi="ar-SA"/>
        </w:rPr>
        <w:t>我单位对市级群团发展资金开展了绩效评价，涉及财政拨款项目资金36.96万元，评价得分98.26分，评价等次为优，绩效评价发现了绩效目标设置不科学等主要问题，提出优化绩效目标设置等下一步工作建议；对妇女儿童发展经费开展了绩效评价，涉及财政拨款项目资金48.52万元，评价得分100分，评价等次为优，绩效评价发</w:t>
      </w:r>
      <w:r>
        <w:rPr>
          <w:rFonts w:hint="eastAsia" w:ascii="方正仿宋_GBK" w:hAnsi="方正仿宋_GBK" w:eastAsia="方正仿宋_GBK" w:cs="方正仿宋_GBK"/>
          <w:sz w:val="32"/>
          <w:szCs w:val="32"/>
          <w:shd w:val="clear" w:color="auto" w:fill="FFFFFF"/>
        </w:rPr>
        <w:t>现了</w:t>
      </w:r>
      <w:r>
        <w:rPr>
          <w:rFonts w:hint="eastAsia" w:ascii="方正仿宋_GBK" w:hAnsi="方正仿宋_GBK" w:eastAsia="方正仿宋_GBK" w:cs="方正仿宋_GBK"/>
          <w:sz w:val="32"/>
          <w:szCs w:val="32"/>
          <w:shd w:val="clear" w:color="auto" w:fill="FFFFFF"/>
          <w:lang w:eastAsia="zh-CN"/>
        </w:rPr>
        <w:t>绩效目</w:t>
      </w:r>
      <w:r>
        <w:rPr>
          <w:rFonts w:hint="eastAsia" w:ascii="Times New Roman" w:hAnsi="Times New Roman" w:eastAsia="方正仿宋_GBK" w:cs="Times New Roman"/>
          <w:b w:val="0"/>
          <w:bCs w:val="0"/>
          <w:color w:val="auto"/>
          <w:sz w:val="32"/>
          <w:szCs w:val="32"/>
          <w:lang w:val="en-US" w:eastAsia="zh-CN" w:bidi="ar-SA"/>
        </w:rPr>
        <w:t>标设置不科学等主要问题，提出优化绩效目标设置等下一步工作建议；对2023年养老护理、缝纫、家政技能培训（2023年德州帮扶）开展了绩效评价，涉及财政拨款项目资金60万元，评价得分100分，评价等次为优，绩效评价发现了绩效目标设置不科学等主要问题，提出优化绩效目标设置等下一步工作建议；对春节走访慰问活动经费开展了绩效评价，涉及财政拨款项目资金10.5万元，评价得分100分，评价等次为优，绩效评价发现了绩效目标设置不科学等主要问题，提出优化绩效目标设置等下一步工作建议；</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eastAsia="zh-CN"/>
        </w:rPr>
        <w:t>家庭教</w:t>
      </w:r>
      <w:r>
        <w:rPr>
          <w:rFonts w:hint="eastAsia" w:ascii="Times New Roman" w:hAnsi="Times New Roman" w:eastAsia="方正仿宋_GBK" w:cs="Times New Roman"/>
          <w:b w:val="0"/>
          <w:bCs w:val="0"/>
          <w:color w:val="auto"/>
          <w:sz w:val="32"/>
          <w:szCs w:val="32"/>
          <w:lang w:val="en-US" w:eastAsia="zh-CN" w:bidi="ar-SA"/>
        </w:rPr>
        <w:t>育工作经费开展了绩效评价，涉及财政拨款项目资金10万元，评价得分100分，评价等次为优，绩效评价发现了绩效目标设置不科学等主要问题，提出优化绩效目标设置等下一步工作建议；对机关运转经费开展了绩效评价，涉及财政拨款项目资金10万元，评价得分100分，评价等次为优，</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eastAsia="zh-CN"/>
        </w:rPr>
        <w:t>绩效目标设置不科学</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eastAsia="zh-CN"/>
        </w:rPr>
        <w:t>优化</w:t>
      </w:r>
      <w:r>
        <w:rPr>
          <w:rFonts w:hint="eastAsia" w:ascii="Times New Roman" w:hAnsi="Times New Roman" w:eastAsia="方正仿宋_GBK" w:cs="Times New Roman"/>
          <w:b w:val="0"/>
          <w:bCs w:val="0"/>
          <w:color w:val="auto"/>
          <w:sz w:val="32"/>
          <w:szCs w:val="32"/>
          <w:lang w:val="en-US" w:eastAsia="zh-CN" w:bidi="ar-SA"/>
        </w:rPr>
        <w:t>绩效目标设置等下一步工作建议；对妇女儿童专项经费开展了绩效评价，涉及财政拨款项目资金1万元，评价得分100分，评价等次为优，绩效评价发现了绩效目标设置不科学等主要问题，提出优化绩效目标设置等下一步工作建议；对2023年项目管理费开展了绩效评价，涉及财政拨款项目资金3万元，评价得分100分，评价等次为优，绩效评价发现了绩效目标设置不科学等主要问题，提出优化绩效目标设置等下一步工作建议；对妇女儿童工作经费开展了绩效评价，涉及财政拨款项目资金1.5万元，评价得分100分，评价等次为优，绩效评价发现了绩效目标设置不科学等主要问题，提出优化绩效目标设置等下一步工作建议。</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val="0"/>
          <w:bCs w:val="0"/>
          <w:color w:val="auto"/>
          <w:sz w:val="32"/>
          <w:szCs w:val="32"/>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联系人：阚丽君   联系电话：023-76662652</w:t>
      </w:r>
    </w:p>
    <w:p>
      <w:pPr>
        <w:pStyle w:val="13"/>
        <w:keepNext w:val="0"/>
        <w:keepLines w:val="0"/>
        <w:pageBreakBefore w:val="0"/>
        <w:widowControl/>
        <w:kinsoku/>
        <w:overflowPunct/>
        <w:topLinePunct w:val="0"/>
        <w:autoSpaceDE w:val="0"/>
        <w:autoSpaceDN/>
        <w:bidi w:val="0"/>
        <w:adjustRightInd/>
        <w:spacing w:afterAutospacing="0"/>
        <w:ind w:left="0" w:leftChars="0" w:firstLine="0" w:firstLineChars="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175"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重庆市秀山土家族苗族自治县妇女联合会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361.18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361.18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361.18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371.53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371.53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重庆市秀山土家族苗族自治县妇女联合会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361.18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361.18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重庆市秀山土家族苗族自治县妇女联合会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361.18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181.49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361.18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361.18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361.18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181.49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158.02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重庆市秀山土家族苗族自治县妇女联合会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21.67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21.67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afterAutospacing="0"/>
        <w:ind w:firstLine="400" w:firstLineChars="200"/>
        <w:jc w:val="both"/>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27DA9"/>
    <w:rsid w:val="00770383"/>
    <w:rsid w:val="007819D4"/>
    <w:rsid w:val="007B419D"/>
    <w:rsid w:val="009B67B8"/>
    <w:rsid w:val="009D2B67"/>
    <w:rsid w:val="00B03CCD"/>
    <w:rsid w:val="00C20C3E"/>
    <w:rsid w:val="00F73F90"/>
    <w:rsid w:val="012A778B"/>
    <w:rsid w:val="01474EBF"/>
    <w:rsid w:val="01F3521E"/>
    <w:rsid w:val="02721EBF"/>
    <w:rsid w:val="02DA7390"/>
    <w:rsid w:val="03B87EA0"/>
    <w:rsid w:val="03C934D2"/>
    <w:rsid w:val="03E3214F"/>
    <w:rsid w:val="04467CFF"/>
    <w:rsid w:val="044C50BA"/>
    <w:rsid w:val="05BC6D49"/>
    <w:rsid w:val="06194FF1"/>
    <w:rsid w:val="06A2550B"/>
    <w:rsid w:val="06C070C3"/>
    <w:rsid w:val="06F80EE2"/>
    <w:rsid w:val="07001CCA"/>
    <w:rsid w:val="075678DB"/>
    <w:rsid w:val="079D7CC7"/>
    <w:rsid w:val="08051BCA"/>
    <w:rsid w:val="084D4E26"/>
    <w:rsid w:val="086C12F4"/>
    <w:rsid w:val="08705944"/>
    <w:rsid w:val="08BA052C"/>
    <w:rsid w:val="08DB07BA"/>
    <w:rsid w:val="0969353F"/>
    <w:rsid w:val="098305D0"/>
    <w:rsid w:val="09E32924"/>
    <w:rsid w:val="0A3317EA"/>
    <w:rsid w:val="0A5C4B69"/>
    <w:rsid w:val="0A86124A"/>
    <w:rsid w:val="0AB54CC0"/>
    <w:rsid w:val="0AD153A1"/>
    <w:rsid w:val="0B1E37DD"/>
    <w:rsid w:val="0B4926B6"/>
    <w:rsid w:val="0B9335CE"/>
    <w:rsid w:val="0B9813EE"/>
    <w:rsid w:val="0BF2311A"/>
    <w:rsid w:val="0C7927C4"/>
    <w:rsid w:val="0C9B098C"/>
    <w:rsid w:val="0D673E11"/>
    <w:rsid w:val="0DDA54E4"/>
    <w:rsid w:val="0E3A5F83"/>
    <w:rsid w:val="0F7E1C1A"/>
    <w:rsid w:val="0F836721"/>
    <w:rsid w:val="0FA25D96"/>
    <w:rsid w:val="1053121F"/>
    <w:rsid w:val="107B59E5"/>
    <w:rsid w:val="10EC0126"/>
    <w:rsid w:val="10F70B9A"/>
    <w:rsid w:val="111445C7"/>
    <w:rsid w:val="114278C6"/>
    <w:rsid w:val="1158083A"/>
    <w:rsid w:val="11643A4B"/>
    <w:rsid w:val="11ED0F98"/>
    <w:rsid w:val="11F03528"/>
    <w:rsid w:val="12897084"/>
    <w:rsid w:val="12BB0FB6"/>
    <w:rsid w:val="12C921C4"/>
    <w:rsid w:val="13871C70"/>
    <w:rsid w:val="13A71CB4"/>
    <w:rsid w:val="13AF1D43"/>
    <w:rsid w:val="13C3684D"/>
    <w:rsid w:val="13CE1647"/>
    <w:rsid w:val="13FD55AB"/>
    <w:rsid w:val="14200702"/>
    <w:rsid w:val="14510D4C"/>
    <w:rsid w:val="14AC6F41"/>
    <w:rsid w:val="14E13DD6"/>
    <w:rsid w:val="1561279F"/>
    <w:rsid w:val="163A6CEE"/>
    <w:rsid w:val="16417223"/>
    <w:rsid w:val="173708E3"/>
    <w:rsid w:val="17AF6A93"/>
    <w:rsid w:val="17C374FC"/>
    <w:rsid w:val="182E4AB6"/>
    <w:rsid w:val="18525370"/>
    <w:rsid w:val="189079DC"/>
    <w:rsid w:val="189B0D0B"/>
    <w:rsid w:val="18B43F7C"/>
    <w:rsid w:val="194A1770"/>
    <w:rsid w:val="19653AAD"/>
    <w:rsid w:val="19B906A4"/>
    <w:rsid w:val="1A2E0DEC"/>
    <w:rsid w:val="1B6F15B6"/>
    <w:rsid w:val="1BAA2EDC"/>
    <w:rsid w:val="1BCB0F5A"/>
    <w:rsid w:val="1BDB1F77"/>
    <w:rsid w:val="1C466367"/>
    <w:rsid w:val="1CA55E64"/>
    <w:rsid w:val="1D014A01"/>
    <w:rsid w:val="1D022362"/>
    <w:rsid w:val="1D1B04B0"/>
    <w:rsid w:val="1DA52501"/>
    <w:rsid w:val="1DBD6767"/>
    <w:rsid w:val="1DC52125"/>
    <w:rsid w:val="1DD26311"/>
    <w:rsid w:val="1DFA25AB"/>
    <w:rsid w:val="1E01794E"/>
    <w:rsid w:val="1E1905CC"/>
    <w:rsid w:val="1E374ACB"/>
    <w:rsid w:val="1ECF0A66"/>
    <w:rsid w:val="1EF67CA4"/>
    <w:rsid w:val="1F020D3A"/>
    <w:rsid w:val="1F2C5189"/>
    <w:rsid w:val="1F4B0B02"/>
    <w:rsid w:val="1FBB35CD"/>
    <w:rsid w:val="1FCD26AF"/>
    <w:rsid w:val="203E01FE"/>
    <w:rsid w:val="20642787"/>
    <w:rsid w:val="21556F04"/>
    <w:rsid w:val="22403BD3"/>
    <w:rsid w:val="229110F7"/>
    <w:rsid w:val="23637AEC"/>
    <w:rsid w:val="24B92327"/>
    <w:rsid w:val="24C14514"/>
    <w:rsid w:val="2533755C"/>
    <w:rsid w:val="25791755"/>
    <w:rsid w:val="26396DF4"/>
    <w:rsid w:val="26635C6B"/>
    <w:rsid w:val="26AA68C9"/>
    <w:rsid w:val="27167136"/>
    <w:rsid w:val="271B442C"/>
    <w:rsid w:val="27B23302"/>
    <w:rsid w:val="29310A5F"/>
    <w:rsid w:val="29C37A35"/>
    <w:rsid w:val="2A076083"/>
    <w:rsid w:val="2A73162E"/>
    <w:rsid w:val="2A7813AA"/>
    <w:rsid w:val="2B167953"/>
    <w:rsid w:val="2B200583"/>
    <w:rsid w:val="2B540FB2"/>
    <w:rsid w:val="2B8209DE"/>
    <w:rsid w:val="2C636760"/>
    <w:rsid w:val="2C6762A3"/>
    <w:rsid w:val="2CBD002F"/>
    <w:rsid w:val="2F7B1021"/>
    <w:rsid w:val="2FB40A3D"/>
    <w:rsid w:val="2FCA4B37"/>
    <w:rsid w:val="2FE029D7"/>
    <w:rsid w:val="2FF06E00"/>
    <w:rsid w:val="30586FEC"/>
    <w:rsid w:val="31535543"/>
    <w:rsid w:val="315F0B22"/>
    <w:rsid w:val="31651362"/>
    <w:rsid w:val="31D84415"/>
    <w:rsid w:val="31F47EB2"/>
    <w:rsid w:val="32285F6F"/>
    <w:rsid w:val="32770556"/>
    <w:rsid w:val="327A52C9"/>
    <w:rsid w:val="329C0913"/>
    <w:rsid w:val="32AA0460"/>
    <w:rsid w:val="3337290D"/>
    <w:rsid w:val="33E31118"/>
    <w:rsid w:val="33E53490"/>
    <w:rsid w:val="33EF7674"/>
    <w:rsid w:val="342D7BC6"/>
    <w:rsid w:val="34CE2322"/>
    <w:rsid w:val="352930DB"/>
    <w:rsid w:val="35573069"/>
    <w:rsid w:val="355F6038"/>
    <w:rsid w:val="358C217E"/>
    <w:rsid w:val="35ED566C"/>
    <w:rsid w:val="361C3809"/>
    <w:rsid w:val="362E1222"/>
    <w:rsid w:val="36C9128A"/>
    <w:rsid w:val="37841E99"/>
    <w:rsid w:val="3797652C"/>
    <w:rsid w:val="37BF1123"/>
    <w:rsid w:val="383C3F15"/>
    <w:rsid w:val="38BE4696"/>
    <w:rsid w:val="3939115E"/>
    <w:rsid w:val="395A016A"/>
    <w:rsid w:val="39B82A39"/>
    <w:rsid w:val="39C42CA8"/>
    <w:rsid w:val="39DC4FD6"/>
    <w:rsid w:val="39F03D7A"/>
    <w:rsid w:val="39F33306"/>
    <w:rsid w:val="3A2C1C67"/>
    <w:rsid w:val="3ADD7F09"/>
    <w:rsid w:val="3B1705E5"/>
    <w:rsid w:val="3B18334B"/>
    <w:rsid w:val="3B2E6C48"/>
    <w:rsid w:val="3B36794F"/>
    <w:rsid w:val="3B6F6EE0"/>
    <w:rsid w:val="3BB74232"/>
    <w:rsid w:val="3C566AD6"/>
    <w:rsid w:val="3C594871"/>
    <w:rsid w:val="3C6A5B02"/>
    <w:rsid w:val="3CB76F36"/>
    <w:rsid w:val="3D2757A1"/>
    <w:rsid w:val="3D3D4FC4"/>
    <w:rsid w:val="3DDF3AB1"/>
    <w:rsid w:val="3E1D0952"/>
    <w:rsid w:val="3E42660A"/>
    <w:rsid w:val="3E7555B1"/>
    <w:rsid w:val="3E787ED9"/>
    <w:rsid w:val="3E87389C"/>
    <w:rsid w:val="3F032E93"/>
    <w:rsid w:val="3F0527E5"/>
    <w:rsid w:val="3F162AFC"/>
    <w:rsid w:val="3F52140C"/>
    <w:rsid w:val="3F694D83"/>
    <w:rsid w:val="3F885DCC"/>
    <w:rsid w:val="3FCD675E"/>
    <w:rsid w:val="3FF52DC0"/>
    <w:rsid w:val="4004000C"/>
    <w:rsid w:val="401348FF"/>
    <w:rsid w:val="40BD5482"/>
    <w:rsid w:val="411B6CE5"/>
    <w:rsid w:val="412070D7"/>
    <w:rsid w:val="41314E40"/>
    <w:rsid w:val="41E0734B"/>
    <w:rsid w:val="426C1EA8"/>
    <w:rsid w:val="42736402"/>
    <w:rsid w:val="42CD3F85"/>
    <w:rsid w:val="42E86A87"/>
    <w:rsid w:val="43307B09"/>
    <w:rsid w:val="439A3EB9"/>
    <w:rsid w:val="43BB152F"/>
    <w:rsid w:val="444442C3"/>
    <w:rsid w:val="44C37687"/>
    <w:rsid w:val="45CB699A"/>
    <w:rsid w:val="465B470D"/>
    <w:rsid w:val="46763EF9"/>
    <w:rsid w:val="469D6AD4"/>
    <w:rsid w:val="471E6C84"/>
    <w:rsid w:val="4748792B"/>
    <w:rsid w:val="475D719D"/>
    <w:rsid w:val="47674801"/>
    <w:rsid w:val="477A6050"/>
    <w:rsid w:val="48225EF7"/>
    <w:rsid w:val="485F5646"/>
    <w:rsid w:val="488F422B"/>
    <w:rsid w:val="48E36915"/>
    <w:rsid w:val="48EB6572"/>
    <w:rsid w:val="495C4A24"/>
    <w:rsid w:val="497135DF"/>
    <w:rsid w:val="49DB493A"/>
    <w:rsid w:val="4A072A5B"/>
    <w:rsid w:val="4A263DF2"/>
    <w:rsid w:val="4A6F6675"/>
    <w:rsid w:val="4B135857"/>
    <w:rsid w:val="4B7951CB"/>
    <w:rsid w:val="4B7C315C"/>
    <w:rsid w:val="4D865E8D"/>
    <w:rsid w:val="4DAC4ACA"/>
    <w:rsid w:val="4DBE01D2"/>
    <w:rsid w:val="4F0C6BA3"/>
    <w:rsid w:val="4F186D58"/>
    <w:rsid w:val="50F06B6E"/>
    <w:rsid w:val="51D21804"/>
    <w:rsid w:val="520861F2"/>
    <w:rsid w:val="52234D33"/>
    <w:rsid w:val="522F6E0C"/>
    <w:rsid w:val="52463BA1"/>
    <w:rsid w:val="52F163D4"/>
    <w:rsid w:val="531A2DB4"/>
    <w:rsid w:val="539E58B4"/>
    <w:rsid w:val="53C0244D"/>
    <w:rsid w:val="53DD4D4E"/>
    <w:rsid w:val="53E578CE"/>
    <w:rsid w:val="541330F0"/>
    <w:rsid w:val="54272666"/>
    <w:rsid w:val="543B029D"/>
    <w:rsid w:val="54861779"/>
    <w:rsid w:val="552256E1"/>
    <w:rsid w:val="554C5E75"/>
    <w:rsid w:val="554E5773"/>
    <w:rsid w:val="555A3CBC"/>
    <w:rsid w:val="5582012B"/>
    <w:rsid w:val="558E4E05"/>
    <w:rsid w:val="55BE2E85"/>
    <w:rsid w:val="56530F5D"/>
    <w:rsid w:val="567700D3"/>
    <w:rsid w:val="56995A64"/>
    <w:rsid w:val="56FF7E9E"/>
    <w:rsid w:val="570521C5"/>
    <w:rsid w:val="57311004"/>
    <w:rsid w:val="578867FC"/>
    <w:rsid w:val="57FD1173"/>
    <w:rsid w:val="5842572D"/>
    <w:rsid w:val="598867A9"/>
    <w:rsid w:val="5A3B59D6"/>
    <w:rsid w:val="5AD134D8"/>
    <w:rsid w:val="5B1F4CBE"/>
    <w:rsid w:val="5BFD6ED8"/>
    <w:rsid w:val="5C263CE4"/>
    <w:rsid w:val="5C5D2777"/>
    <w:rsid w:val="5CF66BF3"/>
    <w:rsid w:val="5D290C69"/>
    <w:rsid w:val="5D863699"/>
    <w:rsid w:val="5F2D4A41"/>
    <w:rsid w:val="5FC819BC"/>
    <w:rsid w:val="60A07997"/>
    <w:rsid w:val="60C74F6C"/>
    <w:rsid w:val="61025A59"/>
    <w:rsid w:val="613D5BBC"/>
    <w:rsid w:val="61536C39"/>
    <w:rsid w:val="62257C0A"/>
    <w:rsid w:val="62944DD7"/>
    <w:rsid w:val="6319381F"/>
    <w:rsid w:val="63C25DC5"/>
    <w:rsid w:val="63C62057"/>
    <w:rsid w:val="641E3DBE"/>
    <w:rsid w:val="64571EF5"/>
    <w:rsid w:val="647C59F0"/>
    <w:rsid w:val="64FB113D"/>
    <w:rsid w:val="654B1FD1"/>
    <w:rsid w:val="656152C6"/>
    <w:rsid w:val="6587477F"/>
    <w:rsid w:val="658C3A08"/>
    <w:rsid w:val="65C031CA"/>
    <w:rsid w:val="65CE6852"/>
    <w:rsid w:val="66267C04"/>
    <w:rsid w:val="663F505A"/>
    <w:rsid w:val="66430077"/>
    <w:rsid w:val="66EE5541"/>
    <w:rsid w:val="67924660"/>
    <w:rsid w:val="67FD6895"/>
    <w:rsid w:val="681628D4"/>
    <w:rsid w:val="68407834"/>
    <w:rsid w:val="6883293E"/>
    <w:rsid w:val="688412AD"/>
    <w:rsid w:val="68EB1B71"/>
    <w:rsid w:val="6A6C7940"/>
    <w:rsid w:val="6A87654F"/>
    <w:rsid w:val="6AAD2300"/>
    <w:rsid w:val="6AE27187"/>
    <w:rsid w:val="6B474EF5"/>
    <w:rsid w:val="6C0A5AC5"/>
    <w:rsid w:val="6C560CAE"/>
    <w:rsid w:val="6C576495"/>
    <w:rsid w:val="6D053CCF"/>
    <w:rsid w:val="6D903FF5"/>
    <w:rsid w:val="6DA955B8"/>
    <w:rsid w:val="6DE346AB"/>
    <w:rsid w:val="6DE5391A"/>
    <w:rsid w:val="6E4244C5"/>
    <w:rsid w:val="6EFD1324"/>
    <w:rsid w:val="6F5A53AC"/>
    <w:rsid w:val="6FAC003D"/>
    <w:rsid w:val="6FE55E12"/>
    <w:rsid w:val="6FFB2E76"/>
    <w:rsid w:val="708F6F7F"/>
    <w:rsid w:val="70D66E95"/>
    <w:rsid w:val="70D94BD3"/>
    <w:rsid w:val="71C34D91"/>
    <w:rsid w:val="72993A68"/>
    <w:rsid w:val="72C54DBC"/>
    <w:rsid w:val="72DB435C"/>
    <w:rsid w:val="72E2613A"/>
    <w:rsid w:val="72F771F4"/>
    <w:rsid w:val="73934AD2"/>
    <w:rsid w:val="74783C74"/>
    <w:rsid w:val="74AC09FB"/>
    <w:rsid w:val="750837F0"/>
    <w:rsid w:val="754758CF"/>
    <w:rsid w:val="764F62AB"/>
    <w:rsid w:val="765C45EC"/>
    <w:rsid w:val="766C5BB9"/>
    <w:rsid w:val="768A7619"/>
    <w:rsid w:val="772E1EBA"/>
    <w:rsid w:val="781926BC"/>
    <w:rsid w:val="79622E0B"/>
    <w:rsid w:val="796D60A4"/>
    <w:rsid w:val="79A031D5"/>
    <w:rsid w:val="7A0B021A"/>
    <w:rsid w:val="7A1525F7"/>
    <w:rsid w:val="7A2D6A7D"/>
    <w:rsid w:val="7B420052"/>
    <w:rsid w:val="7B5D624B"/>
    <w:rsid w:val="7BD06A28"/>
    <w:rsid w:val="7C3A7C0B"/>
    <w:rsid w:val="7C5248E4"/>
    <w:rsid w:val="7C566698"/>
    <w:rsid w:val="7C57569B"/>
    <w:rsid w:val="7C5866A3"/>
    <w:rsid w:val="7D1B0D5F"/>
    <w:rsid w:val="7D7406BB"/>
    <w:rsid w:val="7DE94331"/>
    <w:rsid w:val="7DEC4F10"/>
    <w:rsid w:val="7DFE6B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2024-10-12T11:21:34Z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