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Times New Roman" w:hAnsi="Times New Roman" w:eastAsia="方正小标宋_GBK"/>
          <w:sz w:val="36"/>
          <w:szCs w:val="36"/>
          <w:shd w:val="clear" w:color="auto" w:fill="FFFFFF"/>
        </w:rPr>
      </w:pPr>
      <w:r>
        <w:rPr>
          <w:rFonts w:hint="default" w:ascii="Times New Roman" w:hAnsi="Times New Roman" w:eastAsia="方正小标宋_GBK"/>
          <w:sz w:val="36"/>
          <w:szCs w:val="36"/>
        </w:rPr>
        <w:t>重庆市秀山土家族苗族自治县海洋乡文化服务中心</w:t>
      </w:r>
      <w:r>
        <w:rPr>
          <w:rFonts w:hint="default" w:ascii="Times New Roman" w:hAnsi="Times New Roman" w:eastAsia="方正小标宋_GBK"/>
          <w:sz w:val="36"/>
          <w:szCs w:val="36"/>
          <w:shd w:val="clear" w:color="auto" w:fill="FFFFFF"/>
        </w:rPr>
        <w:t>2023年度决算公开说明</w:t>
      </w:r>
    </w:p>
    <w:p>
      <w:pPr>
        <w:pStyle w:val="6"/>
        <w:shd w:val="clear" w:color="auto" w:fill="FFFFFF"/>
        <w:spacing w:before="0" w:beforeAutospacing="0" w:after="0" w:afterAutospacing="0" w:line="560" w:lineRule="exact"/>
        <w:ind w:firstLine="640" w:firstLineChars="200"/>
        <w:jc w:val="both"/>
        <w:rPr>
          <w:rFonts w:hint="default" w:ascii="Times New Roman" w:hAnsi="Times New Roman" w:eastAsia="方正黑体_GBK"/>
          <w:b/>
          <w:bCs/>
          <w:sz w:val="32"/>
          <w:szCs w:val="32"/>
          <w:shd w:val="clear" w:color="auto" w:fill="FFFFFF"/>
        </w:rPr>
      </w:pPr>
      <w:r>
        <w:rPr>
          <w:rStyle w:val="8"/>
          <w:rFonts w:hint="default" w:ascii="Times New Roman" w:hAnsi="Times New Roman" w:eastAsia="方正黑体_GBK"/>
          <w:b w:val="0"/>
          <w:bCs/>
          <w:sz w:val="32"/>
          <w:szCs w:val="32"/>
          <w:shd w:val="clear" w:color="auto" w:fill="FFFFFF"/>
        </w:rPr>
        <w:t>一、</w:t>
      </w:r>
      <w:r>
        <w:rPr>
          <w:rStyle w:val="8"/>
          <w:rFonts w:hint="eastAsia" w:ascii="Times New Roman" w:hAnsi="Times New Roman" w:eastAsia="方正黑体_GBK"/>
          <w:b w:val="0"/>
          <w:bCs/>
          <w:sz w:val="32"/>
          <w:szCs w:val="32"/>
          <w:shd w:val="clear" w:color="auto" w:fill="FFFFFF"/>
          <w:lang w:eastAsia="zh-CN"/>
        </w:rPr>
        <w:t>单位</w:t>
      </w:r>
      <w:r>
        <w:rPr>
          <w:rStyle w:val="8"/>
          <w:rFonts w:ascii="方正黑体_GBK" w:hAnsi="Times New Roman" w:eastAsia="方正黑体_GBK"/>
          <w:b w:val="0"/>
          <w:bCs/>
          <w:sz w:val="32"/>
          <w:szCs w:val="32"/>
          <w:shd w:val="clear" w:color="auto" w:fill="FFFFFF"/>
        </w:rPr>
        <w:t>基本情况</w:t>
      </w:r>
    </w:p>
    <w:p>
      <w:pPr>
        <w:pStyle w:val="6"/>
        <w:shd w:val="clear" w:color="auto" w:fill="FFFFFF"/>
        <w:spacing w:before="0" w:beforeAutospacing="0" w:after="0" w:afterAutospacing="0" w:line="560" w:lineRule="exact"/>
        <w:ind w:firstLine="640" w:firstLineChars="200"/>
        <w:jc w:val="both"/>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rPr>
        <w:t>（一）职能职责</w:t>
      </w:r>
    </w:p>
    <w:p>
      <w:pPr>
        <w:pStyle w:val="6"/>
        <w:shd w:val="clear" w:color="auto" w:fill="FFFFFF"/>
        <w:spacing w:before="0" w:beforeAutospacing="0" w:after="0" w:afterAutospacing="0" w:line="560" w:lineRule="exact"/>
        <w:ind w:firstLine="643"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b/>
          <w:sz w:val="32"/>
          <w:szCs w:val="32"/>
          <w:shd w:val="clear" w:color="auto" w:fill="FFFFFF"/>
        </w:rPr>
        <w:t>文化服务中心。</w:t>
      </w:r>
      <w:r>
        <w:rPr>
          <w:rFonts w:hint="default" w:ascii="Times New Roman" w:hAnsi="Times New Roman" w:eastAsia="方正仿宋_GBK"/>
          <w:sz w:val="32"/>
          <w:szCs w:val="32"/>
          <w:shd w:val="clear" w:color="auto" w:fill="FFFFFF"/>
        </w:rPr>
        <w:t>主要职责：承担辖区内文化体育阵地建设，组织开展文化体育、文化交流、全民健身活动，组织辖区内文艺培训等；规范农家乐和文娱活动等旅游场所、旅游设施、旅游项目的经营服务；统筹旅游市场秩序，协调旅游执法管理，调处涉旅投诉纠纷，营造诚信经营、文明有序的旅游市场环境；指导旅游项目、旅游产品开发等工作。</w:t>
      </w:r>
    </w:p>
    <w:p>
      <w:pPr>
        <w:pStyle w:val="6"/>
        <w:shd w:val="clear" w:color="auto" w:fill="FFFFFF"/>
        <w:spacing w:before="0" w:beforeAutospacing="0" w:after="0" w:afterAutospacing="0" w:line="560" w:lineRule="exact"/>
        <w:ind w:firstLine="640" w:firstLineChars="200"/>
        <w:jc w:val="both"/>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rPr>
        <w:t>（二）机构设置</w:t>
      </w:r>
    </w:p>
    <w:p>
      <w:pPr>
        <w:pStyle w:val="6"/>
        <w:shd w:val="clear" w:color="auto" w:fill="FFFFFF"/>
        <w:spacing w:before="0" w:beforeAutospacing="0" w:after="0" w:afterAutospacing="0" w:line="560" w:lineRule="exact"/>
        <w:ind w:firstLine="643"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b/>
          <w:sz w:val="32"/>
          <w:szCs w:val="32"/>
          <w:shd w:val="clear" w:color="auto" w:fill="FFFFFF"/>
        </w:rPr>
        <w:t>文化服务中心。</w:t>
      </w:r>
      <w:r>
        <w:rPr>
          <w:rFonts w:hint="default" w:ascii="Times New Roman" w:hAnsi="Times New Roman" w:eastAsia="方正仿宋_GBK"/>
          <w:sz w:val="32"/>
          <w:szCs w:val="32"/>
          <w:shd w:val="clear" w:color="auto" w:fill="FFFFFF"/>
        </w:rPr>
        <w:t>主要职责：承担辖区内文化体育阵地建设，组织开展文化体育、文化交流、全民健身活动，组织辖区内文艺培训等；规范农家乐和文娱活动等旅游场所、旅游设施、旅游项目的经营服务；统筹旅游市场秩序，协调旅游执法管理，调处涉旅投诉纠纷，营造诚信经营、文明有序的旅游市场环境；指导旅游项目、旅游产品开发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黑体_GBK"/>
          <w:b/>
          <w:sz w:val="32"/>
          <w:szCs w:val="32"/>
        </w:rPr>
      </w:pPr>
      <w:r>
        <w:rPr>
          <w:rStyle w:val="8"/>
          <w:rFonts w:hint="default" w:ascii="Times New Roman" w:hAnsi="Times New Roman" w:eastAsia="方正黑体_GBK"/>
          <w:b w:val="0"/>
          <w:sz w:val="32"/>
          <w:szCs w:val="32"/>
          <w:shd w:val="clear" w:color="auto" w:fill="FFFFFF"/>
        </w:rPr>
        <w:t>二、</w:t>
      </w:r>
      <w:r>
        <w:rPr>
          <w:rStyle w:val="8"/>
          <w:rFonts w:hint="eastAsia" w:ascii="Times New Roman" w:hAnsi="Times New Roman" w:eastAsia="方正黑体_GBK"/>
          <w:b w:val="0"/>
          <w:sz w:val="32"/>
          <w:szCs w:val="32"/>
          <w:shd w:val="clear" w:color="auto" w:fill="FFFFFF"/>
          <w:lang w:eastAsia="zh-CN"/>
        </w:rPr>
        <w:t>单位</w:t>
      </w:r>
      <w:r>
        <w:rPr>
          <w:rStyle w:val="8"/>
          <w:rFonts w:ascii="方正黑体_GBK" w:hAnsi="Times New Roman" w:eastAsia="方正黑体_GBK"/>
          <w:b w:val="0"/>
          <w:sz w:val="32"/>
          <w:szCs w:val="32"/>
          <w:shd w:val="clear" w:color="auto" w:fill="FFFFFF"/>
        </w:rPr>
        <w:t>决算情况说明</w:t>
      </w:r>
    </w:p>
    <w:p>
      <w:pPr>
        <w:pStyle w:val="11"/>
        <w:autoSpaceDE w:val="0"/>
        <w:spacing w:line="560" w:lineRule="exact"/>
        <w:ind w:firstLine="640"/>
        <w:jc w:val="both"/>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2023年度收入总计37.65万元，支出总计</w:t>
      </w:r>
      <w:r>
        <w:rPr>
          <w:rFonts w:hint="default" w:ascii="Times New Roman" w:hAnsi="Times New Roman" w:eastAsia="方正仿宋_GBK"/>
          <w:sz w:val="32"/>
          <w:szCs w:val="32"/>
        </w:rPr>
        <w:t>37.65</w:t>
      </w:r>
      <w:r>
        <w:rPr>
          <w:rFonts w:hint="default" w:ascii="Times New Roman" w:hAnsi="Times New Roman" w:eastAsia="方正仿宋_GBK"/>
          <w:sz w:val="32"/>
          <w:szCs w:val="32"/>
          <w:shd w:val="clear" w:color="auto" w:fill="FFFFFF"/>
        </w:rPr>
        <w:t>万元。收支较上年决算数增加37.65万元，增长100.00%，</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color w:val="333333"/>
          <w:sz w:val="32"/>
          <w:szCs w:val="32"/>
          <w:shd w:val="clear" w:color="auto" w:fill="FFFFFF"/>
        </w:rPr>
      </w:pPr>
      <w:r>
        <w:rPr>
          <w:rStyle w:val="8"/>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2023年度收入合计37.65万元，较上年决算数增加37.65万元，增长100.00%，</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p>
    <w:p>
      <w:pPr>
        <w:pStyle w:val="6"/>
        <w:snapToGrid w:val="0"/>
        <w:spacing w:before="0" w:beforeAutospacing="0" w:after="0" w:afterAutospacing="0" w:line="600"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37.65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color w:val="333333"/>
          <w:sz w:val="32"/>
          <w:szCs w:val="32"/>
          <w:shd w:val="clear" w:color="auto" w:fill="FFFFFF"/>
        </w:rPr>
      </w:pPr>
      <w:r>
        <w:rPr>
          <w:rStyle w:val="8"/>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2023年度支出合计</w:t>
      </w:r>
      <w:r>
        <w:rPr>
          <w:rFonts w:hint="default" w:ascii="Times New Roman" w:hAnsi="Times New Roman" w:eastAsia="方正仿宋_GBK"/>
          <w:sz w:val="32"/>
          <w:szCs w:val="32"/>
        </w:rPr>
        <w:t>37.65</w:t>
      </w:r>
      <w:r>
        <w:rPr>
          <w:rFonts w:hint="default" w:ascii="Times New Roman" w:hAnsi="Times New Roman" w:eastAsia="方正仿宋_GBK"/>
          <w:sz w:val="32"/>
          <w:szCs w:val="32"/>
          <w:shd w:val="clear" w:color="auto" w:fill="FFFFFF"/>
        </w:rPr>
        <w:t>万元，较上年决算数增加37.65万元，增长100.00%，</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p>
    <w:p>
      <w:pPr>
        <w:pStyle w:val="6"/>
        <w:snapToGrid w:val="0"/>
        <w:spacing w:before="0" w:beforeAutospacing="0" w:after="0" w:afterAutospacing="0" w:line="600"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32.65</w:t>
      </w:r>
      <w:r>
        <w:rPr>
          <w:rFonts w:hint="default" w:ascii="Times New Roman" w:hAnsi="Times New Roman" w:eastAsia="方正仿宋_GBK"/>
          <w:sz w:val="32"/>
          <w:szCs w:val="32"/>
          <w:shd w:val="clear" w:color="auto" w:fill="FFFFFF"/>
        </w:rPr>
        <w:t>万元，占86.72%；项目支出</w:t>
      </w:r>
      <w:r>
        <w:rPr>
          <w:rFonts w:hint="default" w:ascii="Times New Roman" w:hAnsi="Times New Roman" w:eastAsia="方正仿宋_GBK"/>
          <w:sz w:val="32"/>
          <w:szCs w:val="32"/>
        </w:rPr>
        <w:t>5.00</w:t>
      </w:r>
      <w:r>
        <w:rPr>
          <w:rFonts w:hint="default" w:ascii="Times New Roman" w:hAnsi="Times New Roman" w:eastAsia="方正仿宋_GBK"/>
          <w:sz w:val="32"/>
          <w:szCs w:val="32"/>
          <w:shd w:val="clear" w:color="auto" w:fill="FFFFFF"/>
        </w:rPr>
        <w:t>万元，占13.28%；经营支出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color w:val="333333"/>
          <w:sz w:val="32"/>
          <w:szCs w:val="32"/>
          <w:shd w:val="clear" w:color="auto" w:fill="FFFFFF"/>
        </w:rPr>
      </w:pPr>
      <w:r>
        <w:rPr>
          <w:rStyle w:val="8"/>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2023年度年末结转和结余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万元，较上年决算数无增减，</w:t>
      </w:r>
      <w:r>
        <w:rPr>
          <w:rFonts w:hint="default" w:ascii="Times New Roman" w:hAnsi="Times New Roman" w:eastAsia="方正仿宋_GBK"/>
          <w:color w:val="333333"/>
          <w:sz w:val="32"/>
          <w:szCs w:val="32"/>
          <w:shd w:val="clear" w:color="auto" w:fill="FFFFFF"/>
        </w:rPr>
        <w:t>主要原因是本年度资金已使用完，无结转结余。</w:t>
      </w:r>
    </w:p>
    <w:p>
      <w:pPr>
        <w:pStyle w:val="11"/>
        <w:autoSpaceDE w:val="0"/>
        <w:ind w:firstLine="320" w:firstLineChars="10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sz w:val="32"/>
          <w:szCs w:val="32"/>
          <w:shd w:val="clear" w:color="auto" w:fill="FFFFFF"/>
        </w:rPr>
        <w:t>2023年度财政拨款收、支总计37.65万元。与2022年相比，财政拨款收、支总计各增加37.65万元，增长100.00%。</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p>
    <w:p>
      <w:pPr>
        <w:pStyle w:val="11"/>
        <w:autoSpaceDE w:val="0"/>
        <w:ind w:firstLine="416" w:firstLineChars="13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8"/>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2023年度一般公共预算财政拨款收入</w:t>
      </w:r>
      <w:r>
        <w:rPr>
          <w:rFonts w:hint="default" w:ascii="Times New Roman" w:hAnsi="Times New Roman" w:eastAsia="方正仿宋_GBK"/>
          <w:sz w:val="32"/>
          <w:szCs w:val="32"/>
        </w:rPr>
        <w:t>37.65</w:t>
      </w:r>
      <w:r>
        <w:rPr>
          <w:rFonts w:hint="default" w:ascii="Times New Roman" w:hAnsi="Times New Roman" w:eastAsia="方正仿宋_GBK"/>
          <w:sz w:val="32"/>
          <w:szCs w:val="32"/>
          <w:shd w:val="clear" w:color="auto" w:fill="FFFFFF"/>
        </w:rPr>
        <w:t>万元，较上年决算数增加37.65万元，增长100.00%。</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r>
        <w:rPr>
          <w:rFonts w:hint="default" w:ascii="Times New Roman" w:hAnsi="Times New Roman" w:eastAsia="方正仿宋_GBK"/>
          <w:sz w:val="32"/>
          <w:szCs w:val="32"/>
          <w:shd w:val="clear" w:color="auto" w:fill="FFFFFF"/>
        </w:rPr>
        <w:t>较年初预算数增加0.60万元，增长1.62%。</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color w:val="333333"/>
          <w:sz w:val="32"/>
          <w:szCs w:val="32"/>
          <w:shd w:val="clear" w:color="auto" w:fill="FFFFFF"/>
        </w:rPr>
      </w:pPr>
      <w:r>
        <w:rPr>
          <w:rStyle w:val="8"/>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2023年度一般公共预算财政拨款支出</w:t>
      </w:r>
      <w:r>
        <w:rPr>
          <w:rFonts w:hint="default" w:ascii="Times New Roman" w:hAnsi="Times New Roman" w:eastAsia="方正仿宋_GBK"/>
          <w:sz w:val="32"/>
          <w:szCs w:val="32"/>
        </w:rPr>
        <w:t>37.65</w:t>
      </w:r>
      <w:r>
        <w:rPr>
          <w:rFonts w:hint="default" w:ascii="Times New Roman" w:hAnsi="Times New Roman" w:eastAsia="方正仿宋_GBK"/>
          <w:sz w:val="32"/>
          <w:szCs w:val="32"/>
          <w:shd w:val="clear" w:color="auto" w:fill="FFFFFF"/>
        </w:rPr>
        <w:t>万元，较上年决算数增加37.65万元，增长100.00%。</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r>
        <w:rPr>
          <w:rFonts w:hint="default" w:ascii="Times New Roman" w:hAnsi="Times New Roman" w:eastAsia="方正仿宋_GBK"/>
          <w:sz w:val="32"/>
          <w:szCs w:val="32"/>
          <w:shd w:val="clear" w:color="auto" w:fill="FFFFFF"/>
        </w:rPr>
        <w:t>较年初预算数增加0.60万元，增长1.62%。</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p>
    <w:p>
      <w:pPr>
        <w:pStyle w:val="6"/>
        <w:snapToGrid w:val="0"/>
        <w:spacing w:before="0" w:beforeAutospacing="0" w:after="0" w:afterAutospacing="0" w:line="560" w:lineRule="exact"/>
        <w:ind w:firstLine="643" w:firstLineChars="200"/>
        <w:jc w:val="both"/>
        <w:rPr>
          <w:rFonts w:hint="default" w:ascii="Times New Roman" w:hAnsi="Times New Roman" w:eastAsia="方正仿宋_GBK"/>
          <w:color w:val="333333"/>
          <w:sz w:val="32"/>
          <w:szCs w:val="32"/>
          <w:shd w:val="clear" w:color="auto" w:fill="FFFFFF"/>
        </w:rPr>
      </w:pPr>
      <w:r>
        <w:rPr>
          <w:rStyle w:val="8"/>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2023年度年末一般公共预算财政拨款结转和结余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万元，较上年决算数无增减，</w:t>
      </w:r>
      <w:r>
        <w:rPr>
          <w:rFonts w:hint="default" w:ascii="Times New Roman" w:hAnsi="Times New Roman" w:eastAsia="方正仿宋_GBK"/>
          <w:color w:val="333333"/>
          <w:sz w:val="32"/>
          <w:szCs w:val="32"/>
          <w:shd w:val="clear" w:color="auto" w:fill="FFFFFF"/>
        </w:rPr>
        <w:t>主要原因是按照市财政局要求2023年度独立编报决算，故与上年对比增长100%。</w:t>
      </w:r>
    </w:p>
    <w:p>
      <w:pPr>
        <w:pStyle w:val="6"/>
        <w:snapToGrid w:val="0"/>
        <w:spacing w:before="0" w:beforeAutospacing="0" w:after="0" w:afterAutospacing="0" w:line="600" w:lineRule="exact"/>
        <w:ind w:firstLine="321" w:firstLineChars="100"/>
        <w:jc w:val="both"/>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w:t>
      </w:r>
      <w:r>
        <w:rPr>
          <w:rFonts w:ascii="Times New Roman" w:hAnsi="Times New Roman" w:eastAsia="方正仿宋_GBK"/>
          <w:color w:val="333333"/>
          <w:sz w:val="32"/>
          <w:szCs w:val="32"/>
          <w:shd w:val="clear" w:color="auto" w:fill="FFFFFF"/>
          <w:lang w:bidi="ar"/>
        </w:rPr>
        <w:t>部门</w:t>
      </w:r>
      <w:r>
        <w:rPr>
          <w:rFonts w:hint="default" w:ascii="Times New Roman" w:hAnsi="Times New Roman" w:eastAsia="方正仿宋_GBK"/>
          <w:sz w:val="32"/>
          <w:szCs w:val="32"/>
          <w:shd w:val="clear" w:color="auto" w:fill="FFFFFF"/>
        </w:rPr>
        <w:t>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333333"/>
          <w:sz w:val="32"/>
          <w:szCs w:val="32"/>
          <w:shd w:val="clear" w:color="auto" w:fill="FFFFFF"/>
          <w:lang w:bidi="ar"/>
        </w:rPr>
      </w:pPr>
      <w:r>
        <w:rPr>
          <w:rFonts w:hint="default" w:ascii="Times New Roman" w:hAnsi="Times New Roman" w:eastAsia="方正仿宋_GBK"/>
          <w:sz w:val="32"/>
          <w:szCs w:val="32"/>
          <w:shd w:val="clear" w:color="auto" w:fill="FFFFFF"/>
        </w:rPr>
        <w:t>（1）文化旅游体育与传媒支出</w:t>
      </w:r>
      <w:r>
        <w:rPr>
          <w:rFonts w:hint="default" w:ascii="Times New Roman" w:hAnsi="Times New Roman" w:eastAsia="方正仿宋_GBK"/>
          <w:sz w:val="32"/>
          <w:szCs w:val="32"/>
        </w:rPr>
        <w:t>30.55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81.15</w:t>
      </w:r>
      <w:r>
        <w:rPr>
          <w:rFonts w:hint="default" w:ascii="Times New Roman" w:hAnsi="Times New Roman" w:eastAsia="方正仿宋_GBK"/>
          <w:sz w:val="32"/>
          <w:szCs w:val="32"/>
          <w:shd w:val="clear" w:color="auto" w:fill="FFFFFF"/>
        </w:rPr>
        <w:t>%，较年初预算数增加2.42万元，增长8.60%，</w:t>
      </w:r>
      <w:r>
        <w:rPr>
          <w:rFonts w:hint="default" w:ascii="Times New Roman" w:hAnsi="Times New Roman" w:eastAsia="方正仿宋_GBK"/>
          <w:color w:val="333333"/>
          <w:sz w:val="32"/>
          <w:szCs w:val="32"/>
          <w:shd w:val="clear" w:color="auto" w:fill="FFFFFF"/>
          <w:lang w:bidi="ar"/>
        </w:rPr>
        <w:t>主要原因是预算资金已使用完。</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3.34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8.88</w:t>
      </w:r>
      <w:r>
        <w:rPr>
          <w:rFonts w:hint="default" w:ascii="Times New Roman" w:hAnsi="Times New Roman" w:eastAsia="方正仿宋_GBK"/>
          <w:sz w:val="32"/>
          <w:szCs w:val="32"/>
          <w:shd w:val="clear" w:color="auto" w:fill="FFFFFF"/>
        </w:rPr>
        <w:t>%，较年初预算数减少1.42万元，下降29.83%，</w:t>
      </w:r>
      <w:r>
        <w:rPr>
          <w:rFonts w:hint="default" w:ascii="Times New Roman" w:hAnsi="Times New Roman" w:eastAsia="方正仿宋_GBK"/>
          <w:color w:val="333333"/>
          <w:sz w:val="32"/>
          <w:szCs w:val="32"/>
          <w:shd w:val="clear" w:color="auto" w:fill="FFFFFF"/>
          <w:lang w:bidi="ar"/>
        </w:rPr>
        <w:t>主要原因是社保调整。</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（3）卫生健康支出</w:t>
      </w:r>
      <w:r>
        <w:rPr>
          <w:rFonts w:hint="default" w:ascii="Times New Roman" w:hAnsi="Times New Roman" w:eastAsia="方正仿宋_GBK"/>
          <w:sz w:val="32"/>
          <w:szCs w:val="32"/>
        </w:rPr>
        <w:t>1.38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3.66</w:t>
      </w:r>
      <w:r>
        <w:rPr>
          <w:rFonts w:hint="default" w:ascii="Times New Roman" w:hAnsi="Times New Roman" w:eastAsia="方正仿宋_GBK"/>
          <w:sz w:val="32"/>
          <w:szCs w:val="32"/>
          <w:shd w:val="clear" w:color="auto" w:fill="FFFFFF"/>
        </w:rPr>
        <w:t>%，较年初预算数无增减，</w:t>
      </w:r>
      <w:r>
        <w:rPr>
          <w:rFonts w:hint="default" w:ascii="Times New Roman" w:hAnsi="Times New Roman" w:eastAsia="方正仿宋_GBK"/>
          <w:color w:val="333333"/>
          <w:sz w:val="32"/>
          <w:szCs w:val="32"/>
          <w:shd w:val="clear" w:color="auto" w:fill="FFFFFF"/>
          <w:lang w:bidi="ar"/>
        </w:rPr>
        <w:t>主要原因是卫生健康支出已使用完。</w:t>
      </w:r>
    </w:p>
    <w:p>
      <w:pPr>
        <w:ind w:firstLine="640" w:firstLineChars="200"/>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住房保障支出2.37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6.31</w:t>
      </w:r>
      <w:r>
        <w:rPr>
          <w:rFonts w:hint="default" w:ascii="Times New Roman" w:hAnsi="Times New Roman" w:eastAsia="方正仿宋_GBK"/>
          <w:sz w:val="32"/>
          <w:szCs w:val="32"/>
          <w:shd w:val="clear" w:color="auto" w:fill="FFFFFF"/>
        </w:rPr>
        <w:t>%，较年初预算数减少0.41万元，下降14.75%，</w:t>
      </w:r>
      <w:r>
        <w:rPr>
          <w:rFonts w:hint="default" w:ascii="Times New Roman" w:hAnsi="Times New Roman" w:eastAsia="方正仿宋_GBK"/>
          <w:color w:val="333333"/>
          <w:sz w:val="32"/>
          <w:szCs w:val="32"/>
          <w:shd w:val="clear" w:color="auto" w:fill="FFFFFF"/>
          <w:lang w:bidi="ar"/>
        </w:rPr>
        <w:t>主要原因是公积金支出减少。</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2023年度一般公共财政拨款基本支出</w:t>
      </w:r>
      <w:r>
        <w:rPr>
          <w:rFonts w:hint="default" w:ascii="Times New Roman" w:hAnsi="Times New Roman" w:eastAsia="方正仿宋_GBK"/>
          <w:sz w:val="32"/>
          <w:szCs w:val="32"/>
        </w:rPr>
        <w:t>32.65</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29.64</w:t>
      </w:r>
      <w:r>
        <w:rPr>
          <w:rFonts w:hint="default" w:ascii="Times New Roman" w:hAnsi="Times New Roman" w:eastAsia="方正仿宋_GBK"/>
          <w:sz w:val="32"/>
          <w:szCs w:val="32"/>
          <w:shd w:val="clear" w:color="auto" w:fill="FFFFFF"/>
        </w:rPr>
        <w:t>万元，较上年决算数增加29.64万元，增长100.00%，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主要原因是2022年度本单位与部门合并编报决算，按照市财政局要求2023年度独立编报决算，故与上年对比增长100%。人员经费用途主要包括在职职工工资、绩效、社保公积金配套、体检费等开支。</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3.01</w:t>
      </w:r>
      <w:r>
        <w:rPr>
          <w:rFonts w:hint="default" w:ascii="Times New Roman" w:hAnsi="Times New Roman" w:eastAsia="方正仿宋_GBK"/>
          <w:sz w:val="32"/>
          <w:szCs w:val="32"/>
          <w:shd w:val="clear" w:color="auto" w:fill="FFFFFF"/>
        </w:rPr>
        <w:t>万元，较上年决算数增加3.01万元，增长100.00%，</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主要原因是2022年度本单位与部门合并编报决算，按照市财政局要求2023年度独立编报决算，故与上年对比增长100%。公用经费用途主要包括水费、食堂生活费、网络费。</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2023年度无政府性基金预算财政拨款收支。</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2023年度无国有资本经营预算财政拨款支出。</w:t>
      </w:r>
    </w:p>
    <w:p>
      <w:pPr>
        <w:pStyle w:val="6"/>
        <w:shd w:val="clear" w:color="auto" w:fill="FFFFFF"/>
        <w:spacing w:before="0" w:beforeAutospacing="0" w:after="0" w:afterAutospacing="0" w:line="560" w:lineRule="exact"/>
        <w:ind w:firstLine="640" w:firstLineChars="200"/>
        <w:jc w:val="both"/>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三、“三公”经费情况说明</w:t>
      </w:r>
    </w:p>
    <w:p>
      <w:pPr>
        <w:pStyle w:val="11"/>
        <w:autoSpaceDE w:val="0"/>
        <w:spacing w:line="560" w:lineRule="exact"/>
        <w:ind w:firstLine="640"/>
        <w:jc w:val="both"/>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2023年度“三公”经费支出共计0.00万元，较年初预算数无增减，主要原因是本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，财政未保障我单位“三公”经费。较上年支出数无增减，主要原因是本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，财政未保障我单位“三公”经费。</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2023年度本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因公出国（境）费用0.00万元，主要是用于本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，财政未保障本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“三公”经费。费用支出较年初预算数无增减，主要原因是本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，财政未保障本</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“三公”经费。较上年支出数无增减，主要原因是我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，财政未保障我</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“三公”经费。</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公务车购置费0.00万元，费用支出较年初预算数无增减，主要原因是我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，财政未保障我</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“三公”经费。较上年支出数无增减，主要原因是我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，财政未保障我</w:t>
      </w:r>
      <w:r>
        <w:rPr>
          <w:rFonts w:hint="eastAsia" w:ascii="Times New Roman" w:hAnsi="Times New Roman" w:eastAsia="方正仿宋_GBK"/>
          <w:color w:val="333333"/>
          <w:sz w:val="32"/>
          <w:szCs w:val="32"/>
          <w:shd w:val="clear" w:color="auto" w:fill="FFFFFF"/>
          <w:lang w:eastAsia="zh-CN"/>
        </w:rPr>
        <w:t>单位</w:t>
      </w:r>
      <w:r>
        <w:rPr>
          <w:rFonts w:hint="default" w:ascii="Times New Roman" w:hAnsi="Times New Roman" w:eastAsia="方正仿宋_GBK"/>
          <w:color w:val="333333"/>
          <w:sz w:val="32"/>
          <w:szCs w:val="32"/>
          <w:shd w:val="clear" w:color="auto" w:fill="FFFFFF"/>
        </w:rPr>
        <w:t>“三公”经费。</w:t>
      </w:r>
    </w:p>
    <w:p>
      <w:pPr>
        <w:pStyle w:val="6"/>
        <w:snapToGrid w:val="0"/>
        <w:spacing w:before="0" w:beforeAutospacing="0" w:after="0" w:afterAutospacing="0" w:line="560" w:lineRule="exact"/>
        <w:ind w:firstLine="640" w:firstLineChars="200"/>
        <w:jc w:val="both"/>
        <w:rPr>
          <w:rFonts w:hint="eastAsia" w:ascii="Times New Roman" w:hAnsi="Times New Roman" w:eastAsia="方正仿宋_GBK"/>
          <w:color w:val="333333"/>
          <w:sz w:val="32"/>
          <w:szCs w:val="32"/>
          <w:shd w:val="clear" w:color="auto" w:fill="FFFFFF"/>
          <w:lang w:eastAsia="zh-CN"/>
        </w:rPr>
      </w:pPr>
      <w:r>
        <w:rPr>
          <w:rFonts w:hint="default" w:ascii="Times New Roman" w:hAnsi="Times New Roman" w:eastAsia="方正仿宋_GBK"/>
          <w:color w:val="333333"/>
          <w:sz w:val="32"/>
          <w:szCs w:val="32"/>
          <w:shd w:val="clear" w:color="auto" w:fill="FFFFFF"/>
        </w:rPr>
        <w:t>公务车运行维护费0.00万元。费用支出较年初预算数无增减，主要原因是我单位属于二级</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，财政未保障我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“三公”经费。较上年支出数无增减，主要原因是我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属于二级</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，财政未保障我单位“三公”</w:t>
      </w:r>
      <w:r>
        <w:rPr>
          <w:rFonts w:hint="eastAsia" w:ascii="Times New Roman" w:hAnsi="Times New Roman" w:eastAsia="方正仿宋_GBK"/>
          <w:color w:val="333333"/>
          <w:sz w:val="32"/>
          <w:szCs w:val="32"/>
          <w:shd w:val="clear" w:color="auto" w:fill="FFFFFF"/>
          <w:lang w:eastAsia="zh-CN" w:bidi="ar"/>
        </w:rPr>
        <w:t>经费。</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公务接待费0.00万元。费用支出较年初预算数无增减，主要原因是我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无公务接待。较上年支出数无增减，主要原因是我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无公务接待。</w:t>
      </w:r>
    </w:p>
    <w:p>
      <w:pPr>
        <w:pStyle w:val="11"/>
        <w:autoSpaceDE w:val="0"/>
        <w:ind w:firstLine="416" w:firstLineChars="13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2023年度本</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sz w:val="32"/>
          <w:szCs w:val="32"/>
          <w:shd w:val="clear" w:color="auto" w:fill="FFFFFF"/>
        </w:rPr>
        <w:t>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人。2023年本</w:t>
      </w:r>
      <w:r>
        <w:rPr>
          <w:rFonts w:ascii="Times New Roman" w:hAnsi="Times New Roman" w:eastAsia="方正仿宋_GBK"/>
          <w:color w:val="333333"/>
          <w:sz w:val="32"/>
          <w:szCs w:val="32"/>
          <w:shd w:val="clear" w:color="auto" w:fill="FFFFFF"/>
          <w:lang w:bidi="ar"/>
        </w:rPr>
        <w:t>部门</w:t>
      </w:r>
      <w:r>
        <w:rPr>
          <w:rFonts w:hint="default" w:ascii="Times New Roman" w:hAnsi="Times New Roman" w:eastAsia="方正仿宋_GBK"/>
          <w:sz w:val="32"/>
          <w:szCs w:val="32"/>
          <w:shd w:val="clear" w:color="auto" w:fill="FFFFFF"/>
        </w:rPr>
        <w:t>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万元，较上年决算数无增减，</w:t>
      </w:r>
      <w:r>
        <w:rPr>
          <w:rFonts w:hint="default" w:ascii="Times New Roman" w:hAnsi="Times New Roman" w:eastAsia="方正仿宋_GBK"/>
          <w:color w:val="333333"/>
          <w:sz w:val="32"/>
          <w:szCs w:val="32"/>
          <w:shd w:val="clear" w:color="auto" w:fill="FFFFFF"/>
          <w:lang w:bidi="ar"/>
        </w:rPr>
        <w:t>主要原因是2022年度本单位与部门合并编报决算，按照市财政局要求2023年度独立编报决算，故与上年对比增长100%。</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0.10</w:t>
      </w:r>
      <w:r>
        <w:rPr>
          <w:rFonts w:hint="default" w:ascii="Times New Roman" w:hAnsi="Times New Roman" w:eastAsia="方正仿宋_GBK"/>
          <w:sz w:val="32"/>
          <w:szCs w:val="32"/>
          <w:shd w:val="clear" w:color="auto" w:fill="FFFFFF"/>
        </w:rPr>
        <w:t>万元，较上年决算数增加0.10万元，增长100.00%，</w:t>
      </w:r>
      <w:r>
        <w:rPr>
          <w:rFonts w:hint="default" w:ascii="Times New Roman" w:hAnsi="Times New Roman" w:eastAsia="方正仿宋_GBK"/>
          <w:color w:val="333333"/>
          <w:sz w:val="32"/>
          <w:szCs w:val="32"/>
          <w:shd w:val="clear" w:color="auto" w:fill="FFFFFF"/>
        </w:rPr>
        <w:t>主要原因是2022年度本单位与部门合并编报决算，按照市财政局要求2023年度独立编报决算，故与上年对比增长100%。</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（二）机关运行经费情况说明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FF0000"/>
          <w:sz w:val="32"/>
          <w:szCs w:val="32"/>
        </w:rPr>
      </w:pPr>
      <w:r>
        <w:rPr>
          <w:rFonts w:hint="default" w:ascii="Times New Roman" w:hAnsi="Times New Roman" w:eastAsia="方正仿宋_GBK"/>
          <w:color w:val="333333"/>
          <w:sz w:val="32"/>
          <w:szCs w:val="32"/>
          <w:shd w:val="clear" w:color="auto" w:fill="FFFFFF"/>
        </w:rPr>
        <w:t>2023年度本</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机关运行经费支出0.00万元。机关运行经费较上年支出数无增减，主要原因是</w:t>
      </w:r>
      <w:r>
        <w:rPr>
          <w:rFonts w:hint="eastAsia" w:ascii="Times New Roman" w:hAnsi="Times New Roman" w:eastAsia="方正仿宋_GBK"/>
          <w:color w:val="333333"/>
          <w:sz w:val="32"/>
          <w:szCs w:val="32"/>
          <w:shd w:val="clear" w:color="auto" w:fill="FFFFFF"/>
          <w:lang w:eastAsia="zh-CN" w:bidi="ar"/>
        </w:rPr>
        <w:t>我单位</w:t>
      </w:r>
      <w:r>
        <w:rPr>
          <w:rFonts w:hint="default" w:ascii="Times New Roman" w:hAnsi="Times New Roman" w:eastAsia="方正仿宋_GBK"/>
          <w:color w:val="333333"/>
          <w:sz w:val="32"/>
          <w:szCs w:val="32"/>
          <w:shd w:val="clear" w:color="auto" w:fill="FFFFFF"/>
        </w:rPr>
        <w:t>不在机关运行经费统计范围之内。</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6"/>
        <w:snapToGrid w:val="0"/>
        <w:spacing w:before="0" w:beforeAutospacing="0" w:after="0" w:afterAutospacing="0" w:line="560" w:lineRule="exact"/>
        <w:ind w:firstLine="640" w:firstLineChars="200"/>
        <w:jc w:val="both"/>
        <w:rPr>
          <w:rFonts w:hint="default" w:ascii="Times New Roman" w:hAnsi="Times New Roman" w:eastAsia="方正仿宋_GBK"/>
          <w:color w:val="333333"/>
          <w:sz w:val="32"/>
          <w:szCs w:val="32"/>
          <w:shd w:val="clear" w:color="auto" w:fill="FFFFFF"/>
        </w:rPr>
      </w:pPr>
      <w:r>
        <w:rPr>
          <w:rFonts w:hint="default" w:ascii="Times New Roman" w:hAnsi="Times New Roman" w:eastAsia="方正仿宋_GBK"/>
          <w:color w:val="333333"/>
          <w:sz w:val="32"/>
          <w:szCs w:val="32"/>
          <w:shd w:val="clear" w:color="auto" w:fill="FFFFFF"/>
        </w:rPr>
        <w:t>截至2023年12月31日，本</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color w:val="333333"/>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autoSpaceDE w:val="0"/>
        <w:ind w:firstLine="640"/>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2023年度我</w:t>
      </w:r>
      <w:r>
        <w:rPr>
          <w:rFonts w:hint="eastAsia" w:ascii="Times New Roman" w:hAnsi="Times New Roman" w:eastAsia="方正仿宋_GBK"/>
          <w:color w:val="333333"/>
          <w:sz w:val="32"/>
          <w:szCs w:val="32"/>
          <w:shd w:val="clear" w:color="auto" w:fill="FFFFFF"/>
          <w:lang w:eastAsia="zh-CN" w:bidi="ar"/>
        </w:rPr>
        <w:t>单位</w:t>
      </w:r>
      <w:r>
        <w:rPr>
          <w:rFonts w:hint="default" w:ascii="Times New Roman" w:hAnsi="Times New Roman" w:eastAsia="方正仿宋_GBK"/>
          <w:sz w:val="32"/>
          <w:szCs w:val="32"/>
          <w:shd w:val="clear" w:color="auto" w:fill="FFFFFF"/>
        </w:rPr>
        <w:t>未发生政府采购事项，无相关经费支出。</w:t>
      </w:r>
    </w:p>
    <w:p>
      <w:pPr>
        <w:pStyle w:val="6"/>
        <w:numPr>
          <w:ilvl w:val="0"/>
          <w:numId w:val="1"/>
        </w:numPr>
        <w:shd w:val="clear" w:color="auto" w:fill="FFFFFF"/>
        <w:spacing w:before="0" w:beforeAutospacing="0" w:after="0" w:afterAutospacing="0" w:line="560" w:lineRule="exact"/>
        <w:ind w:firstLine="640" w:firstLineChars="200"/>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预算绩效管理情况说明</w:t>
      </w:r>
    </w:p>
    <w:p>
      <w:pPr>
        <w:pStyle w:val="6"/>
        <w:shd w:val="clear" w:color="auto" w:fill="FFFFFF"/>
        <w:spacing w:before="0" w:beforeAutospacing="0" w:after="0" w:afterAutospacing="0" w:line="560" w:lineRule="exact"/>
        <w:ind w:firstLine="640" w:firstLineChars="200"/>
        <w:jc w:val="both"/>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rPr>
        <w:t>（一）</w:t>
      </w:r>
      <w:r>
        <w:rPr>
          <w:rStyle w:val="8"/>
          <w:rFonts w:hint="eastAsia" w:ascii="Times New Roman" w:hAnsi="Times New Roman" w:eastAsia="方正楷体_GBK"/>
          <w:b w:val="0"/>
          <w:bCs/>
          <w:sz w:val="32"/>
          <w:szCs w:val="32"/>
          <w:shd w:val="clear" w:color="auto" w:fill="FFFFFF"/>
          <w:lang w:eastAsia="zh-CN"/>
        </w:rPr>
        <w:t>单位</w:t>
      </w:r>
      <w:r>
        <w:rPr>
          <w:rStyle w:val="8"/>
          <w:rFonts w:ascii="方正楷体_GBK" w:hAnsi="Times New Roman" w:eastAsia="方正楷体_GBK"/>
          <w:b w:val="0"/>
          <w:bCs/>
          <w:sz w:val="32"/>
          <w:szCs w:val="32"/>
          <w:shd w:val="clear" w:color="auto" w:fill="FFFFFF"/>
        </w:rPr>
        <w:t>自评情况</w:t>
      </w: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根据预算绩效管理要求，我</w:t>
      </w:r>
      <w:r>
        <w:rPr>
          <w:rFonts w:hint="eastAsia" w:ascii="Times New Roman" w:hAnsi="Times New Roman" w:eastAsia="方正仿宋_GBK"/>
          <w:color w:val="333333"/>
          <w:sz w:val="32"/>
          <w:szCs w:val="32"/>
          <w:shd w:val="clear" w:color="auto" w:fill="FFFFFF"/>
          <w:lang w:eastAsia="zh-CN" w:bidi="ar"/>
        </w:rPr>
        <w:t>单位对</w:t>
      </w:r>
      <w:r>
        <w:rPr>
          <w:rFonts w:hint="default" w:ascii="Times New Roman" w:hAnsi="Times New Roman" w:eastAsia="方正仿宋_GBK"/>
          <w:sz w:val="32"/>
          <w:szCs w:val="32"/>
          <w:shd w:val="clear" w:color="auto" w:fill="FFFFFF"/>
          <w:lang w:bidi="ar"/>
        </w:rPr>
        <w:t>1个二级项目开展了绩效自评，涉及财政拨款项目支出资金5万元</w:t>
      </w: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W w:w="12778" w:type="dxa"/>
        <w:tblInd w:w="0" w:type="dxa"/>
        <w:tblLayout w:type="fixed"/>
        <w:tblCellMar>
          <w:top w:w="15" w:type="dxa"/>
          <w:left w:w="15" w:type="dxa"/>
          <w:bottom w:w="15" w:type="dxa"/>
          <w:right w:w="15" w:type="dxa"/>
        </w:tblCellMar>
      </w:tblPr>
      <w:tblGrid>
        <w:gridCol w:w="1088"/>
        <w:gridCol w:w="1089"/>
        <w:gridCol w:w="1088"/>
        <w:gridCol w:w="1088"/>
        <w:gridCol w:w="1088"/>
        <w:gridCol w:w="1088"/>
        <w:gridCol w:w="1623"/>
        <w:gridCol w:w="1362"/>
        <w:gridCol w:w="1088"/>
        <w:gridCol w:w="1088"/>
        <w:gridCol w:w="1088"/>
      </w:tblGrid>
      <w:tr>
        <w:tblPrEx>
          <w:tblLayout w:type="fixed"/>
          <w:tblCellMar>
            <w:top w:w="15" w:type="dxa"/>
            <w:left w:w="15" w:type="dxa"/>
            <w:bottom w:w="15" w:type="dxa"/>
            <w:right w:w="15" w:type="dxa"/>
          </w:tblCellMar>
        </w:tblPrEx>
        <w:trPr>
          <w:trHeight w:val="470" w:hRule="atLeast"/>
        </w:trPr>
        <w:tc>
          <w:tcPr>
            <w:tcW w:w="12778" w:type="dxa"/>
            <w:gridSpan w:val="11"/>
            <w:shd w:val="clear" w:color="auto" w:fill="auto"/>
            <w:tcMar>
              <w:top w:w="10" w:type="dxa"/>
              <w:left w:w="10" w:type="dxa"/>
              <w:right w:w="10" w:type="dxa"/>
            </w:tcMar>
            <w:vAlign w:val="center"/>
          </w:tcPr>
          <w:p>
            <w:pPr>
              <w:textAlignment w:val="center"/>
              <w:rPr>
                <w:rFonts w:hint="default" w:ascii="方正小标宋_GBK" w:hAnsi="方正小标宋_GBK" w:eastAsia="方正小标宋_GBK" w:cs="方正小标宋_GBK"/>
                <w:color w:val="000000"/>
                <w:sz w:val="36"/>
                <w:szCs w:val="36"/>
                <w:lang w:bidi="ar"/>
              </w:rPr>
            </w:pPr>
          </w:p>
          <w:p>
            <w:pPr>
              <w:jc w:val="center"/>
              <w:textAlignment w:val="center"/>
              <w:rPr>
                <w:rFonts w:hint="default" w:ascii="方正小标宋_GBK" w:hAnsi="方正小标宋_GBK" w:eastAsia="方正小标宋_GBK" w:cs="方正小标宋_GBK"/>
                <w:color w:val="000000"/>
                <w:sz w:val="36"/>
                <w:szCs w:val="36"/>
              </w:rPr>
            </w:pPr>
            <w:r>
              <w:rPr>
                <w:rFonts w:ascii="方正小标宋_GBK" w:hAnsi="方正小标宋_GBK" w:eastAsia="方正小标宋_GBK" w:cs="方正小标宋_GBK"/>
                <w:color w:val="000000"/>
                <w:sz w:val="36"/>
                <w:szCs w:val="36"/>
                <w:lang w:bidi="ar"/>
              </w:rPr>
              <w:t>海洋乡</w:t>
            </w:r>
            <w:r>
              <w:rPr>
                <w:rFonts w:hint="eastAsia" w:ascii="方正小标宋_GBK" w:hAnsi="方正小标宋_GBK" w:eastAsia="方正小标宋_GBK" w:cs="方正小标宋_GBK"/>
                <w:color w:val="000000"/>
                <w:sz w:val="36"/>
                <w:szCs w:val="36"/>
                <w:lang w:eastAsia="zh-CN" w:bidi="ar"/>
              </w:rPr>
              <w:t>文化服务中心</w:t>
            </w:r>
            <w:r>
              <w:rPr>
                <w:rFonts w:ascii="方正小标宋_GBK" w:hAnsi="方正小标宋_GBK" w:eastAsia="方正小标宋_GBK" w:cs="方正小标宋_GBK"/>
                <w:color w:val="000000"/>
                <w:sz w:val="36"/>
                <w:szCs w:val="36"/>
                <w:lang w:bidi="ar"/>
              </w:rPr>
              <w:t>2023年度项目支出绩效自评表（二级项目）</w:t>
            </w:r>
          </w:p>
        </w:tc>
      </w:tr>
      <w:tr>
        <w:tblPrEx>
          <w:tblLayout w:type="fixed"/>
          <w:tblCellMar>
            <w:top w:w="15" w:type="dxa"/>
            <w:left w:w="15" w:type="dxa"/>
            <w:bottom w:w="15" w:type="dxa"/>
            <w:right w:w="15" w:type="dxa"/>
          </w:tblCellMar>
        </w:tblPrEx>
        <w:trPr>
          <w:gridAfter w:val="1"/>
          <w:wAfter w:w="1088" w:type="dxa"/>
          <w:trHeight w:val="281" w:hRule="atLeast"/>
        </w:trPr>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项目名称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指标性质</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指标值</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计量单位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指标权重</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全年完成值</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指标得分</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说明</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sz w:val="22"/>
                <w:szCs w:val="22"/>
              </w:rPr>
            </w:pPr>
            <w:r>
              <w:rPr>
                <w:rFonts w:cs="宋体"/>
                <w:color w:val="000000"/>
                <w:sz w:val="22"/>
                <w:szCs w:val="22"/>
                <w:lang w:bidi="ar"/>
              </w:rPr>
              <w:t>自评得分</w:t>
            </w:r>
          </w:p>
        </w:tc>
      </w:tr>
      <w:tr>
        <w:tblPrEx>
          <w:tblLayout w:type="fixed"/>
          <w:tblCellMar>
            <w:top w:w="15" w:type="dxa"/>
            <w:left w:w="15" w:type="dxa"/>
            <w:bottom w:w="15" w:type="dxa"/>
            <w:right w:w="15" w:type="dxa"/>
          </w:tblCellMar>
        </w:tblPrEx>
        <w:trPr>
          <w:gridAfter w:val="1"/>
          <w:wAfter w:w="1088" w:type="dxa"/>
          <w:trHeight w:val="900" w:hRule="atLeast"/>
        </w:trPr>
        <w:tc>
          <w:tcPr>
            <w:tcW w:w="108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ascii="Times New Roman" w:hAnsi="Times New Roman" w:eastAsia="方正仿宋_GBK"/>
                <w:sz w:val="32"/>
                <w:szCs w:val="32"/>
                <w:shd w:val="clear" w:color="auto" w:fill="FFFFFF"/>
                <w:lang w:bidi="ar"/>
              </w:rPr>
              <w:t>美术馆、图书馆、文化馆（站）免费开放专项</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ascii="方正仿宋_GBK" w:eastAsia="方正仿宋_GBK" w:cs="宋体"/>
                <w:color w:val="000000"/>
                <w:sz w:val="22"/>
                <w:szCs w:val="22"/>
              </w:rPr>
            </w:pPr>
            <w:r>
              <w:rPr>
                <w:rFonts w:ascii="方正仿宋_GBK" w:eastAsia="方正仿宋_GBK"/>
                <w:sz w:val="22"/>
                <w:szCs w:val="22"/>
              </w:rPr>
              <w:t>物</w:t>
            </w:r>
            <w:r>
              <w:rPr>
                <w:rFonts w:ascii="方正仿宋_GBK" w:eastAsia="方正仿宋_GBK" w:cs="宋体"/>
                <w:color w:val="000000"/>
                <w:sz w:val="22"/>
                <w:szCs w:val="22"/>
                <w:lang w:bidi="ar"/>
              </w:rPr>
              <w:t>资购买</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100</w:t>
            </w:r>
          </w:p>
        </w:tc>
      </w:tr>
      <w:tr>
        <w:tblPrEx>
          <w:tblLayout w:type="fixed"/>
          <w:tblCellMar>
            <w:top w:w="15" w:type="dxa"/>
            <w:left w:w="15" w:type="dxa"/>
            <w:bottom w:w="15" w:type="dxa"/>
            <w:right w:w="15" w:type="dxa"/>
          </w:tblCellMar>
        </w:tblPrEx>
        <w:trPr>
          <w:gridAfter w:val="1"/>
          <w:wAfter w:w="1088" w:type="dxa"/>
          <w:trHeight w:val="600" w:hRule="atLeast"/>
        </w:trPr>
        <w:tc>
          <w:tcPr>
            <w:tcW w:w="108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ascii="方正仿宋_GBK" w:eastAsia="方正仿宋_GBK" w:cs="宋体"/>
                <w:color w:val="000000"/>
                <w:sz w:val="22"/>
                <w:szCs w:val="22"/>
              </w:rPr>
            </w:pPr>
            <w:r>
              <w:rPr>
                <w:rFonts w:ascii="方正仿宋_GBK" w:eastAsia="方正仿宋_GBK"/>
                <w:sz w:val="22"/>
                <w:szCs w:val="22"/>
              </w:rPr>
              <w:t>资金按时支付率</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hint="default" w:cs="宋体"/>
                <w:color w:val="000000"/>
              </w:rPr>
              <w:t>90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lang w:bidi="ar"/>
              </w:rPr>
              <w:t>30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r>
      <w:tr>
        <w:tblPrEx>
          <w:tblLayout w:type="fixed"/>
          <w:tblCellMar>
            <w:top w:w="15" w:type="dxa"/>
            <w:left w:w="15" w:type="dxa"/>
            <w:bottom w:w="15" w:type="dxa"/>
            <w:right w:w="15" w:type="dxa"/>
          </w:tblCellMar>
        </w:tblPrEx>
        <w:trPr>
          <w:gridAfter w:val="1"/>
          <w:wAfter w:w="1088" w:type="dxa"/>
          <w:trHeight w:val="600" w:hRule="atLeast"/>
        </w:trPr>
        <w:tc>
          <w:tcPr>
            <w:tcW w:w="108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ascii="方正仿宋_GBK" w:eastAsia="方正仿宋_GBK" w:cs="宋体"/>
                <w:color w:val="000000"/>
                <w:sz w:val="22"/>
                <w:szCs w:val="22"/>
              </w:rPr>
            </w:pPr>
            <w:r>
              <w:rPr>
                <w:rFonts w:ascii="方正仿宋_GBK" w:eastAsia="方正仿宋_GBK"/>
                <w:sz w:val="22"/>
                <w:szCs w:val="22"/>
              </w:rPr>
              <w:t>推进当地文体事业发展</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定性</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r>
              <w:rPr>
                <w:rFonts w:cs="宋体"/>
                <w:color w:val="000000"/>
              </w:rPr>
              <w:t>好</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textAlignment w:val="center"/>
              <w:rPr>
                <w:rFonts w:hint="default" w:cs="宋体"/>
                <w:color w:val="000000"/>
                <w:lang w:bidi="ar"/>
              </w:rPr>
            </w:pPr>
            <w:r>
              <w:rPr>
                <w:rFonts w:cs="宋体"/>
                <w:color w:val="000000"/>
                <w:lang w:bidi="ar"/>
              </w:rPr>
              <w:t>30</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c>
          <w:tcPr>
            <w:tcW w:w="108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cs="宋体"/>
                <w:color w:val="000000"/>
              </w:rPr>
            </w:pPr>
          </w:p>
        </w:tc>
      </w:tr>
    </w:tbl>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jc w:val="both"/>
        <w:rPr>
          <w:rFonts w:hint="default" w:ascii="Times New Roman" w:hAnsi="Times New Roman" w:eastAsia="方正仿宋_GBK"/>
          <w:sz w:val="32"/>
          <w:szCs w:val="32"/>
          <w:shd w:val="clear" w:color="auto" w:fill="FFFFFF"/>
          <w:lang w:bidi="ar"/>
        </w:r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sectPr>
          <w:pgSz w:w="16840" w:h="11915" w:orient="landscape"/>
          <w:pgMar w:top="1800" w:right="1440" w:bottom="1800" w:left="1440" w:header="851" w:footer="992" w:gutter="0"/>
          <w:pgNumType w:fmt="numberInDash"/>
          <w:cols w:space="720" w:num="1"/>
          <w:docGrid w:type="lines" w:linePitch="326" w:charSpace="0"/>
        </w:sectPr>
      </w:pPr>
    </w:p>
    <w:p>
      <w:pPr>
        <w:pStyle w:val="6"/>
        <w:autoSpaceDE w:val="0"/>
        <w:spacing w:before="0" w:beforeAutospacing="0" w:after="0" w:afterAutospacing="0" w:line="560" w:lineRule="exact"/>
        <w:ind w:firstLine="640" w:firstLineChars="200"/>
        <w:jc w:val="both"/>
        <w:rPr>
          <w:rFonts w:hint="default" w:ascii="Times New Roman" w:hAnsi="Times New Roman" w:eastAsia="方正仿宋_GBK"/>
          <w:sz w:val="32"/>
          <w:szCs w:val="32"/>
          <w:highlight w:val="yellow"/>
        </w:rPr>
      </w:pPr>
    </w:p>
    <w:p>
      <w:pPr>
        <w:pStyle w:val="6"/>
        <w:shd w:val="clear" w:color="auto" w:fill="FFFFFF"/>
        <w:spacing w:before="0" w:beforeAutospacing="0" w:after="0" w:afterAutospacing="0" w:line="560" w:lineRule="exact"/>
        <w:ind w:firstLine="640" w:firstLineChars="200"/>
        <w:jc w:val="both"/>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rPr>
        <w:t>（二）</w:t>
      </w:r>
      <w:r>
        <w:rPr>
          <w:rStyle w:val="8"/>
          <w:rFonts w:hint="eastAsia" w:ascii="Times New Roman" w:hAnsi="Times New Roman" w:eastAsia="方正楷体_GBK"/>
          <w:b w:val="0"/>
          <w:bCs/>
          <w:sz w:val="32"/>
          <w:szCs w:val="32"/>
          <w:shd w:val="clear" w:color="auto" w:fill="FFFFFF"/>
          <w:lang w:eastAsia="zh-CN"/>
        </w:rPr>
        <w:t>单位</w:t>
      </w:r>
      <w:r>
        <w:rPr>
          <w:rStyle w:val="8"/>
          <w:rFonts w:ascii="方正楷体_GBK" w:hAnsi="Times New Roman" w:eastAsia="方正楷体_GBK"/>
          <w:b w:val="0"/>
          <w:bCs/>
          <w:sz w:val="32"/>
          <w:szCs w:val="32"/>
          <w:shd w:val="clear" w:color="auto" w:fill="FFFFFF"/>
        </w:rPr>
        <w:t>绩效评价情况</w:t>
      </w:r>
    </w:p>
    <w:p>
      <w:pPr>
        <w:pStyle w:val="6"/>
        <w:shd w:val="clear" w:color="auto" w:fill="FFFFFF"/>
        <w:spacing w:before="0" w:beforeAutospacing="0" w:after="0" w:afterAutospacing="0" w:line="560" w:lineRule="exact"/>
        <w:ind w:firstLine="640" w:firstLineChars="200"/>
        <w:jc w:val="both"/>
        <w:rPr>
          <w:rStyle w:val="8"/>
          <w:rFonts w:hint="default" w:ascii="Times New Roman" w:hAnsi="Times New Roman" w:eastAsia="方正仿宋_GBK"/>
          <w:b w:val="0"/>
          <w:bCs/>
          <w:sz w:val="32"/>
          <w:szCs w:val="32"/>
          <w:shd w:val="clear" w:color="auto" w:fill="FFFFFF"/>
        </w:rPr>
      </w:pPr>
      <w:r>
        <w:rPr>
          <w:rFonts w:hint="default" w:ascii="Times New Roman" w:hAnsi="Times New Roman" w:eastAsia="方正仿宋_GBK"/>
          <w:color w:val="333333"/>
          <w:sz w:val="32"/>
          <w:szCs w:val="32"/>
          <w:shd w:val="clear" w:color="auto" w:fill="FFFFFF"/>
          <w:lang w:val="zh-CN"/>
        </w:rPr>
        <w:t>本</w:t>
      </w:r>
      <w:r>
        <w:rPr>
          <w:rFonts w:hint="eastAsia" w:ascii="Times New Roman" w:hAnsi="Times New Roman" w:eastAsia="方正仿宋_GBK"/>
          <w:color w:val="333333"/>
          <w:sz w:val="32"/>
          <w:szCs w:val="32"/>
          <w:shd w:val="clear" w:color="auto" w:fill="FFFFFF"/>
          <w:lang w:val="zh-CN"/>
        </w:rPr>
        <w:t>单位</w:t>
      </w:r>
      <w:r>
        <w:rPr>
          <w:rFonts w:hint="default" w:ascii="Times New Roman" w:hAnsi="Times New Roman" w:eastAsia="方正仿宋_GBK"/>
          <w:sz w:val="32"/>
          <w:szCs w:val="32"/>
          <w:shd w:val="clear" w:color="auto" w:fill="FFFFFF"/>
          <w:lang w:bidi="ar"/>
        </w:rPr>
        <w:t>对美术馆、图书馆、文化馆（站）免费开放专项开展了绩效评价，涉及财政拨款项目资金0.79万元，评价得分100分，评价等次为优，绩效评价发现了报账不及时等主要问题，提出及时报账等下一步工作建议</w:t>
      </w:r>
      <w:r>
        <w:rPr>
          <w:rFonts w:hint="default" w:ascii="Times New Roman" w:hAnsi="Times New Roman" w:eastAsia="方正仿宋_GBK"/>
          <w:color w:val="333333"/>
          <w:sz w:val="32"/>
          <w:szCs w:val="32"/>
          <w:shd w:val="clear" w:color="auto" w:fill="FFFFFF"/>
          <w:lang w:val="zh-CN"/>
        </w:rPr>
        <w:t>。</w:t>
      </w:r>
    </w:p>
    <w:p>
      <w:pPr>
        <w:pStyle w:val="6"/>
        <w:shd w:val="clear" w:color="auto" w:fill="FFFFFF"/>
        <w:spacing w:before="0" w:beforeAutospacing="0" w:after="0" w:afterAutospacing="0" w:line="560" w:lineRule="exact"/>
        <w:ind w:firstLine="640" w:firstLineChars="200"/>
        <w:jc w:val="both"/>
        <w:rPr>
          <w:rFonts w:hint="default" w:ascii="Times New Roman" w:hAnsi="Times New Roman" w:eastAsia="方正楷体_GBK"/>
          <w:b/>
          <w:bCs/>
          <w:sz w:val="32"/>
          <w:szCs w:val="32"/>
          <w:shd w:val="clear" w:color="auto" w:fill="FFFFFF"/>
        </w:rPr>
      </w:pPr>
      <w:r>
        <w:rPr>
          <w:rStyle w:val="8"/>
          <w:rFonts w:hint="default" w:ascii="Times New Roman" w:hAnsi="Times New Roman" w:eastAsia="方正楷体_GBK"/>
          <w:b w:val="0"/>
          <w:bCs/>
          <w:sz w:val="32"/>
          <w:szCs w:val="32"/>
          <w:shd w:val="clear" w:color="auto" w:fill="FFFFFF"/>
        </w:rPr>
        <w:t>（三）财政绩效评价情况</w:t>
      </w:r>
    </w:p>
    <w:p>
      <w:pPr>
        <w:pStyle w:val="6"/>
        <w:autoSpaceDE w:val="0"/>
        <w:spacing w:before="0" w:beforeAutospacing="0" w:after="0" w:afterAutospacing="0" w:line="560" w:lineRule="exact"/>
        <w:ind w:firstLine="640" w:firstLineChars="200"/>
        <w:jc w:val="both"/>
        <w:rPr>
          <w:rFonts w:hint="default" w:ascii="方正仿宋_GBK" w:hAnsi="Times New Roman" w:eastAsia="方正仿宋_GBK"/>
          <w:sz w:val="32"/>
          <w:szCs w:val="32"/>
          <w:shd w:val="clear" w:color="auto" w:fill="FFFFFF"/>
        </w:rPr>
      </w:pPr>
      <w:r>
        <w:rPr>
          <w:rFonts w:ascii="方正仿宋_GBK" w:hAnsi="Times New Roman" w:eastAsia="方正仿宋_GBK"/>
          <w:sz w:val="32"/>
          <w:szCs w:val="32"/>
          <w:shd w:val="clear" w:color="auto" w:fill="FFFFFF"/>
          <w:lang w:bidi="ar"/>
        </w:rPr>
        <w:t>县财政局未委托第三方对我</w:t>
      </w:r>
      <w:r>
        <w:rPr>
          <w:rFonts w:ascii="Times New Roman" w:hAnsi="Times New Roman" w:eastAsia="方正仿宋_GBK"/>
          <w:color w:val="333333"/>
          <w:sz w:val="32"/>
          <w:szCs w:val="32"/>
          <w:shd w:val="clear" w:color="auto" w:fill="FFFFFF"/>
          <w:lang w:bidi="ar"/>
        </w:rPr>
        <w:t>部门</w:t>
      </w:r>
      <w:r>
        <w:rPr>
          <w:rFonts w:ascii="方正仿宋_GBK" w:hAnsi="Times New Roman" w:eastAsia="方正仿宋_GBK"/>
          <w:sz w:val="32"/>
          <w:szCs w:val="32"/>
          <w:shd w:val="clear" w:color="auto" w:fill="FFFFFF"/>
          <w:lang w:bidi="ar"/>
        </w:rPr>
        <w:t>开展绩效评价。</w:t>
      </w:r>
    </w:p>
    <w:p>
      <w:pPr>
        <w:pStyle w:val="6"/>
        <w:shd w:val="clear" w:color="auto" w:fill="FFFFFF"/>
        <w:spacing w:before="0" w:beforeAutospacing="0" w:after="0" w:afterAutospacing="0" w:line="560" w:lineRule="exact"/>
        <w:ind w:firstLine="640" w:firstLineChars="200"/>
        <w:rPr>
          <w:rFonts w:hint="default" w:ascii="方正黑体_GBK" w:hAnsi="Times New Roman" w:eastAsia="方正黑体_GBK"/>
          <w:b/>
          <w:sz w:val="32"/>
          <w:szCs w:val="32"/>
        </w:rPr>
      </w:pPr>
      <w:r>
        <w:rPr>
          <w:rStyle w:val="8"/>
          <w:rFonts w:ascii="方正黑体_GBK" w:hAnsi="Times New Roman" w:eastAsia="方正黑体_GBK"/>
          <w:b w:val="0"/>
          <w:sz w:val="32"/>
          <w:szCs w:val="32"/>
          <w:shd w:val="clear" w:color="auto" w:fill="FFFFFF"/>
        </w:rPr>
        <w:t>六、专业名词解释</w:t>
      </w:r>
    </w:p>
    <w:p>
      <w:pPr>
        <w:pStyle w:val="6"/>
        <w:snapToGrid w:val="0"/>
        <w:spacing w:before="0" w:beforeAutospacing="0" w:after="0" w:afterAutospacing="0" w:line="560" w:lineRule="exact"/>
        <w:ind w:firstLine="643" w:firstLineChars="200"/>
        <w:jc w:val="both"/>
        <w:rPr>
          <w:rFonts w:hint="default" w:ascii="方正仿宋_GBK" w:hAnsi="Times New Roman" w:eastAsia="方正仿宋_GBK"/>
          <w:sz w:val="32"/>
          <w:szCs w:val="32"/>
        </w:rPr>
      </w:pPr>
      <w:r>
        <w:rPr>
          <w:rFonts w:ascii="方正仿宋_GBK" w:hAnsi="Times New Roman" w:eastAsia="方正仿宋_GBK"/>
          <w:b/>
          <w:bCs/>
          <w:sz w:val="32"/>
          <w:szCs w:val="32"/>
          <w:shd w:val="clear" w:color="auto" w:fill="FFFFFF"/>
        </w:rPr>
        <w:t>（一）财政拨款收入：</w:t>
      </w:r>
      <w:r>
        <w:rPr>
          <w:rFonts w:ascii="方正仿宋_GBK" w:hAnsi="Times New Roman" w:eastAsia="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（二）事业收入</w:t>
      </w:r>
      <w:r>
        <w:rPr>
          <w:rFonts w:ascii="方正仿宋_GBK"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（三）经营收入</w:t>
      </w:r>
      <w:r>
        <w:rPr>
          <w:rFonts w:ascii="方正仿宋_GBK" w:hAnsi="Times New Roman" w:eastAsia="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（四）其他收入</w:t>
      </w:r>
      <w:r>
        <w:rPr>
          <w:rFonts w:ascii="方正仿宋_GBK"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（五）使用非财政拨款结余</w:t>
      </w:r>
      <w:r>
        <w:rPr>
          <w:rFonts w:ascii="方正仿宋_GBK"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（六）年初结转和结余</w:t>
      </w:r>
      <w:r>
        <w:rPr>
          <w:rFonts w:ascii="方正仿宋_GBK" w:hAnsi="Times New Roman" w:eastAsia="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（七）结余分配</w:t>
      </w:r>
      <w:r>
        <w:rPr>
          <w:rFonts w:ascii="方正仿宋_GBK" w:hAnsi="Times New Roman" w:eastAsia="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（八）年末结转和结余</w:t>
      </w:r>
      <w:r>
        <w:rPr>
          <w:rFonts w:ascii="方正仿宋_GBK" w:hAnsi="Times New Roman" w:eastAsia="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（九）基本支出</w:t>
      </w:r>
      <w:r>
        <w:rPr>
          <w:rFonts w:ascii="方正仿宋_GBK"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（十）项目支出</w:t>
      </w:r>
      <w:r>
        <w:rPr>
          <w:rFonts w:ascii="方正仿宋_GBK" w:hAnsi="Times New Roman" w:eastAsia="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（十一）经营支出</w:t>
      </w:r>
      <w:r>
        <w:rPr>
          <w:rFonts w:ascii="方正仿宋_GBK" w:hAnsi="Times New Roman" w:eastAsia="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（十二）“三公”经费</w:t>
      </w:r>
      <w:r>
        <w:rPr>
          <w:rFonts w:ascii="方正仿宋_GBK"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（十三）机关运行经费</w:t>
      </w:r>
      <w:r>
        <w:rPr>
          <w:rFonts w:ascii="方正仿宋_GBK"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（十四）工资福利支出（支出经济分类科目类级）</w:t>
      </w:r>
      <w:r>
        <w:rPr>
          <w:rFonts w:ascii="方正仿宋_GBK"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（十五）商品和服务支出（支出经济分类科目类级）</w:t>
      </w:r>
      <w:r>
        <w:rPr>
          <w:rFonts w:ascii="方正仿宋_GBK" w:hAnsi="Times New Roman" w:eastAsia="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（十六）对个人和家庭的补助（支出经济分类科目类级）</w:t>
      </w:r>
      <w:r>
        <w:rPr>
          <w:rFonts w:ascii="方正仿宋_GBK" w:hAnsi="Times New Roman" w:eastAsia="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Times New Roman" w:eastAsia="方正仿宋_GBK"/>
          <w:sz w:val="32"/>
          <w:szCs w:val="32"/>
        </w:rPr>
      </w:pPr>
      <w:r>
        <w:rPr>
          <w:rStyle w:val="8"/>
          <w:rFonts w:ascii="方正仿宋_GBK" w:hAnsi="Times New Roman" w:eastAsia="方正仿宋_GBK"/>
          <w:sz w:val="32"/>
          <w:szCs w:val="32"/>
          <w:shd w:val="clear" w:color="auto" w:fill="FFFFFF"/>
        </w:rPr>
        <w:t>（十七）其他资本性支出（支出经济分类科目类级）</w:t>
      </w:r>
      <w:r>
        <w:rPr>
          <w:rFonts w:ascii="方正仿宋_GBK"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60" w:lineRule="exact"/>
        <w:ind w:firstLine="643" w:firstLineChars="200"/>
        <w:rPr>
          <w:rStyle w:val="8"/>
          <w:rFonts w:hint="default" w:ascii="方正黑体_GBK" w:hAnsi="Times New Roman" w:eastAsia="方正黑体_GBK"/>
          <w:b w:val="0"/>
          <w:sz w:val="32"/>
          <w:szCs w:val="32"/>
          <w:shd w:val="clear" w:color="auto" w:fill="FFFFFF"/>
        </w:rPr>
      </w:pPr>
      <w:r>
        <w:rPr>
          <w:rStyle w:val="8"/>
          <w:rFonts w:hint="default" w:ascii="Times New Roman" w:hAnsi="Times New Roman" w:eastAsia="方正仿宋_GBK"/>
          <w:sz w:val="32"/>
          <w:szCs w:val="32"/>
          <w:shd w:val="clear" w:color="auto" w:fill="FFFFFF"/>
        </w:rPr>
        <w:t xml:space="preserve">  </w:t>
      </w:r>
      <w:r>
        <w:rPr>
          <w:rStyle w:val="8"/>
          <w:rFonts w:ascii="方正黑体_GBK" w:hAnsi="Times New Roman" w:eastAsia="方正黑体_GBK"/>
          <w:b w:val="0"/>
          <w:sz w:val="32"/>
          <w:szCs w:val="32"/>
          <w:shd w:val="clear" w:color="auto" w:fill="FFFFFF"/>
        </w:rPr>
        <w:t>七、决算公开联系方式及信息反馈渠道</w:t>
      </w:r>
    </w:p>
    <w:p>
      <w:pPr>
        <w:pStyle w:val="6"/>
        <w:snapToGrid w:val="0"/>
        <w:spacing w:before="0" w:beforeAutospacing="0" w:after="0" w:afterAutospacing="0" w:line="560" w:lineRule="exact"/>
        <w:ind w:firstLine="640" w:firstLineChars="200"/>
        <w:jc w:val="both"/>
        <w:rPr>
          <w:rStyle w:val="8"/>
          <w:rFonts w:hint="default" w:ascii="Times New Roman" w:hAnsi="Times New Roman" w:eastAsia="方正仿宋_GBK"/>
          <w:b w:val="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本</w:t>
      </w:r>
      <w:r>
        <w:rPr>
          <w:rFonts w:ascii="Times New Roman" w:hAnsi="Times New Roman" w:eastAsia="方正仿宋_GBK"/>
          <w:color w:val="333333"/>
          <w:sz w:val="32"/>
          <w:szCs w:val="32"/>
          <w:shd w:val="clear" w:color="auto" w:fill="FFFFFF"/>
          <w:lang w:bidi="ar"/>
        </w:rPr>
        <w:t>部门</w:t>
      </w:r>
      <w:r>
        <w:rPr>
          <w:rFonts w:hint="default" w:ascii="Times New Roman" w:hAnsi="Times New Roman" w:eastAsia="方正仿宋_GBK"/>
          <w:sz w:val="32"/>
          <w:szCs w:val="32"/>
          <w:shd w:val="clear" w:color="auto" w:fill="FFFFFF"/>
        </w:rPr>
        <w:t>决算公开信息反馈和联系方式：</w:t>
      </w:r>
      <w:r>
        <w:rPr>
          <w:rFonts w:ascii="Times New Roman" w:hAnsi="Times New Roman" w:eastAsia="方正仿宋_GBK"/>
          <w:sz w:val="32"/>
          <w:szCs w:val="32"/>
          <w:shd w:val="clear" w:color="auto" w:fill="FFFFFF"/>
        </w:rPr>
        <w:t>联系人：程福云</w:t>
      </w:r>
      <w:r>
        <w:rPr>
          <w:rFonts w:hint="default" w:ascii="Times New Roman" w:hAnsi="Times New Roman" w:eastAsia="方正仿宋_GBK"/>
          <w:sz w:val="32"/>
          <w:szCs w:val="32"/>
          <w:shd w:val="clear" w:color="auto" w:fill="FFFFFF"/>
        </w:rPr>
        <w:t>办公电话</w:t>
      </w:r>
      <w:r>
        <w:rPr>
          <w:rFonts w:ascii="Times New Roman" w:hAnsi="Times New Roman" w:eastAsia="方正仿宋_GBK"/>
          <w:sz w:val="32"/>
          <w:szCs w:val="32"/>
          <w:shd w:val="clear" w:color="auto" w:fill="FFFFFF"/>
        </w:rPr>
        <w:t xml:space="preserve"> </w:t>
      </w:r>
      <w:r>
        <w:rPr>
          <w:rFonts w:hint="default" w:ascii="Times New Roman" w:hAnsi="Times New Roman" w:eastAsia="方正仿宋_GBK"/>
          <w:sz w:val="32"/>
          <w:szCs w:val="32"/>
          <w:shd w:val="clear" w:color="auto" w:fill="FFFFFF"/>
        </w:rPr>
        <w:t>023-76641035</w:t>
      </w:r>
      <w:r>
        <w:rPr>
          <w:rFonts w:ascii="Times New Roman" w:hAnsi="Times New Roman" w:eastAsia="方正仿宋_GBK"/>
          <w:sz w:val="32"/>
          <w:szCs w:val="32"/>
          <w:shd w:val="clear" w:color="auto" w:fill="FFFFFF"/>
        </w:rPr>
        <w:t xml:space="preserve">  </w:t>
      </w:r>
    </w:p>
    <w:p>
      <w:pPr>
        <w:rPr>
          <w:rFonts w:hint="default" w:ascii="Times New Roman" w:hAnsi="Times New Roman"/>
          <w:sz w:val="21"/>
          <w:szCs w:val="21"/>
        </w:rPr>
      </w:pPr>
    </w:p>
    <w:tbl>
      <w:tblPr>
        <w:tblStyle w:val="9"/>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2"/>
                <w:szCs w:val="22"/>
              </w:rPr>
            </w:pPr>
            <w:r>
              <w:rPr>
                <w:rFonts w:hint="default" w:ascii="Times New Roman" w:hAnsi="Times New Roman"/>
                <w:sz w:val="20"/>
                <w:szCs w:val="20"/>
              </w:rPr>
              <w:t>公开单位：</w:t>
            </w:r>
            <w:r>
              <w:rPr>
                <w:rFonts w:hint="default" w:ascii="Times New Roman" w:hAnsi="Times New Roman"/>
                <w:sz w:val="20"/>
              </w:rPr>
              <w:t>重庆市秀山土家族苗族自治县海洋乡文化服务中心</w:t>
            </w: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37.65</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30.55</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37.65</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37.65</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37.65</w:t>
            </w:r>
            <w:r>
              <w:rPr>
                <w:rFonts w:hint="default" w:ascii="Times New Roman" w:hAnsi="Times New Roman"/>
                <w:color w:val="000000"/>
                <w:sz w:val="20"/>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37.65</w:t>
            </w:r>
            <w:r>
              <w:rPr>
                <w:rFonts w:hint="default" w:ascii="Times New Roman" w:hAnsi="Times New Roman"/>
                <w:color w:val="000000"/>
                <w:sz w:val="20"/>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sz w:val="20"/>
              </w:rPr>
              <w:t>重庆市秀山土家族苗族自治县海洋乡文化服务中心</w:t>
            </w: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37.65</w:t>
            </w:r>
            <w:r>
              <w:rPr>
                <w:rFonts w:hint="default"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37.65</w:t>
            </w:r>
            <w:r>
              <w:rPr>
                <w:rFonts w:hint="default"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bl>
    <w:p>
      <w:pPr>
        <w:ind w:left="600" w:hanging="600" w:hangingChars="300"/>
        <w:rPr>
          <w:rFonts w:hint="eastAsia" w:ascii="Times New Roman" w:hAnsi="Times New Roman" w:eastAsia="宋体"/>
          <w:sz w:val="20"/>
          <w:szCs w:val="20"/>
          <w:lang w:val="en-US" w:eastAsia="zh-CN"/>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bookmarkStart w:id="0" w:name="_GoBack"/>
      <w:bookmarkEnd w:id="0"/>
    </w:p>
    <w:tbl>
      <w:tblPr>
        <w:tblStyle w:val="9"/>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 xml:space="preserve">重庆市秀山土家族苗族自治县海洋乡文化服务中心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37.65</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32.65</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w:t>
            </w:r>
            <w:r>
              <w:rPr>
                <w:rFonts w:hint="default"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hint="default"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hint="default" w:ascii="Times New Roman" w:hAnsi="Times New Roman"/>
                <w:b/>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hint="default"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bl>
    <w:p>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重庆市秀山土家族苗族自治县海洋乡文化服务中心</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r>
              <w:rPr>
                <w:rFonts w:hint="default"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w:t>
            </w:r>
            <w:r>
              <w:rPr>
                <w:rFonts w:hint="default"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重庆市秀山土家族苗族自治县海洋乡文化服务中心</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37.65</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32.65</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文化旅游体育与传媒支出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20701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文化和旅游</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30.55</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hint="default"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2070109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群众文化</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2070199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其他文化和旅游支出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hint="default"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hint="default" w:ascii="Times New Roman" w:hAnsi="Times New Roman"/>
                <w:color w:val="000000"/>
                <w:sz w:val="20"/>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hint="default"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重庆市秀山土家族苗族自治县海洋乡文化服务中心</w:t>
            </w: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29.64</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12.55</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29.64</w:t>
            </w:r>
            <w:r>
              <w:rPr>
                <w:rFonts w:hint="default"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hint="default" w:ascii="Times New Roman" w:hAnsi="Times New Roman"/>
                <w:color w:val="000000"/>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重庆市秀山土家族苗族自治县海洋乡文化服务中心</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重庆市秀山土家族苗族自治县海洋乡文化服务中心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9"/>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Layout w:type="fixed"/>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p>
        </w:tc>
        <w:tc>
          <w:tcPr>
            <w:tcW w:w="216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olor w:val="000000"/>
                <w:sz w:val="20"/>
                <w:szCs w:val="20"/>
              </w:rPr>
            </w:pPr>
          </w:p>
        </w:tc>
        <w:tc>
          <w:tcPr>
            <w:tcW w:w="2115"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olor w:val="000000"/>
                <w:sz w:val="20"/>
                <w:szCs w:val="20"/>
              </w:rPr>
            </w:pPr>
          </w:p>
        </w:tc>
        <w:tc>
          <w:tcPr>
            <w:tcW w:w="4524"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p>
        </w:tc>
        <w:tc>
          <w:tcPr>
            <w:tcW w:w="215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公开09表</w:t>
            </w:r>
          </w:p>
        </w:tc>
      </w:tr>
      <w:tr>
        <w:tblPrEx>
          <w:tblLayout w:type="fixed"/>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公开单位</w:t>
            </w:r>
            <w:r>
              <w:rPr>
                <w:rFonts w:hint="default" w:ascii="Times New Roman" w:hAnsi="Times New Roman"/>
                <w:color w:val="000000"/>
                <w:sz w:val="20"/>
                <w:szCs w:val="20"/>
              </w:rPr>
              <w:t xml:space="preserve">： </w:t>
            </w:r>
            <w:r>
              <w:rPr>
                <w:rFonts w:hint="default" w:ascii="Times New Roman" w:hAnsi="Times New Roman"/>
                <w:color w:val="000000"/>
                <w:sz w:val="20"/>
              </w:rPr>
              <w:t>重庆市秀山土家族苗族自治县海洋乡文化服务中心</w:t>
            </w:r>
          </w:p>
        </w:tc>
        <w:tc>
          <w:tcPr>
            <w:tcW w:w="211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olor w:val="000000"/>
                <w:sz w:val="20"/>
                <w:szCs w:val="20"/>
              </w:rPr>
            </w:pPr>
          </w:p>
        </w:tc>
        <w:tc>
          <w:tcPr>
            <w:tcW w:w="45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olor w:val="000000"/>
                <w:sz w:val="20"/>
                <w:szCs w:val="20"/>
              </w:rPr>
            </w:pPr>
          </w:p>
        </w:tc>
        <w:tc>
          <w:tcPr>
            <w:tcW w:w="215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6"/>
                <w:szCs w:val="16"/>
              </w:rPr>
            </w:pPr>
            <w:r>
              <w:rPr>
                <w:rFonts w:hint="default" w:ascii="Times New Roman" w:hAnsi="Times New Roman"/>
                <w:b/>
                <w:color w:val="000000"/>
                <w:sz w:val="16"/>
                <w:szCs w:val="16"/>
              </w:rPr>
              <w:t>决算数</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szCs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r>
      <w:tr>
        <w:tblPrEx>
          <w:tblLayout w:type="fixed"/>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olor w:val="000000"/>
                <w:sz w:val="16"/>
                <w:szCs w:val="16"/>
              </w:rPr>
            </w:pPr>
          </w:p>
        </w:tc>
      </w:tr>
      <w:tr>
        <w:tblPrEx>
          <w:tblLayout w:type="fixed"/>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olor w:val="000000"/>
                <w:sz w:val="16"/>
                <w:szCs w:val="16"/>
              </w:rPr>
            </w:pPr>
            <w:r>
              <w:rPr>
                <w:rFonts w:hint="default" w:ascii="Times New Roman" w:hAnsi="Times New Roman"/>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olor w:val="000000"/>
                <w:sz w:val="16"/>
                <w:szCs w:val="16"/>
              </w:rPr>
            </w:pPr>
            <w:r>
              <w:rPr>
                <w:rFonts w:hint="default" w:ascii="Times New Roman" w:hAnsi="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olor w:val="000000"/>
                <w:sz w:val="16"/>
                <w:szCs w:val="16"/>
              </w:rPr>
            </w:pPr>
            <w:r>
              <w:rPr>
                <w:rFonts w:hint="default" w:ascii="Times New Roman" w:hAnsi="Times New Roman"/>
                <w:color w:val="000000"/>
                <w:sz w:val="16"/>
                <w:szCs w:val="16"/>
              </w:rPr>
              <w:t>0.10</w:t>
            </w:r>
            <w:r>
              <w:rPr>
                <w:rFonts w:hint="default" w:ascii="Times New Roman" w:hAnsi="Times New Roman"/>
                <w:color w:val="000000"/>
                <w:sz w:val="16"/>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olor w:val="000000"/>
                <w:sz w:val="16"/>
                <w:szCs w:val="16"/>
              </w:rPr>
            </w:pPr>
          </w:p>
        </w:tc>
      </w:tr>
    </w:tbl>
    <w:p>
      <w:pPr>
        <w:rPr>
          <w:rFonts w:hint="default" w:ascii="Times New Roman" w:hAnsi="Times New Roman"/>
          <w:sz w:val="21"/>
          <w:szCs w:val="21"/>
        </w:rPr>
      </w:pPr>
      <w:r>
        <w:rPr>
          <w:rFonts w:hint="default" w:ascii="Times New Roman" w:hAnsi="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63DEA"/>
    <w:rsid w:val="001D3BB7"/>
    <w:rsid w:val="00212A04"/>
    <w:rsid w:val="00225E70"/>
    <w:rsid w:val="002A0CFA"/>
    <w:rsid w:val="002B254B"/>
    <w:rsid w:val="002E68D6"/>
    <w:rsid w:val="003E42FE"/>
    <w:rsid w:val="00466C9B"/>
    <w:rsid w:val="00474E7A"/>
    <w:rsid w:val="00550ABE"/>
    <w:rsid w:val="006825A0"/>
    <w:rsid w:val="006B5D72"/>
    <w:rsid w:val="006E3D19"/>
    <w:rsid w:val="00752F22"/>
    <w:rsid w:val="00770383"/>
    <w:rsid w:val="007819D4"/>
    <w:rsid w:val="007B419D"/>
    <w:rsid w:val="007B7C4B"/>
    <w:rsid w:val="007D3D39"/>
    <w:rsid w:val="0088641A"/>
    <w:rsid w:val="008F5A00"/>
    <w:rsid w:val="00994AF7"/>
    <w:rsid w:val="009B67B8"/>
    <w:rsid w:val="009D2B67"/>
    <w:rsid w:val="00A566F9"/>
    <w:rsid w:val="00AD30E1"/>
    <w:rsid w:val="00AE7619"/>
    <w:rsid w:val="00AF2751"/>
    <w:rsid w:val="00B03A87"/>
    <w:rsid w:val="00B03CCD"/>
    <w:rsid w:val="00BA3403"/>
    <w:rsid w:val="00BE29E0"/>
    <w:rsid w:val="00BE2B89"/>
    <w:rsid w:val="00C10E9E"/>
    <w:rsid w:val="00C20C3E"/>
    <w:rsid w:val="00CC2514"/>
    <w:rsid w:val="00CF7862"/>
    <w:rsid w:val="00E525D6"/>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243625"/>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546CCA"/>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1907</Words>
  <Characters>10871</Characters>
  <Lines>90</Lines>
  <Paragraphs>25</Paragraphs>
  <TotalTime>3</TotalTime>
  <ScaleCrop>false</ScaleCrop>
  <LinksUpToDate>false</LinksUpToDate>
  <CharactersWithSpaces>12753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2024-09-23T12:05:45Z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