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default" w:ascii="Times New Roman" w:hAnsi="Times New Roman" w:eastAsia="方正小标宋_GBK" w:cs="Times New Roman"/>
          <w:sz w:val="40"/>
          <w:szCs w:val="40"/>
          <w:lang w:eastAsia="zh-CN"/>
        </w:rPr>
      </w:pPr>
      <w:r>
        <w:rPr>
          <w:rFonts w:hint="eastAsia" w:ascii="Times New Roman" w:hAnsi="Times New Roman" w:eastAsia="方正小标宋_GBK" w:cs="Times New Roman"/>
          <w:sz w:val="40"/>
          <w:szCs w:val="40"/>
          <w:lang w:eastAsia="zh-CN"/>
        </w:rPr>
        <w:t>重庆市</w:t>
      </w:r>
      <w:r>
        <w:rPr>
          <w:rFonts w:hint="default" w:ascii="Times New Roman" w:hAnsi="Times New Roman" w:eastAsia="方正小标宋_GBK" w:cs="Times New Roman"/>
          <w:sz w:val="40"/>
          <w:szCs w:val="40"/>
          <w:lang w:eastAsia="zh-CN"/>
        </w:rPr>
        <w:t>秀山土家族苗族自治县宋农镇劳动就业和社会保障服务所2023年度决算公开说明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line="600" w:lineRule="exact"/>
        <w:jc w:val="center"/>
        <w:textAlignment w:val="auto"/>
        <w:outlineLvl w:val="9"/>
        <w:rPr>
          <w:rFonts w:hint="default" w:ascii="Times New Roman" w:hAnsi="Times New Roman" w:eastAsia="方正小标宋_GBK" w:cs="Times New Roman"/>
          <w:sz w:val="44"/>
          <w:szCs w:val="44"/>
          <w:lang w:eastAsia="zh-CN"/>
        </w:rPr>
      </w:pPr>
      <w:bookmarkStart w:id="0" w:name="_GoBack"/>
      <w:bookmarkEnd w:id="0"/>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一、单位基本情况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（一）职能职责</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lang w:eastAsia="zh-CN"/>
        </w:rPr>
        <w:t>贯彻执行法律、法规、规章和县人民政府的决策部署、依法管理本辖区内公共事务，创新经济社会发展环境，为经济社会发展提供良好发展空间和便捷服务，重点履行社会管理和公共服务职能，促进辖区物质文明、精神文明和政治文明建设协调发展。承办县委、县政府交办的其他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承担就业、再就业、农村富余劳动力转移，劳动和社会保障、城镇居民最低生活保障、社保救济、医疗保障服务等社会保障相关具体工作。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二、单位决算情况说明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 w:cs="方正仿宋"/>
          <w:b/>
          <w:bCs/>
          <w:i w:val="0"/>
          <w:caps w:val="0"/>
          <w:color w:val="333333"/>
          <w:spacing w:val="0"/>
          <w:sz w:val="32"/>
          <w:szCs w:val="32"/>
          <w:shd w:val="clear" w:fill="FFFFFF"/>
          <w:lang w:val="en-US" w:eastAsia="zh-CN"/>
        </w:rPr>
        <w:t>1.总体情况。</w:t>
      </w:r>
      <w:r>
        <w:rPr>
          <w:rFonts w:hint="default" w:ascii="Times New Roman" w:hAnsi="Times New Roman" w:eastAsia="方正仿宋_GBK" w:cs="Times New Roman"/>
          <w:sz w:val="32"/>
          <w:szCs w:val="32"/>
          <w:shd w:val="clear" w:color="auto" w:fill="FFFFFF"/>
        </w:rPr>
        <w:t>2023年度收入总计100.01万元，支出总计</w:t>
      </w:r>
      <w:r>
        <w:rPr>
          <w:rFonts w:hint="default" w:ascii="Times New Roman" w:hAnsi="Times New Roman" w:eastAsia="方正仿宋_GBK" w:cs="Times New Roman"/>
          <w:sz w:val="32"/>
          <w:szCs w:val="32"/>
        </w:rPr>
        <w:t>100.01</w:t>
      </w:r>
      <w:r>
        <w:rPr>
          <w:rFonts w:hint="default" w:ascii="Times New Roman" w:hAnsi="Times New Roman" w:eastAsia="方正仿宋_GBK" w:cs="Times New Roman"/>
          <w:sz w:val="32"/>
          <w:szCs w:val="32"/>
          <w:shd w:val="clear" w:color="auto" w:fill="FFFFFF"/>
        </w:rPr>
        <w:t>万元。收支较上年决算数增加100.01万元，增长100.00%，主要原因是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 w:cs="方正仿宋"/>
          <w:b/>
          <w:bCs/>
          <w:i w:val="0"/>
          <w:caps w:val="0"/>
          <w:color w:val="333333"/>
          <w:spacing w:val="0"/>
          <w:sz w:val="32"/>
          <w:szCs w:val="32"/>
          <w:shd w:val="clear" w:fill="FFFFFF"/>
          <w:lang w:val="en-US" w:eastAsia="zh-CN"/>
        </w:rPr>
        <w:t>2.收入情况。</w:t>
      </w:r>
      <w:r>
        <w:rPr>
          <w:rFonts w:hint="default" w:ascii="Times New Roman" w:hAnsi="Times New Roman" w:eastAsia="方正仿宋_GBK" w:cs="Times New Roman"/>
          <w:sz w:val="32"/>
          <w:szCs w:val="32"/>
          <w:shd w:val="clear" w:color="auto" w:fill="FFFFFF"/>
        </w:rPr>
        <w:t>2023年度收入合计100.01万元，较上年决算数增加100.01万元，增长100.00%，主要原因是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100.01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 w:cs="方正仿宋"/>
          <w:b/>
          <w:bCs/>
          <w:i w:val="0"/>
          <w:caps w:val="0"/>
          <w:color w:val="333333"/>
          <w:spacing w:val="0"/>
          <w:sz w:val="32"/>
          <w:szCs w:val="32"/>
          <w:shd w:val="clear" w:fill="FFFFFF"/>
          <w:lang w:val="en-US" w:eastAsia="zh-CN"/>
        </w:rPr>
        <w:t>3.支出情况。</w:t>
      </w:r>
      <w:r>
        <w:rPr>
          <w:rFonts w:hint="default" w:ascii="Times New Roman" w:hAnsi="Times New Roman" w:eastAsia="方正仿宋_GBK" w:cs="Times New Roman"/>
          <w:sz w:val="32"/>
          <w:szCs w:val="32"/>
          <w:shd w:val="clear" w:color="auto" w:fill="FFFFFF"/>
        </w:rPr>
        <w:t>2023年度支出合计</w:t>
      </w:r>
      <w:r>
        <w:rPr>
          <w:rFonts w:hint="default" w:ascii="Times New Roman" w:hAnsi="Times New Roman" w:eastAsia="方正仿宋_GBK" w:cs="Times New Roman"/>
          <w:sz w:val="32"/>
          <w:szCs w:val="32"/>
        </w:rPr>
        <w:t>100.01</w:t>
      </w:r>
      <w:r>
        <w:rPr>
          <w:rFonts w:hint="default" w:ascii="Times New Roman" w:hAnsi="Times New Roman" w:eastAsia="方正仿宋_GBK" w:cs="Times New Roman"/>
          <w:sz w:val="32"/>
          <w:szCs w:val="32"/>
          <w:shd w:val="clear" w:color="auto" w:fill="FFFFFF"/>
        </w:rPr>
        <w:t>万元，较上年决算数增加100.01万元，增长100.00%，主要原因是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44.36</w:t>
      </w:r>
      <w:r>
        <w:rPr>
          <w:rFonts w:hint="default" w:ascii="Times New Roman" w:hAnsi="Times New Roman" w:eastAsia="方正仿宋_GBK" w:cs="Times New Roman"/>
          <w:sz w:val="32"/>
          <w:szCs w:val="32"/>
          <w:shd w:val="clear" w:color="auto" w:fill="FFFFFF"/>
        </w:rPr>
        <w:t>万元，占44.36%；项目支出</w:t>
      </w:r>
      <w:r>
        <w:rPr>
          <w:rFonts w:hint="default" w:ascii="Times New Roman" w:hAnsi="Times New Roman" w:eastAsia="方正仿宋_GBK" w:cs="Times New Roman"/>
          <w:sz w:val="32"/>
          <w:szCs w:val="32"/>
        </w:rPr>
        <w:t>55.65</w:t>
      </w:r>
      <w:r>
        <w:rPr>
          <w:rFonts w:hint="default" w:ascii="Times New Roman" w:hAnsi="Times New Roman" w:eastAsia="方正仿宋_GBK" w:cs="Times New Roman"/>
          <w:sz w:val="32"/>
          <w:szCs w:val="32"/>
          <w:shd w:val="clear" w:color="auto" w:fill="FFFFFF"/>
        </w:rPr>
        <w:t>万元，占55.64%；经营支出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 w:cs="方正仿宋"/>
          <w:b/>
          <w:bCs/>
          <w:i w:val="0"/>
          <w:caps w:val="0"/>
          <w:color w:val="333333"/>
          <w:spacing w:val="0"/>
          <w:sz w:val="32"/>
          <w:szCs w:val="32"/>
          <w:shd w:val="clear" w:fill="FFFFFF"/>
          <w:lang w:val="en-US" w:eastAsia="zh-CN"/>
        </w:rPr>
        <w:t>4.结转结余情况。</w:t>
      </w:r>
      <w:r>
        <w:rPr>
          <w:rFonts w:hint="default" w:ascii="Times New Roman" w:hAnsi="Times New Roman" w:eastAsia="方正仿宋_GBK" w:cs="Times New Roman"/>
          <w:sz w:val="32"/>
          <w:szCs w:val="32"/>
          <w:shd w:val="clear" w:color="auto" w:fill="FFFFFF"/>
        </w:rPr>
        <w:t>2023年度年末结转和结余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2023年度财政拨款收、支总计100.01万元。与2022年相比，财政拨款收、支总计各增加100.01万元，增长100.00%。主要原因是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 w:cs="方正仿宋"/>
          <w:b/>
          <w:bCs/>
          <w:i w:val="0"/>
          <w:caps w:val="0"/>
          <w:color w:val="333333"/>
          <w:spacing w:val="0"/>
          <w:sz w:val="32"/>
          <w:szCs w:val="32"/>
          <w:shd w:val="clear" w:fill="FFFFFF"/>
          <w:lang w:val="en-US" w:eastAsia="zh-CN"/>
        </w:rPr>
        <w:t>1.收入情况。</w:t>
      </w:r>
      <w:r>
        <w:rPr>
          <w:rFonts w:hint="default" w:ascii="Times New Roman" w:hAnsi="Times New Roman" w:eastAsia="方正仿宋_GBK" w:cs="Times New Roman"/>
          <w:sz w:val="32"/>
          <w:szCs w:val="32"/>
          <w:shd w:val="clear" w:color="auto" w:fill="FFFFFF"/>
        </w:rPr>
        <w:t>2023年度一般公共预算财政拨款收入</w:t>
      </w:r>
      <w:r>
        <w:rPr>
          <w:rFonts w:hint="default" w:ascii="Times New Roman" w:hAnsi="Times New Roman" w:eastAsia="方正仿宋_GBK" w:cs="Times New Roman"/>
          <w:sz w:val="32"/>
          <w:szCs w:val="32"/>
        </w:rPr>
        <w:t>91.44</w:t>
      </w:r>
      <w:r>
        <w:rPr>
          <w:rFonts w:hint="default" w:ascii="Times New Roman" w:hAnsi="Times New Roman" w:eastAsia="方正仿宋_GBK" w:cs="Times New Roman"/>
          <w:sz w:val="32"/>
          <w:szCs w:val="32"/>
          <w:shd w:val="clear" w:color="auto" w:fill="FFFFFF"/>
        </w:rPr>
        <w:t>万元，较上年决算数增加91.44万元，增长100.00%。主要原因是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w:t>
      </w:r>
      <w:r>
        <w:rPr>
          <w:rFonts w:hint="default" w:ascii="Times New Roman" w:hAnsi="Times New Roman" w:eastAsia="方正仿宋_GBK" w:cs="Times New Roman"/>
          <w:sz w:val="32"/>
          <w:szCs w:val="32"/>
          <w:shd w:val="clear" w:color="auto" w:fill="FFFFFF"/>
        </w:rPr>
        <w:t>较年初预算数增加45.84万元，增长100.53%。主</w:t>
      </w:r>
      <w:r>
        <w:rPr>
          <w:rFonts w:hint="default" w:ascii="Times New Roman" w:hAnsi="Times New Roman" w:eastAsia="方正仿宋_GBK" w:cs="Times New Roman"/>
          <w:sz w:val="32"/>
          <w:szCs w:val="32"/>
          <w:shd w:val="clear" w:color="auto" w:fill="FFFFFF"/>
          <w:lang w:val="en-US" w:eastAsia="zh-CN"/>
        </w:rPr>
        <w:t>要原因是重度残疾人居家托养经费增加、医疗保障能力提升资金等增加，未纳入年初预算。</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 w:cs="方正仿宋"/>
          <w:b/>
          <w:bCs/>
          <w:i w:val="0"/>
          <w:caps w:val="0"/>
          <w:color w:val="333333"/>
          <w:spacing w:val="0"/>
          <w:sz w:val="32"/>
          <w:szCs w:val="32"/>
          <w:shd w:val="clear" w:fill="FFFFFF"/>
          <w:lang w:val="en-US" w:eastAsia="zh-CN"/>
        </w:rPr>
        <w:t>2.支出情况。</w:t>
      </w:r>
      <w:r>
        <w:rPr>
          <w:rFonts w:hint="default" w:ascii="Times New Roman" w:hAnsi="Times New Roman" w:eastAsia="方正仿宋_GBK" w:cs="Times New Roman"/>
          <w:sz w:val="32"/>
          <w:szCs w:val="32"/>
          <w:shd w:val="clear" w:color="auto" w:fill="FFFFFF"/>
        </w:rPr>
        <w:t>2023年度一般公共预算财政拨款支出</w:t>
      </w:r>
      <w:r>
        <w:rPr>
          <w:rFonts w:hint="default" w:ascii="Times New Roman" w:hAnsi="Times New Roman" w:eastAsia="方正仿宋_GBK" w:cs="Times New Roman"/>
          <w:sz w:val="32"/>
          <w:szCs w:val="32"/>
        </w:rPr>
        <w:t>91.44</w:t>
      </w:r>
      <w:r>
        <w:rPr>
          <w:rFonts w:hint="default" w:ascii="Times New Roman" w:hAnsi="Times New Roman" w:eastAsia="方正仿宋_GBK" w:cs="Times New Roman"/>
          <w:sz w:val="32"/>
          <w:szCs w:val="32"/>
          <w:shd w:val="clear" w:color="auto" w:fill="FFFFFF"/>
        </w:rPr>
        <w:t>万元，较上年决算数增加91.44万元，增长100.00%。主要原因是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w:t>
      </w:r>
      <w:r>
        <w:rPr>
          <w:rFonts w:hint="default" w:ascii="Times New Roman" w:hAnsi="Times New Roman" w:eastAsia="方正仿宋_GBK" w:cs="Times New Roman"/>
          <w:sz w:val="32"/>
          <w:szCs w:val="32"/>
          <w:shd w:val="clear" w:color="auto" w:fill="FFFFFF"/>
        </w:rPr>
        <w:t>较年初预算数增加26.72万元，增长41.29%。</w:t>
      </w:r>
      <w:r>
        <w:rPr>
          <w:rFonts w:hint="default" w:ascii="Times New Roman" w:hAnsi="Times New Roman" w:eastAsia="方正仿宋" w:cs="Times New Roman"/>
          <w:b w:val="0"/>
          <w:bCs w:val="0"/>
          <w:i w:val="0"/>
          <w:caps w:val="0"/>
          <w:color w:val="333333"/>
          <w:spacing w:val="0"/>
          <w:sz w:val="32"/>
          <w:szCs w:val="32"/>
          <w:shd w:val="clear" w:fill="FFFFFF"/>
          <w:lang w:val="en-US" w:eastAsia="zh-CN"/>
        </w:rPr>
        <w:t>主要原因是人员政策性增资、优抚对象补贴增加等。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 w:cs="方正仿宋"/>
          <w:b/>
          <w:bCs/>
          <w:i w:val="0"/>
          <w:caps w:val="0"/>
          <w:color w:val="333333"/>
          <w:spacing w:val="0"/>
          <w:sz w:val="32"/>
          <w:szCs w:val="32"/>
          <w:shd w:val="clear" w:fill="FFFFFF"/>
          <w:lang w:val="en-US" w:eastAsia="zh-CN"/>
        </w:rPr>
        <w:t>3.结转结余情况。</w:t>
      </w:r>
      <w:r>
        <w:rPr>
          <w:rFonts w:hint="default" w:ascii="Times New Roman" w:hAnsi="Times New Roman" w:eastAsia="方正仿宋_GBK" w:cs="Times New Roman"/>
          <w:sz w:val="32"/>
          <w:szCs w:val="32"/>
          <w:shd w:val="clear" w:color="auto" w:fill="FFFFFF"/>
        </w:rPr>
        <w:t>2023年度年末一般公共预算财政拨款结转和结余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Fonts w:hint="default" w:ascii="Times New Roman" w:hAnsi="Times New Roman" w:eastAsia="方正仿宋" w:cs="方正仿宋"/>
          <w:b/>
          <w:bCs/>
          <w:i w:val="0"/>
          <w:caps w:val="0"/>
          <w:color w:val="333333"/>
          <w:spacing w:val="0"/>
          <w:sz w:val="32"/>
          <w:szCs w:val="32"/>
          <w:shd w:val="clear" w:fill="FFFFFF"/>
          <w:lang w:val="en-US" w:eastAsia="zh-CN"/>
        </w:rPr>
        <w:t>4.比较情况。</w:t>
      </w:r>
      <w:r>
        <w:rPr>
          <w:rFonts w:hint="default" w:ascii="Times New Roman" w:hAnsi="Times New Roman" w:eastAsia="方正仿宋_GBK" w:cs="Times New Roman"/>
          <w:sz w:val="32"/>
          <w:szCs w:val="32"/>
          <w:shd w:val="clear" w:color="auto" w:fill="FFFFFF"/>
        </w:rPr>
        <w:t>本单位2023年度一般公共预算财政拨款支出主要用于以下几个方面：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78.09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85.40</w:t>
      </w:r>
      <w:r>
        <w:rPr>
          <w:rFonts w:hint="default" w:ascii="Times New Roman" w:hAnsi="Times New Roman" w:eastAsia="方正仿宋_GBK" w:cs="Times New Roman"/>
          <w:sz w:val="32"/>
          <w:szCs w:val="32"/>
          <w:shd w:val="clear" w:color="auto" w:fill="FFFFFF"/>
        </w:rPr>
        <w:t>%，较年初预算数增加21.47万元，增长37.92%，主要原因是</w:t>
      </w:r>
      <w:r>
        <w:rPr>
          <w:rFonts w:hint="default" w:ascii="Times New Roman" w:hAnsi="Times New Roman" w:eastAsia="方正仿宋_GBK" w:cs="Times New Roman"/>
          <w:sz w:val="32"/>
          <w:szCs w:val="32"/>
          <w:shd w:val="clear" w:color="auto" w:fill="FFFFFF"/>
          <w:lang w:eastAsia="zh-CN"/>
        </w:rPr>
        <w:t>人员增减变动。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9.89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10.82</w:t>
      </w:r>
      <w:r>
        <w:rPr>
          <w:rFonts w:hint="default" w:ascii="Times New Roman" w:hAnsi="Times New Roman" w:eastAsia="方正仿宋_GBK" w:cs="Times New Roman"/>
          <w:sz w:val="32"/>
          <w:szCs w:val="32"/>
          <w:shd w:val="clear" w:color="auto" w:fill="FFFFFF"/>
        </w:rPr>
        <w:t>%，较年初预算数增加5.24万元，增长112.69%，主要原因是</w:t>
      </w:r>
      <w:r>
        <w:rPr>
          <w:rFonts w:hint="default" w:ascii="Times New Roman" w:hAnsi="Times New Roman" w:eastAsia="方正仿宋_GBK" w:cs="Times New Roman"/>
          <w:sz w:val="32"/>
          <w:szCs w:val="32"/>
          <w:shd w:val="clear" w:color="auto" w:fill="FFFFFF"/>
          <w:lang w:eastAsia="zh-CN"/>
        </w:rPr>
        <w:t>人员增减变动。</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住房保障支出3.46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3.78</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2023年度一般公共财政拨款基本支出</w:t>
      </w:r>
      <w:r>
        <w:rPr>
          <w:rFonts w:hint="default" w:ascii="Times New Roman" w:hAnsi="Times New Roman" w:eastAsia="方正仿宋_GBK" w:cs="Times New Roman"/>
          <w:sz w:val="32"/>
          <w:szCs w:val="32"/>
        </w:rPr>
        <w:t>44.36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41.20</w:t>
      </w:r>
      <w:r>
        <w:rPr>
          <w:rFonts w:hint="default" w:ascii="Times New Roman" w:hAnsi="Times New Roman" w:eastAsia="方正仿宋_GBK" w:cs="Times New Roman"/>
          <w:sz w:val="32"/>
          <w:szCs w:val="32"/>
          <w:shd w:val="clear" w:color="auto" w:fill="FFFFFF"/>
        </w:rPr>
        <w:t>万元，较上年决算数增加41.20万元，增长100.00%，主要原因是</w:t>
      </w:r>
      <w:r>
        <w:rPr>
          <w:rFonts w:hint="default" w:ascii="Times New Roman" w:hAnsi="Times New Roman" w:eastAsia="方正仿宋_GBK" w:cs="Times New Roman"/>
          <w:sz w:val="32"/>
          <w:szCs w:val="32"/>
          <w:shd w:val="clear" w:color="auto" w:fill="FFFFFF"/>
          <w:lang w:eastAsia="zh-CN"/>
        </w:rPr>
        <w:t>人员增减变动</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人</w:t>
      </w:r>
      <w:r>
        <w:rPr>
          <w:rFonts w:hint="default" w:ascii="Times New Roman" w:hAnsi="Times New Roman" w:eastAsia="方正仿宋" w:cs="Times New Roman"/>
          <w:b w:val="0"/>
          <w:bCs w:val="0"/>
          <w:i w:val="0"/>
          <w:caps w:val="0"/>
          <w:color w:val="333333"/>
          <w:spacing w:val="0"/>
          <w:sz w:val="32"/>
          <w:szCs w:val="32"/>
          <w:shd w:val="clear" w:fill="FFFFFF"/>
          <w:lang w:val="en-US" w:eastAsia="zh-CN"/>
        </w:rPr>
        <w:t>员经费用途主要包括基本工资、津贴补贴、社会保障缴费等。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3.16</w:t>
      </w:r>
      <w:r>
        <w:rPr>
          <w:rFonts w:hint="default" w:ascii="Times New Roman" w:hAnsi="Times New Roman" w:eastAsia="方正仿宋_GBK" w:cs="Times New Roman"/>
          <w:sz w:val="32"/>
          <w:szCs w:val="32"/>
          <w:shd w:val="clear" w:color="auto" w:fill="FFFFFF"/>
        </w:rPr>
        <w:t>万元，较上年决算数增加3.16万元，增长100.00%，主要原因是</w:t>
      </w:r>
      <w:r>
        <w:rPr>
          <w:rFonts w:hint="default" w:ascii="Times New Roman" w:hAnsi="Times New Roman" w:eastAsia="方正仿宋_GBK" w:cs="Times New Roman"/>
          <w:sz w:val="32"/>
          <w:szCs w:val="32"/>
          <w:shd w:val="clear" w:color="auto" w:fill="FFFFFF"/>
          <w:lang w:eastAsia="zh-CN"/>
        </w:rPr>
        <w:t>办公费、邮电费、商品和服务支出等增加</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FF0000"/>
          <w:sz w:val="32"/>
          <w:szCs w:val="32"/>
          <w:shd w:val="clear" w:color="auto" w:fill="FFFFFF"/>
        </w:rPr>
        <w:t>。</w:t>
      </w:r>
      <w:r>
        <w:rPr>
          <w:rFonts w:hint="default" w:ascii="Times New Roman" w:hAnsi="Times New Roman" w:eastAsia="方正仿宋" w:cs="Times New Roman"/>
          <w:b w:val="0"/>
          <w:bCs w:val="0"/>
          <w:i w:val="0"/>
          <w:caps w:val="0"/>
          <w:color w:val="333333"/>
          <w:spacing w:val="0"/>
          <w:sz w:val="32"/>
          <w:szCs w:val="32"/>
          <w:shd w:val="clear" w:fill="FFFFFF"/>
          <w:lang w:val="en-US" w:eastAsia="zh-CN"/>
        </w:rPr>
        <w:t>公用经费用途主要包括办公费、印刷费、差旅费、电费、水费等。</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8.57</w:t>
      </w:r>
      <w:r>
        <w:rPr>
          <w:rFonts w:hint="default" w:ascii="Times New Roman" w:hAnsi="Times New Roman" w:eastAsia="方正仿宋_GBK" w:cs="Times New Roman"/>
          <w:sz w:val="32"/>
          <w:szCs w:val="32"/>
          <w:shd w:val="clear" w:color="auto" w:fill="FFFFFF"/>
        </w:rPr>
        <w:t>万元，较上年决算数增加8.57万元，增长100.00%，主要原因是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8.57</w:t>
      </w:r>
      <w:r>
        <w:rPr>
          <w:rFonts w:hint="default" w:ascii="Times New Roman" w:hAnsi="Times New Roman" w:eastAsia="方正仿宋_GBK" w:cs="Times New Roman"/>
          <w:sz w:val="32"/>
          <w:szCs w:val="32"/>
          <w:shd w:val="clear" w:color="auto" w:fill="FFFFFF"/>
        </w:rPr>
        <w:t>万元，较上年决算数增加8.57万元，增长100.00%，主要原因是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本单位2023年度无国有资本经营预算财政拨款支出。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三、“三公”经费情况说明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2023年度“三公”经费支出共计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2023年度本单位因公出国（境）费用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w:t>
      </w:r>
      <w:r>
        <w:rPr>
          <w:rFonts w:hint="default" w:ascii="Times New Roman" w:hAnsi="Times New Roman" w:eastAsia="方正仿宋_GBK" w:cs="Times New Roman"/>
          <w:color w:val="auto"/>
          <w:sz w:val="32"/>
          <w:szCs w:val="32"/>
          <w:shd w:val="clear" w:color="auto" w:fill="FFFFFF"/>
        </w:rPr>
        <w:t>行维护费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费用支出较年初预算数无增减。较上年支出数无增减。</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万元，较上年决算数无增减。本年度培训费支出</w:t>
      </w:r>
      <w:r>
        <w:rPr>
          <w:rFonts w:hint="default" w:ascii="Times New Roman" w:hAnsi="Times New Roman" w:eastAsia="方正仿宋_GBK" w:cs="Times New Roman"/>
          <w:sz w:val="32"/>
          <w:szCs w:val="32"/>
        </w:rPr>
        <w:t>0.15</w:t>
      </w:r>
      <w:r>
        <w:rPr>
          <w:rFonts w:hint="default" w:ascii="Times New Roman" w:hAnsi="Times New Roman" w:eastAsia="方正仿宋_GBK" w:cs="Times New Roman"/>
          <w:sz w:val="32"/>
          <w:szCs w:val="32"/>
          <w:shd w:val="clear" w:color="auto" w:fill="FFFFFF"/>
        </w:rPr>
        <w:t>万元，较上年决算数增加0.15万元，增长100.00%，主要原因是</w:t>
      </w:r>
      <w:r>
        <w:rPr>
          <w:rFonts w:hint="default" w:ascii="Times New Roman" w:hAnsi="Times New Roman" w:eastAsia="方正仿宋_GBK" w:cs="Times New Roman"/>
          <w:sz w:val="32"/>
          <w:szCs w:val="32"/>
          <w:shd w:val="clear" w:color="auto" w:fill="FFFFFF"/>
          <w:lang w:eastAsia="zh-CN"/>
        </w:rPr>
        <w:t>培训会次数增加。</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（二）机关运行经费情况说明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按照部门决算填报口径，我单位不在机关运行经费统计范围之内。</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截至2023年12月31日，本单位共有车辆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宋体"/>
          <w:kern w:val="0"/>
          <w:sz w:val="32"/>
          <w:szCs w:val="32"/>
          <w:lang w:val="en-US" w:eastAsia="zh-CN" w:bidi="ar-SA"/>
        </w:rPr>
        <w:t>我单位属于</w:t>
      </w:r>
      <w:r>
        <w:rPr>
          <w:rFonts w:hint="eastAsia" w:ascii="Times New Roman" w:hAnsi="Times New Roman" w:eastAsia="方正仿宋_GBK" w:cs="宋体"/>
          <w:kern w:val="0"/>
          <w:sz w:val="32"/>
          <w:szCs w:val="32"/>
          <w:lang w:val="en-US" w:eastAsia="zh-CN" w:bidi="ar-SA"/>
        </w:rPr>
        <w:t>宋农</w:t>
      </w:r>
      <w:r>
        <w:rPr>
          <w:rFonts w:hint="default" w:ascii="Times New Roman" w:hAnsi="Times New Roman" w:eastAsia="方正仿宋_GBK" w:cs="宋体"/>
          <w:kern w:val="0"/>
          <w:sz w:val="32"/>
          <w:szCs w:val="32"/>
          <w:lang w:val="en-US" w:eastAsia="zh-CN" w:bidi="ar-SA"/>
        </w:rPr>
        <w:t>镇人民政府的下属二级单位，资产全部纳入政府本级填报。</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2023年度我单位未发生政府采购事项，无相关经费支出。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rPr>
      </w:pPr>
      <w:r>
        <w:rPr>
          <w:rStyle w:val="8"/>
          <w:rFonts w:hint="eastAsia" w:ascii="Times New Roman" w:hAnsi="Times New Roman" w:eastAsia="方正黑体_GBK" w:cs="Times New Roman"/>
          <w:b w:val="0"/>
          <w:bCs/>
          <w:sz w:val="32"/>
          <w:szCs w:val="32"/>
          <w:shd w:val="clear" w:color="auto" w:fill="FFFFFF"/>
          <w:lang w:eastAsia="zh-CN"/>
        </w:rPr>
        <w:t>五、</w:t>
      </w:r>
      <w:r>
        <w:rPr>
          <w:rStyle w:val="8"/>
          <w:rFonts w:hint="default" w:ascii="Times New Roman" w:hAnsi="Times New Roman" w:eastAsia="方正黑体_GBK" w:cs="Times New Roman"/>
          <w:b w:val="0"/>
          <w:bCs/>
          <w:sz w:val="32"/>
          <w:szCs w:val="32"/>
          <w:shd w:val="clear" w:color="auto" w:fill="FFFFFF"/>
        </w:rPr>
        <w:t>预算绩效管理情况说明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（一）单位自评情况</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58.13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kern w:val="2"/>
          <w:sz w:val="32"/>
          <w:szCs w:val="32"/>
          <w:lang w:val="en-US" w:eastAsia="zh-CN" w:bidi="ar-SA"/>
        </w:rPr>
        <w:t>2023年项目支出绩效自评表（二级项目）详见附件1。</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（二）单位绩效评价情况</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我单位对</w:t>
      </w:r>
      <w:r>
        <w:rPr>
          <w:rFonts w:hint="eastAsia" w:ascii="Times New Roman" w:hAnsi="Times New Roman" w:eastAsia="方正仿宋_GBK" w:cs="Times New Roman"/>
          <w:sz w:val="32"/>
          <w:szCs w:val="32"/>
          <w:shd w:val="clear" w:color="auto" w:fill="FFFFFF"/>
          <w:lang w:val="en-US" w:eastAsia="zh-CN"/>
        </w:rPr>
        <w:t>村（居）/社区助残联络员工作补贴</w:t>
      </w:r>
      <w:r>
        <w:rPr>
          <w:rFonts w:hint="default" w:ascii="Times New Roman" w:hAnsi="Times New Roman" w:eastAsia="方正仿宋_GBK" w:cs="Times New Roman"/>
          <w:sz w:val="32"/>
          <w:szCs w:val="32"/>
          <w:shd w:val="clear" w:color="auto" w:fill="FFFFFF"/>
        </w:rPr>
        <w:t>开展了绩效评价，涉及财政拨款项目资金</w:t>
      </w:r>
      <w:r>
        <w:rPr>
          <w:rFonts w:hint="eastAsia" w:ascii="Times New Roman" w:hAnsi="Times New Roman" w:eastAsia="方正仿宋_GBK" w:cs="Times New Roman"/>
          <w:sz w:val="32"/>
          <w:szCs w:val="32"/>
          <w:shd w:val="clear" w:color="auto" w:fill="FFFFFF"/>
          <w:lang w:val="en-US" w:eastAsia="zh-CN"/>
        </w:rPr>
        <w:t>1.44</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90</w:t>
      </w:r>
      <w:r>
        <w:rPr>
          <w:rFonts w:hint="default" w:ascii="Times New Roman" w:hAnsi="Times New Roman" w:eastAsia="方正仿宋_GBK" w:cs="Times New Roman"/>
          <w:sz w:val="32"/>
          <w:szCs w:val="32"/>
          <w:shd w:val="clear" w:color="auto" w:fill="FFFFFF"/>
        </w:rPr>
        <w:t>分，</w:t>
      </w:r>
      <w:r>
        <w:rPr>
          <w:rFonts w:hint="eastAsia" w:ascii="Times New Roman" w:hAnsi="Times New Roman" w:eastAsia="方正仿宋" w:cs="Times New Roman"/>
          <w:i w:val="0"/>
          <w:caps w:val="0"/>
          <w:color w:val="333333"/>
          <w:spacing w:val="0"/>
          <w:sz w:val="32"/>
          <w:szCs w:val="32"/>
          <w:shd w:val="clear" w:fill="FFFFFF"/>
          <w:lang w:val="en-US" w:eastAsia="zh-CN"/>
        </w:rPr>
        <w:t>评价等次为优，</w:t>
      </w:r>
      <w:r>
        <w:rPr>
          <w:rFonts w:hint="eastAsia" w:ascii="Times New Roman" w:hAnsi="Times New Roman" w:eastAsia="方正仿宋_GBK" w:cs="Times New Roman"/>
          <w:kern w:val="2"/>
          <w:sz w:val="32"/>
          <w:szCs w:val="32"/>
          <w:lang w:val="en-US" w:eastAsia="zh-CN" w:bidi="ar-SA"/>
        </w:rPr>
        <w:t>绩效评价未发现问题；对残疾人数据动态更新工作经费</w:t>
      </w:r>
      <w:r>
        <w:rPr>
          <w:rFonts w:hint="default" w:ascii="Times New Roman" w:hAnsi="Times New Roman" w:eastAsia="方正仿宋_GBK" w:cs="Times New Roman"/>
          <w:sz w:val="32"/>
          <w:szCs w:val="32"/>
          <w:shd w:val="clear" w:color="auto" w:fill="FFFFFF"/>
        </w:rPr>
        <w:t>开展了绩效评价，涉及财政拨款项目资金</w:t>
      </w:r>
      <w:r>
        <w:rPr>
          <w:rFonts w:hint="eastAsia" w:ascii="Times New Roman" w:hAnsi="Times New Roman" w:eastAsia="方正仿宋_GBK" w:cs="Times New Roman"/>
          <w:sz w:val="32"/>
          <w:szCs w:val="32"/>
          <w:shd w:val="clear" w:color="auto" w:fill="FFFFFF"/>
          <w:lang w:val="en-US" w:eastAsia="zh-CN"/>
        </w:rPr>
        <w:t>0.34</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90</w:t>
      </w:r>
      <w:r>
        <w:rPr>
          <w:rFonts w:hint="default" w:ascii="Times New Roman" w:hAnsi="Times New Roman" w:eastAsia="方正仿宋_GBK" w:cs="Times New Roman"/>
          <w:sz w:val="32"/>
          <w:szCs w:val="32"/>
          <w:shd w:val="clear" w:color="auto" w:fill="FFFFFF"/>
        </w:rPr>
        <w:t>分，</w:t>
      </w:r>
      <w:r>
        <w:rPr>
          <w:rFonts w:hint="eastAsia" w:ascii="Times New Roman" w:hAnsi="Times New Roman" w:eastAsia="方正仿宋" w:cs="Times New Roman"/>
          <w:i w:val="0"/>
          <w:caps w:val="0"/>
          <w:color w:val="333333"/>
          <w:spacing w:val="0"/>
          <w:sz w:val="32"/>
          <w:szCs w:val="32"/>
          <w:shd w:val="clear" w:fill="FFFFFF"/>
          <w:lang w:val="en-US" w:eastAsia="zh-CN"/>
        </w:rPr>
        <w:t>评价等次为优，</w:t>
      </w:r>
      <w:r>
        <w:rPr>
          <w:rFonts w:hint="eastAsia" w:ascii="Times New Roman" w:hAnsi="Times New Roman" w:eastAsia="方正仿宋_GBK" w:cs="Times New Roman"/>
          <w:kern w:val="2"/>
          <w:sz w:val="32"/>
          <w:szCs w:val="32"/>
          <w:lang w:val="en-US" w:eastAsia="zh-CN" w:bidi="ar-SA"/>
        </w:rPr>
        <w:t>绩效评价未发现问题。</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eastAsia="zh-CN"/>
        </w:rPr>
        <w:t>对</w:t>
      </w:r>
      <w:r>
        <w:rPr>
          <w:rFonts w:hint="default" w:ascii="Times New Roman" w:hAnsi="Times New Roman" w:eastAsia="方正仿宋_GBK" w:cs="Times New Roman"/>
          <w:sz w:val="32"/>
          <w:szCs w:val="32"/>
          <w:shd w:val="clear" w:color="auto" w:fill="FFFFFF"/>
        </w:rPr>
        <w:t>医疗保障能力提升资金开展了绩效评价，涉及财政拨款项目资金</w:t>
      </w:r>
      <w:r>
        <w:rPr>
          <w:rFonts w:hint="eastAsia" w:ascii="Times New Roman" w:hAnsi="Times New Roman" w:eastAsia="方正仿宋_GBK" w:cs="Times New Roman"/>
          <w:sz w:val="32"/>
          <w:szCs w:val="32"/>
          <w:shd w:val="clear" w:color="auto" w:fill="FFFFFF"/>
          <w:lang w:val="en-US" w:eastAsia="zh-CN"/>
        </w:rPr>
        <w:t>5.24</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90</w:t>
      </w:r>
      <w:r>
        <w:rPr>
          <w:rFonts w:hint="default" w:ascii="Times New Roman" w:hAnsi="Times New Roman" w:eastAsia="方正仿宋_GBK" w:cs="Times New Roman"/>
          <w:sz w:val="32"/>
          <w:szCs w:val="32"/>
          <w:shd w:val="clear" w:color="auto" w:fill="FFFFFF"/>
        </w:rPr>
        <w:t>分，</w:t>
      </w:r>
      <w:r>
        <w:rPr>
          <w:rFonts w:hint="eastAsia" w:ascii="Times New Roman" w:hAnsi="Times New Roman" w:eastAsia="方正仿宋" w:cs="Times New Roman"/>
          <w:i w:val="0"/>
          <w:caps w:val="0"/>
          <w:color w:val="333333"/>
          <w:spacing w:val="0"/>
          <w:sz w:val="32"/>
          <w:szCs w:val="32"/>
          <w:shd w:val="clear" w:fill="FFFFFF"/>
          <w:lang w:val="en-US" w:eastAsia="zh-CN"/>
        </w:rPr>
        <w:t>评价等次为优，</w:t>
      </w:r>
      <w:r>
        <w:rPr>
          <w:rFonts w:hint="eastAsia" w:ascii="Times New Roman" w:hAnsi="Times New Roman" w:eastAsia="方正仿宋_GBK" w:cs="Times New Roman"/>
          <w:kern w:val="2"/>
          <w:sz w:val="32"/>
          <w:szCs w:val="32"/>
          <w:lang w:val="en-US" w:eastAsia="zh-CN" w:bidi="ar-SA"/>
        </w:rPr>
        <w:t>绩效评价未发现问题。</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（三）财政绩效评价情况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县</w:t>
      </w:r>
      <w:r>
        <w:rPr>
          <w:rFonts w:hint="default" w:ascii="Times New Roman" w:hAnsi="Times New Roman" w:eastAsia="方正仿宋_GBK" w:cs="Times New Roman"/>
          <w:sz w:val="32"/>
          <w:szCs w:val="32"/>
          <w:shd w:val="clear" w:color="auto" w:fill="FFFFFF"/>
          <w:lang w:val="en-US" w:eastAsia="zh-CN" w:bidi="ar-SA"/>
        </w:rPr>
        <w:t>财政局未委托第三方对我单位开展绩效评价。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六、专业名词解释</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shd w:val="clear" w:color="auto" w:fill="FFFFFF"/>
        </w:rPr>
        <w:t>（</w:t>
      </w:r>
      <w:r>
        <w:rPr>
          <w:rStyle w:val="8"/>
          <w:rFonts w:hint="default" w:ascii="Times New Roman" w:hAnsi="Times New Roman" w:eastAsia="方正楷体_GBK" w:cs="Times New Roman"/>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Style w:val="8"/>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七、决算公开联系方式及信息反馈渠道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微软雅黑" w:cs="Times New Roman"/>
          <w:color w:val="333333"/>
          <w:kern w:val="0"/>
          <w:sz w:val="32"/>
          <w:szCs w:val="32"/>
        </w:rPr>
        <w:sectPr>
          <w:footerReference r:id="rId3" w:type="default"/>
          <w:pgSz w:w="11915" w:h="16840"/>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lang w:eastAsia="zh-CN"/>
        </w:rPr>
        <w:t>刘亭沅</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微软雅黑" w:cs="Times New Roman"/>
          <w:color w:val="333333"/>
          <w:kern w:val="0"/>
          <w:sz w:val="32"/>
          <w:szCs w:val="32"/>
        </w:rPr>
        <w:t>023-76623822</w:t>
      </w:r>
    </w:p>
    <w:p>
      <w:pPr>
        <w:keepNext w:val="0"/>
        <w:keepLines w:val="0"/>
        <w:widowControl/>
        <w:suppressLineNumbers w:val="0"/>
        <w:jc w:val="both"/>
        <w:textAlignment w:val="center"/>
        <w:rPr>
          <w:rFonts w:hint="default" w:ascii="Times New Roman" w:hAnsi="Times New Roman" w:eastAsia="方正仿宋_GBK" w:cs="Times New Roman"/>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附件</w:t>
      </w:r>
      <w:r>
        <w:rPr>
          <w:rFonts w:hint="default" w:ascii="Times New Roman" w:hAnsi="Times New Roman" w:eastAsia="方正仿宋_GBK" w:cs="Times New Roman"/>
          <w:sz w:val="32"/>
          <w:szCs w:val="32"/>
          <w:shd w:val="clear" w:color="auto" w:fill="FFFFFF"/>
          <w:lang w:val="en-US" w:eastAsia="zh-CN" w:bidi="ar-SA"/>
        </w:rPr>
        <w:t>1</w:t>
      </w:r>
    </w:p>
    <w:tbl>
      <w:tblPr>
        <w:tblStyle w:val="9"/>
        <w:tblW w:w="146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6"/>
        <w:gridCol w:w="1677"/>
        <w:gridCol w:w="2100"/>
        <w:gridCol w:w="1567"/>
        <w:gridCol w:w="1283"/>
        <w:gridCol w:w="1300"/>
        <w:gridCol w:w="1450"/>
        <w:gridCol w:w="1500"/>
        <w:gridCol w:w="1150"/>
        <w:gridCol w:w="917"/>
        <w:gridCol w:w="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14637"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Times New Roman" w:hAnsi="Times New Roman" w:eastAsia="方正楷体_GBK" w:cs="Times New Roman"/>
                <w:kern w:val="2"/>
                <w:sz w:val="32"/>
                <w:szCs w:val="32"/>
                <w:lang w:val="en-US" w:eastAsia="zh-CN" w:bidi="ar-SA"/>
              </w:rPr>
              <w:t>2023年度项目支出绩效自评表（二级项目）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6" w:hRule="exact"/>
        </w:trPr>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序号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指标名称</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指标性质</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指标值</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计量单位</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指标权重</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全年完成值</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指标得分</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说明</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8" w:hRule="exac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村（居）/社区助残联络员工作补贴</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补贴金额</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14400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元</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14400</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40</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5" w:hRule="exac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联络人员人数</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20</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5" w:hRule="exac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政策知晓率</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90</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90</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残疾人数据动态更新工作经费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需求动态更新核查人数</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5"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工作经费拨付数额</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3450</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元/人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3450</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6"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残疾人需求动态更新率</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r>
    </w:tbl>
    <w:p>
      <w:pPr>
        <w:pStyle w:val="11"/>
        <w:keepNext w:val="0"/>
        <w:keepLines w:val="0"/>
        <w:pageBreakBefore w:val="0"/>
        <w:widowControl/>
        <w:kinsoku/>
        <w:overflowPunct/>
        <w:topLinePunct w:val="0"/>
        <w:autoSpaceDE w:val="0"/>
        <w:autoSpaceDN/>
        <w:bidi w:val="0"/>
        <w:adjustRightInd/>
        <w:spacing w:beforeAutospacing="0" w:line="560" w:lineRule="exact"/>
        <w:jc w:val="both"/>
        <w:rPr>
          <w:rStyle w:val="8"/>
          <w:rFonts w:hint="default" w:ascii="Times New Roman" w:hAnsi="Times New Roman" w:eastAsia="方正楷体_GBK" w:cs="Times New Roman"/>
          <w:b w:val="0"/>
          <w:bCs/>
          <w:sz w:val="32"/>
          <w:szCs w:val="32"/>
          <w:shd w:val="clear" w:color="auto" w:fill="FFFFFF"/>
          <w:lang w:val="en-US" w:eastAsia="zh-CN" w:bidi="ar-SA"/>
        </w:rPr>
      </w:pPr>
    </w:p>
    <w:p>
      <w:pPr>
        <w:pStyle w:val="11"/>
        <w:keepNext w:val="0"/>
        <w:keepLines w:val="0"/>
        <w:pageBreakBefore w:val="0"/>
        <w:widowControl/>
        <w:kinsoku/>
        <w:overflowPunct/>
        <w:topLinePunct w:val="0"/>
        <w:autoSpaceDE w:val="0"/>
        <w:autoSpaceDN/>
        <w:bidi w:val="0"/>
        <w:adjustRightInd/>
        <w:spacing w:beforeAutospacing="0" w:line="560" w:lineRule="exact"/>
        <w:ind w:firstLine="640" w:firstLineChars="200"/>
        <w:jc w:val="both"/>
        <w:rPr>
          <w:rFonts w:hint="default" w:ascii="Times New Roman" w:hAnsi="Times New Roman" w:eastAsia="微软雅黑" w:cs="Times New Roman"/>
          <w:color w:val="333333"/>
          <w:kern w:val="0"/>
          <w:sz w:val="32"/>
          <w:szCs w:val="32"/>
          <w:lang w:val="en-US" w:eastAsia="zh-CN"/>
        </w:rPr>
        <w:sectPr>
          <w:pgSz w:w="16840" w:h="11915"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9"/>
        <w:tblW w:w="15393" w:type="dxa"/>
        <w:tblInd w:w="0" w:type="dxa"/>
        <w:tblLayout w:type="fixed"/>
        <w:tblCellMar>
          <w:top w:w="0" w:type="dxa"/>
          <w:left w:w="0" w:type="dxa"/>
          <w:bottom w:w="0" w:type="dxa"/>
          <w:right w:w="0" w:type="dxa"/>
        </w:tblCellMar>
      </w:tblPr>
      <w:tblGrid>
        <w:gridCol w:w="5122"/>
        <w:gridCol w:w="2020"/>
        <w:gridCol w:w="4809"/>
        <w:gridCol w:w="3442"/>
      </w:tblGrid>
      <w:tr>
        <w:tblPrEx>
          <w:tblLayout w:type="fixed"/>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344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sz w:val="20"/>
                <w:u w:color="auto"/>
              </w:rPr>
              <w:t>重庆市秀山土家族苗族自治县宋农镇劳动就业和社会保障服务所</w:t>
            </w:r>
          </w:p>
        </w:tc>
        <w:tc>
          <w:tcPr>
            <w:tcW w:w="202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2"/>
                <w:szCs w:val="22"/>
              </w:rPr>
            </w:pPr>
          </w:p>
        </w:tc>
        <w:tc>
          <w:tcPr>
            <w:tcW w:w="480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2"/>
                <w:szCs w:val="22"/>
              </w:rPr>
            </w:pPr>
          </w:p>
        </w:tc>
        <w:tc>
          <w:tcPr>
            <w:tcW w:w="344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91.44</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8.57</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八、其他收入</w:t>
            </w:r>
          </w:p>
        </w:tc>
        <w:tc>
          <w:tcPr>
            <w:tcW w:w="2020"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78.09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b/>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100.01</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100.01</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100.01</w:t>
            </w:r>
            <w:r>
              <w:rPr>
                <w:rFonts w:hint="default" w:ascii="Times New Roman" w:hAnsi="Times New Roman" w:cs="Times New Roman"/>
                <w:color w:val="000000"/>
                <w:sz w:val="20"/>
                <w:u w:color="auto"/>
              </w:rPr>
              <w:t xml:space="preserve"> </w:t>
            </w:r>
          </w:p>
        </w:tc>
      </w:tr>
    </w:tbl>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blPrEx>
          <w:tblLayout w:type="fixed"/>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4873" w:type="dxa"/>
            <w:gridSpan w:val="2"/>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1"/>
                <w:szCs w:val="21"/>
              </w:rPr>
            </w:pPr>
            <w:r>
              <w:rPr>
                <w:rFonts w:hint="default" w:ascii="Times New Roman" w:hAnsi="Times New Roman" w:cs="Times New Roman"/>
                <w:sz w:val="21"/>
                <w:szCs w:val="21"/>
              </w:rPr>
              <w:t>公开单位：</w:t>
            </w:r>
            <w:r>
              <w:rPr>
                <w:rFonts w:hint="default" w:ascii="Times New Roman" w:hAnsi="Times New Roman" w:cs="Times New Roman"/>
                <w:sz w:val="21"/>
                <w:szCs w:val="21"/>
                <w:u w:color="auto"/>
              </w:rPr>
              <w:t>重庆市秀山土家族苗族自治县宋农镇劳动就业和社会保障服务所</w:t>
            </w:r>
          </w:p>
        </w:tc>
        <w:tc>
          <w:tcPr>
            <w:tcW w:w="12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1"/>
                <w:szCs w:val="21"/>
              </w:rPr>
            </w:pPr>
          </w:p>
        </w:tc>
        <w:tc>
          <w:tcPr>
            <w:tcW w:w="12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1"/>
                <w:szCs w:val="21"/>
              </w:rPr>
            </w:pPr>
          </w:p>
        </w:tc>
        <w:tc>
          <w:tcPr>
            <w:tcW w:w="12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1"/>
                <w:szCs w:val="21"/>
              </w:rPr>
            </w:pPr>
          </w:p>
        </w:tc>
        <w:tc>
          <w:tcPr>
            <w:tcW w:w="12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1"/>
                <w:szCs w:val="21"/>
              </w:rPr>
            </w:pPr>
          </w:p>
        </w:tc>
        <w:tc>
          <w:tcPr>
            <w:tcW w:w="136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1"/>
                <w:szCs w:val="21"/>
              </w:rPr>
            </w:pPr>
          </w:p>
        </w:tc>
        <w:tc>
          <w:tcPr>
            <w:tcW w:w="13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1"/>
                <w:szCs w:val="21"/>
              </w:rPr>
            </w:pPr>
          </w:p>
        </w:tc>
        <w:tc>
          <w:tcPr>
            <w:tcW w:w="14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1"/>
                <w:szCs w:val="21"/>
              </w:rPr>
            </w:pPr>
          </w:p>
        </w:tc>
        <w:tc>
          <w:tcPr>
            <w:tcW w:w="14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公开02表</w:t>
            </w:r>
          </w:p>
        </w:tc>
      </w:tr>
      <w:tr>
        <w:tblPrEx>
          <w:tblLayout w:type="fixed"/>
          <w:tblCellMar>
            <w:top w:w="0" w:type="dxa"/>
            <w:left w:w="0" w:type="dxa"/>
            <w:bottom w:w="0" w:type="dxa"/>
            <w:right w:w="0" w:type="dxa"/>
          </w:tblCellMar>
        </w:tblPrEx>
        <w:trPr>
          <w:trHeight w:val="328" w:hRule="atLeast"/>
        </w:trPr>
        <w:tc>
          <w:tcPr>
            <w:tcW w:w="4873" w:type="dxa"/>
            <w:gridSpan w:val="2"/>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1"/>
                <w:szCs w:val="21"/>
              </w:rPr>
            </w:pPr>
          </w:p>
        </w:tc>
        <w:tc>
          <w:tcPr>
            <w:tcW w:w="12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1"/>
                <w:szCs w:val="21"/>
              </w:rPr>
            </w:pPr>
          </w:p>
        </w:tc>
        <w:tc>
          <w:tcPr>
            <w:tcW w:w="12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1"/>
                <w:szCs w:val="21"/>
              </w:rPr>
            </w:pPr>
          </w:p>
        </w:tc>
        <w:tc>
          <w:tcPr>
            <w:tcW w:w="12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1"/>
                <w:szCs w:val="21"/>
              </w:rPr>
            </w:pPr>
          </w:p>
        </w:tc>
        <w:tc>
          <w:tcPr>
            <w:tcW w:w="12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1"/>
                <w:szCs w:val="21"/>
              </w:rPr>
            </w:pPr>
          </w:p>
        </w:tc>
        <w:tc>
          <w:tcPr>
            <w:tcW w:w="136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1"/>
                <w:szCs w:val="21"/>
              </w:rPr>
            </w:pPr>
          </w:p>
        </w:tc>
        <w:tc>
          <w:tcPr>
            <w:tcW w:w="13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1"/>
                <w:szCs w:val="21"/>
              </w:rPr>
            </w:pPr>
          </w:p>
        </w:tc>
        <w:tc>
          <w:tcPr>
            <w:tcW w:w="14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1"/>
                <w:szCs w:val="21"/>
              </w:rPr>
            </w:pPr>
          </w:p>
        </w:tc>
        <w:tc>
          <w:tcPr>
            <w:tcW w:w="14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单位：</w:t>
            </w:r>
            <w:r>
              <w:rPr>
                <w:rFonts w:hint="default" w:ascii="Times New Roman" w:hAnsi="Times New Roman" w:cs="Times New Roman"/>
                <w:sz w:val="21"/>
                <w:szCs w:val="21"/>
              </w:rPr>
              <w:t>万元</w:t>
            </w:r>
          </w:p>
        </w:tc>
      </w:tr>
      <w:tr>
        <w:tblPrEx>
          <w:tblLayout w:type="fixed"/>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其他收入</w:t>
            </w:r>
          </w:p>
        </w:tc>
      </w:tr>
      <w:tr>
        <w:tblPrEx>
          <w:tblLayout w:type="fixed"/>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功能分类科目编码</w:t>
            </w:r>
          </w:p>
        </w:tc>
        <w:tc>
          <w:tcPr>
            <w:tcW w:w="3171"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1"/>
                <w:szCs w:val="21"/>
              </w:rPr>
            </w:pPr>
          </w:p>
        </w:tc>
      </w:tr>
      <w:tr>
        <w:tblPrEx>
          <w:tblLayout w:type="fixed"/>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合计</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100.01</w:t>
            </w:r>
            <w:r>
              <w:rPr>
                <w:rFonts w:hint="default" w:ascii="Times New Roman" w:hAnsi="Times New Roman" w:cs="Times New Roman"/>
                <w:b/>
                <w:color w:val="000000"/>
                <w:sz w:val="21"/>
                <w:szCs w:val="21"/>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bCs/>
                <w:color w:val="000000"/>
                <w:sz w:val="21"/>
                <w:szCs w:val="21"/>
              </w:rPr>
              <w:t>100.01</w:t>
            </w:r>
            <w:r>
              <w:rPr>
                <w:rFonts w:hint="default" w:ascii="Times New Roman" w:hAnsi="Times New Roman" w:cs="Times New Roman"/>
                <w:b/>
                <w:color w:val="000000"/>
                <w:sz w:val="21"/>
                <w:szCs w:val="21"/>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u w:color="auto"/>
              </w:rPr>
              <w:t xml:space="preserve"> </w:t>
            </w:r>
          </w:p>
        </w:tc>
        <w:tc>
          <w:tcPr>
            <w:tcW w:w="13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u w:color="auto"/>
              </w:rPr>
              <w:t xml:space="preserve"> </w:t>
            </w:r>
          </w:p>
        </w:tc>
        <w:tc>
          <w:tcPr>
            <w:tcW w:w="13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u w:color="auto"/>
              </w:rPr>
              <w:t xml:space="preserve"> </w:t>
            </w:r>
          </w:p>
        </w:tc>
        <w:tc>
          <w:tcPr>
            <w:tcW w:w="1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u w:color="auto"/>
              </w:rPr>
              <w:t xml:space="preserve"> </w:t>
            </w:r>
          </w:p>
        </w:tc>
        <w:tc>
          <w:tcPr>
            <w:tcW w:w="1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208</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78.09</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78.09</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20801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人力资源和社会保障管理事务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32.88</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32.88</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2080109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社会保险经办机构</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32.88</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32.88</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20805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6.11</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6.11</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2080505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4.07</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4.07</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2080506</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2.04</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2.04</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20808</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抚恤</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18.73</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18.73</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2080805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义务兵优待</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18.73</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18.73</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20811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残疾人事业</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9.99</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9.99</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2081199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其他残疾人事业支出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9.99</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9.99</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20821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特困人员救助供养</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10.39</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10.39</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2082102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农村特困人员救助供养支出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10.39</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10.39</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210</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9.89</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9.89</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21011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1.92</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1.92</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2101102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1.92</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1.92</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21015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医疗保障管理事务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7.97</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7.97</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2101505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医疗保障政策管理</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5.24</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5.24</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2101506</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医疗保障经办事务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2.73</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2.73</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221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3.46</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3.46</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22102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3.46</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3.46</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2210201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3.46</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3.46</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229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其他支出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8.57</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8.57</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22960</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彩票公益金安排的支出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8.57</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8.57</w:t>
            </w:r>
            <w:r>
              <w:rPr>
                <w:rFonts w:hint="default" w:ascii="Times New Roman" w:hAnsi="Times New Roman" w:cs="Times New Roman"/>
                <w:b/>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2296002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用于社会福利的彩票公益金支出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8.57</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8.57</w:t>
            </w: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u w:color="auto"/>
              </w:rPr>
              <w:t xml:space="preserve"> </w:t>
            </w:r>
          </w:p>
        </w:tc>
      </w:tr>
    </w:tbl>
    <w:p>
      <w:pPr>
        <w:keepNext w:val="0"/>
        <w:keepLines w:val="0"/>
        <w:pageBreakBefore w:val="0"/>
        <w:widowControl/>
        <w:kinsoku/>
        <w:overflowPunct/>
        <w:topLinePunct w:val="0"/>
        <w:autoSpaceDE/>
        <w:autoSpaceDN/>
        <w:bidi w:val="0"/>
        <w:adjustRightInd/>
        <w:snapToGrid/>
        <w:spacing w:beforeAutospacing="0" w:line="240" w:lineRule="auto"/>
        <w:ind w:left="600" w:hanging="630" w:hangingChars="300"/>
        <w:jc w:val="both"/>
        <w:rPr>
          <w:rFonts w:hint="default" w:ascii="Times New Roman" w:hAnsi="Times New Roman" w:cs="Times New Roman"/>
          <w:sz w:val="20"/>
          <w:szCs w:val="20"/>
        </w:rPr>
      </w:pPr>
      <w:r>
        <w:rPr>
          <w:rFonts w:hint="default" w:ascii="Times New Roman" w:hAnsi="Times New Roman" w:cs="Times New Roman"/>
          <w:sz w:val="21"/>
          <w:szCs w:val="21"/>
        </w:rPr>
        <w:t>备注：1.本表反映单位本年度取得的各项收入情况。</w:t>
      </w:r>
      <w:r>
        <w:rPr>
          <w:rFonts w:hint="default" w:ascii="Times New Roman" w:hAnsi="Times New Roman" w:cs="Times New Roman"/>
          <w:sz w:val="21"/>
          <w:szCs w:val="21"/>
        </w:rPr>
        <w:br w:type="textWrapping"/>
      </w:r>
      <w:r>
        <w:rPr>
          <w:rFonts w:hint="default" w:ascii="Times New Roman" w:hAnsi="Times New Roman" w:cs="Times New Roman"/>
          <w:sz w:val="21"/>
          <w:szCs w:val="21"/>
        </w:rPr>
        <w:t>2.本套报表金额单位转换时可能存在尾数误差。</w:t>
      </w:r>
      <w:r>
        <w:rPr>
          <w:rFonts w:hint="default" w:ascii="Times New Roman" w:hAnsi="Times New Roman" w:cs="Times New Roman"/>
          <w:sz w:val="21"/>
          <w:szCs w:val="21"/>
        </w:rPr>
        <w:br w:type="textWrapping"/>
      </w:r>
      <w:r>
        <w:rPr>
          <w:rFonts w:hint="default" w:ascii="Times New Roman" w:hAnsi="Times New Roman" w:cs="Times New Roman"/>
          <w:sz w:val="21"/>
          <w:szCs w:val="21"/>
        </w:rPr>
        <w:br w:type="textWrapping"/>
      </w:r>
    </w:p>
    <w:p>
      <w:pPr>
        <w:keepNext w:val="0"/>
        <w:keepLines w:val="0"/>
        <w:pageBreakBefore w:val="0"/>
        <w:widowControl/>
        <w:kinsoku/>
        <w:overflowPunct/>
        <w:topLinePunct w:val="0"/>
        <w:autoSpaceDN/>
        <w:bidi w:val="0"/>
        <w:adjustRightInd/>
        <w:spacing w:beforeAutospacing="0" w:line="560" w:lineRule="exact"/>
        <w:jc w:val="both"/>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5158" w:type="dxa"/>
            <w:gridSpan w:val="2"/>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 xml:space="preserve">重庆市秀山土家族苗族自治县宋农镇劳动就业和社会保障服务所 </w:t>
            </w: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5158" w:type="dxa"/>
            <w:gridSpan w:val="2"/>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100.01</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44.36</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55.65</w:t>
            </w:r>
            <w:r>
              <w:rPr>
                <w:rFonts w:hint="default" w:ascii="Times New Roman" w:hAnsi="Times New Roman" w:cs="Times New Roman"/>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78.09</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38.99</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39.10</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32.88</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32.88</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社会保险经办机构</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32.88</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32.88</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4.07</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4.07</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18.73</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18.73</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18.73</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18.73</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9.99</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9.99</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9.99</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9.99</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特困人员救助供养</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农村特困人员救助供养支出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9.89</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7.97</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1.92</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1.92</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7.97</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7.97</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医疗保障政策管理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5.24</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5.24</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2.73</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2.73</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8.57</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8.57</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8.57</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8.57</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8.57</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8.57</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line="560" w:lineRule="exact"/>
        <w:jc w:val="both"/>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4505" w:type="dxa"/>
            <w:gridSpan w:val="2"/>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重庆市秀山土家族苗族自治县宋农镇劳动就业和社会保障服务所</w:t>
            </w:r>
          </w:p>
        </w:tc>
        <w:tc>
          <w:tcPr>
            <w:tcW w:w="319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4505" w:type="dxa"/>
            <w:gridSpan w:val="2"/>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91.44</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8.57</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78.09</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78.09</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9.89</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9.89</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3.46</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3.46</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8.57</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8.57</w:t>
            </w: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100.01</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91.44</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8.57</w:t>
            </w: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100.01</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91.44</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8.57</w:t>
            </w: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5406" w:type="dxa"/>
            <w:gridSpan w:val="2"/>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重庆市秀山土家族苗族自治县宋农镇劳动就业和社会保障服务所</w:t>
            </w:r>
          </w:p>
        </w:tc>
        <w:tc>
          <w:tcPr>
            <w:tcW w:w="331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5406" w:type="dxa"/>
            <w:gridSpan w:val="2"/>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rPr>
                <w:rFonts w:hint="default" w:ascii="Times New Roman" w:hAnsi="Times New Roman" w:cs="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rPr>
                <w:rFonts w:hint="default" w:ascii="Times New Roman" w:hAnsi="Times New Roman" w:cs="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91.44</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44.36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47.07</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78.09</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38.99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39.10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32.88</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32.88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社会保险经办机构</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32.88</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32.88</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6.11</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4.07</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4.07</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2.04</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2.04</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18.73</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18.73</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18.73</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18.73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9.99</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9.99</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9.99</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特困人员救助供养</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农村特困人员救助供养支出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9.89</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1.92</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7.97</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1.92</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1.92</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1.92</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1.92</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7.97</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7.97</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医疗保障政策管理</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5.24</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5.24</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2.73</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3.46</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E/>
        <w:autoSpaceDN/>
        <w:bidi w:val="0"/>
        <w:adjustRightInd/>
        <w:snapToGrid/>
        <w:spacing w:beforeAutospacing="0" w:line="240" w:lineRule="exact"/>
        <w:jc w:val="both"/>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400" w:lineRule="exact"/>
              <w:ind w:firstLine="630" w:firstLineChars="300"/>
              <w:jc w:val="center"/>
              <w:textAlignment w:val="auto"/>
              <w:rPr>
                <w:rFonts w:hint="default" w:ascii="Times New Roman" w:hAnsi="Times New Roman" w:cs="Times New Roman"/>
                <w:b/>
                <w:color w:val="000000"/>
                <w:sz w:val="32"/>
                <w:szCs w:val="32"/>
              </w:rPr>
            </w:pPr>
            <w:r>
              <w:rPr>
                <w:rFonts w:hint="default" w:ascii="Times New Roman" w:hAnsi="Times New Roman" w:cs="Times New Roman"/>
                <w:sz w:val="21"/>
                <w:szCs w:val="21"/>
              </w:rPr>
              <w:br w:type="page"/>
            </w: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3345" w:type="dxa"/>
            <w:gridSpan w:val="2"/>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重庆市秀山土家族苗族自治县宋农镇劳动就业和社会保障服务所</w:t>
            </w:r>
          </w:p>
        </w:tc>
        <w:tc>
          <w:tcPr>
            <w:tcW w:w="137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8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3345" w:type="dxa"/>
            <w:gridSpan w:val="2"/>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37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8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40.71</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3.16</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11.71</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0.98</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2.62</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14.19</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0.08</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4.07</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2.04</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0.75</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0.06</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3.46</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0.64</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0.49</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0.15</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0.49</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0.12</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0.58</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41.20</w:t>
            </w:r>
            <w:r>
              <w:rPr>
                <w:rFonts w:hint="default" w:ascii="Times New Roman" w:hAnsi="Times New Roman" w:cs="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3.16</w:t>
            </w:r>
            <w:r>
              <w:rPr>
                <w:rFonts w:hint="default" w:ascii="Times New Roman" w:hAnsi="Times New Roman" w:cs="Times New Roman"/>
                <w:color w:val="000000"/>
                <w:sz w:val="18"/>
                <w:u w:color="auto"/>
              </w:rPr>
              <w:t xml:space="preserve"> </w:t>
            </w:r>
          </w:p>
        </w:tc>
      </w:tr>
    </w:tbl>
    <w:p>
      <w:pPr>
        <w:keepNext w:val="0"/>
        <w:keepLines w:val="0"/>
        <w:pageBreakBefore w:val="0"/>
        <w:widowControl/>
        <w:kinsoku/>
        <w:overflowPunct/>
        <w:topLinePunct w:val="0"/>
        <w:autoSpaceDE/>
        <w:autoSpaceDN/>
        <w:bidi w:val="0"/>
        <w:adjustRightInd/>
        <w:snapToGrid/>
        <w:spacing w:beforeAutospacing="0" w:line="200" w:lineRule="exact"/>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4942" w:type="dxa"/>
            <w:gridSpan w:val="2"/>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重庆市秀山土家族苗族自治县宋农镇劳动就业和社会保障服务所</w:t>
            </w:r>
          </w:p>
        </w:tc>
        <w:tc>
          <w:tcPr>
            <w:tcW w:w="17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4942" w:type="dxa"/>
            <w:gridSpan w:val="2"/>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8.57</w:t>
            </w: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8.57</w:t>
            </w: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8.57</w:t>
            </w:r>
            <w:r>
              <w:rPr>
                <w:rFonts w:hint="default" w:ascii="Times New Roman" w:hAnsi="Times New Roman" w:cs="Times New Roman"/>
                <w:b/>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8.57</w:t>
            </w: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8.57</w:t>
            </w: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8.57</w:t>
            </w:r>
            <w:r>
              <w:rPr>
                <w:rFonts w:hint="default" w:ascii="Times New Roman" w:hAnsi="Times New Roman" w:cs="Times New Roman"/>
                <w:b/>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8.57</w:t>
            </w: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8.57</w:t>
            </w: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8.57</w:t>
            </w:r>
            <w:r>
              <w:rPr>
                <w:rFonts w:hint="default" w:ascii="Times New Roman" w:hAnsi="Times New Roman" w:cs="Times New Roman"/>
                <w:b/>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8.57</w:t>
            </w:r>
            <w:r>
              <w:rPr>
                <w:rFonts w:hint="default" w:ascii="Times New Roman" w:hAnsi="Times New Roman" w:cs="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8.57</w:t>
            </w:r>
            <w:r>
              <w:rPr>
                <w:rFonts w:hint="default" w:ascii="Times New Roman" w:hAnsi="Times New Roman" w:cs="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8.57</w:t>
            </w:r>
            <w:r>
              <w:rPr>
                <w:rFonts w:hint="default" w:ascii="Times New Roman" w:hAnsi="Times New Roman" w:cs="Times New Roman"/>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line="560" w:lineRule="exact"/>
        <w:jc w:val="both"/>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4942" w:type="dxa"/>
            <w:gridSpan w:val="2"/>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重庆市秀山土家族苗族自治县宋农镇劳动就业和社会保障服务所</w:t>
            </w:r>
          </w:p>
        </w:tc>
        <w:tc>
          <w:tcPr>
            <w:tcW w:w="327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4942" w:type="dxa"/>
            <w:gridSpan w:val="2"/>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p>
        </w:tc>
        <w:tc>
          <w:tcPr>
            <w:tcW w:w="327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beforeAutospacing="0" w:line="240" w:lineRule="auto"/>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beforeAutospacing="0" w:line="24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pPr>
        <w:keepNext w:val="0"/>
        <w:keepLines w:val="0"/>
        <w:pageBreakBefore w:val="0"/>
        <w:widowControl/>
        <w:kinsoku/>
        <w:overflowPunct/>
        <w:topLinePunct w:val="0"/>
        <w:autoSpaceDE/>
        <w:autoSpaceDN/>
        <w:bidi w:val="0"/>
        <w:adjustRightInd/>
        <w:snapToGrid/>
        <w:spacing w:beforeAutospacing="0" w:line="240" w:lineRule="auto"/>
        <w:jc w:val="both"/>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line="560" w:lineRule="exact"/>
        <w:jc w:val="both"/>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78" w:type="dxa"/>
        <w:tblInd w:w="0" w:type="dxa"/>
        <w:tblLayout w:type="fixed"/>
        <w:tblCellMar>
          <w:top w:w="0" w:type="dxa"/>
          <w:left w:w="0" w:type="dxa"/>
          <w:bottom w:w="0" w:type="dxa"/>
          <w:right w:w="0" w:type="dxa"/>
        </w:tblCellMar>
      </w:tblPr>
      <w:tblGrid>
        <w:gridCol w:w="4167"/>
        <w:gridCol w:w="2236"/>
        <w:gridCol w:w="2184"/>
        <w:gridCol w:w="4660"/>
        <w:gridCol w:w="2131"/>
      </w:tblGrid>
      <w:tr>
        <w:tblPrEx>
          <w:tblLayout w:type="fixed"/>
          <w:tblCellMar>
            <w:top w:w="0" w:type="dxa"/>
            <w:left w:w="0" w:type="dxa"/>
            <w:bottom w:w="0" w:type="dxa"/>
            <w:right w:w="0" w:type="dxa"/>
          </w:tblCellMar>
        </w:tblPrEx>
        <w:trPr>
          <w:trHeight w:val="175"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机构运行信息表</w:t>
            </w:r>
          </w:p>
        </w:tc>
      </w:tr>
      <w:tr>
        <w:tblPrEx>
          <w:tblLayout w:type="fixed"/>
          <w:tblCellMar>
            <w:top w:w="0" w:type="dxa"/>
            <w:left w:w="0" w:type="dxa"/>
            <w:bottom w:w="0" w:type="dxa"/>
            <w:right w:w="0" w:type="dxa"/>
          </w:tblCellMar>
        </w:tblPrEx>
        <w:trPr>
          <w:trHeight w:val="175" w:hRule="atLeast"/>
        </w:trPr>
        <w:tc>
          <w:tcPr>
            <w:tcW w:w="416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2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18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66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1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公开09表</w:t>
            </w:r>
          </w:p>
        </w:tc>
      </w:tr>
      <w:tr>
        <w:tblPrEx>
          <w:tblLayout w:type="fixed"/>
          <w:tblCellMar>
            <w:top w:w="0" w:type="dxa"/>
            <w:left w:w="0" w:type="dxa"/>
            <w:bottom w:w="0" w:type="dxa"/>
            <w:right w:w="0" w:type="dxa"/>
          </w:tblCellMar>
        </w:tblPrEx>
        <w:trPr>
          <w:trHeight w:val="175" w:hRule="atLeast"/>
        </w:trPr>
        <w:tc>
          <w:tcPr>
            <w:tcW w:w="4167"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重庆市秀山土家族苗族自治县宋农镇劳动就业和社会保障服务所</w:t>
            </w:r>
          </w:p>
        </w:tc>
        <w:tc>
          <w:tcPr>
            <w:tcW w:w="2236"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184"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4660"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131"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18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  目</w:t>
            </w:r>
          </w:p>
        </w:tc>
        <w:tc>
          <w:tcPr>
            <w:tcW w:w="2236"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预算数</w:t>
            </w:r>
          </w:p>
        </w:tc>
        <w:tc>
          <w:tcPr>
            <w:tcW w:w="218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  目</w:t>
            </w:r>
          </w:p>
        </w:tc>
        <w:tc>
          <w:tcPr>
            <w:tcW w:w="213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18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一、“三公”经费支出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四、机关运行经费</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（一）支出合计</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（一）行政单位</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1．因公出国（境）费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（二）参照公务员法管理事业单位</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2．公务用车购置及运行维护费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五、资产信息</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（1）公务用车购置费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（一）车辆数合计（辆）</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（2）公务用车运行维护费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1．副部（省）级及以上领导用车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3．公务接待费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2．主要领导干部用车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（1）国内接待费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3．机要通信用车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其中：外事接待费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4．应急保障用车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（2）国（境）外接待费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5．执法执勤用车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（二）相关统计数</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6．特种专业技术用车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1．因公出国（境）团组数（个）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7．离退休干部用车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2．因公出国（境）人次数（人）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8．其他用车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3．公务用车购置数（辆）</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（二）单价100万元（含）以上设备（不含车辆）</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4．公务用车保有量（辆）</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六、政府采购支出信息</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5．国内公务接待批次（个）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（一）政府采购支出合计</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其中：外事接待批次（个）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1．政府采购货物支出</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6．国内公务接待人次（人）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2．政府采购工程支出</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其中：外事接待人次（人）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3．政府采购服务支出</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7．国（境）外公务接待批次（个）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（二）政府采购授予中小企业合同金额</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8．国（境）外公务接待人次（人）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其中：授予小微企业合同金额</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69"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二、会议费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r>
      <w:tr>
        <w:tblPrEx>
          <w:tblLayout w:type="fixed"/>
          <w:tblCellMar>
            <w:top w:w="0" w:type="dxa"/>
            <w:left w:w="0" w:type="dxa"/>
            <w:bottom w:w="0" w:type="dxa"/>
            <w:right w:w="0" w:type="dxa"/>
          </w:tblCellMar>
        </w:tblPrEx>
        <w:trPr>
          <w:trHeight w:val="24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三、培训费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color w:val="000000"/>
                <w:sz w:val="20"/>
                <w:szCs w:val="20"/>
              </w:rPr>
            </w:pPr>
          </w:p>
        </w:tc>
      </w:tr>
    </w:tbl>
    <w:p>
      <w:pPr>
        <w:keepNext w:val="0"/>
        <w:keepLines w:val="0"/>
        <w:pageBreakBefore w:val="0"/>
        <w:widowControl/>
        <w:kinsoku/>
        <w:wordWrap/>
        <w:overflowPunct/>
        <w:topLinePunct w:val="0"/>
        <w:autoSpaceDE/>
        <w:autoSpaceDN/>
        <w:bidi w:val="0"/>
        <w:adjustRightInd/>
        <w:snapToGrid/>
        <w:spacing w:beforeAutospacing="0" w:line="240" w:lineRule="exact"/>
        <w:jc w:val="both"/>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sectPr>
      <w:headerReference r:id="rId4" w:type="default"/>
      <w:footerReference r:id="rId5" w:type="default"/>
      <w:pgSz w:w="16839" w:h="11907"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B254B"/>
    <w:rsid w:val="00550ABE"/>
    <w:rsid w:val="00770383"/>
    <w:rsid w:val="007819D4"/>
    <w:rsid w:val="007B419D"/>
    <w:rsid w:val="009B67B8"/>
    <w:rsid w:val="009D2B67"/>
    <w:rsid w:val="00B03CCD"/>
    <w:rsid w:val="00C20C3E"/>
    <w:rsid w:val="00F73F90"/>
    <w:rsid w:val="01474EBF"/>
    <w:rsid w:val="016F12B6"/>
    <w:rsid w:val="01F3521E"/>
    <w:rsid w:val="03B87EA0"/>
    <w:rsid w:val="03E3214F"/>
    <w:rsid w:val="044C50BA"/>
    <w:rsid w:val="05BC6D49"/>
    <w:rsid w:val="06194FF1"/>
    <w:rsid w:val="06A2550B"/>
    <w:rsid w:val="06E927F3"/>
    <w:rsid w:val="06F80EE2"/>
    <w:rsid w:val="07001CCA"/>
    <w:rsid w:val="075678DB"/>
    <w:rsid w:val="079D7CC7"/>
    <w:rsid w:val="08051BCA"/>
    <w:rsid w:val="086C12F4"/>
    <w:rsid w:val="08705944"/>
    <w:rsid w:val="08BA052C"/>
    <w:rsid w:val="08DB07BA"/>
    <w:rsid w:val="0969353F"/>
    <w:rsid w:val="0972710E"/>
    <w:rsid w:val="098305D0"/>
    <w:rsid w:val="0A3317EA"/>
    <w:rsid w:val="0A5C4B69"/>
    <w:rsid w:val="0A86124A"/>
    <w:rsid w:val="0AB54CC0"/>
    <w:rsid w:val="0B893DFB"/>
    <w:rsid w:val="0B9335CE"/>
    <w:rsid w:val="0BF2311A"/>
    <w:rsid w:val="0C7927C4"/>
    <w:rsid w:val="0C9B098C"/>
    <w:rsid w:val="0D673E11"/>
    <w:rsid w:val="0D8265F7"/>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EE5D67"/>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D6661BA"/>
    <w:rsid w:val="2EEB024A"/>
    <w:rsid w:val="2FCA4B37"/>
    <w:rsid w:val="2FE029D7"/>
    <w:rsid w:val="2FF06E00"/>
    <w:rsid w:val="303F66DB"/>
    <w:rsid w:val="30586FEC"/>
    <w:rsid w:val="30A522E5"/>
    <w:rsid w:val="315F0B22"/>
    <w:rsid w:val="31D84415"/>
    <w:rsid w:val="32285F6F"/>
    <w:rsid w:val="32770556"/>
    <w:rsid w:val="329C0913"/>
    <w:rsid w:val="32AA0460"/>
    <w:rsid w:val="3337290D"/>
    <w:rsid w:val="33E31118"/>
    <w:rsid w:val="33EF7674"/>
    <w:rsid w:val="342D7BC6"/>
    <w:rsid w:val="352930DB"/>
    <w:rsid w:val="35573069"/>
    <w:rsid w:val="355F6038"/>
    <w:rsid w:val="358C217E"/>
    <w:rsid w:val="36AA2975"/>
    <w:rsid w:val="36C9128A"/>
    <w:rsid w:val="37841E99"/>
    <w:rsid w:val="37BF1123"/>
    <w:rsid w:val="383C3F15"/>
    <w:rsid w:val="38BE4696"/>
    <w:rsid w:val="3939115E"/>
    <w:rsid w:val="39B82A39"/>
    <w:rsid w:val="39C42CA8"/>
    <w:rsid w:val="39DC4FD6"/>
    <w:rsid w:val="39F03D7A"/>
    <w:rsid w:val="39F33306"/>
    <w:rsid w:val="3A2C1C67"/>
    <w:rsid w:val="3ADD7F09"/>
    <w:rsid w:val="3B0A7295"/>
    <w:rsid w:val="3B1705E5"/>
    <w:rsid w:val="3B18334B"/>
    <w:rsid w:val="3B36794F"/>
    <w:rsid w:val="3B6F6EE0"/>
    <w:rsid w:val="3C566AD6"/>
    <w:rsid w:val="3C594871"/>
    <w:rsid w:val="3C6A5B02"/>
    <w:rsid w:val="3D2757A1"/>
    <w:rsid w:val="3D3D4FC4"/>
    <w:rsid w:val="3DDF3AB1"/>
    <w:rsid w:val="3E0D6E98"/>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82743C"/>
    <w:rsid w:val="439A3EB9"/>
    <w:rsid w:val="43BB152F"/>
    <w:rsid w:val="44C37687"/>
    <w:rsid w:val="45CB699A"/>
    <w:rsid w:val="465B470D"/>
    <w:rsid w:val="469D6AD4"/>
    <w:rsid w:val="471E6C84"/>
    <w:rsid w:val="4748792B"/>
    <w:rsid w:val="475D719D"/>
    <w:rsid w:val="47674801"/>
    <w:rsid w:val="47A803B5"/>
    <w:rsid w:val="48225EF7"/>
    <w:rsid w:val="488F4015"/>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3D4362"/>
    <w:rsid w:val="52463BA1"/>
    <w:rsid w:val="52F163D4"/>
    <w:rsid w:val="531A2DB4"/>
    <w:rsid w:val="53C0244D"/>
    <w:rsid w:val="53CB2025"/>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465683"/>
    <w:rsid w:val="5C263CE4"/>
    <w:rsid w:val="5C5D2777"/>
    <w:rsid w:val="5CD20795"/>
    <w:rsid w:val="5CF66BF3"/>
    <w:rsid w:val="5D290C69"/>
    <w:rsid w:val="5F2D4A41"/>
    <w:rsid w:val="60C74F6C"/>
    <w:rsid w:val="61025A59"/>
    <w:rsid w:val="613D5BBC"/>
    <w:rsid w:val="61536C39"/>
    <w:rsid w:val="61E00F4B"/>
    <w:rsid w:val="62944DD7"/>
    <w:rsid w:val="6319381F"/>
    <w:rsid w:val="63C25DC5"/>
    <w:rsid w:val="63C62057"/>
    <w:rsid w:val="64571EF5"/>
    <w:rsid w:val="64FB113D"/>
    <w:rsid w:val="656152C6"/>
    <w:rsid w:val="6587477F"/>
    <w:rsid w:val="658C3A08"/>
    <w:rsid w:val="65C031CA"/>
    <w:rsid w:val="65CE6852"/>
    <w:rsid w:val="661604CD"/>
    <w:rsid w:val="66267C04"/>
    <w:rsid w:val="663F505A"/>
    <w:rsid w:val="66EE5541"/>
    <w:rsid w:val="67924660"/>
    <w:rsid w:val="68407834"/>
    <w:rsid w:val="6883293E"/>
    <w:rsid w:val="688412AD"/>
    <w:rsid w:val="68EB1B71"/>
    <w:rsid w:val="6A6C7940"/>
    <w:rsid w:val="6AAD2300"/>
    <w:rsid w:val="6B474EF5"/>
    <w:rsid w:val="6BEF79CD"/>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4641DB"/>
    <w:rsid w:val="72DB435C"/>
    <w:rsid w:val="72E2613A"/>
    <w:rsid w:val="72F771F4"/>
    <w:rsid w:val="73934AD2"/>
    <w:rsid w:val="74B64126"/>
    <w:rsid w:val="750837F0"/>
    <w:rsid w:val="754758CF"/>
    <w:rsid w:val="764F62AB"/>
    <w:rsid w:val="765C45EC"/>
    <w:rsid w:val="768A7619"/>
    <w:rsid w:val="772E1EBA"/>
    <w:rsid w:val="781008A1"/>
    <w:rsid w:val="781926BC"/>
    <w:rsid w:val="796D60A4"/>
    <w:rsid w:val="79A031D5"/>
    <w:rsid w:val="79B704B9"/>
    <w:rsid w:val="79CA5986"/>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4004</Words>
  <Characters>22825</Characters>
  <Lines>190</Lines>
  <Paragraphs>53</Paragraphs>
  <TotalTime>1</TotalTime>
  <ScaleCrop>false</ScaleCrop>
  <LinksUpToDate>false</LinksUpToDate>
  <CharactersWithSpaces>26776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2024-10-08T12:33:30Z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