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overflowPunct/>
        <w:topLinePunct w:val="0"/>
        <w:autoSpaceDN/>
        <w:bidi w:val="0"/>
        <w:adjustRightInd/>
        <w:spacing w:before="0" w:beforeAutospacing="0" w:after="0" w:afterAutospacing="0" w:line="600" w:lineRule="exact"/>
        <w:ind w:right="0" w:rightChars="0"/>
        <w:jc w:val="center"/>
        <w:outlineLvl w:val="9"/>
        <w:rPr>
          <w:rFonts w:hint="eastAsia" w:ascii="方正小标宋_GBK" w:hAnsi="方正小标宋_GBK" w:eastAsia="方正小标宋_GBK" w:cs="方正小标宋_GBK"/>
          <w:color w:val="auto"/>
          <w:sz w:val="36"/>
          <w:szCs w:val="36"/>
          <w:highlight w:val="none"/>
          <w:shd w:val="clear" w:color="auto" w:fill="FFFFFF"/>
        </w:rPr>
      </w:pPr>
      <w:r>
        <w:rPr>
          <w:rFonts w:hint="eastAsia" w:ascii="方正小标宋_GBK" w:hAnsi="方正小标宋_GBK" w:eastAsia="方正小标宋_GBK" w:cs="方正小标宋_GBK"/>
          <w:color w:val="auto"/>
          <w:sz w:val="36"/>
          <w:szCs w:val="36"/>
          <w:highlight w:val="none"/>
        </w:rPr>
        <w:t>重庆市秀山土家族苗族自治县石耶镇退役军人服务站</w:t>
      </w:r>
      <w:r>
        <w:rPr>
          <w:rFonts w:hint="eastAsia" w:ascii="方正小标宋_GBK" w:hAnsi="方正小标宋_GBK" w:eastAsia="方正小标宋_GBK" w:cs="方正小标宋_GBK"/>
          <w:color w:val="auto"/>
          <w:sz w:val="36"/>
          <w:szCs w:val="36"/>
          <w:highlight w:val="none"/>
          <w:shd w:val="clear" w:color="auto" w:fill="FFFFFF"/>
        </w:rPr>
        <w:t>2023年度决算公开说明</w:t>
      </w:r>
    </w:p>
    <w:p>
      <w:pPr>
        <w:pStyle w:val="8"/>
        <w:keepNext w:val="0"/>
        <w:keepLines w:val="0"/>
        <w:pageBreakBefore w:val="0"/>
        <w:widowControl/>
        <w:kinsoku/>
        <w:overflowPunct/>
        <w:topLinePunct w:val="0"/>
        <w:autoSpaceDN/>
        <w:bidi w:val="0"/>
        <w:adjustRightInd/>
        <w:spacing w:before="0" w:beforeAutospacing="0" w:after="0" w:afterAutospacing="0" w:line="600" w:lineRule="exact"/>
        <w:ind w:right="0" w:rightChars="0"/>
        <w:jc w:val="center"/>
        <w:outlineLvl w:val="9"/>
        <w:rPr>
          <w:rFonts w:hint="default" w:ascii="Times New Roman" w:hAnsi="Times New Roman" w:eastAsia="方正小标宋_GBK" w:cs="Times New Roman"/>
          <w:color w:val="auto"/>
          <w:sz w:val="36"/>
          <w:szCs w:val="36"/>
          <w:highlight w:val="none"/>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sz w:val="32"/>
          <w:szCs w:val="32"/>
          <w:highlight w:val="none"/>
        </w:rPr>
      </w:pPr>
      <w:r>
        <w:rPr>
          <w:rStyle w:val="10"/>
          <w:rFonts w:hint="eastAsia" w:ascii="方正黑体_GBK" w:hAnsi="方正黑体_GBK" w:eastAsia="方正黑体_GBK" w:cs="方正黑体_GBK"/>
          <w:b w:val="0"/>
          <w:bCs/>
          <w:color w:val="auto"/>
          <w:sz w:val="32"/>
          <w:szCs w:val="32"/>
          <w:highlight w:val="none"/>
          <w:shd w:val="clear" w:color="auto" w:fill="FFFFFF"/>
        </w:rPr>
        <w:t>一、单位基本情况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（一）职能职责</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负责做好面对面、个性化、一对一服务退役军人工作，做好关系转接、联络接待、困难帮扶、信息采集、情况反映、立功喜报、悬挂光荣牌和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八一</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、春节等节日以及重大变故走访慰问等具体事务，搭建政策咨询、帮扶援助、沟通联系、学习交流等活动场所把党和政府的关怀温暖送到每一个退役军人身边；完成上级交办的其他任务。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从</w:t>
      </w:r>
      <w:r>
        <w:rPr>
          <w:rFonts w:hint="default" w:ascii="Times New Roman" w:hAnsi="Times New Roman" w:eastAsia="方正仿宋_GBK" w:cs="Times New Roman"/>
          <w:color w:val="auto"/>
          <w:kern w:val="0"/>
          <w:sz w:val="32"/>
          <w:szCs w:val="32"/>
          <w:highlight w:val="none"/>
          <w:lang w:eastAsia="zh-CN"/>
        </w:rPr>
        <w:t>机构设置</w:t>
      </w:r>
      <w:r>
        <w:rPr>
          <w:rFonts w:hint="default" w:ascii="Times New Roman" w:hAnsi="Times New Roman" w:eastAsia="方正仿宋_GBK" w:cs="Times New Roman"/>
          <w:color w:val="auto"/>
          <w:kern w:val="0"/>
          <w:sz w:val="32"/>
          <w:szCs w:val="32"/>
          <w:highlight w:val="none"/>
        </w:rPr>
        <w:t>看，石耶镇人民</w:t>
      </w:r>
      <w:r>
        <w:rPr>
          <w:rFonts w:hint="default" w:ascii="Times New Roman" w:hAnsi="Times New Roman" w:eastAsia="方正仿宋_GBK" w:cs="Times New Roman"/>
          <w:color w:val="auto"/>
          <w:kern w:val="0"/>
          <w:sz w:val="32"/>
          <w:szCs w:val="32"/>
          <w:highlight w:val="none"/>
          <w:lang w:eastAsia="zh-CN"/>
        </w:rPr>
        <w:t>退役军人服务站属于石耶镇人民政府</w:t>
      </w:r>
      <w:r>
        <w:rPr>
          <w:rFonts w:hint="default" w:ascii="Times New Roman" w:hAnsi="Times New Roman" w:eastAsia="方正仿宋_GBK" w:cs="Times New Roman"/>
          <w:color w:val="auto"/>
          <w:kern w:val="0"/>
          <w:sz w:val="32"/>
          <w:szCs w:val="32"/>
          <w:highlight w:val="none"/>
        </w:rPr>
        <w:t>二级财务独立核算机构</w:t>
      </w:r>
      <w:r>
        <w:rPr>
          <w:rFonts w:hint="default" w:ascii="Times New Roman" w:hAnsi="Times New Roman" w:eastAsia="方正仿宋_GBK" w:cs="Times New Roman"/>
          <w:color w:val="auto"/>
          <w:kern w:val="0"/>
          <w:sz w:val="32"/>
          <w:szCs w:val="32"/>
          <w:highlight w:val="none"/>
          <w:lang w:eastAsia="zh-CN"/>
        </w:rPr>
        <w:t>，无下级预算单位</w:t>
      </w:r>
      <w:r>
        <w:rPr>
          <w:rFonts w:hint="default" w:ascii="Times New Roman" w:hAnsi="Times New Roman" w:eastAsia="方正仿宋_GBK" w:cs="Times New Roman"/>
          <w:color w:val="auto"/>
          <w:kern w:val="0"/>
          <w:sz w:val="32"/>
          <w:szCs w:val="32"/>
          <w:highlight w:val="none"/>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sz w:val="32"/>
          <w:szCs w:val="32"/>
          <w:highlight w:val="none"/>
        </w:rPr>
      </w:pPr>
      <w:r>
        <w:rPr>
          <w:rStyle w:val="10"/>
          <w:rFonts w:hint="eastAsia" w:ascii="方正黑体_GBK" w:hAnsi="方正黑体_GBK" w:eastAsia="方正黑体_GBK" w:cs="方正黑体_GBK"/>
          <w:b w:val="0"/>
          <w:bCs/>
          <w:color w:val="auto"/>
          <w:sz w:val="32"/>
          <w:szCs w:val="32"/>
          <w:highlight w:val="none"/>
          <w:shd w:val="clear" w:color="auto" w:fill="FFFFFF"/>
        </w:rPr>
        <w:t>二、单位决算情况说明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2023年度收入总计36.78万元，支出总计</w:t>
      </w:r>
      <w:r>
        <w:rPr>
          <w:rFonts w:hint="default" w:ascii="Times New Roman" w:hAnsi="Times New Roman" w:eastAsia="方正仿宋_GBK" w:cs="Times New Roman"/>
          <w:color w:val="auto"/>
          <w:sz w:val="32"/>
          <w:szCs w:val="32"/>
          <w:highlight w:val="none"/>
        </w:rPr>
        <w:t>36.78</w:t>
      </w:r>
      <w:r>
        <w:rPr>
          <w:rFonts w:hint="default" w:ascii="Times New Roman" w:hAnsi="Times New Roman" w:eastAsia="方正仿宋_GBK" w:cs="Times New Roman"/>
          <w:color w:val="auto"/>
          <w:sz w:val="32"/>
          <w:szCs w:val="32"/>
          <w:highlight w:val="none"/>
          <w:shd w:val="clear" w:color="auto" w:fill="FFFFFF"/>
        </w:rPr>
        <w:t>万元。收支较上年决算数增加36.78万元，增长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2023年度收入合计36.78万元，较上年决算数增加36.78万元，增长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其中：财政拨款收入36.78万元，占</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；事业收入0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%；经营收入0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%；其他收入0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%。此外，使用非财政拨款结余和专用结余0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万元，年初结转和结余0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36.78</w:t>
      </w:r>
      <w:r>
        <w:rPr>
          <w:rFonts w:hint="default" w:ascii="Times New Roman" w:hAnsi="Times New Roman" w:eastAsia="方正仿宋_GBK" w:cs="Times New Roman"/>
          <w:color w:val="auto"/>
          <w:sz w:val="32"/>
          <w:szCs w:val="32"/>
          <w:highlight w:val="none"/>
          <w:shd w:val="clear" w:color="auto" w:fill="FFFFFF"/>
        </w:rPr>
        <w:t>万元，较上年决算数增加36.78万元，增长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其中：基本支出35.73万元，占97.15%；项目支出1.05万元，占2.85%；经营支出0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%。此外，结余分配0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lang w:eastAsia="zh-CN"/>
        </w:rPr>
        <w:t>2023年度年末结转和结余0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lang w:eastAsia="zh-CN"/>
        </w:rPr>
        <w:t>万元，较上年决算数无增减，主要原因是本年度收支平衡，无资金结转结余。</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2023年度财政拨款收、支总计36.78万元。与2022年相比，财政拨款收、支总计各增加36.78万元，增长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36.78</w:t>
      </w:r>
      <w:r>
        <w:rPr>
          <w:rFonts w:hint="default" w:ascii="Times New Roman" w:hAnsi="Times New Roman" w:eastAsia="方正仿宋_GBK" w:cs="Times New Roman"/>
          <w:color w:val="auto"/>
          <w:sz w:val="32"/>
          <w:szCs w:val="32"/>
          <w:highlight w:val="none"/>
          <w:shd w:val="clear" w:color="auto" w:fill="FFFFFF"/>
        </w:rPr>
        <w:t>万元，较上年决算数增加36.78万元，增长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较年初预算数减少3.64万元，下降9.01%。主要原因是</w:t>
      </w:r>
      <w:r>
        <w:rPr>
          <w:rFonts w:hint="default" w:ascii="Times New Roman" w:hAnsi="Times New Roman" w:eastAsia="方正仿宋_GBK" w:cs="Times New Roman"/>
          <w:color w:val="auto"/>
          <w:sz w:val="32"/>
          <w:szCs w:val="32"/>
          <w:highlight w:val="none"/>
          <w:shd w:val="clear" w:color="auto" w:fill="FFFFFF"/>
          <w:lang w:eastAsia="zh-CN"/>
        </w:rPr>
        <w:t>本年度人员经费和公用经费实际支出未达到年初预算数。</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36.78</w:t>
      </w:r>
      <w:r>
        <w:rPr>
          <w:rFonts w:hint="default" w:ascii="Times New Roman" w:hAnsi="Times New Roman" w:eastAsia="方正仿宋_GBK" w:cs="Times New Roman"/>
          <w:color w:val="auto"/>
          <w:sz w:val="32"/>
          <w:szCs w:val="32"/>
          <w:highlight w:val="none"/>
          <w:shd w:val="clear" w:color="auto" w:fill="FFFFFF"/>
        </w:rPr>
        <w:t>万元，较上年决算数增加36.78万元，增长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较年初预算数减少4.94万元，下降11.84%。主要原因是</w:t>
      </w:r>
      <w:r>
        <w:rPr>
          <w:rFonts w:hint="default" w:ascii="Times New Roman" w:hAnsi="Times New Roman" w:eastAsia="方正仿宋_GBK" w:cs="Times New Roman"/>
          <w:color w:val="auto"/>
          <w:sz w:val="32"/>
          <w:szCs w:val="32"/>
          <w:highlight w:val="none"/>
          <w:shd w:val="clear" w:color="auto" w:fill="FFFFFF"/>
          <w:lang w:eastAsia="zh-CN"/>
        </w:rPr>
        <w:t>人员经费和公用经费支出减少</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本年</w:t>
      </w:r>
      <w:r>
        <w:rPr>
          <w:rFonts w:hint="default" w:ascii="Times New Roman" w:hAnsi="Times New Roman" w:eastAsia="方正仿宋_GBK" w:cs="Times New Roman"/>
          <w:color w:val="auto"/>
          <w:sz w:val="32"/>
          <w:szCs w:val="32"/>
          <w:highlight w:val="none"/>
          <w:shd w:val="clear" w:color="auto" w:fill="FFFFFF"/>
        </w:rPr>
        <w:t>一般公共预算财政拨款</w:t>
      </w:r>
      <w:r>
        <w:rPr>
          <w:rFonts w:hint="default" w:ascii="Times New Roman" w:hAnsi="Times New Roman" w:eastAsia="方正仿宋_GBK" w:cs="Times New Roman"/>
          <w:color w:val="auto"/>
          <w:sz w:val="32"/>
          <w:szCs w:val="32"/>
          <w:highlight w:val="none"/>
          <w:shd w:val="clear" w:color="auto" w:fill="FFFFFF"/>
          <w:lang w:eastAsia="zh-CN"/>
        </w:rPr>
        <w:t>收支平衡，无结转结余</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4.比较情况。</w:t>
      </w:r>
      <w:r>
        <w:rPr>
          <w:rFonts w:hint="eastAsia" w:ascii="Times New Roman" w:hAnsi="Times New Roman" w:eastAsia="方正仿宋_GBK" w:cs="Times New Roman"/>
          <w:color w:val="auto"/>
          <w:sz w:val="32"/>
          <w:szCs w:val="32"/>
          <w:highlight w:val="none"/>
          <w:shd w:val="clear" w:color="auto" w:fill="FFFFFF"/>
          <w:lang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rPr>
        <w:t>2023年度一般公共预算财政拨款支出主要用于以下几个方面：</w:t>
      </w:r>
    </w:p>
    <w:p>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33.73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91.72</w:t>
      </w:r>
      <w:r>
        <w:rPr>
          <w:rFonts w:hint="default" w:ascii="Times New Roman" w:hAnsi="Times New Roman" w:eastAsia="方正仿宋_GBK" w:cs="Times New Roman"/>
          <w:color w:val="auto"/>
          <w:sz w:val="32"/>
          <w:szCs w:val="32"/>
          <w:highlight w:val="none"/>
          <w:shd w:val="clear" w:color="auto" w:fill="FFFFFF"/>
        </w:rPr>
        <w:t>%，较年初预算数减少3.39万元，下降9.13%，主要原因是</w:t>
      </w:r>
      <w:r>
        <w:rPr>
          <w:rFonts w:hint="default" w:ascii="Times New Roman" w:hAnsi="Times New Roman" w:eastAsia="方正仿宋_GBK" w:cs="Times New Roman"/>
          <w:color w:val="auto"/>
          <w:sz w:val="32"/>
          <w:szCs w:val="32"/>
          <w:highlight w:val="none"/>
          <w:shd w:val="clear" w:color="auto" w:fill="FFFFFF"/>
          <w:lang w:eastAsia="zh-CN"/>
        </w:rPr>
        <w:t>退役军人管理事务和行政事业单位养老支出</w:t>
      </w:r>
      <w:r>
        <w:rPr>
          <w:rFonts w:hint="eastAsia" w:ascii="Times New Roman" w:hAnsi="Times New Roman" w:eastAsia="方正仿宋_GBK" w:cs="Times New Roman"/>
          <w:color w:val="auto"/>
          <w:sz w:val="32"/>
          <w:szCs w:val="32"/>
          <w:highlight w:val="none"/>
          <w:shd w:val="clear" w:color="auto" w:fill="FFFFFF"/>
          <w:lang w:eastAsia="zh-CN"/>
        </w:rPr>
        <w:t>财政拨款实际收入和</w:t>
      </w:r>
      <w:r>
        <w:rPr>
          <w:rFonts w:hint="default" w:ascii="Times New Roman" w:hAnsi="Times New Roman" w:eastAsia="方正仿宋_GBK" w:cs="Times New Roman"/>
          <w:color w:val="auto"/>
          <w:sz w:val="32"/>
          <w:szCs w:val="32"/>
          <w:highlight w:val="none"/>
          <w:shd w:val="clear" w:color="auto" w:fill="FFFFFF"/>
          <w:lang w:eastAsia="zh-CN"/>
        </w:rPr>
        <w:t>实际支出未达到年初预算数。</w:t>
      </w:r>
    </w:p>
    <w:p>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1.58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4.28</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eastAsia="zh-CN"/>
        </w:rPr>
        <w:t>事业单位医疗</w:t>
      </w:r>
      <w:r>
        <w:rPr>
          <w:rFonts w:hint="eastAsia" w:ascii="Times New Roman" w:hAnsi="Times New Roman" w:eastAsia="方正仿宋_GBK" w:cs="Times New Roman"/>
          <w:color w:val="auto"/>
          <w:sz w:val="32"/>
          <w:szCs w:val="32"/>
          <w:highlight w:val="none"/>
          <w:shd w:val="clear" w:color="auto" w:fill="FFFFFF"/>
          <w:lang w:eastAsia="zh-CN"/>
        </w:rPr>
        <w:t>财政拨款实际收入和</w:t>
      </w:r>
      <w:r>
        <w:rPr>
          <w:rFonts w:hint="default" w:ascii="Times New Roman" w:hAnsi="Times New Roman" w:eastAsia="方正仿宋_GBK" w:cs="Times New Roman"/>
          <w:color w:val="auto"/>
          <w:sz w:val="32"/>
          <w:szCs w:val="32"/>
          <w:highlight w:val="none"/>
          <w:shd w:val="clear" w:color="auto" w:fill="FFFFFF"/>
          <w:lang w:eastAsia="zh-CN"/>
        </w:rPr>
        <w:t>实际支出未达到年初预算数。</w:t>
      </w:r>
    </w:p>
    <w:p>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rPr>
        <w:t>住房保障支出1.47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shd w:val="clear" w:color="auto" w:fill="FFFFFF"/>
        </w:rPr>
        <w:t>%，较年初预算数减少1.55万元，下降51.32%，主要原因是</w:t>
      </w:r>
      <w:r>
        <w:rPr>
          <w:rFonts w:hint="default" w:ascii="Times New Roman" w:hAnsi="Times New Roman" w:eastAsia="方正仿宋_GBK" w:cs="Times New Roman"/>
          <w:color w:val="auto"/>
          <w:sz w:val="32"/>
          <w:szCs w:val="32"/>
          <w:highlight w:val="none"/>
          <w:shd w:val="clear" w:color="auto" w:fill="FFFFFF"/>
          <w:lang w:eastAsia="zh-CN"/>
        </w:rPr>
        <w:t>职工公积金</w:t>
      </w:r>
      <w:r>
        <w:rPr>
          <w:rFonts w:hint="eastAsia" w:ascii="Times New Roman" w:hAnsi="Times New Roman" w:eastAsia="方正仿宋_GBK" w:cs="Times New Roman"/>
          <w:color w:val="auto"/>
          <w:sz w:val="32"/>
          <w:szCs w:val="32"/>
          <w:highlight w:val="none"/>
          <w:shd w:val="clear" w:color="auto" w:fill="FFFFFF"/>
          <w:lang w:eastAsia="zh-CN"/>
        </w:rPr>
        <w:t>财政拨款实际收入和</w:t>
      </w:r>
      <w:r>
        <w:rPr>
          <w:rFonts w:hint="default" w:ascii="Times New Roman" w:hAnsi="Times New Roman" w:eastAsia="方正仿宋_GBK" w:cs="Times New Roman"/>
          <w:color w:val="auto"/>
          <w:sz w:val="32"/>
          <w:szCs w:val="32"/>
          <w:highlight w:val="none"/>
          <w:shd w:val="clear" w:color="auto" w:fill="FFFFFF"/>
          <w:lang w:eastAsia="zh-CN"/>
        </w:rPr>
        <w:t>实际支出未达到年初预算数。</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35.73</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32.64</w:t>
      </w:r>
      <w:r>
        <w:rPr>
          <w:rFonts w:hint="default" w:ascii="Times New Roman" w:hAnsi="Times New Roman" w:eastAsia="方正仿宋_GBK" w:cs="Times New Roman"/>
          <w:color w:val="auto"/>
          <w:sz w:val="32"/>
          <w:szCs w:val="32"/>
          <w:highlight w:val="none"/>
          <w:shd w:val="clear" w:color="auto" w:fill="FFFFFF"/>
        </w:rPr>
        <w:t>万元，较上年决算数增加32.64万元，增长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lang w:eastAsia="zh-CN"/>
        </w:rPr>
        <w:t>事业单位人员每月基本工资、养老保险、职业年金、医疗保险、住房公积金等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3.08</w:t>
      </w:r>
      <w:r>
        <w:rPr>
          <w:rFonts w:hint="default" w:ascii="Times New Roman" w:hAnsi="Times New Roman" w:eastAsia="方正仿宋_GBK" w:cs="Times New Roman"/>
          <w:color w:val="auto"/>
          <w:sz w:val="32"/>
          <w:szCs w:val="32"/>
          <w:highlight w:val="none"/>
          <w:shd w:val="clear" w:color="auto" w:fill="FFFFFF"/>
        </w:rPr>
        <w:t>万元，较上年决算数增加3.08万元，增长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lang w:eastAsia="zh-CN"/>
        </w:rPr>
        <w:t>差旅报销、办公设备维修、办公用品开支、邮电费等</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政府性基金预算收支决算情况说明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我单位2023年度无政府性基金预算财政拨款收支。</w:t>
      </w:r>
    </w:p>
    <w:p>
      <w:pPr>
        <w:pStyle w:val="13"/>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国有资本经营预算财政拨款支出决算情况说明</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我单位2023年度无国有资本经营预算财政拨款收支。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三、</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eastAsia" w:ascii="方正黑体_GBK" w:hAnsi="方正黑体_GBK" w:eastAsia="方正黑体_GBK" w:cs="方正黑体_GBK"/>
          <w:b w:val="0"/>
          <w:bCs/>
          <w:color w:val="auto"/>
          <w:sz w:val="32"/>
          <w:szCs w:val="32"/>
          <w:highlight w:val="none"/>
          <w:shd w:val="clear" w:color="auto" w:fill="FFFFFF"/>
        </w:rPr>
        <w:t>三公</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eastAsia" w:ascii="方正黑体_GBK" w:hAnsi="方正黑体_GBK" w:eastAsia="方正黑体_GBK" w:cs="方正黑体_GBK"/>
          <w:b w:val="0"/>
          <w:bCs/>
          <w:color w:val="auto"/>
          <w:sz w:val="32"/>
          <w:szCs w:val="32"/>
          <w:highlight w:val="none"/>
          <w:shd w:val="clear" w:color="auto" w:fill="FFFFFF"/>
        </w:rPr>
        <w:t>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2023年度“三公”经费支出共计0.00万元，较年初预算数无增减，主要原因是无相关支出。较上年支出数无增减，主要原因是无相关支出。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2023年度本单位因公出国（境）费用0.00万元，主要是用于单位工作人员因公务出国（境）期间产生的差旅费、伙食补助费等。费用支出较年初预算数无增减，主要原因是无相关支出。较上年支出数无增减，主要原因是无相关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公务车购置费0.00万元，主要用于单位用车的购置费及租用费、燃料费、维修费等。费用支出较年初预算数无增减，主要原因是无相关支出。较上年支出数无增减，主要原因是无相关支出。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公务车运行维护费0.00万元，主要用于单位公务用车洗车、加油、维修、保险费等。费用支出较年初预算数无增减，主要原因是无相关支出。较上年支出数无增减，主要原因是无相关支出。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公务接待费0.00万元，主要用于接待单位为执行公务和开展业务需要而进行的合理接待支出。费用支出较年初预算数无增减，主要原因是无相关支出。较上年支出数无增减，主要原因是无相关支出。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eastAsia" w:ascii="Times New Roman" w:hAnsi="Times New Roman" w:eastAsia="方正仿宋_GBK" w:cs="Times New Roman"/>
          <w:color w:val="auto"/>
          <w:sz w:val="32"/>
          <w:szCs w:val="32"/>
          <w:highlight w:val="none"/>
          <w:shd w:val="clear" w:color="auto" w:fill="FFFFFF"/>
          <w:lang w:eastAsia="zh-CN"/>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r>
        <w:rPr>
          <w:rFonts w:hint="default" w:ascii="Times New Roman" w:hAnsi="Times New Roman" w:eastAsia="方正仿宋_GBK" w:cs="Times New Roman"/>
          <w:color w:val="auto"/>
          <w:sz w:val="32"/>
          <w:szCs w:val="32"/>
          <w:highlight w:val="none"/>
          <w:shd w:val="clear" w:color="auto" w:fill="FFFFFF"/>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本年度会议费支出0.00万元，较上年决算数无增减，主要原因是未产生相关支出。本年度培训费支出</w:t>
      </w:r>
      <w:r>
        <w:rPr>
          <w:rFonts w:hint="default" w:ascii="Times New Roman" w:hAnsi="Times New Roman" w:eastAsia="方正仿宋_GBK" w:cs="Times New Roman"/>
          <w:color w:val="auto"/>
          <w:sz w:val="32"/>
          <w:szCs w:val="32"/>
          <w:highlight w:val="none"/>
        </w:rPr>
        <w:t>0.12</w:t>
      </w:r>
      <w:r>
        <w:rPr>
          <w:rFonts w:hint="default" w:ascii="Times New Roman" w:hAnsi="Times New Roman" w:eastAsia="方正仿宋_GBK" w:cs="Times New Roman"/>
          <w:color w:val="auto"/>
          <w:sz w:val="32"/>
          <w:szCs w:val="32"/>
          <w:highlight w:val="none"/>
          <w:shd w:val="clear" w:color="auto" w:fill="FFFFFF"/>
        </w:rPr>
        <w:t>万元，较上年决算数增加0.12万元，增长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w:t>
      </w:r>
      <w:r>
        <w:rPr>
          <w:rFonts w:hint="eastAsia" w:ascii="Times New Roman" w:hAnsi="Times New Roman" w:eastAsia="方正仿宋_GBK" w:cs="Times New Roman"/>
          <w:color w:val="auto"/>
          <w:sz w:val="32"/>
          <w:szCs w:val="32"/>
          <w:highlight w:val="none"/>
          <w:shd w:val="clear" w:color="auto" w:fill="FFFFFF"/>
          <w:lang w:val="en-US"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2023年度本单位机关运行经费支出0.00万元，机关运行经费主要用于开支机关所产生的水费、电费、生活费等。机关运行经费较上年支出数无增减，主要原因是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我单位</w:t>
      </w:r>
      <w:r>
        <w:rPr>
          <w:rFonts w:hint="default" w:ascii="Times New Roman" w:hAnsi="Times New Roman" w:eastAsia="方正仿宋_GBK" w:cs="Times New Roman"/>
          <w:color w:val="auto"/>
          <w:sz w:val="32"/>
          <w:szCs w:val="32"/>
          <w:highlight w:val="none"/>
          <w:shd w:val="clear" w:color="auto" w:fill="FFFFFF"/>
        </w:rPr>
        <w:t>未发生政府采购事项，无相关经费支出。</w:t>
      </w:r>
    </w:p>
    <w:p>
      <w:pPr>
        <w:pStyle w:val="8"/>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根据预算绩效管理要求，</w:t>
      </w:r>
      <w:r>
        <w:rPr>
          <w:rFonts w:hint="eastAsia" w:ascii="Times New Roman" w:hAnsi="Times New Roman" w:eastAsia="方正仿宋_GBK" w:cs="Times New Roman"/>
          <w:color w:val="auto"/>
          <w:sz w:val="32"/>
          <w:szCs w:val="32"/>
          <w:highlight w:val="none"/>
          <w:shd w:val="clear" w:color="auto" w:fill="FFFFFF"/>
          <w:lang w:eastAsia="zh-CN"/>
        </w:rPr>
        <w:t>我单位</w:t>
      </w:r>
      <w:r>
        <w:rPr>
          <w:rFonts w:hint="default" w:ascii="Times New Roman" w:hAnsi="Times New Roman" w:eastAsia="方正仿宋_GBK" w:cs="Times New Roman"/>
          <w:color w:val="auto"/>
          <w:sz w:val="32"/>
          <w:szCs w:val="32"/>
          <w:highlight w:val="none"/>
          <w:shd w:val="clear" w:color="auto" w:fill="FFFFFF"/>
        </w:rPr>
        <w:t>对</w:t>
      </w:r>
      <w:r>
        <w:rPr>
          <w:rFonts w:hint="eastAsia" w:ascii="Times New Roman" w:hAnsi="Times New Roman" w:eastAsia="方正仿宋_GBK" w:cs="Times New Roman"/>
          <w:color w:val="auto"/>
          <w:sz w:val="32"/>
          <w:szCs w:val="32"/>
          <w:highlight w:val="none"/>
          <w:shd w:val="clear" w:color="auto" w:fill="FFFFFF"/>
          <w:lang w:val="en-US" w:eastAsia="zh-CN"/>
        </w:rPr>
        <w:t>全国示范退役军人服务站创建工作经费市级-渝财社〔2022〕44号</w:t>
      </w:r>
      <w:r>
        <w:rPr>
          <w:rFonts w:hint="default" w:ascii="Times New Roman" w:hAnsi="Times New Roman" w:eastAsia="方正仿宋_GBK" w:cs="Times New Roman"/>
          <w:color w:val="auto"/>
          <w:sz w:val="32"/>
          <w:szCs w:val="32"/>
          <w:highlight w:val="none"/>
          <w:shd w:val="clear" w:color="auto" w:fill="FFFFFF"/>
        </w:rPr>
        <w:t>项目开展了绩效自评，涉及财政拨款项目支出资金</w:t>
      </w:r>
      <w:r>
        <w:rPr>
          <w:rFonts w:hint="eastAsia" w:ascii="Times New Roman" w:hAnsi="Times New Roman" w:eastAsia="方正仿宋_GBK" w:cs="Times New Roman"/>
          <w:color w:val="auto"/>
          <w:sz w:val="32"/>
          <w:szCs w:val="32"/>
          <w:highlight w:val="none"/>
          <w:shd w:val="clear" w:color="auto" w:fill="FFFFFF"/>
          <w:lang w:val="en-US" w:eastAsia="zh-CN"/>
        </w:rPr>
        <w:t>1.05</w:t>
      </w:r>
      <w:r>
        <w:rPr>
          <w:rFonts w:hint="default" w:ascii="Times New Roman" w:hAnsi="Times New Roman" w:eastAsia="方正仿宋_GBK" w:cs="Times New Roman"/>
          <w:color w:val="auto"/>
          <w:sz w:val="32"/>
          <w:szCs w:val="32"/>
          <w:highlight w:val="none"/>
          <w:shd w:val="clear" w:color="auto" w:fill="FFFFFF"/>
        </w:rPr>
        <w:t>万元</w:t>
      </w:r>
      <w:r>
        <w:rPr>
          <w:rFonts w:hint="eastAsia" w:ascii="Times New Roman" w:hAnsi="Times New Roman" w:eastAsia="方正仿宋_GBK" w:cs="Times New Roman"/>
          <w:color w:val="auto"/>
          <w:sz w:val="32"/>
          <w:szCs w:val="32"/>
          <w:highlight w:val="none"/>
          <w:shd w:val="clear" w:color="auto" w:fill="FFFFFF"/>
          <w:lang w:eastAsia="zh-CN"/>
        </w:rPr>
        <w:t>。</w:t>
      </w:r>
    </w:p>
    <w:tbl>
      <w:tblPr>
        <w:tblStyle w:val="11"/>
        <w:tblW w:w="8533" w:type="dxa"/>
        <w:jc w:val="center"/>
        <w:tblInd w:w="93" w:type="dxa"/>
        <w:tblLayout w:type="fixed"/>
        <w:tblCellMar>
          <w:top w:w="0" w:type="dxa"/>
          <w:left w:w="108" w:type="dxa"/>
          <w:bottom w:w="0" w:type="dxa"/>
          <w:right w:w="108" w:type="dxa"/>
        </w:tblCellMar>
      </w:tblPr>
      <w:tblGrid>
        <w:gridCol w:w="600"/>
        <w:gridCol w:w="750"/>
        <w:gridCol w:w="1433"/>
        <w:gridCol w:w="569"/>
        <w:gridCol w:w="675"/>
        <w:gridCol w:w="615"/>
        <w:gridCol w:w="540"/>
        <w:gridCol w:w="720"/>
        <w:gridCol w:w="1081"/>
        <w:gridCol w:w="735"/>
        <w:gridCol w:w="815"/>
      </w:tblGrid>
      <w:tr>
        <w:tblPrEx>
          <w:tblLayout w:type="fixed"/>
          <w:tblCellMar>
            <w:top w:w="0" w:type="dxa"/>
            <w:left w:w="108" w:type="dxa"/>
            <w:bottom w:w="0" w:type="dxa"/>
            <w:right w:w="108" w:type="dxa"/>
          </w:tblCellMar>
        </w:tblPrEx>
        <w:trPr>
          <w:trHeight w:val="780" w:hRule="atLeast"/>
          <w:jc w:val="center"/>
        </w:trPr>
        <w:tc>
          <w:tcPr>
            <w:tcW w:w="8533" w:type="dxa"/>
            <w:gridSpan w:val="11"/>
            <w:tcBorders>
              <w:top w:val="nil"/>
              <w:left w:val="nil"/>
              <w:bottom w:val="single" w:color="000000" w:sz="4" w:space="0"/>
              <w:right w:val="nil"/>
            </w:tcBorders>
            <w:vAlign w:val="center"/>
          </w:tcPr>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b w:val="0"/>
                <w:bCs/>
                <w:kern w:val="0"/>
                <w:sz w:val="32"/>
                <w:szCs w:val="32"/>
                <w:shd w:val="clear" w:color="auto" w:fill="FFFFFF"/>
                <w:lang w:val="en-US" w:eastAsia="zh-CN" w:bidi="ar"/>
              </w:rPr>
            </w:pP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kern w:val="0"/>
                <w:sz w:val="32"/>
                <w:szCs w:val="32"/>
                <w:shd w:val="clear" w:color="auto" w:fill="FFFFFF"/>
                <w:lang w:val="en-US" w:eastAsia="zh-CN" w:bidi="ar"/>
              </w:rPr>
            </w:pPr>
            <w:r>
              <w:rPr>
                <w:rFonts w:hint="default" w:ascii="Times New Roman" w:hAnsi="Times New Roman" w:eastAsia="方正小标宋_GBK" w:cs="Times New Roman"/>
                <w:b w:val="0"/>
                <w:bCs/>
                <w:kern w:val="0"/>
                <w:sz w:val="32"/>
                <w:szCs w:val="32"/>
                <w:shd w:val="clear" w:color="auto" w:fill="FFFFFF"/>
                <w:lang w:val="en-US" w:eastAsia="zh-CN" w:bidi="ar"/>
              </w:rPr>
              <w:t>秀山土家族苗族自治县石耶镇人民政府</w:t>
            </w: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b w:val="0"/>
                <w:bCs/>
                <w:kern w:val="0"/>
                <w:sz w:val="32"/>
                <w:szCs w:val="32"/>
                <w:shd w:val="clear" w:color="auto" w:fill="FFFFFF"/>
                <w:lang w:val="en-US" w:eastAsia="zh-CN" w:bidi="ar"/>
              </w:rPr>
              <w:t>2023年度项目支出绩效自评表（二级项目）</w:t>
            </w:r>
          </w:p>
        </w:tc>
      </w:tr>
      <w:tr>
        <w:tblPrEx>
          <w:tblLayout w:type="fixed"/>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序号</w:t>
            </w:r>
          </w:p>
        </w:tc>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项目名称</w:t>
            </w:r>
          </w:p>
        </w:tc>
        <w:tc>
          <w:tcPr>
            <w:tcW w:w="14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指标名称</w:t>
            </w:r>
          </w:p>
        </w:tc>
        <w:tc>
          <w:tcPr>
            <w:tcW w:w="5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指标性质</w:t>
            </w:r>
          </w:p>
        </w:tc>
        <w:tc>
          <w:tcPr>
            <w:tcW w:w="6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指标值</w:t>
            </w:r>
          </w:p>
        </w:tc>
        <w:tc>
          <w:tcPr>
            <w:tcW w:w="6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计量单位</w:t>
            </w:r>
          </w:p>
        </w:tc>
        <w:tc>
          <w:tcPr>
            <w:tcW w:w="54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指标权重</w:t>
            </w:r>
          </w:p>
        </w:tc>
        <w:tc>
          <w:tcPr>
            <w:tcW w:w="7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全年完成值</w:t>
            </w:r>
          </w:p>
        </w:tc>
        <w:tc>
          <w:tcPr>
            <w:tcW w:w="108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指标得分</w:t>
            </w:r>
          </w:p>
        </w:tc>
        <w:tc>
          <w:tcPr>
            <w:tcW w:w="7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说明</w:t>
            </w:r>
          </w:p>
        </w:tc>
        <w:tc>
          <w:tcPr>
            <w:tcW w:w="8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自评得分</w:t>
            </w:r>
          </w:p>
        </w:tc>
      </w:tr>
      <w:tr>
        <w:tblPrEx>
          <w:tblLayout w:type="fixed"/>
          <w:tblCellMar>
            <w:top w:w="0" w:type="dxa"/>
            <w:left w:w="108" w:type="dxa"/>
            <w:bottom w:w="0" w:type="dxa"/>
            <w:right w:w="108" w:type="dxa"/>
          </w:tblCellMar>
        </w:tblPrEx>
        <w:trPr>
          <w:trHeight w:val="432" w:hRule="atLeast"/>
          <w:jc w:val="center"/>
        </w:trPr>
        <w:tc>
          <w:tcPr>
            <w:tcW w:w="6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1</w:t>
            </w:r>
          </w:p>
        </w:tc>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全国示范退役军人服务站创建工作经费市级-渝财社[2022]44号</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服务站点数量</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eastAsia"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个</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20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1</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100</w:t>
            </w: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资金及时支付率</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资金规模</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eastAsia"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万元</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1.05</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政策宣传知晓率</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bl>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（二）单位绩效评价情况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我单位</w:t>
      </w:r>
      <w:r>
        <w:rPr>
          <w:rFonts w:hint="default" w:ascii="Times New Roman" w:hAnsi="Times New Roman" w:eastAsia="方正仿宋_GBK" w:cs="Times New Roman"/>
          <w:color w:val="auto"/>
          <w:sz w:val="32"/>
          <w:szCs w:val="32"/>
          <w:highlight w:val="none"/>
          <w:shd w:val="clear" w:color="auto" w:fill="FFFFFF"/>
          <w:lang w:val="en-US" w:eastAsia="zh-CN" w:bidi="ar-SA"/>
        </w:rPr>
        <w:t>未组织开展绩效评价。</w:t>
      </w:r>
    </w:p>
    <w:p>
      <w:pPr>
        <w:pStyle w:val="13"/>
        <w:keepNext w:val="0"/>
        <w:keepLines w:val="0"/>
        <w:pageBreakBefore w:val="0"/>
        <w:widowControl/>
        <w:numPr>
          <w:ilvl w:val="0"/>
          <w:numId w:val="4"/>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楷体" w:cs="Times New Roman"/>
          <w:b w:val="0"/>
          <w:bCs w:val="0"/>
          <w:color w:val="auto"/>
          <w:sz w:val="32"/>
          <w:szCs w:val="32"/>
          <w:highlight w:val="none"/>
          <w:shd w:val="clear" w:color="auto" w:fill="FFFFFF"/>
        </w:rPr>
        <w:t>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县</w:t>
      </w:r>
      <w:r>
        <w:rPr>
          <w:rFonts w:hint="default" w:ascii="Times New Roman" w:hAnsi="Times New Roman" w:eastAsia="方正仿宋_GBK" w:cs="Times New Roman"/>
          <w:color w:val="auto"/>
          <w:sz w:val="32"/>
          <w:szCs w:val="32"/>
          <w:highlight w:val="none"/>
          <w:shd w:val="clear" w:color="auto" w:fill="FFFFFF"/>
          <w:lang w:val="en-US" w:eastAsia="zh-CN" w:bidi="ar-SA"/>
        </w:rPr>
        <w:t>财政局未委托第三方对</w:t>
      </w:r>
      <w:r>
        <w:rPr>
          <w:rFonts w:hint="eastAsia" w:ascii="Times New Roman" w:hAnsi="Times New Roman" w:eastAsia="方正仿宋_GBK" w:cs="Times New Roman"/>
          <w:color w:val="auto"/>
          <w:sz w:val="32"/>
          <w:szCs w:val="32"/>
          <w:highlight w:val="none"/>
          <w:shd w:val="clear" w:color="auto" w:fill="FFFFFF"/>
          <w:lang w:val="en-US" w:eastAsia="zh-CN" w:bidi="ar-SA"/>
        </w:rPr>
        <w:t>我单位</w:t>
      </w:r>
      <w:r>
        <w:rPr>
          <w:rFonts w:hint="default" w:ascii="Times New Roman" w:hAnsi="Times New Roman" w:eastAsia="方正仿宋_GBK" w:cs="Times New Roman"/>
          <w:color w:val="auto"/>
          <w:sz w:val="32"/>
          <w:szCs w:val="32"/>
          <w:highlight w:val="none"/>
          <w:shd w:val="clear" w:color="auto" w:fill="FFFFFF"/>
          <w:lang w:val="en-US" w:eastAsia="zh-CN" w:bidi="ar-SA"/>
        </w:rPr>
        <w:t>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  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rPr>
        <w:t>（一）财政拨款收入：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（四）其他收入：</w:t>
      </w:r>
      <w:r>
        <w:rPr>
          <w:rFonts w:hint="default" w:ascii="Times New Roman" w:hAnsi="Times New Roman" w:eastAsia="方正仿宋_GBK" w:cs="Times New Roman"/>
          <w:color w:val="auto"/>
          <w:sz w:val="32"/>
          <w:szCs w:val="32"/>
          <w:highlight w:val="none"/>
          <w:shd w:val="clear" w:color="auto" w:fill="FFFFFF"/>
        </w:rPr>
        <w:t>指单位取得的除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其他收入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；公用经费指政府收支分类经济科目中除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（十二）</w:t>
      </w:r>
      <w:r>
        <w:rPr>
          <w:rFonts w:hint="eastAsia" w:ascii="方正楷体_GBK" w:hAnsi="方正楷体_GBK" w:eastAsia="方正楷体_GBK" w:cs="方正楷体_GBK"/>
          <w:b w:val="0"/>
          <w:bCs w:val="0"/>
          <w:color w:val="auto"/>
          <w:sz w:val="32"/>
          <w:szCs w:val="32"/>
          <w:highlight w:val="none"/>
          <w:shd w:val="clear" w:color="auto" w:fill="FFFFFF"/>
          <w:lang w:eastAsia="zh-CN"/>
        </w:rPr>
        <w:t>“</w:t>
      </w:r>
      <w:r>
        <w:rPr>
          <w:rFonts w:hint="default" w:ascii="方正楷体_GBK" w:hAnsi="方正楷体_GBK" w:eastAsia="方正楷体_GBK" w:cs="方正楷体_GBK"/>
          <w:b w:val="0"/>
          <w:bCs w:val="0"/>
          <w:color w:val="auto"/>
          <w:sz w:val="32"/>
          <w:szCs w:val="32"/>
          <w:highlight w:val="none"/>
          <w:shd w:val="clear" w:color="auto" w:fill="FFFFFF"/>
        </w:rPr>
        <w:t>三公</w:t>
      </w:r>
      <w:r>
        <w:rPr>
          <w:rFonts w:hint="eastAsia" w:ascii="方正楷体_GBK" w:hAnsi="方正楷体_GBK" w:eastAsia="方正楷体_GBK" w:cs="方正楷体_GBK"/>
          <w:b w:val="0"/>
          <w:bCs w:val="0"/>
          <w:color w:val="auto"/>
          <w:sz w:val="32"/>
          <w:szCs w:val="32"/>
          <w:highlight w:val="none"/>
          <w:shd w:val="clear" w:color="auto" w:fill="FFFFFF"/>
          <w:lang w:eastAsia="zh-CN"/>
        </w:rPr>
        <w:t>”</w:t>
      </w:r>
      <w:r>
        <w:rPr>
          <w:rFonts w:hint="default" w:ascii="方正楷体_GBK" w:hAnsi="方正楷体_GBK" w:eastAsia="方正楷体_GBK" w:cs="方正楷体_GBK"/>
          <w:b w:val="0"/>
          <w:bCs w:val="0"/>
          <w:color w:val="auto"/>
          <w:sz w:val="32"/>
          <w:szCs w:val="32"/>
          <w:highlight w:val="none"/>
          <w:shd w:val="clear" w:color="auto" w:fill="FFFFFF"/>
        </w:rPr>
        <w:t>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七、决算公开联系方式及信息反馈渠道</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Style w:val="10"/>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highlight w:val="none"/>
          <w:shd w:val="clear" w:color="auto" w:fill="FFFFFF"/>
          <w:lang w:eastAsia="zh-CN"/>
        </w:rPr>
        <w:t>石耶镇人民退役军人服务站</w:t>
      </w:r>
      <w:r>
        <w:rPr>
          <w:rFonts w:hint="default" w:ascii="Times New Roman" w:hAnsi="Times New Roman" w:eastAsia="方正仿宋_GBK" w:cs="Times New Roman"/>
          <w:color w:val="auto"/>
          <w:sz w:val="32"/>
          <w:szCs w:val="32"/>
          <w:highlight w:val="none"/>
          <w:shd w:val="clear" w:color="auto" w:fill="FFFFFF"/>
        </w:rPr>
        <w:t>决算公开信息反馈和联系方式：</w:t>
      </w:r>
      <w:r>
        <w:rPr>
          <w:rFonts w:hint="eastAsia" w:ascii="Times New Roman" w:hAnsi="Times New Roman" w:eastAsia="方正仿宋_GBK" w:cs="Times New Roman"/>
          <w:color w:val="auto"/>
          <w:sz w:val="32"/>
          <w:szCs w:val="32"/>
          <w:highlight w:val="none"/>
          <w:shd w:val="clear" w:color="auto" w:fill="FFFFFF"/>
          <w:lang w:eastAsia="zh-CN"/>
        </w:rPr>
        <w:t>肖军胜</w:t>
      </w:r>
      <w:r>
        <w:rPr>
          <w:rFonts w:hint="eastAsia" w:ascii="Times New Roman" w:hAnsi="Times New Roman" w:eastAsia="方正仿宋_GBK" w:cs="Times New Roman"/>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023-76624008</w:t>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重庆市秀山土家族苗族自治县石耶镇退役军人服务站</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2"/>
                <w:szCs w:val="22"/>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36.78</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33.73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1.58</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36.78</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36.78</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36.78</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36.78</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36.78</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36.78</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33.73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33.73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left="600" w:right="0" w:rightChars="0" w:hanging="600" w:hangingChars="30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重庆市秀山土家族苗族自治县石耶镇退役军人服务站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36.78</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35.73</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1.05</w:t>
            </w: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33.73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32.68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1.05</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29.63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1.05</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36.78</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33.73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33.73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1.47</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1.47</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36.78</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36.78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36.78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36.78</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36.78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36.78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36.78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35.73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1.05</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33.73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32.68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1.05</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1.02</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1.02</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30.68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29.63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1.05</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其他退役军人事务管理支出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1.58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1.58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1.47</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1.47</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1.47</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630" w:firstLineChars="30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32.64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3.08</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8.40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2.72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14.66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0.62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0.05</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1.47</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0.48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0.10</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0.24</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32.64</w:t>
            </w:r>
            <w:r>
              <w:rPr>
                <w:rFonts w:hint="default" w:ascii="Times New Roman" w:hAnsi="Times New Roman" w:cs="Times New Roman"/>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3.08</w:t>
            </w: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备注：本表反映单位本年度政府性基金预算财政拨款收入支出及结转和结余情况。</w:t>
      </w:r>
      <w:r>
        <w:rPr>
          <w:rFonts w:hint="eastAsia" w:ascii="Times New Roman" w:hAnsi="Times New Roman" w:cs="Times New Roman"/>
          <w:color w:val="auto"/>
          <w:sz w:val="20"/>
          <w:szCs w:val="20"/>
          <w:highlight w:val="none"/>
          <w:lang w:eastAsia="zh-CN"/>
        </w:rPr>
        <w:t>石耶镇人民退役军人服务站</w:t>
      </w:r>
      <w:r>
        <w:rPr>
          <w:rFonts w:hint="default" w:ascii="Times New Roman" w:hAnsi="Times New Roman" w:cs="Times New Roman"/>
          <w:color w:val="auto"/>
          <w:sz w:val="20"/>
          <w:szCs w:val="20"/>
          <w:highlight w:val="none"/>
        </w:rPr>
        <w:t>无政府性基金收支，故本表无数据。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w:t>
      </w:r>
      <w:r>
        <w:rPr>
          <w:rFonts w:hint="eastAsia" w:ascii="Times New Roman" w:hAnsi="Times New Roman" w:cs="Times New Roman"/>
          <w:color w:val="auto"/>
          <w:sz w:val="20"/>
          <w:szCs w:val="20"/>
          <w:highlight w:val="none"/>
          <w:lang w:eastAsia="zh-CN"/>
        </w:rPr>
        <w:t>石耶镇人民退役军人服务站</w:t>
      </w:r>
      <w:r>
        <w:rPr>
          <w:rFonts w:hint="default" w:ascii="Times New Roman" w:hAnsi="Times New Roman" w:cs="Times New Roman"/>
          <w:color w:val="auto"/>
          <w:sz w:val="20"/>
          <w:szCs w:val="20"/>
          <w:highlight w:val="none"/>
        </w:rPr>
        <w:t>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220" w:type="dxa"/>
        <w:tblInd w:w="0" w:type="dxa"/>
        <w:tblLayout w:type="fixed"/>
        <w:tblCellMar>
          <w:top w:w="0" w:type="dxa"/>
          <w:left w:w="0" w:type="dxa"/>
          <w:bottom w:w="0" w:type="dxa"/>
          <w:right w:w="0" w:type="dxa"/>
        </w:tblCellMar>
      </w:tblPr>
      <w:tblGrid>
        <w:gridCol w:w="4124"/>
        <w:gridCol w:w="2213"/>
        <w:gridCol w:w="2162"/>
        <w:gridCol w:w="4612"/>
        <w:gridCol w:w="2109"/>
      </w:tblGrid>
      <w:tr>
        <w:tblPrEx>
          <w:tblLayout w:type="fixed"/>
          <w:tblCellMar>
            <w:top w:w="0" w:type="dxa"/>
            <w:left w:w="0" w:type="dxa"/>
            <w:bottom w:w="0" w:type="dxa"/>
            <w:right w:w="0" w:type="dxa"/>
          </w:tblCellMar>
        </w:tblPrEx>
        <w:trPr>
          <w:trHeight w:val="564" w:hRule="atLeast"/>
        </w:trPr>
        <w:tc>
          <w:tcPr>
            <w:tcW w:w="15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Layout w:type="fixed"/>
          <w:tblCellMar>
            <w:top w:w="0" w:type="dxa"/>
            <w:left w:w="0" w:type="dxa"/>
            <w:bottom w:w="0" w:type="dxa"/>
            <w:right w:w="0" w:type="dxa"/>
          </w:tblCellMar>
        </w:tblPrEx>
        <w:trPr>
          <w:trHeight w:val="288" w:hRule="atLeast"/>
        </w:trPr>
        <w:tc>
          <w:tcPr>
            <w:tcW w:w="41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2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highlight w:val="none"/>
              </w:rPr>
            </w:pPr>
          </w:p>
        </w:tc>
        <w:tc>
          <w:tcPr>
            <w:tcW w:w="21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6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Layout w:type="fixed"/>
          <w:tblCellMar>
            <w:top w:w="0" w:type="dxa"/>
            <w:left w:w="0" w:type="dxa"/>
            <w:bottom w:w="0" w:type="dxa"/>
            <w:right w:w="0" w:type="dxa"/>
          </w:tblCellMar>
        </w:tblPrEx>
        <w:trPr>
          <w:trHeight w:val="564" w:hRule="atLeast"/>
        </w:trPr>
        <w:tc>
          <w:tcPr>
            <w:tcW w:w="412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重庆市秀山土家族苗族自治县石耶镇退役军人服务站</w:t>
            </w:r>
          </w:p>
        </w:tc>
        <w:tc>
          <w:tcPr>
            <w:tcW w:w="2213"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highlight w:val="none"/>
              </w:rPr>
            </w:pPr>
          </w:p>
        </w:tc>
        <w:tc>
          <w:tcPr>
            <w:tcW w:w="2162"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612"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09"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21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预算数</w:t>
            </w:r>
          </w:p>
        </w:tc>
        <w:tc>
          <w:tcPr>
            <w:tcW w:w="2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10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四、机关运行经费</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（一）支出合计</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（一）行政单位</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（二）参照公务员法管理事业单位</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2．公务用车购置及运行维护费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五、资产信息</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（1）公务用车购置费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（一）车辆数合计（辆）</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（2）公务用车运行维护费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1．副部（省）级及以上领导用车</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3．公务接待费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2．主要领导干部用车</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（1）国内接待费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3．机要通信用车</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4．应急保障用车</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（2）国（境）外接待费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5．执法执勤用车</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（二）相关统计数</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6．特种专业技术用车</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1．因公出国（境）团组数（个）</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7．离退休干部用车</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2．因公出国（境）人次数（人）</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8．其他用车</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3．公务用车购置数（辆）</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（二）单价100万元（含）以上设备（不含车辆）</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4．公务用车保有量（辆）</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六、政府采购支出信息</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5．国内公务接待批次（个）</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（一）政府采购支出合计</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其中：外事接待批次（个）</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1．政府采购货物支出</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6．国内公务接待人次（人）</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2．政府采购工程支出</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其中：外事接待人次（人）</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3．政府采购服务支出</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7．国（境）外公务接待批次（个）</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（二）政府采购授予中小企业合同金额</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8．国（境）外公务接待人次（人）</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其中：授予小微企业合同金额</w:t>
            </w: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97"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二、会议费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305" w:hRule="atLeast"/>
        </w:trPr>
        <w:tc>
          <w:tcPr>
            <w:tcW w:w="4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三、培训费</w:t>
            </w:r>
          </w:p>
        </w:tc>
        <w:tc>
          <w:tcPr>
            <w:tcW w:w="2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0.12</w:t>
            </w:r>
            <w:r>
              <w:rPr>
                <w:rFonts w:hint="default" w:ascii="Times New Roman" w:hAnsi="Times New Roman" w:cs="Times New Roman"/>
                <w:color w:val="auto"/>
                <w:sz w:val="20"/>
                <w:highlight w:val="none"/>
                <w:u w:color="auto"/>
              </w:rPr>
              <w:t xml:space="preserve"> </w:t>
            </w:r>
          </w:p>
        </w:tc>
        <w:tc>
          <w:tcPr>
            <w:tcW w:w="46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经费支出预决算情况。其中，预算数为</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经费全年预算数，反映按规定程序调整后的预算数；决算数为包括本年度财政拨款和以前年度结转资金安排的实际支出。2.本套报表金额单位转换时可能存在尾数误差。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D9685F"/>
    <w:multiLevelType w:val="singleLevel"/>
    <w:tmpl w:val="66D9685F"/>
    <w:lvl w:ilvl="0" w:tentative="0">
      <w:start w:val="1"/>
      <w:numFmt w:val="decimal"/>
      <w:suff w:val="nothing"/>
      <w:lvlText w:val="（%1）"/>
      <w:lvlJc w:val="left"/>
    </w:lvl>
  </w:abstractNum>
  <w:abstractNum w:abstractNumId="2">
    <w:nsid w:val="66E14BDA"/>
    <w:multiLevelType w:val="singleLevel"/>
    <w:tmpl w:val="66E14BDA"/>
    <w:lvl w:ilvl="0" w:tentative="0">
      <w:start w:val="5"/>
      <w:numFmt w:val="chineseCounting"/>
      <w:suff w:val="nothing"/>
      <w:lvlText w:val="（%1）"/>
      <w:lvlJc w:val="left"/>
    </w:lvl>
  </w:abstractNum>
  <w:abstractNum w:abstractNumId="3">
    <w:nsid w:val="66E14CBC"/>
    <w:multiLevelType w:val="singleLevel"/>
    <w:tmpl w:val="66E14CBC"/>
    <w:lvl w:ilvl="0" w:tentative="0">
      <w:start w:val="3"/>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8860C3"/>
    <w:rsid w:val="03B87EA0"/>
    <w:rsid w:val="03DE6B4F"/>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845C0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2D0151"/>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64D8B"/>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3E4020"/>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5911A6"/>
    <w:rsid w:val="45CB699A"/>
    <w:rsid w:val="465B470D"/>
    <w:rsid w:val="469D6AD4"/>
    <w:rsid w:val="471E6C84"/>
    <w:rsid w:val="4748792B"/>
    <w:rsid w:val="475D719D"/>
    <w:rsid w:val="47674801"/>
    <w:rsid w:val="48225EF7"/>
    <w:rsid w:val="488F422B"/>
    <w:rsid w:val="48E36915"/>
    <w:rsid w:val="48EB6572"/>
    <w:rsid w:val="48FD21F3"/>
    <w:rsid w:val="495C4A24"/>
    <w:rsid w:val="497135DF"/>
    <w:rsid w:val="49735977"/>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B6321"/>
    <w:rsid w:val="658C3A08"/>
    <w:rsid w:val="65C031CA"/>
    <w:rsid w:val="65CE6852"/>
    <w:rsid w:val="66267C04"/>
    <w:rsid w:val="663F505A"/>
    <w:rsid w:val="66EE5541"/>
    <w:rsid w:val="67924660"/>
    <w:rsid w:val="68407834"/>
    <w:rsid w:val="6883293E"/>
    <w:rsid w:val="688412AD"/>
    <w:rsid w:val="68EB1B71"/>
    <w:rsid w:val="6A6C7940"/>
    <w:rsid w:val="6A8D7F97"/>
    <w:rsid w:val="6AAD2300"/>
    <w:rsid w:val="6B3861C4"/>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7F75D6"/>
    <w:rsid w:val="7BD06A28"/>
    <w:rsid w:val="7C3A7C0B"/>
    <w:rsid w:val="7C5248E4"/>
    <w:rsid w:val="7C566698"/>
    <w:rsid w:val="7C5866A3"/>
    <w:rsid w:val="7C9C2EDB"/>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uiPriority w:val="0"/>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3</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2024-09-27T03:23:16Z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