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overflowPunct/>
        <w:topLinePunct w:val="0"/>
        <w:autoSpaceDN/>
        <w:bidi w:val="0"/>
        <w:adjustRightInd/>
        <w:spacing w:before="0" w:beforeAutospacing="0" w:after="0" w:afterAutospacing="0" w:line="600" w:lineRule="exact"/>
        <w:ind w:right="0" w:rightChars="0"/>
        <w:jc w:val="center"/>
        <w:rPr>
          <w:rFonts w:hint="eastAsia" w:ascii="方正小标宋_GBK" w:hAnsi="方正小标宋_GBK" w:eastAsia="方正小标宋_GBK" w:cs="方正小标宋_GBK"/>
          <w:color w:val="auto"/>
          <w:sz w:val="44"/>
          <w:szCs w:val="44"/>
          <w:highlight w:val="none"/>
          <w:shd w:val="clear" w:color="auto" w:fill="FFFFFF"/>
        </w:rPr>
      </w:pPr>
      <w:r>
        <w:rPr>
          <w:rFonts w:hint="eastAsia" w:ascii="方正小标宋_GBK" w:hAnsi="方正小标宋_GBK" w:eastAsia="方正小标宋_GBK" w:cs="方正小标宋_GBK"/>
          <w:color w:val="auto"/>
          <w:sz w:val="44"/>
          <w:szCs w:val="44"/>
          <w:highlight w:val="none"/>
        </w:rPr>
        <w:t>重庆市秀山土家族苗族自治县石耶镇文化服务中心</w:t>
      </w:r>
      <w:r>
        <w:rPr>
          <w:rFonts w:hint="eastAsia" w:ascii="方正小标宋_GBK" w:hAnsi="方正小标宋_GBK" w:eastAsia="方正小标宋_GBK" w:cs="方正小标宋_GBK"/>
          <w:color w:val="auto"/>
          <w:sz w:val="44"/>
          <w:szCs w:val="44"/>
          <w:highlight w:val="none"/>
          <w:shd w:val="clear" w:color="auto" w:fill="FFFFFF"/>
        </w:rPr>
        <w:t>2023年度决算公开说明</w:t>
      </w:r>
    </w:p>
    <w:p>
      <w:pPr>
        <w:pStyle w:val="8"/>
        <w:keepNext w:val="0"/>
        <w:keepLines w:val="0"/>
        <w:pageBreakBefore w:val="0"/>
        <w:kinsoku/>
        <w:overflowPunct/>
        <w:topLinePunct w:val="0"/>
        <w:autoSpaceDN/>
        <w:bidi w:val="0"/>
        <w:adjustRightInd/>
        <w:spacing w:before="0" w:beforeAutospacing="0" w:after="0" w:afterAutospacing="0" w:line="600" w:lineRule="exact"/>
        <w:ind w:right="0" w:rightChars="0"/>
        <w:jc w:val="center"/>
        <w:rPr>
          <w:rFonts w:hint="eastAsia" w:ascii="方正小标宋_GBK" w:hAnsi="方正小标宋_GBK" w:eastAsia="方正小标宋_GBK" w:cs="方正小标宋_GBK"/>
          <w:color w:val="auto"/>
          <w:sz w:val="44"/>
          <w:szCs w:val="44"/>
          <w:highlight w:val="none"/>
          <w:shd w:val="clear" w:color="auto" w:fill="FFFFFF"/>
        </w:rPr>
      </w:pP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eastAsia" w:ascii="方正黑体_GBK" w:hAnsi="方正黑体_GBK" w:eastAsia="方正黑体_GBK" w:cs="方正黑体_GBK"/>
          <w:b w:val="0"/>
          <w:bCs/>
          <w:color w:val="auto"/>
          <w:sz w:val="32"/>
          <w:szCs w:val="32"/>
          <w:highlight w:val="none"/>
        </w:rPr>
      </w:pPr>
      <w:r>
        <w:rPr>
          <w:rStyle w:val="10"/>
          <w:rFonts w:hint="eastAsia" w:ascii="方正黑体_GBK" w:hAnsi="方正黑体_GBK" w:eastAsia="方正黑体_GBK" w:cs="方正黑体_GBK"/>
          <w:b w:val="0"/>
          <w:bCs/>
          <w:color w:val="auto"/>
          <w:sz w:val="32"/>
          <w:szCs w:val="32"/>
          <w:highlight w:val="none"/>
          <w:shd w:val="clear" w:color="auto" w:fill="FFFFFF"/>
        </w:rPr>
        <w:t>一、单位基本情况</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color w:val="auto"/>
          <w:sz w:val="32"/>
          <w:szCs w:val="32"/>
          <w:highlight w:val="none"/>
        </w:rPr>
      </w:pPr>
      <w:r>
        <w:rPr>
          <w:rStyle w:val="10"/>
          <w:rFonts w:hint="eastAsia" w:ascii="方正楷体_GBK" w:hAnsi="方正楷体_GBK" w:eastAsia="方正楷体_GBK" w:cs="方正楷体_GBK"/>
          <w:b w:val="0"/>
          <w:bCs/>
          <w:color w:val="auto"/>
          <w:sz w:val="32"/>
          <w:szCs w:val="32"/>
          <w:highlight w:val="none"/>
          <w:shd w:val="clear" w:color="auto" w:fill="FFFFFF"/>
        </w:rPr>
        <w:t>（一）职能职责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主要承担文化、宣传、体育、科技培训、旅游等方面服务工作。</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color w:val="auto"/>
          <w:sz w:val="32"/>
          <w:szCs w:val="32"/>
          <w:highlight w:val="none"/>
        </w:rPr>
      </w:pPr>
      <w:r>
        <w:rPr>
          <w:rStyle w:val="10"/>
          <w:rFonts w:hint="eastAsia" w:ascii="方正楷体_GBK" w:hAnsi="方正楷体_GBK" w:eastAsia="方正楷体_GBK" w:cs="方正楷体_GBK"/>
          <w:b w:val="0"/>
          <w:bCs/>
          <w:color w:val="auto"/>
          <w:sz w:val="32"/>
          <w:szCs w:val="32"/>
          <w:highlight w:val="none"/>
          <w:shd w:val="clear" w:color="auto" w:fill="FFFFFF"/>
        </w:rPr>
        <w:t>（二）机构设置</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从机构设置看，石耶镇</w:t>
      </w:r>
      <w:r>
        <w:rPr>
          <w:rFonts w:hint="default" w:ascii="Times New Roman" w:hAnsi="Times New Roman" w:eastAsia="方正仿宋_GBK" w:cs="Times New Roman"/>
          <w:color w:val="auto"/>
          <w:sz w:val="32"/>
          <w:szCs w:val="32"/>
          <w:highlight w:val="none"/>
          <w:shd w:val="clear" w:color="auto" w:fill="FFFFFF"/>
          <w:lang w:eastAsia="zh-CN"/>
        </w:rPr>
        <w:t>文化服务中心</w:t>
      </w:r>
      <w:r>
        <w:rPr>
          <w:rFonts w:hint="default" w:ascii="Times New Roman" w:hAnsi="Times New Roman" w:eastAsia="方正仿宋_GBK" w:cs="Times New Roman"/>
          <w:color w:val="auto"/>
          <w:sz w:val="32"/>
          <w:szCs w:val="32"/>
          <w:highlight w:val="none"/>
          <w:shd w:val="clear" w:color="auto" w:fill="FFFFFF"/>
        </w:rPr>
        <w:t>，属于石耶镇人民政府二级财务独立核算机构</w:t>
      </w:r>
      <w:r>
        <w:rPr>
          <w:rFonts w:hint="default" w:ascii="Times New Roman" w:hAnsi="Times New Roman" w:eastAsia="方正仿宋_GBK" w:cs="Times New Roman"/>
          <w:color w:val="auto"/>
          <w:sz w:val="32"/>
          <w:szCs w:val="32"/>
          <w:highlight w:val="none"/>
          <w:shd w:val="clear" w:color="auto" w:fill="FFFFFF"/>
          <w:lang w:eastAsia="zh-CN"/>
        </w:rPr>
        <w:t>，无下级预算单位</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二、单位决算情况说明</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color w:val="auto"/>
          <w:sz w:val="32"/>
          <w:szCs w:val="32"/>
          <w:highlight w:val="none"/>
          <w:shd w:val="clear" w:color="auto" w:fill="FFFFFF"/>
        </w:rPr>
      </w:pPr>
      <w:r>
        <w:rPr>
          <w:rFonts w:hint="eastAsia" w:ascii="方正楷体_GBK" w:hAnsi="方正楷体_GBK" w:eastAsia="方正楷体_GBK" w:cs="方正楷体_GBK"/>
          <w:b w:val="0"/>
          <w:bCs/>
          <w:color w:val="auto"/>
          <w:sz w:val="32"/>
          <w:szCs w:val="32"/>
          <w:highlight w:val="none"/>
          <w:shd w:val="clear" w:color="auto" w:fill="FFFFFF"/>
        </w:rPr>
        <w:t>（一）收入支出决算总体情况说明</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1.总体情况。</w:t>
      </w:r>
      <w:r>
        <w:rPr>
          <w:rFonts w:hint="default" w:ascii="Times New Roman" w:hAnsi="Times New Roman" w:eastAsia="方正仿宋_GBK" w:cs="Times New Roman"/>
          <w:color w:val="auto"/>
          <w:sz w:val="32"/>
          <w:szCs w:val="32"/>
          <w:highlight w:val="none"/>
          <w:shd w:val="clear" w:color="auto" w:fill="FFFFFF"/>
        </w:rPr>
        <w:t>2023年度收入总计85.10万元，支出总计</w:t>
      </w:r>
      <w:r>
        <w:rPr>
          <w:rFonts w:hint="default" w:ascii="Times New Roman" w:hAnsi="Times New Roman" w:eastAsia="方正仿宋_GBK" w:cs="Times New Roman"/>
          <w:color w:val="auto"/>
          <w:sz w:val="32"/>
          <w:szCs w:val="32"/>
          <w:highlight w:val="none"/>
        </w:rPr>
        <w:t>85.10</w:t>
      </w:r>
      <w:r>
        <w:rPr>
          <w:rFonts w:hint="default" w:ascii="Times New Roman" w:hAnsi="Times New Roman" w:eastAsia="方正仿宋_GBK" w:cs="Times New Roman"/>
          <w:color w:val="auto"/>
          <w:sz w:val="32"/>
          <w:szCs w:val="32"/>
          <w:highlight w:val="none"/>
          <w:shd w:val="clear" w:color="auto" w:fill="FFFFFF"/>
        </w:rPr>
        <w:t>万元。收支较上年决算数增加85.10万元，增长100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eastAsia" w:ascii="Times New Roman" w:hAnsi="Times New Roman" w:eastAsia="方正仿宋_GBK" w:cs="Times New Roman"/>
          <w:color w:val="auto"/>
          <w:sz w:val="32"/>
          <w:szCs w:val="32"/>
          <w:highlight w:val="none"/>
          <w:shd w:val="clear" w:color="auto" w:fill="FFFFFF"/>
          <w:lang w:eastAsia="zh-CN"/>
        </w:rPr>
        <w:t>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石耶镇文化服务中心</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2.收入情况。</w:t>
      </w:r>
      <w:r>
        <w:rPr>
          <w:rFonts w:hint="default" w:ascii="Times New Roman" w:hAnsi="Times New Roman" w:eastAsia="方正仿宋_GBK" w:cs="Times New Roman"/>
          <w:color w:val="auto"/>
          <w:sz w:val="32"/>
          <w:szCs w:val="32"/>
          <w:highlight w:val="none"/>
          <w:shd w:val="clear" w:color="auto" w:fill="FFFFFF"/>
        </w:rPr>
        <w:t>2023年度收入合计85.10万元，较上年决算数增加85.10万元，增长100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eastAsia" w:ascii="Times New Roman" w:hAnsi="Times New Roman" w:eastAsia="方正仿宋_GBK" w:cs="Times New Roman"/>
          <w:color w:val="auto"/>
          <w:sz w:val="32"/>
          <w:szCs w:val="32"/>
          <w:highlight w:val="none"/>
          <w:shd w:val="clear" w:color="auto" w:fill="FFFFFF"/>
          <w:lang w:eastAsia="zh-CN"/>
        </w:rPr>
        <w:t>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石耶镇文化服务中心</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%。其中：财政拨款收入85.10万元，占100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%；事业收入0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%；经营收入0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%；其他收入0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%。此外，使用非财政拨款结余和专用结余0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万元，年初结转和结余0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3.支出情况。</w:t>
      </w:r>
      <w:r>
        <w:rPr>
          <w:rFonts w:hint="default" w:ascii="Times New Roman" w:hAnsi="Times New Roman" w:eastAsia="方正仿宋_GBK" w:cs="Times New Roman"/>
          <w:color w:val="auto"/>
          <w:sz w:val="32"/>
          <w:szCs w:val="32"/>
          <w:highlight w:val="none"/>
          <w:shd w:val="clear" w:color="auto" w:fill="FFFFFF"/>
        </w:rPr>
        <w:t>2023年度支出合计</w:t>
      </w:r>
      <w:r>
        <w:rPr>
          <w:rFonts w:hint="default" w:ascii="Times New Roman" w:hAnsi="Times New Roman" w:eastAsia="方正仿宋_GBK" w:cs="Times New Roman"/>
          <w:color w:val="auto"/>
          <w:sz w:val="32"/>
          <w:szCs w:val="32"/>
          <w:highlight w:val="none"/>
        </w:rPr>
        <w:t>85.10</w:t>
      </w:r>
      <w:r>
        <w:rPr>
          <w:rFonts w:hint="default" w:ascii="Times New Roman" w:hAnsi="Times New Roman" w:eastAsia="方正仿宋_GBK" w:cs="Times New Roman"/>
          <w:color w:val="auto"/>
          <w:sz w:val="32"/>
          <w:szCs w:val="32"/>
          <w:highlight w:val="none"/>
          <w:shd w:val="clear" w:color="auto" w:fill="FFFFFF"/>
        </w:rPr>
        <w:t>万元，较上年决算数增加85.10万元，增长100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eastAsia" w:ascii="Times New Roman" w:hAnsi="Times New Roman" w:eastAsia="方正仿宋_GBK" w:cs="Times New Roman"/>
          <w:color w:val="auto"/>
          <w:sz w:val="32"/>
          <w:szCs w:val="32"/>
          <w:highlight w:val="none"/>
          <w:shd w:val="clear" w:color="auto" w:fill="FFFFFF"/>
          <w:lang w:eastAsia="zh-CN"/>
        </w:rPr>
        <w:t>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石耶镇文化服务中心</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%。其中：基本支出70.80万元，占83.20%；项目支出14.30万元，占16.80%；经营支出0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%。此外，结余分配0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4.结转结余情况。</w:t>
      </w:r>
      <w:r>
        <w:rPr>
          <w:rFonts w:hint="default" w:ascii="Times New Roman" w:hAnsi="Times New Roman" w:eastAsia="方正仿宋_GBK" w:cs="Times New Roman"/>
          <w:color w:val="auto"/>
          <w:sz w:val="32"/>
          <w:szCs w:val="32"/>
          <w:highlight w:val="none"/>
          <w:shd w:val="clear" w:color="auto" w:fill="FFFFFF"/>
        </w:rPr>
        <w:t>2023年度年末结转和结余</w:t>
      </w:r>
      <w:r>
        <w:rPr>
          <w:rFonts w:hint="default" w:ascii="Times New Roman" w:hAnsi="Times New Roman" w:eastAsia="方正仿宋_GBK" w:cs="Times New Roman"/>
          <w:color w:val="auto"/>
          <w:sz w:val="32"/>
          <w:szCs w:val="32"/>
          <w:highlight w:val="none"/>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万元，较上年决算数无增减，主要原因是</w:t>
      </w:r>
      <w:r>
        <w:rPr>
          <w:rFonts w:hint="default" w:ascii="Times New Roman" w:hAnsi="Times New Roman" w:eastAsia="方正仿宋_GBK" w:cs="Times New Roman"/>
          <w:color w:val="auto"/>
          <w:sz w:val="32"/>
          <w:szCs w:val="32"/>
          <w:highlight w:val="none"/>
          <w:shd w:val="clear" w:color="auto" w:fill="FFFFFF"/>
          <w:lang w:eastAsia="zh-CN"/>
        </w:rPr>
        <w:t>本年度收支平衡，无资金结转结余。</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（二）财政拨款收入支出决算总体情况说明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2023年度财政拨款收、支总计85.10万元。与2022年相比，财政拨款收、支总计各增加85.10万元，增长100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eastAsia="zh-CN"/>
        </w:rPr>
        <w:t>2022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石耶镇文化服务中心</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（三）一般公共预算财政拨款收入支出决算情况说明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1.收入情况。</w:t>
      </w:r>
      <w:r>
        <w:rPr>
          <w:rFonts w:hint="default" w:ascii="Times New Roman" w:hAnsi="Times New Roman" w:eastAsia="方正仿宋_GBK" w:cs="Times New Roman"/>
          <w:color w:val="auto"/>
          <w:sz w:val="32"/>
          <w:szCs w:val="32"/>
          <w:highlight w:val="none"/>
          <w:shd w:val="clear" w:color="auto" w:fill="FFFFFF"/>
        </w:rPr>
        <w:t>2023年度一般公共预算财政拨款收入</w:t>
      </w:r>
      <w:r>
        <w:rPr>
          <w:rFonts w:hint="default" w:ascii="Times New Roman" w:hAnsi="Times New Roman" w:eastAsia="方正仿宋_GBK" w:cs="Times New Roman"/>
          <w:color w:val="auto"/>
          <w:sz w:val="32"/>
          <w:szCs w:val="32"/>
          <w:highlight w:val="none"/>
        </w:rPr>
        <w:t>85.10</w:t>
      </w:r>
      <w:r>
        <w:rPr>
          <w:rFonts w:hint="default" w:ascii="Times New Roman" w:hAnsi="Times New Roman" w:eastAsia="方正仿宋_GBK" w:cs="Times New Roman"/>
          <w:color w:val="auto"/>
          <w:sz w:val="32"/>
          <w:szCs w:val="32"/>
          <w:highlight w:val="none"/>
          <w:shd w:val="clear" w:color="auto" w:fill="FFFFFF"/>
        </w:rPr>
        <w:t>万元，较上年决算数增加85.10万元，增长100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eastAsia="zh-CN"/>
        </w:rPr>
        <w:t>2022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石耶镇文化服务中心</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。较年初预算数增加7.18万元，增长9.21%。主要原因是一般公共预算财政拨款收入</w:t>
      </w:r>
      <w:r>
        <w:rPr>
          <w:rFonts w:hint="eastAsia" w:ascii="Times New Roman" w:hAnsi="Times New Roman" w:eastAsia="方正仿宋_GBK" w:cs="Times New Roman"/>
          <w:color w:val="auto"/>
          <w:sz w:val="32"/>
          <w:szCs w:val="32"/>
          <w:highlight w:val="none"/>
          <w:shd w:val="clear" w:color="auto" w:fill="FFFFFF"/>
          <w:lang w:eastAsia="zh-CN"/>
        </w:rPr>
        <w:t>较年初数增加。</w:t>
      </w:r>
      <w:r>
        <w:rPr>
          <w:rFonts w:hint="default" w:ascii="Times New Roman" w:hAnsi="Times New Roman" w:eastAsia="方正仿宋_GBK" w:cs="Times New Roman"/>
          <w:color w:val="auto"/>
          <w:sz w:val="32"/>
          <w:szCs w:val="32"/>
          <w:highlight w:val="none"/>
          <w:shd w:val="clear" w:color="auto" w:fill="FFFFFF"/>
        </w:rPr>
        <w:t>此外，年初财政拨款结转和结余</w:t>
      </w:r>
      <w:r>
        <w:rPr>
          <w:rFonts w:hint="default" w:ascii="Times New Roman" w:hAnsi="Times New Roman" w:eastAsia="方正仿宋_GBK" w:cs="Times New Roman"/>
          <w:color w:val="auto"/>
          <w:sz w:val="32"/>
          <w:szCs w:val="32"/>
          <w:highlight w:val="none"/>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2.支出情况。</w:t>
      </w:r>
      <w:r>
        <w:rPr>
          <w:rFonts w:hint="default" w:ascii="Times New Roman" w:hAnsi="Times New Roman" w:eastAsia="方正仿宋_GBK" w:cs="Times New Roman"/>
          <w:color w:val="auto"/>
          <w:sz w:val="32"/>
          <w:szCs w:val="32"/>
          <w:highlight w:val="none"/>
          <w:shd w:val="clear" w:color="auto" w:fill="FFFFFF"/>
        </w:rPr>
        <w:t>2023年度一般公共预算财政拨款支出</w:t>
      </w:r>
      <w:r>
        <w:rPr>
          <w:rFonts w:hint="default" w:ascii="Times New Roman" w:hAnsi="Times New Roman" w:eastAsia="方正仿宋_GBK" w:cs="Times New Roman"/>
          <w:color w:val="auto"/>
          <w:sz w:val="32"/>
          <w:szCs w:val="32"/>
          <w:highlight w:val="none"/>
        </w:rPr>
        <w:t>85.10</w:t>
      </w:r>
      <w:r>
        <w:rPr>
          <w:rFonts w:hint="default" w:ascii="Times New Roman" w:hAnsi="Times New Roman" w:eastAsia="方正仿宋_GBK" w:cs="Times New Roman"/>
          <w:color w:val="auto"/>
          <w:sz w:val="32"/>
          <w:szCs w:val="32"/>
          <w:highlight w:val="none"/>
          <w:shd w:val="clear" w:color="auto" w:fill="FFFFFF"/>
        </w:rPr>
        <w:t>万元，较上年决算数增加85.10万元，增长100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eastAsia="zh-CN"/>
        </w:rPr>
        <w:t>2022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石耶镇文化服务中心</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。较年初预算数增加4.90万元，增长6.11%。主要原因是文化旅游体育与传媒支出</w:t>
      </w:r>
      <w:r>
        <w:rPr>
          <w:rFonts w:hint="eastAsia" w:ascii="Times New Roman" w:hAnsi="Times New Roman" w:eastAsia="方正仿宋_GBK" w:cs="Times New Roman"/>
          <w:color w:val="auto"/>
          <w:sz w:val="32"/>
          <w:szCs w:val="32"/>
          <w:highlight w:val="none"/>
          <w:shd w:val="clear" w:color="auto" w:fill="FFFFFF"/>
          <w:lang w:eastAsia="zh-CN"/>
        </w:rPr>
        <w:t>实际增加</w:t>
      </w:r>
      <w:r>
        <w:rPr>
          <w:rFonts w:hint="eastAsia" w:ascii="Times New Roman" w:hAnsi="Times New Roman" w:eastAsia="方正仿宋_GBK" w:cs="Times New Roman"/>
          <w:color w:val="auto"/>
          <w:sz w:val="32"/>
          <w:szCs w:val="32"/>
          <w:highlight w:val="none"/>
          <w:shd w:val="clear" w:color="auto" w:fill="FFFFFF"/>
          <w:lang w:val="en-US" w:eastAsia="zh-CN"/>
        </w:rPr>
        <w:t>53827.32元，社会保障和就业支出实际减少4840.77元，导致全年支出较年初数增加。</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3.结转结余情况。</w:t>
      </w:r>
      <w:r>
        <w:rPr>
          <w:rFonts w:hint="default" w:ascii="Times New Roman" w:hAnsi="Times New Roman" w:eastAsia="方正仿宋_GBK" w:cs="Times New Roman"/>
          <w:color w:val="auto"/>
          <w:sz w:val="32"/>
          <w:szCs w:val="32"/>
          <w:highlight w:val="none"/>
          <w:shd w:val="clear" w:color="auto" w:fill="FFFFFF"/>
        </w:rPr>
        <w:t>2023年度年末一般公共预算财政拨款结转和结余0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万元，较上年决算数无增减，主要原因是</w:t>
      </w:r>
      <w:r>
        <w:rPr>
          <w:rFonts w:hint="default" w:ascii="Times New Roman" w:hAnsi="Times New Roman" w:eastAsia="方正仿宋_GBK" w:cs="Times New Roman"/>
          <w:color w:val="auto"/>
          <w:sz w:val="32"/>
          <w:szCs w:val="32"/>
          <w:highlight w:val="none"/>
          <w:shd w:val="clear" w:color="auto" w:fill="FFFFFF"/>
          <w:lang w:eastAsia="zh-CN"/>
        </w:rPr>
        <w:t>本年</w:t>
      </w:r>
      <w:r>
        <w:rPr>
          <w:rFonts w:hint="eastAsia" w:ascii="Times New Roman" w:hAnsi="Times New Roman" w:eastAsia="方正仿宋_GBK" w:cs="Times New Roman"/>
          <w:color w:val="auto"/>
          <w:sz w:val="32"/>
          <w:szCs w:val="32"/>
          <w:highlight w:val="none"/>
          <w:shd w:val="clear" w:color="auto" w:fill="FFFFFF"/>
          <w:lang w:eastAsia="zh-CN"/>
        </w:rPr>
        <w:t>度</w:t>
      </w:r>
      <w:r>
        <w:rPr>
          <w:rFonts w:hint="default" w:ascii="Times New Roman" w:hAnsi="Times New Roman" w:eastAsia="方正仿宋_GBK" w:cs="Times New Roman"/>
          <w:color w:val="auto"/>
          <w:sz w:val="32"/>
          <w:szCs w:val="32"/>
          <w:highlight w:val="none"/>
          <w:shd w:val="clear" w:color="auto" w:fill="FFFFFF"/>
        </w:rPr>
        <w:t>一般公共预算财政拨款</w:t>
      </w:r>
      <w:r>
        <w:rPr>
          <w:rFonts w:hint="default" w:ascii="Times New Roman" w:hAnsi="Times New Roman" w:eastAsia="方正仿宋_GBK" w:cs="Times New Roman"/>
          <w:color w:val="auto"/>
          <w:sz w:val="32"/>
          <w:szCs w:val="32"/>
          <w:highlight w:val="none"/>
          <w:shd w:val="clear" w:color="auto" w:fill="FFFFFF"/>
          <w:lang w:eastAsia="zh-CN"/>
        </w:rPr>
        <w:t>收支平衡，无结转结余</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 xml:space="preserve"> 4.比较情况。</w:t>
      </w:r>
      <w:r>
        <w:rPr>
          <w:rFonts w:hint="eastAsia" w:ascii="Times New Roman" w:hAnsi="Times New Roman" w:eastAsia="方正仿宋_GBK" w:cs="Times New Roman"/>
          <w:color w:val="auto"/>
          <w:sz w:val="32"/>
          <w:szCs w:val="32"/>
          <w:highlight w:val="none"/>
          <w:shd w:val="clear" w:color="auto" w:fill="FFFFFF"/>
          <w:lang w:eastAsia="zh-CN"/>
        </w:rPr>
        <w:t>石耶镇文化服务中心</w:t>
      </w:r>
      <w:r>
        <w:rPr>
          <w:rFonts w:hint="default" w:ascii="Times New Roman" w:hAnsi="Times New Roman" w:eastAsia="方正仿宋_GBK" w:cs="Times New Roman"/>
          <w:color w:val="auto"/>
          <w:sz w:val="32"/>
          <w:szCs w:val="32"/>
          <w:highlight w:val="none"/>
          <w:shd w:val="clear" w:color="auto" w:fill="FFFFFF"/>
        </w:rPr>
        <w:t>2023年度一般公共预算财政拨款支出主要用于以下几个方面：</w:t>
      </w:r>
    </w:p>
    <w:p>
      <w:pPr>
        <w:pStyle w:val="8"/>
        <w:keepNext w:val="0"/>
        <w:keepLines w:val="0"/>
        <w:pageBreakBefore w:val="0"/>
        <w:numPr>
          <w:ilvl w:val="0"/>
          <w:numId w:val="1"/>
        </w:numPr>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文化旅游体育与传媒支出</w:t>
      </w:r>
      <w:r>
        <w:rPr>
          <w:rFonts w:hint="default" w:ascii="Times New Roman" w:hAnsi="Times New Roman" w:eastAsia="方正仿宋_GBK" w:cs="Times New Roman"/>
          <w:color w:val="auto"/>
          <w:sz w:val="32"/>
          <w:szCs w:val="32"/>
          <w:highlight w:val="none"/>
        </w:rPr>
        <w:t>64.67</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76</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%，较年初预算数增加5.38万元，增长9.07%，主要原因是</w:t>
      </w:r>
      <w:r>
        <w:rPr>
          <w:rFonts w:hint="eastAsia" w:ascii="Times New Roman" w:hAnsi="Times New Roman" w:eastAsia="方正仿宋_GBK" w:cs="Times New Roman"/>
          <w:color w:val="auto"/>
          <w:sz w:val="32"/>
          <w:szCs w:val="32"/>
          <w:highlight w:val="none"/>
          <w:shd w:val="clear" w:color="auto" w:fill="FFFFFF"/>
          <w:lang w:eastAsia="zh-CN"/>
        </w:rPr>
        <w:t>事业单位人员基本工资、绩效、通讯费、职工</w:t>
      </w:r>
      <w:r>
        <w:rPr>
          <w:rFonts w:hint="eastAsia" w:ascii="Times New Roman" w:hAnsi="Times New Roman" w:eastAsia="方正仿宋_GBK" w:cs="Times New Roman"/>
          <w:color w:val="auto"/>
          <w:sz w:val="32"/>
          <w:szCs w:val="32"/>
          <w:highlight w:val="none"/>
          <w:shd w:val="clear" w:color="auto" w:fill="FFFFFF"/>
          <w:lang w:val="en-US" w:eastAsia="zh-CN"/>
        </w:rPr>
        <w:t>教育费、福利费支出等实际支出较年初数增加。</w:t>
      </w:r>
      <w:r>
        <w:rPr>
          <w:rFonts w:hint="eastAsia" w:ascii="Times New Roman" w:hAnsi="Times New Roman" w:eastAsia="方正仿宋_GBK" w:cs="Times New Roman"/>
          <w:color w:val="auto"/>
          <w:sz w:val="32"/>
          <w:szCs w:val="32"/>
          <w:highlight w:val="none"/>
          <w:shd w:val="clear" w:color="auto" w:fill="FFFFFF"/>
          <w:lang w:val="en-US" w:eastAsia="zh-CN"/>
        </w:rPr>
        <w:tab/>
      </w:r>
    </w:p>
    <w:p>
      <w:pPr>
        <w:pStyle w:val="8"/>
        <w:keepNext w:val="0"/>
        <w:keepLines w:val="0"/>
        <w:pageBreakBefore w:val="0"/>
        <w:numPr>
          <w:ilvl w:val="0"/>
          <w:numId w:val="0"/>
        </w:numPr>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default" w:ascii="Times New Roman" w:hAnsi="Times New Roman" w:eastAsia="方正仿宋_GBK" w:cs="Times New Roman"/>
          <w:color w:val="auto"/>
          <w:sz w:val="32"/>
          <w:szCs w:val="32"/>
          <w:highlight w:val="none"/>
          <w:shd w:val="clear" w:color="auto" w:fill="FFFFFF"/>
        </w:rPr>
        <w:t>）社会保障与就业支出</w:t>
      </w:r>
      <w:r>
        <w:rPr>
          <w:rFonts w:hint="default" w:ascii="Times New Roman" w:hAnsi="Times New Roman" w:eastAsia="方正仿宋_GBK" w:cs="Times New Roman"/>
          <w:color w:val="auto"/>
          <w:sz w:val="32"/>
          <w:szCs w:val="32"/>
          <w:highlight w:val="none"/>
        </w:rPr>
        <w:t>11.88</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13.96</w:t>
      </w:r>
      <w:r>
        <w:rPr>
          <w:rFonts w:hint="default" w:ascii="Times New Roman" w:hAnsi="Times New Roman" w:eastAsia="方正仿宋_GBK" w:cs="Times New Roman"/>
          <w:color w:val="auto"/>
          <w:sz w:val="32"/>
          <w:szCs w:val="32"/>
          <w:highlight w:val="none"/>
          <w:shd w:val="clear" w:color="auto" w:fill="FFFFFF"/>
        </w:rPr>
        <w:t>%，较年初预算数减少0.48万元，下降3.88%，主要原因是</w:t>
      </w:r>
      <w:r>
        <w:rPr>
          <w:rFonts w:hint="eastAsia" w:ascii="Times New Roman" w:hAnsi="Times New Roman" w:eastAsia="方正仿宋_GBK" w:cs="Times New Roman"/>
          <w:color w:val="auto"/>
          <w:sz w:val="32"/>
          <w:szCs w:val="32"/>
          <w:highlight w:val="none"/>
          <w:shd w:val="clear" w:color="auto" w:fill="FFFFFF"/>
          <w:lang w:eastAsia="zh-CN"/>
        </w:rPr>
        <w:t>事业单位人员职业年金、养老保险、离退休人员医保垫底等实际支出较年初预算下降。</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rPr>
        <w:t>）卫生健康支出</w:t>
      </w:r>
      <w:r>
        <w:rPr>
          <w:rFonts w:hint="default" w:ascii="Times New Roman" w:hAnsi="Times New Roman" w:eastAsia="方正仿宋_GBK" w:cs="Times New Roman"/>
          <w:color w:val="auto"/>
          <w:sz w:val="32"/>
          <w:szCs w:val="32"/>
          <w:highlight w:val="none"/>
        </w:rPr>
        <w:t>2.86</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3.36</w:t>
      </w:r>
      <w:r>
        <w:rPr>
          <w:rFonts w:hint="default" w:ascii="Times New Roman" w:hAnsi="Times New Roman" w:eastAsia="方正仿宋_GBK" w:cs="Times New Roman"/>
          <w:color w:val="auto"/>
          <w:sz w:val="32"/>
          <w:szCs w:val="32"/>
          <w:highlight w:val="none"/>
          <w:shd w:val="clear" w:color="auto" w:fill="FFFFFF"/>
        </w:rPr>
        <w:t>%，较年初预算数无增减，主要原因是</w:t>
      </w:r>
      <w:r>
        <w:rPr>
          <w:rFonts w:hint="eastAsia" w:ascii="Times New Roman" w:hAnsi="Times New Roman" w:eastAsia="方正仿宋_GBK" w:cs="Times New Roman"/>
          <w:color w:val="auto"/>
          <w:sz w:val="32"/>
          <w:szCs w:val="32"/>
          <w:highlight w:val="none"/>
          <w:shd w:val="clear" w:color="auto" w:fill="FFFFFF"/>
          <w:lang w:eastAsia="zh-CN"/>
        </w:rPr>
        <w:t>事业单位人员医疗保险配套实际支出较年初预算数无增减</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住房保障支出5.69</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6.69</w:t>
      </w:r>
      <w:r>
        <w:rPr>
          <w:rFonts w:hint="default" w:ascii="Times New Roman" w:hAnsi="Times New Roman" w:eastAsia="方正仿宋_GBK" w:cs="Times New Roman"/>
          <w:color w:val="auto"/>
          <w:sz w:val="32"/>
          <w:szCs w:val="32"/>
          <w:highlight w:val="none"/>
          <w:shd w:val="clear" w:color="auto" w:fill="FFFFFF"/>
        </w:rPr>
        <w:t>%，较年初预算数无增减，主要原因是</w:t>
      </w:r>
      <w:r>
        <w:rPr>
          <w:rFonts w:hint="eastAsia" w:ascii="Times New Roman" w:hAnsi="Times New Roman" w:eastAsia="方正仿宋_GBK" w:cs="Times New Roman"/>
          <w:color w:val="auto"/>
          <w:sz w:val="32"/>
          <w:szCs w:val="32"/>
          <w:highlight w:val="none"/>
          <w:shd w:val="clear" w:color="auto" w:fill="FFFFFF"/>
          <w:lang w:eastAsia="zh-CN"/>
        </w:rPr>
        <w:t>事业单位人员住房公积金配套实际支出较年初预算数无增减</w:t>
      </w:r>
      <w:r>
        <w:rPr>
          <w:rFonts w:hint="default" w:ascii="Times New Roman" w:hAnsi="Times New Roman" w:eastAsia="方正仿宋_GBK" w:cs="Times New Roman"/>
          <w:color w:val="auto"/>
          <w:sz w:val="32"/>
          <w:szCs w:val="32"/>
          <w:highlight w:val="none"/>
          <w:shd w:val="clear" w:color="auto" w:fill="FFFFFF"/>
        </w:rPr>
        <w:t>。</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（四）一般公共预算财政拨款基本支出决算情况说明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2023年度一般公共财政拨款基本支出</w:t>
      </w:r>
      <w:r>
        <w:rPr>
          <w:rFonts w:hint="default" w:ascii="Times New Roman" w:hAnsi="Times New Roman" w:eastAsia="方正仿宋_GBK" w:cs="Times New Roman"/>
          <w:color w:val="auto"/>
          <w:sz w:val="32"/>
          <w:szCs w:val="32"/>
          <w:highlight w:val="none"/>
        </w:rPr>
        <w:t>70.80</w:t>
      </w:r>
      <w:r>
        <w:rPr>
          <w:rFonts w:hint="default" w:ascii="Times New Roman" w:hAnsi="Times New Roman" w:eastAsia="方正仿宋_GBK" w:cs="Times New Roman"/>
          <w:color w:val="auto"/>
          <w:sz w:val="32"/>
          <w:szCs w:val="32"/>
          <w:highlight w:val="none"/>
          <w:shd w:val="clear" w:color="auto" w:fill="FFFFFF"/>
        </w:rPr>
        <w:t>万元。其中：人员经费</w:t>
      </w:r>
      <w:r>
        <w:rPr>
          <w:rFonts w:hint="default" w:ascii="Times New Roman" w:hAnsi="Times New Roman" w:eastAsia="方正仿宋_GBK" w:cs="Times New Roman"/>
          <w:color w:val="auto"/>
          <w:sz w:val="32"/>
          <w:szCs w:val="32"/>
          <w:highlight w:val="none"/>
        </w:rPr>
        <w:t>64.78</w:t>
      </w:r>
      <w:r>
        <w:rPr>
          <w:rFonts w:hint="default" w:ascii="Times New Roman" w:hAnsi="Times New Roman" w:eastAsia="方正仿宋_GBK" w:cs="Times New Roman"/>
          <w:color w:val="auto"/>
          <w:sz w:val="32"/>
          <w:szCs w:val="32"/>
          <w:highlight w:val="none"/>
          <w:shd w:val="clear" w:color="auto" w:fill="FFFFFF"/>
        </w:rPr>
        <w:t>万元，较上年决算数增加64.78万元，增长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eastAsia="zh-CN"/>
        </w:rPr>
        <w:t>2022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石耶镇文化服务中心</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。人员经费用途主要包括</w:t>
      </w:r>
      <w:r>
        <w:rPr>
          <w:rFonts w:hint="eastAsia" w:ascii="Times New Roman" w:hAnsi="Times New Roman" w:eastAsia="方正仿宋_GBK" w:cs="Times New Roman"/>
          <w:color w:val="auto"/>
          <w:sz w:val="32"/>
          <w:szCs w:val="32"/>
          <w:highlight w:val="none"/>
          <w:shd w:val="clear" w:color="auto" w:fill="FFFFFF"/>
          <w:lang w:eastAsia="zh-CN"/>
        </w:rPr>
        <w:t>事业单位人员基本工资、社保配套、超额绩效、离退休人员体检费等。</w:t>
      </w:r>
      <w:r>
        <w:rPr>
          <w:rFonts w:hint="default" w:ascii="Times New Roman" w:hAnsi="Times New Roman" w:eastAsia="方正仿宋_GBK" w:cs="Times New Roman"/>
          <w:color w:val="auto"/>
          <w:sz w:val="32"/>
          <w:szCs w:val="32"/>
          <w:highlight w:val="none"/>
          <w:shd w:val="clear" w:color="auto" w:fill="FFFFFF"/>
        </w:rPr>
        <w:t>公用经费</w:t>
      </w:r>
      <w:r>
        <w:rPr>
          <w:rFonts w:hint="default" w:ascii="Times New Roman" w:hAnsi="Times New Roman" w:eastAsia="方正仿宋_GBK" w:cs="Times New Roman"/>
          <w:color w:val="auto"/>
          <w:sz w:val="32"/>
          <w:szCs w:val="32"/>
          <w:highlight w:val="none"/>
        </w:rPr>
        <w:t>6.02</w:t>
      </w:r>
      <w:r>
        <w:rPr>
          <w:rFonts w:hint="default" w:ascii="Times New Roman" w:hAnsi="Times New Roman" w:eastAsia="方正仿宋_GBK" w:cs="Times New Roman"/>
          <w:color w:val="auto"/>
          <w:sz w:val="32"/>
          <w:szCs w:val="32"/>
          <w:highlight w:val="none"/>
          <w:shd w:val="clear" w:color="auto" w:fill="FFFFFF"/>
        </w:rPr>
        <w:t>万元，较上年决算数增加6.02万元，增长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eastAsia="zh-CN"/>
        </w:rPr>
        <w:t>2022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石耶镇文化服务中心</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。公用经费用途主要包括</w:t>
      </w:r>
      <w:r>
        <w:rPr>
          <w:rFonts w:hint="eastAsia" w:ascii="Times New Roman" w:hAnsi="Times New Roman" w:eastAsia="方正仿宋_GBK" w:cs="Times New Roman"/>
          <w:color w:val="auto"/>
          <w:sz w:val="32"/>
          <w:szCs w:val="32"/>
          <w:highlight w:val="none"/>
          <w:shd w:val="clear" w:color="auto" w:fill="FFFFFF"/>
          <w:lang w:eastAsia="zh-CN"/>
        </w:rPr>
        <w:t>事业单位人员通讯费、差旅费、日常办公开支等。</w:t>
      </w:r>
    </w:p>
    <w:p>
      <w:pPr>
        <w:pStyle w:val="13"/>
        <w:keepNext w:val="0"/>
        <w:keepLines w:val="0"/>
        <w:pageBreakBefore w:val="0"/>
        <w:numPr>
          <w:ilvl w:val="0"/>
          <w:numId w:val="2"/>
        </w:numPr>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政府性基金预算收支决算情况说明</w:t>
      </w:r>
    </w:p>
    <w:p>
      <w:pPr>
        <w:pStyle w:val="13"/>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Times New Roman" w:hAnsi="Times New Roman" w:eastAsia="楷体" w:cs="Times New Roman"/>
          <w:b/>
          <w:bCs/>
          <w:color w:val="auto"/>
          <w:sz w:val="32"/>
          <w:szCs w:val="32"/>
          <w:highlight w:val="none"/>
          <w:shd w:val="clear" w:color="auto" w:fill="FFFFFF"/>
          <w:lang w:val="en-US" w:eastAsia="zh-CN"/>
        </w:rPr>
      </w:pPr>
      <w:r>
        <w:rPr>
          <w:rFonts w:hint="eastAsia" w:ascii="Times New Roman" w:hAnsi="Times New Roman" w:eastAsia="方正仿宋_GBK" w:cs="Times New Roman"/>
          <w:color w:val="auto"/>
          <w:sz w:val="32"/>
          <w:szCs w:val="32"/>
          <w:highlight w:val="none"/>
          <w:shd w:val="clear" w:color="auto" w:fill="FFFFFF"/>
          <w:lang w:val="en-US" w:eastAsia="zh-CN" w:bidi="ar-SA"/>
        </w:rPr>
        <w:t>本单位2023年度无政府性基金预算财政拨款收支。</w:t>
      </w:r>
    </w:p>
    <w:p>
      <w:pPr>
        <w:pStyle w:val="13"/>
        <w:keepNext w:val="0"/>
        <w:keepLines w:val="0"/>
        <w:pageBreakBefore w:val="0"/>
        <w:numPr>
          <w:ilvl w:val="0"/>
          <w:numId w:val="2"/>
        </w:numPr>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国有资本经营预算财政拨款支出决算情况说明</w:t>
      </w:r>
    </w:p>
    <w:p>
      <w:pPr>
        <w:pStyle w:val="13"/>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val="en-US" w:eastAsia="zh-CN" w:bidi="ar-SA"/>
        </w:rPr>
      </w:pPr>
      <w:r>
        <w:rPr>
          <w:rFonts w:hint="eastAsia" w:ascii="Times New Roman" w:hAnsi="Times New Roman" w:eastAsia="方正仿宋_GBK" w:cs="Times New Roman"/>
          <w:color w:val="auto"/>
          <w:sz w:val="32"/>
          <w:szCs w:val="32"/>
          <w:highlight w:val="none"/>
          <w:shd w:val="clear" w:color="auto" w:fill="FFFFFF"/>
          <w:lang w:val="en-US" w:eastAsia="zh-CN" w:bidi="ar-SA"/>
        </w:rPr>
        <w:t>本单位2023年度无国有资本经营预算财政拨款支出。</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三、</w:t>
      </w:r>
      <w:r>
        <w:rPr>
          <w:rStyle w:val="10"/>
          <w:rFonts w:hint="eastAsia" w:ascii="方正黑体_GBK" w:hAnsi="方正黑体_GBK" w:eastAsia="方正黑体_GBK" w:cs="方正黑体_GBK"/>
          <w:b w:val="0"/>
          <w:bCs/>
          <w:color w:val="auto"/>
          <w:sz w:val="32"/>
          <w:szCs w:val="32"/>
          <w:highlight w:val="none"/>
          <w:shd w:val="clear" w:color="auto" w:fill="FFFFFF"/>
          <w:lang w:eastAsia="zh-CN"/>
        </w:rPr>
        <w:t>“</w:t>
      </w:r>
      <w:r>
        <w:rPr>
          <w:rStyle w:val="10"/>
          <w:rFonts w:hint="eastAsia" w:ascii="方正黑体_GBK" w:hAnsi="方正黑体_GBK" w:eastAsia="方正黑体_GBK" w:cs="方正黑体_GBK"/>
          <w:b w:val="0"/>
          <w:bCs/>
          <w:color w:val="auto"/>
          <w:sz w:val="32"/>
          <w:szCs w:val="32"/>
          <w:highlight w:val="none"/>
          <w:shd w:val="clear" w:color="auto" w:fill="FFFFFF"/>
        </w:rPr>
        <w:t>三公</w:t>
      </w:r>
      <w:r>
        <w:rPr>
          <w:rStyle w:val="10"/>
          <w:rFonts w:hint="eastAsia" w:ascii="方正黑体_GBK" w:hAnsi="方正黑体_GBK" w:eastAsia="方正黑体_GBK" w:cs="方正黑体_GBK"/>
          <w:b w:val="0"/>
          <w:bCs/>
          <w:color w:val="auto"/>
          <w:sz w:val="32"/>
          <w:szCs w:val="32"/>
          <w:highlight w:val="none"/>
          <w:shd w:val="clear" w:color="auto" w:fill="FFFFFF"/>
          <w:lang w:eastAsia="zh-CN"/>
        </w:rPr>
        <w:t>”</w:t>
      </w:r>
      <w:r>
        <w:rPr>
          <w:rStyle w:val="10"/>
          <w:rFonts w:hint="eastAsia" w:ascii="方正黑体_GBK" w:hAnsi="方正黑体_GBK" w:eastAsia="方正黑体_GBK" w:cs="方正黑体_GBK"/>
          <w:b w:val="0"/>
          <w:bCs/>
          <w:color w:val="auto"/>
          <w:sz w:val="32"/>
          <w:szCs w:val="32"/>
          <w:highlight w:val="none"/>
          <w:shd w:val="clear" w:color="auto" w:fill="FFFFFF"/>
        </w:rPr>
        <w:t>经费情况说明</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eastAsia" w:ascii="方正楷体_GBK" w:hAnsi="方正楷体_GBK" w:eastAsia="方正楷体_GBK" w:cs="方正楷体_GBK"/>
          <w:color w:val="auto"/>
          <w:sz w:val="32"/>
          <w:szCs w:val="32"/>
          <w:highlight w:val="none"/>
          <w:shd w:val="clear" w:color="auto" w:fill="FFFFFF"/>
          <w:lang w:eastAsia="zh-CN"/>
        </w:rPr>
      </w:pPr>
      <w:r>
        <w:rPr>
          <w:rFonts w:hint="eastAsia" w:ascii="方正楷体_GBK" w:hAnsi="方正楷体_GBK" w:eastAsia="方正楷体_GBK" w:cs="方正楷体_GBK"/>
          <w:color w:val="auto"/>
          <w:sz w:val="32"/>
          <w:szCs w:val="32"/>
          <w:highlight w:val="none"/>
          <w:shd w:val="clear" w:color="auto" w:fill="FFFFFF"/>
          <w:lang w:eastAsia="zh-CN"/>
        </w:rPr>
        <w:t>（一）“三公”经费支出总体情况说明</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2023年度“三公”经费支出共计0.00万元，较年初预算数无增减，主要原因是无相关支出。较上年支出数无增减，主要原因是无相关支出。</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eastAsia" w:ascii="方正楷体_GBK" w:hAnsi="方正楷体_GBK" w:eastAsia="方正楷体_GBK" w:cs="方正楷体_GBK"/>
          <w:color w:val="auto"/>
          <w:sz w:val="32"/>
          <w:szCs w:val="32"/>
          <w:highlight w:val="none"/>
          <w:shd w:val="clear" w:color="auto" w:fill="FFFFFF"/>
          <w:lang w:eastAsia="zh-CN"/>
        </w:rPr>
      </w:pPr>
      <w:r>
        <w:rPr>
          <w:rFonts w:hint="eastAsia" w:ascii="方正楷体_GBK" w:hAnsi="方正楷体_GBK" w:eastAsia="方正楷体_GBK" w:cs="方正楷体_GBK"/>
          <w:color w:val="auto"/>
          <w:sz w:val="32"/>
          <w:szCs w:val="32"/>
          <w:highlight w:val="none"/>
          <w:shd w:val="clear" w:color="auto" w:fill="FFFFFF"/>
          <w:lang w:eastAsia="zh-CN"/>
        </w:rPr>
        <w:t>（二）“三公”经费分项支出情况</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2023年度本单位因公出国（境）费用0.00万元，主要是用于单</w:t>
      </w:r>
      <w:r>
        <w:rPr>
          <w:rFonts w:hint="default" w:ascii="Times New Roman" w:hAnsi="Times New Roman" w:eastAsia="方正仿宋_GBK" w:cs="Times New Roman"/>
          <w:color w:val="auto"/>
          <w:sz w:val="32"/>
          <w:szCs w:val="32"/>
          <w:highlight w:val="none"/>
          <w:shd w:val="clear" w:color="auto" w:fill="FFFFFF"/>
        </w:rPr>
        <w:t>位工作人员因公务出国（境）期间产生的差旅费、伙食补助费等</w:t>
      </w:r>
      <w:r>
        <w:rPr>
          <w:rFonts w:hint="eastAsia" w:ascii="Times New Roman" w:hAnsi="Times New Roman" w:eastAsia="方正仿宋_GBK" w:cs="Times New Roman"/>
          <w:color w:val="auto"/>
          <w:sz w:val="32"/>
          <w:szCs w:val="32"/>
          <w:highlight w:val="none"/>
          <w:shd w:val="clear" w:color="auto" w:fill="FFFFFF"/>
          <w:lang w:eastAsia="zh-CN"/>
        </w:rPr>
        <w:t>。费用支出较年初预算数无增减，主要原因是无相关支出。较上年支出数无增减，主要原因是无相关支出。</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 公务车购置费0.00万元，主要用于单</w:t>
      </w:r>
      <w:r>
        <w:rPr>
          <w:rFonts w:hint="default" w:ascii="Times New Roman" w:hAnsi="Times New Roman" w:eastAsia="方正仿宋_GBK" w:cs="Times New Roman"/>
          <w:color w:val="auto"/>
          <w:sz w:val="32"/>
          <w:szCs w:val="32"/>
          <w:highlight w:val="none"/>
          <w:shd w:val="clear" w:color="auto" w:fill="FFFFFF"/>
        </w:rPr>
        <w:t>位用车的购置费及租用费、燃料费、维修费等</w:t>
      </w:r>
      <w:r>
        <w:rPr>
          <w:rFonts w:hint="eastAsia" w:ascii="Times New Roman" w:hAnsi="Times New Roman" w:eastAsia="方正仿宋_GBK" w:cs="Times New Roman"/>
          <w:color w:val="auto"/>
          <w:sz w:val="32"/>
          <w:szCs w:val="32"/>
          <w:highlight w:val="none"/>
          <w:shd w:val="clear" w:color="auto" w:fill="FFFFFF"/>
          <w:lang w:eastAsia="zh-CN"/>
        </w:rPr>
        <w:t>。费用支出较年初预算数无增减，主要原因是无相关支出。较上年支出数无增减，主要原因是无相关支出。</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 公务车运行维护费0.00万元，主要用于单位</w:t>
      </w:r>
      <w:r>
        <w:rPr>
          <w:rFonts w:hint="default" w:ascii="Times New Roman" w:hAnsi="Times New Roman" w:eastAsia="方正仿宋_GBK" w:cs="Times New Roman"/>
          <w:color w:val="auto"/>
          <w:sz w:val="32"/>
          <w:szCs w:val="32"/>
          <w:highlight w:val="none"/>
          <w:shd w:val="clear" w:color="auto" w:fill="FFFFFF"/>
          <w:lang w:eastAsia="zh-CN"/>
        </w:rPr>
        <w:t>公务用车洗车、加油、维修、保险费等</w:t>
      </w:r>
      <w:r>
        <w:rPr>
          <w:rFonts w:hint="eastAsia" w:ascii="Times New Roman" w:hAnsi="Times New Roman" w:eastAsia="方正仿宋_GBK" w:cs="Times New Roman"/>
          <w:color w:val="auto"/>
          <w:sz w:val="32"/>
          <w:szCs w:val="32"/>
          <w:highlight w:val="none"/>
          <w:shd w:val="clear" w:color="auto" w:fill="FFFFFF"/>
          <w:lang w:eastAsia="zh-CN"/>
        </w:rPr>
        <w:t>。费用支出较年初预算数无增减，主要原因是无相关支出。较上年支出数无增减，主要原因是无相关支出。</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 公务接待费0.00万元，主要用于接待</w:t>
      </w:r>
      <w:r>
        <w:rPr>
          <w:rFonts w:hint="default" w:ascii="Times New Roman" w:hAnsi="Times New Roman" w:eastAsia="方正仿宋_GBK" w:cs="Times New Roman"/>
          <w:color w:val="auto"/>
          <w:sz w:val="32"/>
          <w:szCs w:val="32"/>
          <w:highlight w:val="none"/>
          <w:shd w:val="clear" w:color="auto" w:fill="FFFFFF"/>
        </w:rPr>
        <w:t>单位为执行公务和开展业务需要而进行的合理接待支出</w:t>
      </w:r>
      <w:r>
        <w:rPr>
          <w:rFonts w:hint="eastAsia" w:ascii="Times New Roman" w:hAnsi="Times New Roman" w:eastAsia="方正仿宋_GBK" w:cs="Times New Roman"/>
          <w:color w:val="auto"/>
          <w:sz w:val="32"/>
          <w:szCs w:val="32"/>
          <w:highlight w:val="none"/>
          <w:shd w:val="clear" w:color="auto" w:fill="FFFFFF"/>
          <w:lang w:eastAsia="zh-CN"/>
        </w:rPr>
        <w:t>。费用支出较年初预算数无增减，主要原因是无相关支出。较上年支出数无增减，主要原因是无相关支出。</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eastAsia" w:ascii="方正楷体_GBK" w:hAnsi="方正楷体_GBK" w:eastAsia="方正楷体_GBK" w:cs="方正楷体_GBK"/>
          <w:color w:val="auto"/>
          <w:sz w:val="32"/>
          <w:szCs w:val="32"/>
          <w:highlight w:val="none"/>
          <w:shd w:val="clear" w:color="auto" w:fill="FFFFFF"/>
          <w:lang w:eastAsia="zh-CN"/>
        </w:rPr>
      </w:pPr>
      <w:r>
        <w:rPr>
          <w:rFonts w:hint="eastAsia" w:ascii="方正楷体_GBK" w:hAnsi="方正楷体_GBK" w:eastAsia="方正楷体_GBK" w:cs="方正楷体_GBK"/>
          <w:color w:val="auto"/>
          <w:sz w:val="32"/>
          <w:szCs w:val="32"/>
          <w:highlight w:val="none"/>
          <w:shd w:val="clear" w:color="auto" w:fill="FFFFFF"/>
          <w:lang w:eastAsia="zh-CN"/>
        </w:rPr>
        <w:t>（三）“三公”经费实物量情况</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四、其他需要说明的事项</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楷体" w:cs="Times New Roman"/>
          <w:b w:val="0"/>
          <w:bCs/>
          <w:color w:val="auto"/>
          <w:sz w:val="32"/>
          <w:szCs w:val="32"/>
          <w:highlight w:val="none"/>
          <w:shd w:val="clear" w:color="auto" w:fill="FFFFFF"/>
        </w:rPr>
      </w:pPr>
      <w:r>
        <w:rPr>
          <w:rFonts w:hint="eastAsia" w:ascii="方正楷体_GBK" w:hAnsi="方正楷体_GBK" w:eastAsia="方正楷体_GBK" w:cs="方正楷体_GBK"/>
          <w:b w:val="0"/>
          <w:bCs/>
          <w:color w:val="auto"/>
          <w:sz w:val="32"/>
          <w:szCs w:val="32"/>
          <w:highlight w:val="none"/>
          <w:shd w:val="clear" w:color="auto" w:fill="FFFFFF"/>
        </w:rPr>
        <w:t>（一）财政拨款会议费和培训费情况说明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本年度会议费支出0.00万元，较上年决算数无增减，主要原因是</w:t>
      </w:r>
      <w:r>
        <w:rPr>
          <w:rFonts w:hint="eastAsia" w:ascii="Times New Roman" w:hAnsi="Times New Roman" w:eastAsia="方正仿宋_GBK" w:cs="Times New Roman"/>
          <w:color w:val="auto"/>
          <w:sz w:val="32"/>
          <w:szCs w:val="32"/>
          <w:highlight w:val="none"/>
          <w:shd w:val="clear" w:color="auto" w:fill="FFFFFF"/>
          <w:lang w:eastAsia="zh-CN"/>
        </w:rPr>
        <w:t>未产生相关支出。</w:t>
      </w:r>
      <w:r>
        <w:rPr>
          <w:rFonts w:hint="default" w:ascii="Times New Roman" w:hAnsi="Times New Roman" w:eastAsia="方正仿宋_GBK" w:cs="Times New Roman"/>
          <w:color w:val="auto"/>
          <w:sz w:val="32"/>
          <w:szCs w:val="32"/>
          <w:highlight w:val="none"/>
          <w:shd w:val="clear" w:color="auto" w:fill="FFFFFF"/>
        </w:rPr>
        <w:t>本年度培训费支出</w:t>
      </w:r>
      <w:r>
        <w:rPr>
          <w:rFonts w:hint="default" w:ascii="Times New Roman" w:hAnsi="Times New Roman" w:eastAsia="方正仿宋_GBK" w:cs="Times New Roman"/>
          <w:color w:val="auto"/>
          <w:sz w:val="32"/>
          <w:szCs w:val="32"/>
          <w:highlight w:val="none"/>
        </w:rPr>
        <w:t>0.20</w:t>
      </w:r>
      <w:r>
        <w:rPr>
          <w:rFonts w:hint="default" w:ascii="Times New Roman" w:hAnsi="Times New Roman" w:eastAsia="方正仿宋_GBK" w:cs="Times New Roman"/>
          <w:color w:val="auto"/>
          <w:sz w:val="32"/>
          <w:szCs w:val="32"/>
          <w:highlight w:val="none"/>
          <w:shd w:val="clear" w:color="auto" w:fill="FFFFFF"/>
        </w:rPr>
        <w:t>万元，较上年决算数增加0.20万元，增长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eastAsia="zh-CN"/>
        </w:rPr>
        <w:t>2022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石耶镇文化服务中心</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（二）机关运行经费情况说明</w:t>
      </w:r>
    </w:p>
    <w:p>
      <w:pPr>
        <w:pStyle w:val="13"/>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2023年度本单位机关运行经费支出0.00万元，机关运行经费主要用于开支机关所产生的水费、电费、生活费等。机关运行经费较上年支出数无增减，主要原因是按照部门决算列报口径，我单位不在机关运行经费统计范围之内。</w:t>
      </w:r>
    </w:p>
    <w:p>
      <w:pPr>
        <w:pStyle w:val="13"/>
        <w:keepNext w:val="0"/>
        <w:keepLines w:val="0"/>
        <w:pageBreakBefore w:val="0"/>
        <w:numPr>
          <w:ilvl w:val="0"/>
          <w:numId w:val="0"/>
        </w:numPr>
        <w:kinsoku/>
        <w:wordWrap/>
        <w:overflowPunct/>
        <w:topLinePunct w:val="0"/>
        <w:autoSpaceDE w:val="0"/>
        <w:autoSpaceDN/>
        <w:bidi w:val="0"/>
        <w:adjustRightInd/>
        <w:spacing w:beforeAutospacing="0" w:afterAutospacing="0" w:line="560" w:lineRule="exact"/>
        <w:ind w:leftChars="200" w:right="0" w:rightChars="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rPr>
        <w:t>（三）</w:t>
      </w:r>
      <w:r>
        <w:rPr>
          <w:rFonts w:hint="eastAsia" w:ascii="方正楷体_GBK" w:hAnsi="方正楷体_GBK" w:eastAsia="方正楷体_GBK" w:cs="方正楷体_GBK"/>
          <w:b w:val="0"/>
          <w:bCs w:val="0"/>
          <w:color w:val="auto"/>
          <w:sz w:val="32"/>
          <w:szCs w:val="32"/>
          <w:highlight w:val="none"/>
          <w:shd w:val="clear" w:color="auto" w:fill="FFFFFF"/>
        </w:rPr>
        <w:t>国有资产占用情况说明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楷体" w:cs="Times New Roman"/>
          <w:b/>
          <w:bCs/>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right="0" w:rightChars="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（四）政府采购支出情况说明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2023年度</w:t>
      </w:r>
      <w:r>
        <w:rPr>
          <w:rFonts w:hint="eastAsia" w:ascii="Times New Roman" w:hAnsi="Times New Roman" w:eastAsia="方正仿宋_GBK" w:cs="Times New Roman"/>
          <w:color w:val="auto"/>
          <w:sz w:val="32"/>
          <w:szCs w:val="32"/>
          <w:highlight w:val="none"/>
          <w:shd w:val="clear" w:color="auto" w:fill="FFFFFF"/>
          <w:lang w:eastAsia="zh-CN"/>
        </w:rPr>
        <w:t>我单位</w:t>
      </w:r>
      <w:r>
        <w:rPr>
          <w:rFonts w:hint="default" w:ascii="Times New Roman" w:hAnsi="Times New Roman" w:eastAsia="方正仿宋_GBK" w:cs="Times New Roman"/>
          <w:color w:val="auto"/>
          <w:sz w:val="32"/>
          <w:szCs w:val="32"/>
          <w:highlight w:val="none"/>
          <w:shd w:val="clear" w:color="auto" w:fill="FFFFFF"/>
        </w:rPr>
        <w:t>未发生政府采购事项，无相关经费支出。</w:t>
      </w:r>
    </w:p>
    <w:p>
      <w:pPr>
        <w:pStyle w:val="8"/>
        <w:keepNext w:val="0"/>
        <w:keepLines w:val="0"/>
        <w:pageBreakBefore w:val="0"/>
        <w:numPr>
          <w:ilvl w:val="0"/>
          <w:numId w:val="3"/>
        </w:numPr>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预算绩效管理情况说明</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（一）单位自评情况</w:t>
      </w:r>
    </w:p>
    <w:p>
      <w:pPr>
        <w:pStyle w:val="14"/>
        <w:keepNext w:val="0"/>
        <w:keepLines w:val="0"/>
        <w:pageBreakBefore w:val="0"/>
        <w:kinsoku/>
        <w:wordWrap/>
        <w:overflowPunct/>
        <w:topLinePunct w:val="0"/>
        <w:autoSpaceDE w:val="0"/>
        <w:autoSpaceDN/>
        <w:bidi w:val="0"/>
        <w:adjustRightInd/>
        <w:spacing w:before="0" w:beforeAutospacing="0" w:after="0" w:afterAutospacing="0" w:line="560" w:lineRule="exact"/>
        <w:ind w:left="0" w:leftChars="0" w:right="0" w:rightChars="0" w:firstLine="640" w:firstLineChars="200"/>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根据预算绩效管理要求，</w:t>
      </w:r>
      <w:r>
        <w:rPr>
          <w:rFonts w:hint="eastAsia" w:ascii="Times New Roman" w:hAnsi="Times New Roman" w:eastAsia="方正仿宋_GBK" w:cs="Times New Roman"/>
          <w:color w:val="auto"/>
          <w:sz w:val="32"/>
          <w:szCs w:val="32"/>
          <w:highlight w:val="none"/>
          <w:shd w:val="clear" w:color="auto" w:fill="FFFFFF"/>
          <w:lang w:eastAsia="zh-CN"/>
        </w:rPr>
        <w:t>我单位对</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default" w:ascii="Times New Roman" w:hAnsi="Times New Roman" w:eastAsia="方正仿宋_GBK" w:cs="Times New Roman"/>
          <w:color w:val="auto"/>
          <w:sz w:val="32"/>
          <w:szCs w:val="32"/>
          <w:highlight w:val="none"/>
          <w:shd w:val="clear" w:color="auto" w:fill="FFFFFF"/>
        </w:rPr>
        <w:t>个二级项目开展了绩效自评，涉及财政拨款项目支出资金</w:t>
      </w:r>
      <w:r>
        <w:rPr>
          <w:rFonts w:hint="eastAsia" w:ascii="Times New Roman" w:hAnsi="Times New Roman" w:eastAsia="方正仿宋_GBK" w:cs="Times New Roman"/>
          <w:color w:val="auto"/>
          <w:sz w:val="32"/>
          <w:szCs w:val="32"/>
          <w:highlight w:val="none"/>
          <w:shd w:val="clear" w:color="auto" w:fill="FFFFFF"/>
          <w:lang w:val="en-US" w:eastAsia="zh-CN"/>
        </w:rPr>
        <w:t>14.29</w:t>
      </w:r>
      <w:r>
        <w:rPr>
          <w:rFonts w:hint="default" w:ascii="Times New Roman" w:hAnsi="Times New Roman" w:eastAsia="方正仿宋_GBK" w:cs="Times New Roman"/>
          <w:color w:val="auto"/>
          <w:sz w:val="32"/>
          <w:szCs w:val="32"/>
          <w:highlight w:val="none"/>
          <w:shd w:val="clear" w:color="auto" w:fill="FFFFFF"/>
        </w:rPr>
        <w:t>万元</w:t>
      </w:r>
      <w:r>
        <w:rPr>
          <w:rFonts w:hint="eastAsia" w:ascii="Times New Roman" w:hAnsi="Times New Roman" w:eastAsia="方正仿宋_GBK" w:cs="Times New Roman"/>
          <w:color w:val="auto"/>
          <w:sz w:val="32"/>
          <w:szCs w:val="32"/>
          <w:highlight w:val="none"/>
          <w:shd w:val="clear" w:color="auto" w:fill="FFFFFF"/>
          <w:lang w:eastAsia="zh-CN"/>
        </w:rPr>
        <w:t>。</w:t>
      </w:r>
    </w:p>
    <w:tbl>
      <w:tblPr>
        <w:tblStyle w:val="11"/>
        <w:tblW w:w="8533" w:type="dxa"/>
        <w:jc w:val="center"/>
        <w:tblInd w:w="93" w:type="dxa"/>
        <w:tblLayout w:type="fixed"/>
        <w:tblCellMar>
          <w:top w:w="0" w:type="dxa"/>
          <w:left w:w="108" w:type="dxa"/>
          <w:bottom w:w="0" w:type="dxa"/>
          <w:right w:w="108" w:type="dxa"/>
        </w:tblCellMar>
      </w:tblPr>
      <w:tblGrid>
        <w:gridCol w:w="600"/>
        <w:gridCol w:w="750"/>
        <w:gridCol w:w="1433"/>
        <w:gridCol w:w="569"/>
        <w:gridCol w:w="675"/>
        <w:gridCol w:w="615"/>
        <w:gridCol w:w="540"/>
        <w:gridCol w:w="720"/>
        <w:gridCol w:w="1081"/>
        <w:gridCol w:w="735"/>
        <w:gridCol w:w="815"/>
      </w:tblGrid>
      <w:tr>
        <w:tblPrEx>
          <w:tblLayout w:type="fixed"/>
          <w:tblCellMar>
            <w:top w:w="0" w:type="dxa"/>
            <w:left w:w="108" w:type="dxa"/>
            <w:bottom w:w="0" w:type="dxa"/>
            <w:right w:w="108" w:type="dxa"/>
          </w:tblCellMar>
        </w:tblPrEx>
        <w:trPr>
          <w:trHeight w:val="780" w:hRule="atLeast"/>
          <w:jc w:val="center"/>
        </w:trPr>
        <w:tc>
          <w:tcPr>
            <w:tcW w:w="8533" w:type="dxa"/>
            <w:gridSpan w:val="11"/>
            <w:tcBorders>
              <w:top w:val="nil"/>
              <w:left w:val="nil"/>
              <w:bottom w:val="single" w:color="000000" w:sz="4" w:space="0"/>
              <w:right w:val="nil"/>
            </w:tcBorders>
            <w:vAlign w:val="center"/>
          </w:tcPr>
          <w:p>
            <w:pPr>
              <w:keepNext w:val="0"/>
              <w:keepLines w:val="0"/>
              <w:pageBreakBefore w:val="0"/>
              <w:widowControl/>
              <w:kinsoku/>
              <w:wordWrap/>
              <w:overflowPunct/>
              <w:topLinePunct w:val="0"/>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b w:val="0"/>
                <w:bCs/>
                <w:kern w:val="0"/>
                <w:sz w:val="32"/>
                <w:szCs w:val="32"/>
                <w:shd w:val="clear" w:color="auto" w:fill="FFFFFF"/>
                <w:lang w:val="en-US" w:eastAsia="zh-CN" w:bidi="ar"/>
              </w:rPr>
            </w:pPr>
          </w:p>
          <w:p>
            <w:pPr>
              <w:keepNext w:val="0"/>
              <w:keepLines w:val="0"/>
              <w:pageBreakBefore w:val="0"/>
              <w:widowControl/>
              <w:kinsoku/>
              <w:wordWrap/>
              <w:overflowPunct/>
              <w:topLinePunct w:val="0"/>
              <w:autoSpaceDN/>
              <w:bidi w:val="0"/>
              <w:adjustRightInd/>
              <w:snapToGrid/>
              <w:spacing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b w:val="0"/>
                <w:bCs/>
                <w:kern w:val="0"/>
                <w:sz w:val="32"/>
                <w:szCs w:val="32"/>
                <w:shd w:val="clear" w:color="auto" w:fill="FFFFFF"/>
                <w:lang w:val="en-US" w:eastAsia="zh-CN" w:bidi="ar"/>
              </w:rPr>
            </w:pPr>
            <w:r>
              <w:rPr>
                <w:rFonts w:hint="default" w:ascii="Times New Roman" w:hAnsi="Times New Roman" w:eastAsia="方正小标宋_GBK" w:cs="Times New Roman"/>
                <w:b w:val="0"/>
                <w:bCs/>
                <w:kern w:val="0"/>
                <w:sz w:val="32"/>
                <w:szCs w:val="32"/>
                <w:shd w:val="clear" w:color="auto" w:fill="FFFFFF"/>
                <w:lang w:val="en-US" w:eastAsia="zh-CN" w:bidi="ar"/>
              </w:rPr>
              <w:t>秀山土家族苗族自治县石耶镇人民政府</w:t>
            </w:r>
          </w:p>
          <w:p>
            <w:pPr>
              <w:keepNext w:val="0"/>
              <w:keepLines w:val="0"/>
              <w:pageBreakBefore w:val="0"/>
              <w:widowControl/>
              <w:kinsoku/>
              <w:wordWrap/>
              <w:overflowPunct/>
              <w:topLinePunct w:val="0"/>
              <w:autoSpaceDN/>
              <w:bidi w:val="0"/>
              <w:adjustRightInd/>
              <w:snapToGrid/>
              <w:spacing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b w:val="0"/>
                <w:bCs/>
                <w:kern w:val="0"/>
                <w:sz w:val="32"/>
                <w:szCs w:val="32"/>
                <w:shd w:val="clear" w:color="auto" w:fill="FFFFFF"/>
                <w:lang w:val="en-US" w:eastAsia="zh-CN" w:bidi="ar"/>
              </w:rPr>
              <w:t>2023年度项目支出绩效自评表（二级项目）</w:t>
            </w:r>
          </w:p>
        </w:tc>
      </w:tr>
      <w:tr>
        <w:tblPrEx>
          <w:tblLayout w:type="fixed"/>
          <w:tblCellMar>
            <w:top w:w="0" w:type="dxa"/>
            <w:left w:w="108" w:type="dxa"/>
            <w:bottom w:w="0" w:type="dxa"/>
            <w:right w:w="108" w:type="dxa"/>
          </w:tblCellMar>
        </w:tblPrEx>
        <w:trPr>
          <w:trHeight w:val="600" w:hRule="atLeast"/>
          <w:jc w:val="center"/>
        </w:trPr>
        <w:tc>
          <w:tcPr>
            <w:tcW w:w="6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序号</w:t>
            </w:r>
          </w:p>
        </w:tc>
        <w:tc>
          <w:tcPr>
            <w:tcW w:w="75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项目名称</w:t>
            </w:r>
          </w:p>
        </w:tc>
        <w:tc>
          <w:tcPr>
            <w:tcW w:w="143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指标名称</w:t>
            </w:r>
          </w:p>
        </w:tc>
        <w:tc>
          <w:tcPr>
            <w:tcW w:w="56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指标性质</w:t>
            </w:r>
          </w:p>
        </w:tc>
        <w:tc>
          <w:tcPr>
            <w:tcW w:w="67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指标值</w:t>
            </w:r>
          </w:p>
        </w:tc>
        <w:tc>
          <w:tcPr>
            <w:tcW w:w="61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计量单位</w:t>
            </w:r>
          </w:p>
        </w:tc>
        <w:tc>
          <w:tcPr>
            <w:tcW w:w="54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指标权重</w:t>
            </w:r>
          </w:p>
        </w:tc>
        <w:tc>
          <w:tcPr>
            <w:tcW w:w="72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全年完成值</w:t>
            </w:r>
          </w:p>
        </w:tc>
        <w:tc>
          <w:tcPr>
            <w:tcW w:w="108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指标得分</w:t>
            </w:r>
          </w:p>
        </w:tc>
        <w:tc>
          <w:tcPr>
            <w:tcW w:w="73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说明</w:t>
            </w:r>
          </w:p>
        </w:tc>
        <w:tc>
          <w:tcPr>
            <w:tcW w:w="81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自评得分</w:t>
            </w:r>
          </w:p>
        </w:tc>
      </w:tr>
      <w:tr>
        <w:tblPrEx>
          <w:tblLayout w:type="fixed"/>
          <w:tblCellMar>
            <w:top w:w="0" w:type="dxa"/>
            <w:left w:w="108" w:type="dxa"/>
            <w:bottom w:w="0" w:type="dxa"/>
            <w:right w:w="108" w:type="dxa"/>
          </w:tblCellMar>
        </w:tblPrEx>
        <w:trPr>
          <w:trHeight w:val="432" w:hRule="atLeast"/>
          <w:jc w:val="center"/>
        </w:trPr>
        <w:tc>
          <w:tcPr>
            <w:tcW w:w="6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1</w:t>
            </w:r>
          </w:p>
        </w:tc>
        <w:tc>
          <w:tcPr>
            <w:tcW w:w="7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美术馆、图书馆、文化馆(站)免费开放专项</w:t>
            </w: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购买图书数量</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50</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本</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20</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50</w:t>
            </w:r>
          </w:p>
        </w:tc>
        <w:tc>
          <w:tcPr>
            <w:tcW w:w="10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outlineLvl w:val="9"/>
              <w:rPr>
                <w:rFonts w:hint="default" w:ascii="Times New Roman" w:hAnsi="Times New Roman" w:eastAsia="方正仿宋_GBK" w:cs="Times New Roman"/>
                <w:color w:val="000000"/>
                <w:sz w:val="21"/>
                <w:szCs w:val="21"/>
              </w:rPr>
            </w:pPr>
          </w:p>
        </w:tc>
        <w:tc>
          <w:tcPr>
            <w:tcW w:w="8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100</w:t>
            </w: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图书馆免费开放活动次数</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次</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w:t>
            </w:r>
          </w:p>
        </w:tc>
        <w:tc>
          <w:tcPr>
            <w:tcW w:w="10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outlineLvl w:val="9"/>
              <w:rPr>
                <w:rFonts w:hint="default" w:ascii="Times New Roman" w:hAnsi="Times New Roman" w:eastAsia="方正仿宋_GBK" w:cs="Times New Roman"/>
                <w:color w:val="000000"/>
                <w:sz w:val="21"/>
                <w:szCs w:val="21"/>
              </w:rPr>
            </w:pPr>
          </w:p>
        </w:tc>
        <w:tc>
          <w:tcPr>
            <w:tcW w:w="8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资金规模</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6</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万元</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6</w:t>
            </w:r>
          </w:p>
        </w:tc>
        <w:tc>
          <w:tcPr>
            <w:tcW w:w="10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outlineLvl w:val="9"/>
              <w:rPr>
                <w:rFonts w:hint="default" w:ascii="Times New Roman" w:hAnsi="Times New Roman" w:eastAsia="方正仿宋_GBK" w:cs="Times New Roman"/>
                <w:color w:val="000000"/>
                <w:sz w:val="21"/>
                <w:szCs w:val="21"/>
              </w:rPr>
            </w:pPr>
          </w:p>
        </w:tc>
        <w:tc>
          <w:tcPr>
            <w:tcW w:w="8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提高文化学习氛围率</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98</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30</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98</w:t>
            </w:r>
          </w:p>
        </w:tc>
        <w:tc>
          <w:tcPr>
            <w:tcW w:w="10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30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outlineLvl w:val="9"/>
              <w:rPr>
                <w:rFonts w:hint="default" w:ascii="Times New Roman" w:hAnsi="Times New Roman" w:eastAsia="方正仿宋_GBK" w:cs="Times New Roman"/>
                <w:color w:val="000000"/>
                <w:sz w:val="21"/>
                <w:szCs w:val="21"/>
              </w:rPr>
            </w:pPr>
          </w:p>
        </w:tc>
        <w:tc>
          <w:tcPr>
            <w:tcW w:w="8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8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bl>
    <w:p>
      <w:pPr>
        <w:pStyle w:val="13"/>
        <w:keepNext w:val="0"/>
        <w:keepLines w:val="0"/>
        <w:pageBreakBefore w:val="0"/>
        <w:widowControl/>
        <w:kinsoku/>
        <w:wordWrap/>
        <w:overflowPunct/>
        <w:topLinePunct w:val="0"/>
        <w:autoSpaceDE w:val="0"/>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（二）单位绩效评价情况</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方正仿宋" w:cs="Times New Roman"/>
          <w:i w:val="0"/>
          <w:caps w:val="0"/>
          <w:color w:val="333333"/>
          <w:spacing w:val="0"/>
          <w:sz w:val="32"/>
          <w:szCs w:val="32"/>
          <w:shd w:val="clear" w:fill="FFFFFF"/>
          <w:lang w:val="en-US" w:eastAsia="zh-CN"/>
        </w:rPr>
      </w:pPr>
      <w:r>
        <w:rPr>
          <w:rFonts w:hint="eastAsia" w:ascii="Times New Roman" w:hAnsi="Times New Roman" w:eastAsia="方正仿宋" w:cs="Times New Roman"/>
          <w:i w:val="0"/>
          <w:caps w:val="0"/>
          <w:color w:val="333333"/>
          <w:spacing w:val="0"/>
          <w:sz w:val="32"/>
          <w:szCs w:val="32"/>
          <w:shd w:val="clear" w:fill="FFFFFF"/>
          <w:lang w:val="en-US" w:eastAsia="zh-CN"/>
        </w:rPr>
        <w:t>我单位未组织开展绩效评价。</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（三）财政绩效评价情况</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rPr>
          <w:rStyle w:val="10"/>
          <w:rFonts w:hint="eastAsia" w:ascii="方正黑体_GBK" w:hAnsi="方正黑体_GBK" w:eastAsia="方正黑体_GBK" w:cs="方正黑体_GBK"/>
          <w:b w:val="0"/>
          <w:bCs/>
          <w:color w:val="auto"/>
          <w:sz w:val="32"/>
          <w:szCs w:val="32"/>
          <w:highlight w:val="none"/>
          <w:shd w:val="clear" w:color="auto" w:fill="FFFFFF"/>
        </w:rPr>
      </w:pPr>
      <w:r>
        <w:rPr>
          <w:rFonts w:hint="eastAsia" w:ascii="Times New Roman" w:hAnsi="Times New Roman" w:eastAsia="方正仿宋" w:cs="Times New Roman"/>
          <w:i w:val="0"/>
          <w:caps w:val="0"/>
          <w:color w:val="333333"/>
          <w:spacing w:val="0"/>
          <w:sz w:val="32"/>
          <w:szCs w:val="32"/>
          <w:shd w:val="clear" w:fill="FFFFFF"/>
          <w:lang w:val="en-US" w:eastAsia="zh-CN"/>
        </w:rPr>
        <w:t>县财政局未委托第三方对我单位开展绩效评价。</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六、专业名词解释</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rPr>
        <w:t>（一）财政拨款收入：</w:t>
      </w:r>
      <w:r>
        <w:rPr>
          <w:rFonts w:hint="default" w:ascii="Times New Roman" w:hAnsi="Times New Roman" w:eastAsia="方正仿宋_GBK" w:cs="Times New Roman"/>
          <w:color w:val="auto"/>
          <w:sz w:val="32"/>
          <w:szCs w:val="32"/>
          <w:highlight w:val="none"/>
          <w:shd w:val="clear" w:color="auto" w:fill="FFFFFF"/>
        </w:rPr>
        <w:t>指本年度从本级财政部门取得的财政拨款，包括一般公共预算财政拨款和政府性基金预算财政拨款。</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（二）事业收入：</w:t>
      </w:r>
      <w:r>
        <w:rPr>
          <w:rFonts w:hint="default" w:ascii="Times New Roman" w:hAnsi="Times New Roman" w:eastAsia="方正仿宋_GBK" w:cs="Times New Roman"/>
          <w:color w:val="auto"/>
          <w:sz w:val="32"/>
          <w:szCs w:val="32"/>
          <w:highlight w:val="none"/>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方正楷体_GBK" w:hAnsi="方正楷体_GBK" w:eastAsia="方正楷体_GBK" w:cs="方正楷体_GBK"/>
          <w:b w:val="0"/>
          <w:bCs w:val="0"/>
          <w:color w:val="auto"/>
          <w:sz w:val="32"/>
          <w:szCs w:val="32"/>
          <w:highlight w:val="none"/>
          <w:shd w:val="clear" w:color="auto" w:fill="FFFFFF"/>
        </w:rPr>
        <w:t>（三）经营收入：</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指事业单位在专业业务活动及其辅助活动之外开展非独立核算经营活动取得的现金流入。</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（四）其他收入：</w:t>
      </w:r>
      <w:r>
        <w:rPr>
          <w:rFonts w:hint="default" w:ascii="Times New Roman" w:hAnsi="Times New Roman" w:eastAsia="方正仿宋_GBK" w:cs="Times New Roman"/>
          <w:color w:val="auto"/>
          <w:sz w:val="32"/>
          <w:szCs w:val="32"/>
          <w:highlight w:val="none"/>
          <w:shd w:val="clear" w:color="auto" w:fill="FFFFFF"/>
        </w:rPr>
        <w:t>指单位取得的除</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财政拨款收入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事业收入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经营收入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（五）使用非财政拨款结余：</w:t>
      </w:r>
      <w:r>
        <w:rPr>
          <w:rFonts w:hint="default" w:ascii="Times New Roman" w:hAnsi="Times New Roman" w:eastAsia="方正仿宋_GBK" w:cs="Times New Roman"/>
          <w:color w:val="auto"/>
          <w:sz w:val="32"/>
          <w:szCs w:val="32"/>
          <w:highlight w:val="none"/>
          <w:shd w:val="clear" w:color="auto" w:fill="FFFFFF"/>
        </w:rPr>
        <w:t>指单位在当年的</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财政拨款收入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事业收入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经营收入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其他收入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等不足以安排当年支出的情况下，使用以前年度积累的非财政拨款结余弥补本年度收支缺口的资金。</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（六）年初结转和结余：</w:t>
      </w:r>
      <w:r>
        <w:rPr>
          <w:rFonts w:hint="default" w:ascii="Times New Roman" w:hAnsi="Times New Roman" w:eastAsia="方正仿宋_GBK" w:cs="Times New Roman"/>
          <w:color w:val="auto"/>
          <w:sz w:val="32"/>
          <w:szCs w:val="32"/>
          <w:highlight w:val="none"/>
          <w:shd w:val="clear" w:color="auto" w:fill="FFFFFF"/>
        </w:rPr>
        <w:t>指单位上年结转本年使用的基本支出结转、项目支出结转和结余、经营结余。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（七）结余分配：</w:t>
      </w:r>
      <w:r>
        <w:rPr>
          <w:rFonts w:hint="default" w:ascii="Times New Roman" w:hAnsi="Times New Roman" w:eastAsia="方正仿宋_GBK" w:cs="Times New Roman"/>
          <w:color w:val="auto"/>
          <w:sz w:val="32"/>
          <w:szCs w:val="32"/>
          <w:highlight w:val="none"/>
          <w:shd w:val="clear" w:color="auto" w:fill="FFFFFF"/>
        </w:rPr>
        <w:t>指单位按照国家有关规定，缴纳所得税、提取专用基金、转入非财政拨款结余等当年结余的分配情况。</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（八）年末结转和结余：</w:t>
      </w:r>
      <w:r>
        <w:rPr>
          <w:rFonts w:hint="default" w:ascii="Times New Roman" w:hAnsi="Times New Roman" w:eastAsia="方正仿宋_GBK" w:cs="Times New Roman"/>
          <w:color w:val="auto"/>
          <w:sz w:val="32"/>
          <w:szCs w:val="32"/>
          <w:highlight w:val="none"/>
          <w:shd w:val="clear" w:color="auto" w:fill="FFFFFF"/>
        </w:rPr>
        <w:t>指单位结转下年的基本支出结转、项目支出结转和结余、经营结余。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（九）基本支出：</w:t>
      </w:r>
      <w:r>
        <w:rPr>
          <w:rFonts w:hint="default" w:ascii="Times New Roman" w:hAnsi="Times New Roman" w:eastAsia="方正仿宋_GBK" w:cs="Times New Roman"/>
          <w:color w:val="auto"/>
          <w:sz w:val="32"/>
          <w:szCs w:val="32"/>
          <w:highlight w:val="none"/>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工资福利支出</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和</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对个人和家庭的补助</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；公用经费指政府收支分类经济科目中除</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工资福利支出</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和</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对个人和家庭的补助</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外的其他支出。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（十）项目支出：</w:t>
      </w:r>
      <w:r>
        <w:rPr>
          <w:rFonts w:hint="default" w:ascii="Times New Roman" w:hAnsi="Times New Roman" w:eastAsia="方正仿宋_GBK" w:cs="Times New Roman"/>
          <w:color w:val="auto"/>
          <w:sz w:val="32"/>
          <w:szCs w:val="32"/>
          <w:highlight w:val="none"/>
          <w:shd w:val="clear" w:color="auto" w:fill="FFFFFF"/>
        </w:rPr>
        <w:t>指在基本支出之外为完成特定行政任务和事业发展目标所发生的支出。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（十一）经营支出：</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（十二）</w:t>
      </w:r>
      <w:r>
        <w:rPr>
          <w:rFonts w:hint="eastAsia" w:ascii="方正楷体_GBK" w:hAnsi="方正楷体_GBK" w:eastAsia="方正楷体_GBK" w:cs="方正楷体_GBK"/>
          <w:b w:val="0"/>
          <w:bCs w:val="0"/>
          <w:color w:val="auto"/>
          <w:sz w:val="32"/>
          <w:szCs w:val="32"/>
          <w:highlight w:val="none"/>
          <w:shd w:val="clear" w:color="auto" w:fill="FFFFFF"/>
          <w:lang w:eastAsia="zh-CN"/>
        </w:rPr>
        <w:t>“</w:t>
      </w:r>
      <w:r>
        <w:rPr>
          <w:rFonts w:hint="default" w:ascii="方正楷体_GBK" w:hAnsi="方正楷体_GBK" w:eastAsia="方正楷体_GBK" w:cs="方正楷体_GBK"/>
          <w:b w:val="0"/>
          <w:bCs w:val="0"/>
          <w:color w:val="auto"/>
          <w:sz w:val="32"/>
          <w:szCs w:val="32"/>
          <w:highlight w:val="none"/>
          <w:shd w:val="clear" w:color="auto" w:fill="FFFFFF"/>
        </w:rPr>
        <w:t>三公</w:t>
      </w:r>
      <w:r>
        <w:rPr>
          <w:rFonts w:hint="eastAsia" w:ascii="方正楷体_GBK" w:hAnsi="方正楷体_GBK" w:eastAsia="方正楷体_GBK" w:cs="方正楷体_GBK"/>
          <w:b w:val="0"/>
          <w:bCs w:val="0"/>
          <w:color w:val="auto"/>
          <w:sz w:val="32"/>
          <w:szCs w:val="32"/>
          <w:highlight w:val="none"/>
          <w:shd w:val="clear" w:color="auto" w:fill="FFFFFF"/>
          <w:lang w:eastAsia="zh-CN"/>
        </w:rPr>
        <w:t>”</w:t>
      </w:r>
      <w:r>
        <w:rPr>
          <w:rFonts w:hint="default" w:ascii="方正楷体_GBK" w:hAnsi="方正楷体_GBK" w:eastAsia="方正楷体_GBK" w:cs="方正楷体_GBK"/>
          <w:b w:val="0"/>
          <w:bCs w:val="0"/>
          <w:color w:val="auto"/>
          <w:sz w:val="32"/>
          <w:szCs w:val="32"/>
          <w:highlight w:val="none"/>
          <w:shd w:val="clear" w:color="auto" w:fill="FFFFFF"/>
        </w:rPr>
        <w:t>经费：</w:t>
      </w:r>
      <w:r>
        <w:rPr>
          <w:rFonts w:hint="default" w:ascii="Times New Roman" w:hAnsi="Times New Roman" w:eastAsia="方正仿宋_GBK" w:cs="Times New Roman"/>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（十三）机关运行经费：</w:t>
      </w:r>
      <w:r>
        <w:rPr>
          <w:rFonts w:hint="default" w:ascii="Times New Roman" w:hAnsi="Times New Roman" w:eastAsia="方正仿宋_GBK" w:cs="Times New Roman"/>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方正楷体_GBK" w:hAnsi="方正楷体_GBK" w:eastAsia="方正楷体_GBK" w:cs="方正楷体_GBK"/>
          <w:b w:val="0"/>
          <w:bCs w:val="0"/>
          <w:color w:val="auto"/>
          <w:sz w:val="32"/>
          <w:szCs w:val="32"/>
          <w:highlight w:val="none"/>
          <w:shd w:val="clear" w:color="auto" w:fill="FFFFFF"/>
        </w:rPr>
        <w:t>（十四）工资福利支出（支出经济分类科目类级）：</w:t>
      </w:r>
      <w:r>
        <w:rPr>
          <w:rFonts w:hint="default" w:ascii="Times New Roman" w:hAnsi="Times New Roman" w:eastAsia="方正仿宋_GBK" w:cs="Times New Roman"/>
          <w:color w:val="auto"/>
          <w:sz w:val="32"/>
          <w:szCs w:val="32"/>
          <w:highlight w:val="none"/>
          <w:shd w:val="clear" w:color="auto" w:fill="FFFFFF"/>
        </w:rPr>
        <w:t>反映单位开支的在职职工和编制外长期聘用人员的各类劳动报酬，以及为上述人员缴纳的各项社会保险费等。</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（十五）商品和服务支出（支出经济分类科目类级）：</w:t>
      </w:r>
      <w:r>
        <w:rPr>
          <w:rFonts w:hint="default" w:ascii="Times New Roman" w:hAnsi="Times New Roman" w:eastAsia="方正仿宋_GBK" w:cs="Times New Roman"/>
          <w:color w:val="auto"/>
          <w:sz w:val="32"/>
          <w:szCs w:val="32"/>
          <w:highlight w:val="none"/>
          <w:shd w:val="clear" w:color="auto" w:fill="FFFFFF"/>
        </w:rPr>
        <w:t>反映单位购买商品和服务的支出（不包括用于购置固定资产的支出、战略性和应急储备支出）。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楷体" w:cs="Times New Roman"/>
          <w:color w:val="auto"/>
          <w:sz w:val="32"/>
          <w:szCs w:val="32"/>
          <w:highlight w:val="none"/>
          <w:shd w:val="clear" w:color="auto" w:fill="FFFFFF"/>
        </w:rPr>
        <w:t> </w:t>
      </w:r>
      <w:r>
        <w:rPr>
          <w:rFonts w:hint="default" w:ascii="方正楷体_GBK" w:hAnsi="方正楷体_GBK" w:eastAsia="方正楷体_GBK" w:cs="方正楷体_GBK"/>
          <w:b w:val="0"/>
          <w:bCs w:val="0"/>
          <w:color w:val="auto"/>
          <w:sz w:val="32"/>
          <w:szCs w:val="32"/>
          <w:highlight w:val="none"/>
          <w:shd w:val="clear" w:color="auto" w:fill="FFFFFF"/>
        </w:rPr>
        <w:t>（十六）对个人和家庭的补助（支出经济分类科目类级）：</w:t>
      </w:r>
      <w:r>
        <w:rPr>
          <w:rFonts w:hint="default" w:ascii="Times New Roman" w:hAnsi="Times New Roman" w:eastAsia="方正仿宋_GBK" w:cs="Times New Roman"/>
          <w:color w:val="auto"/>
          <w:sz w:val="32"/>
          <w:szCs w:val="32"/>
          <w:highlight w:val="none"/>
          <w:shd w:val="clear" w:color="auto" w:fill="FFFFFF"/>
        </w:rPr>
        <w:t>反映用于对个人和家庭的补助支出。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方正楷体_GBK" w:hAnsi="方正楷体_GBK" w:eastAsia="方正楷体_GBK" w:cs="方正楷体_GBK"/>
          <w:b w:val="0"/>
          <w:bCs w:val="0"/>
          <w:color w:val="auto"/>
          <w:sz w:val="32"/>
          <w:szCs w:val="32"/>
          <w:highlight w:val="none"/>
          <w:shd w:val="clear" w:color="auto" w:fill="FFFFFF"/>
        </w:rPr>
        <w:t>（十七）其他资本性支出（支出经济分类科目类级）：</w:t>
      </w:r>
      <w:r>
        <w:rPr>
          <w:rFonts w:hint="default" w:ascii="Times New Roman" w:hAnsi="Times New Roman" w:eastAsia="方正仿宋_GBK" w:cs="Times New Roman"/>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  七、决算公开联系方式及信息反馈渠道</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shd w:val="clear" w:color="auto" w:fill="FFFFFF"/>
        </w:rPr>
      </w:pPr>
      <w:r>
        <w:rPr>
          <w:rFonts w:hint="eastAsia" w:ascii="Times New Roman" w:hAnsi="Times New Roman" w:eastAsia="方正仿宋_GBK" w:cs="Times New Roman"/>
          <w:color w:val="auto"/>
          <w:sz w:val="32"/>
          <w:szCs w:val="32"/>
          <w:highlight w:val="none"/>
          <w:shd w:val="clear" w:color="auto" w:fill="FFFFFF"/>
          <w:lang w:eastAsia="zh-CN"/>
        </w:rPr>
        <w:t>石耶镇文化服务中心</w:t>
      </w:r>
      <w:r>
        <w:rPr>
          <w:rFonts w:hint="default" w:ascii="Times New Roman" w:hAnsi="Times New Roman" w:eastAsia="方正仿宋_GBK" w:cs="Times New Roman"/>
          <w:color w:val="auto"/>
          <w:sz w:val="32"/>
          <w:szCs w:val="32"/>
          <w:highlight w:val="none"/>
          <w:shd w:val="clear" w:color="auto" w:fill="FFFFFF"/>
        </w:rPr>
        <w:t>决算公开信息反馈和联系方式：</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0" w:firstLineChars="0"/>
        <w:textAlignment w:val="auto"/>
        <w:rPr>
          <w:rStyle w:val="10"/>
          <w:rFonts w:hint="default" w:ascii="Times New Roman" w:hAnsi="Times New Roman" w:eastAsia="方正仿宋_GBK" w:cs="Times New Roman"/>
          <w:color w:val="auto"/>
          <w:sz w:val="32"/>
          <w:szCs w:val="32"/>
          <w:highlight w:val="none"/>
          <w:shd w:val="clear" w:color="auto" w:fill="FFFF00"/>
          <w:lang w:val="en-US"/>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color w:val="auto"/>
          <w:sz w:val="32"/>
          <w:szCs w:val="32"/>
          <w:highlight w:val="none"/>
          <w:shd w:val="clear" w:color="auto" w:fill="FFFFFF"/>
          <w:lang w:eastAsia="zh-CN"/>
        </w:rPr>
        <w:t>肖军胜</w:t>
      </w:r>
      <w:r>
        <w:rPr>
          <w:rFonts w:hint="eastAsia" w:ascii="Times New Roman" w:hAnsi="Times New Roman" w:eastAsia="方正仿宋_GBK" w:cs="Times New Roman"/>
          <w:color w:val="auto"/>
          <w:sz w:val="32"/>
          <w:szCs w:val="32"/>
          <w:highlight w:val="none"/>
          <w:shd w:val="clear" w:color="auto" w:fill="FFFFFF"/>
          <w:lang w:val="en-US" w:eastAsia="zh-CN"/>
        </w:rPr>
        <w:t xml:space="preserve">  023-76624008</w:t>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公开单位：</w:t>
            </w:r>
            <w:r>
              <w:rPr>
                <w:rFonts w:hint="default" w:ascii="Times New Roman" w:hAnsi="Times New Roman" w:cs="Times New Roman"/>
                <w:color w:val="auto"/>
                <w:sz w:val="20"/>
                <w:highlight w:val="none"/>
                <w:u w:color="auto"/>
              </w:rPr>
              <w:t>重庆市秀山土家族苗族自治县石耶镇文化服务中心</w:t>
            </w: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2"/>
                <w:szCs w:val="22"/>
                <w:highlight w:val="none"/>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2"/>
                <w:szCs w:val="22"/>
                <w:highlight w:val="none"/>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85.10</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64.67</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11.88</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2.86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5.69</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85.10</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85.10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85.10</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85.10</w:t>
            </w: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pStyle w:val="2"/>
        <w:rPr>
          <w:rFonts w:hint="default" w:ascii="Times New Roman" w:hAnsi="Times New Roman" w:cs="Times New Roman"/>
          <w:color w:val="auto"/>
          <w:sz w:val="20"/>
          <w:szCs w:val="20"/>
          <w:highlight w:val="none"/>
        </w:rPr>
      </w:pPr>
    </w:p>
    <w:p>
      <w:pPr>
        <w:pStyle w:val="3"/>
        <w:rPr>
          <w:rFonts w:hint="default" w:ascii="Times New Roman" w:hAnsi="Times New Roman" w:cs="Times New Roman"/>
          <w:color w:val="auto"/>
          <w:sz w:val="20"/>
          <w:szCs w:val="20"/>
          <w:highlight w:val="none"/>
        </w:rPr>
      </w:pPr>
    </w:p>
    <w:p>
      <w:pPr>
        <w:rPr>
          <w:rFonts w:hint="default" w:ascii="Times New Roman" w:hAnsi="Times New Roman" w:cs="Times New Roman"/>
          <w:color w:val="auto"/>
          <w:sz w:val="20"/>
          <w:szCs w:val="20"/>
          <w:highlight w:val="none"/>
        </w:rPr>
      </w:pPr>
    </w:p>
    <w:p>
      <w:pPr>
        <w:pStyle w:val="2"/>
        <w:rPr>
          <w:rFonts w:hint="default" w:ascii="Times New Roman" w:hAnsi="Times New Roman" w:cs="Times New Roman"/>
          <w:color w:val="auto"/>
          <w:sz w:val="20"/>
          <w:szCs w:val="20"/>
          <w:highlight w:val="none"/>
        </w:rPr>
      </w:pPr>
    </w:p>
    <w:p>
      <w:pPr>
        <w:pStyle w:val="3"/>
        <w:rPr>
          <w:rFonts w:hint="default" w:ascii="Times New Roman" w:hAnsi="Times New Roman" w:cs="Times New Roman"/>
          <w:color w:val="auto"/>
          <w:sz w:val="20"/>
          <w:szCs w:val="20"/>
          <w:highlight w:val="none"/>
        </w:rPr>
      </w:pPr>
    </w:p>
    <w:p>
      <w:pPr>
        <w:rPr>
          <w:rFonts w:hint="default" w:ascii="Times New Roman" w:hAnsi="Times New Roman" w:cs="Times New Roman"/>
          <w:color w:val="auto"/>
          <w:sz w:val="20"/>
          <w:szCs w:val="20"/>
          <w:highlight w:val="none"/>
        </w:rPr>
      </w:pPr>
    </w:p>
    <w:p>
      <w:pPr>
        <w:pStyle w:val="2"/>
        <w:rPr>
          <w:rFonts w:hint="default" w:ascii="Times New Roman" w:hAnsi="Times New Roman" w:cs="Times New Roman"/>
          <w:color w:val="auto"/>
          <w:sz w:val="20"/>
          <w:szCs w:val="20"/>
          <w:highlight w:val="none"/>
        </w:rPr>
      </w:pPr>
    </w:p>
    <w:p>
      <w:pPr>
        <w:pStyle w:val="3"/>
        <w:rPr>
          <w:rFonts w:hint="default"/>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br w:type="textWrapping"/>
      </w: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公开单位：</w:t>
            </w:r>
            <w:r>
              <w:rPr>
                <w:rFonts w:hint="default" w:ascii="Times New Roman" w:hAnsi="Times New Roman" w:cs="Times New Roman"/>
                <w:color w:val="auto"/>
                <w:sz w:val="20"/>
                <w:highlight w:val="none"/>
                <w:u w:color="auto"/>
              </w:rPr>
              <w:t>重庆市秀山土家族苗族自治县石耶镇文化服务中心</w:t>
            </w: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85.10</w:t>
            </w: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85.10</w:t>
            </w: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64.67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64.67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64.67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64.67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2070109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50.38</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50.38</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14.30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14.30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11.88</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11.88</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11.88</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11.88</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2.58</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2.58</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6.52</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6.52</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2.78</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2.78</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2.86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2.86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2.86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2.86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2.86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2.86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5.69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5.69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5.69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5.69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5.69</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5.69</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left="600" w:right="0" w:rightChars="0" w:hanging="600" w:hangingChars="30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备注：1.本表反映单位本年度取得的各项收入情况。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2.本套报表金额单位转换时可能存在尾数误差。</w:t>
      </w: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 xml:space="preserve">重庆市秀山土家族苗族自治县石耶镇文化服务中心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85.10</w:t>
            </w:r>
            <w:r>
              <w:rPr>
                <w:rFonts w:hint="default" w:ascii="Times New Roman" w:hAnsi="Times New Roman" w:cs="Times New Roman"/>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70.80</w:t>
            </w:r>
            <w:r>
              <w:rPr>
                <w:rFonts w:hint="default" w:ascii="Times New Roman" w:hAnsi="Times New Roman" w:cs="Times New Roman"/>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14.30</w:t>
            </w:r>
            <w:r>
              <w:rPr>
                <w:rFonts w:hint="default" w:ascii="Times New Roman" w:hAnsi="Times New Roman" w:cs="Times New Roman"/>
                <w:b/>
                <w:color w:val="auto"/>
                <w:sz w:val="20"/>
                <w:highlight w:val="none"/>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64.67</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50.38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14.30</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64.67</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50.38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14.30</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2070109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50.38</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50.38</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14.30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14.30</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11.88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11.88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11.88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11.88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2.58</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2.58</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6.52</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6.52</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2.78</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2.78</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2.86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2.86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2.86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2.86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2.86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2.86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5.69</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5.69</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5.69</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5.69</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5.69</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5.69</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备注：1.本表反映单位本年度各项支出情况。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重庆市秀山土家族苗族自治县石耶镇文化服务中心</w:t>
            </w: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85.10</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64.67</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64.67</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11.88</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11.88</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2.86</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2.86</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5.69</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5.69</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85.10</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85.10</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85.10</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85.10</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85.10</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85.10</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重庆市秀山土家族苗族自治县石耶镇文化服务中心</w:t>
            </w: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85.10</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70.80</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14.30</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64.67</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50.38</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14.30</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64.67</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50.38</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14.30</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2070109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群众文化</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50.38</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50.38</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14.30</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14.30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11.88</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11.88</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11.88</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11.88</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2.58</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2.58</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6.52</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6.52</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2.78</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2.78</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2.86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2.86</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2.86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2.86</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2.86</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2.86</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5.69</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5.69</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5.69</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5.69</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5.69</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5.69</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备注：1.本表反映单位本年度一般公共预算财政拨款支出情况。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630" w:firstLineChars="30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重庆市秀山土家族苗族自治县石耶镇文化服务中心</w:t>
            </w: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款</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款</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款</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62.12</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6.02</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14.44</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4.70</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0.50</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23.60</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6.52</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2.78</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1.25</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2.86</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0.09</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5.69</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0.96</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2.66</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0.20</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2.30</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0.36</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0.16</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0.41</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64.78</w:t>
            </w:r>
            <w:r>
              <w:rPr>
                <w:rFonts w:hint="default" w:ascii="Times New Roman" w:hAnsi="Times New Roman" w:cs="Times New Roman"/>
                <w:color w:val="auto"/>
                <w:sz w:val="18"/>
                <w:highlight w:val="none"/>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6.02</w:t>
            </w:r>
            <w:r>
              <w:rPr>
                <w:rFonts w:hint="default" w:ascii="Times New Roman" w:hAnsi="Times New Roman" w:cs="Times New Roman"/>
                <w:color w:val="auto"/>
                <w:sz w:val="18"/>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备注：1.本表反映单位本年度一般公共预算财政拨款基本支出明细情况。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重庆市秀山土家族苗族自治县石耶镇文化服务中心</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备注：本表反映单位本年度政府性基金预算财政拨款收入支出及结转和结余情况。</w:t>
      </w:r>
      <w:r>
        <w:rPr>
          <w:rFonts w:hint="eastAsia" w:ascii="Times New Roman" w:hAnsi="Times New Roman" w:cs="Times New Roman"/>
          <w:color w:val="auto"/>
          <w:sz w:val="20"/>
          <w:szCs w:val="20"/>
          <w:highlight w:val="none"/>
          <w:lang w:eastAsia="zh-CN"/>
        </w:rPr>
        <w:t>石耶镇文化服务中心</w:t>
      </w:r>
      <w:r>
        <w:rPr>
          <w:rFonts w:hint="default" w:ascii="Times New Roman" w:hAnsi="Times New Roman" w:cs="Times New Roman"/>
          <w:color w:val="auto"/>
          <w:sz w:val="20"/>
          <w:szCs w:val="20"/>
          <w:highlight w:val="none"/>
        </w:rPr>
        <w:t>无政府性基金收支，故本表无数据。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重庆市秀山土家族苗族自治县石耶镇文化服务中心</w:t>
            </w: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b/>
                <w:color w:val="auto"/>
                <w:sz w:val="20"/>
                <w:szCs w:val="20"/>
                <w:highlight w:val="none"/>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备注：本表反映单位本年度国有资本经营预算财政拨款支出情况。</w:t>
      </w:r>
      <w:r>
        <w:rPr>
          <w:rFonts w:hint="eastAsia" w:ascii="Times New Roman" w:hAnsi="Times New Roman" w:cs="Times New Roman"/>
          <w:color w:val="auto"/>
          <w:sz w:val="20"/>
          <w:szCs w:val="20"/>
          <w:highlight w:val="none"/>
          <w:lang w:eastAsia="zh-CN"/>
        </w:rPr>
        <w:t>石耶镇文化服务中心</w:t>
      </w:r>
      <w:r>
        <w:rPr>
          <w:rFonts w:hint="default" w:ascii="Times New Roman" w:hAnsi="Times New Roman" w:cs="Times New Roman"/>
          <w:color w:val="auto"/>
          <w:sz w:val="20"/>
          <w:szCs w:val="20"/>
          <w:highlight w:val="none"/>
        </w:rPr>
        <w:t>无国有资本经营收支，故本表无数据。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bookmarkStart w:id="0" w:name="_GoBack"/>
      <w:bookmarkEnd w:id="0"/>
    </w:p>
    <w:tbl>
      <w:tblPr>
        <w:tblStyle w:val="11"/>
        <w:tblW w:w="15460" w:type="dxa"/>
        <w:tblInd w:w="0" w:type="dxa"/>
        <w:tblLayout w:type="fixed"/>
        <w:tblCellMar>
          <w:top w:w="0" w:type="dxa"/>
          <w:left w:w="0" w:type="dxa"/>
          <w:bottom w:w="0" w:type="dxa"/>
          <w:right w:w="0" w:type="dxa"/>
        </w:tblCellMar>
      </w:tblPr>
      <w:tblGrid>
        <w:gridCol w:w="4189"/>
        <w:gridCol w:w="2248"/>
        <w:gridCol w:w="2196"/>
        <w:gridCol w:w="4684"/>
        <w:gridCol w:w="2143"/>
      </w:tblGrid>
      <w:tr>
        <w:tblPrEx>
          <w:tblLayout w:type="fixed"/>
          <w:tblCellMar>
            <w:top w:w="0" w:type="dxa"/>
            <w:left w:w="0" w:type="dxa"/>
            <w:bottom w:w="0" w:type="dxa"/>
            <w:right w:w="0" w:type="dxa"/>
          </w:tblCellMar>
        </w:tblPrEx>
        <w:trPr>
          <w:trHeight w:val="572" w:hRule="atLeast"/>
        </w:trPr>
        <w:tc>
          <w:tcPr>
            <w:tcW w:w="1546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机构运行信息表</w:t>
            </w:r>
          </w:p>
        </w:tc>
      </w:tr>
      <w:tr>
        <w:tblPrEx>
          <w:tblLayout w:type="fixed"/>
          <w:tblCellMar>
            <w:top w:w="0" w:type="dxa"/>
            <w:left w:w="0" w:type="dxa"/>
            <w:bottom w:w="0" w:type="dxa"/>
            <w:right w:w="0" w:type="dxa"/>
          </w:tblCellMar>
        </w:tblPrEx>
        <w:trPr>
          <w:trHeight w:val="293" w:hRule="atLeast"/>
        </w:trPr>
        <w:tc>
          <w:tcPr>
            <w:tcW w:w="41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24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color w:val="auto"/>
                <w:sz w:val="20"/>
                <w:szCs w:val="20"/>
                <w:highlight w:val="none"/>
              </w:rPr>
            </w:pPr>
          </w:p>
        </w:tc>
        <w:tc>
          <w:tcPr>
            <w:tcW w:w="219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68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14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公开09表</w:t>
            </w:r>
          </w:p>
        </w:tc>
      </w:tr>
      <w:tr>
        <w:tblPrEx>
          <w:tblLayout w:type="fixed"/>
          <w:tblCellMar>
            <w:top w:w="0" w:type="dxa"/>
            <w:left w:w="0" w:type="dxa"/>
            <w:bottom w:w="0" w:type="dxa"/>
            <w:right w:w="0" w:type="dxa"/>
          </w:tblCellMar>
        </w:tblPrEx>
        <w:trPr>
          <w:trHeight w:val="572" w:hRule="atLeast"/>
        </w:trPr>
        <w:tc>
          <w:tcPr>
            <w:tcW w:w="4189"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重庆市秀山土家族苗族自治县石耶镇文化服务中心</w:t>
            </w:r>
          </w:p>
        </w:tc>
        <w:tc>
          <w:tcPr>
            <w:tcW w:w="2248"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color w:val="auto"/>
                <w:sz w:val="20"/>
                <w:szCs w:val="20"/>
                <w:highlight w:val="none"/>
              </w:rPr>
            </w:pPr>
          </w:p>
        </w:tc>
        <w:tc>
          <w:tcPr>
            <w:tcW w:w="2196"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68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143"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01" w:hRule="atLeast"/>
        </w:trPr>
        <w:tc>
          <w:tcPr>
            <w:tcW w:w="418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  目</w:t>
            </w:r>
          </w:p>
        </w:tc>
        <w:tc>
          <w:tcPr>
            <w:tcW w:w="224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预算数</w:t>
            </w:r>
          </w:p>
        </w:tc>
        <w:tc>
          <w:tcPr>
            <w:tcW w:w="219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c>
          <w:tcPr>
            <w:tcW w:w="46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  目</w:t>
            </w:r>
          </w:p>
        </w:tc>
        <w:tc>
          <w:tcPr>
            <w:tcW w:w="21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r>
      <w:tr>
        <w:tblPrEx>
          <w:tblLayout w:type="fixed"/>
          <w:tblCellMar>
            <w:top w:w="0" w:type="dxa"/>
            <w:left w:w="0" w:type="dxa"/>
            <w:bottom w:w="0" w:type="dxa"/>
            <w:right w:w="0" w:type="dxa"/>
          </w:tblCellMar>
        </w:tblPrEx>
        <w:trPr>
          <w:trHeight w:val="301" w:hRule="atLeast"/>
        </w:trPr>
        <w:tc>
          <w:tcPr>
            <w:tcW w:w="418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三公</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经费支出</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46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四、机关运行经费</w:t>
            </w: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2" w:hRule="atLeast"/>
        </w:trPr>
        <w:tc>
          <w:tcPr>
            <w:tcW w:w="418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（一）支出合计</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（一）行政单位</w:t>
            </w: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2" w:hRule="atLeast"/>
        </w:trPr>
        <w:tc>
          <w:tcPr>
            <w:tcW w:w="418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1．因公出国（境）费</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（二）参照公务员法管理事业单位</w:t>
            </w: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2" w:hRule="atLeast"/>
        </w:trPr>
        <w:tc>
          <w:tcPr>
            <w:tcW w:w="418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2．公务用车购置及运行维护费</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五、资产信息</w:t>
            </w: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r>
      <w:tr>
        <w:tblPrEx>
          <w:tblLayout w:type="fixed"/>
          <w:tblCellMar>
            <w:top w:w="0" w:type="dxa"/>
            <w:left w:w="0" w:type="dxa"/>
            <w:bottom w:w="0" w:type="dxa"/>
            <w:right w:w="0" w:type="dxa"/>
          </w:tblCellMar>
        </w:tblPrEx>
        <w:trPr>
          <w:trHeight w:val="312" w:hRule="atLeast"/>
        </w:trPr>
        <w:tc>
          <w:tcPr>
            <w:tcW w:w="418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（1）公务用车购置费</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（一）车辆数合计（辆）</w:t>
            </w: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2" w:hRule="atLeast"/>
        </w:trPr>
        <w:tc>
          <w:tcPr>
            <w:tcW w:w="418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（2）公务用车运行维护费</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1．副部（省）级及以上领导用车</w:t>
            </w: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2" w:hRule="atLeast"/>
        </w:trPr>
        <w:tc>
          <w:tcPr>
            <w:tcW w:w="418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3．公务接待费</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2．主要领导干部用车</w:t>
            </w: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2" w:hRule="atLeast"/>
        </w:trPr>
        <w:tc>
          <w:tcPr>
            <w:tcW w:w="418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（1）国内接待费</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3．机要通信用车</w:t>
            </w: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2" w:hRule="atLeast"/>
        </w:trPr>
        <w:tc>
          <w:tcPr>
            <w:tcW w:w="418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其中：外事接待费</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4．应急保障用车</w:t>
            </w: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2" w:hRule="atLeast"/>
        </w:trPr>
        <w:tc>
          <w:tcPr>
            <w:tcW w:w="418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（2）国（境）外接待费</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5．执法执勤用车</w:t>
            </w: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2" w:hRule="atLeast"/>
        </w:trPr>
        <w:tc>
          <w:tcPr>
            <w:tcW w:w="418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（二）相关统计数</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468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6．特种专业技术用车</w:t>
            </w: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2" w:hRule="atLeast"/>
        </w:trPr>
        <w:tc>
          <w:tcPr>
            <w:tcW w:w="418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1．因公出国（境）团组数（个）</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7．离退休干部用车</w:t>
            </w: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2" w:hRule="atLeast"/>
        </w:trPr>
        <w:tc>
          <w:tcPr>
            <w:tcW w:w="418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2．因公出国（境）人次数（人）</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8．其他用车</w:t>
            </w: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2" w:hRule="atLeast"/>
        </w:trPr>
        <w:tc>
          <w:tcPr>
            <w:tcW w:w="418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3．公务用车购置数（辆）</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（二）单价100万元（含）以上设备（不含车辆）</w:t>
            </w: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2" w:hRule="atLeast"/>
        </w:trPr>
        <w:tc>
          <w:tcPr>
            <w:tcW w:w="418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4．公务用车保有量（辆）</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六、政府采购支出信息</w:t>
            </w: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r>
      <w:tr>
        <w:tblPrEx>
          <w:tblLayout w:type="fixed"/>
          <w:tblCellMar>
            <w:top w:w="0" w:type="dxa"/>
            <w:left w:w="0" w:type="dxa"/>
            <w:bottom w:w="0" w:type="dxa"/>
            <w:right w:w="0" w:type="dxa"/>
          </w:tblCellMar>
        </w:tblPrEx>
        <w:trPr>
          <w:trHeight w:val="312" w:hRule="atLeast"/>
        </w:trPr>
        <w:tc>
          <w:tcPr>
            <w:tcW w:w="418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5．国内公务接待批次（个）</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（一）政府采购支出合计</w:t>
            </w: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2" w:hRule="atLeast"/>
        </w:trPr>
        <w:tc>
          <w:tcPr>
            <w:tcW w:w="418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其中：外事接待批次（个）</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1．政府采购货物支出</w:t>
            </w: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2" w:hRule="atLeast"/>
        </w:trPr>
        <w:tc>
          <w:tcPr>
            <w:tcW w:w="418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6．国内公务接待人次（人）</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2．政府采购工程支出</w:t>
            </w: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2" w:hRule="atLeast"/>
        </w:trPr>
        <w:tc>
          <w:tcPr>
            <w:tcW w:w="418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其中：外事接待人次（人）</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3．政府采购服务支出</w:t>
            </w: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2" w:hRule="atLeast"/>
        </w:trPr>
        <w:tc>
          <w:tcPr>
            <w:tcW w:w="418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7．国（境）外公务接待批次（个）</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（二）政府采购授予中小企业合同金额</w:t>
            </w: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2" w:hRule="atLeast"/>
        </w:trPr>
        <w:tc>
          <w:tcPr>
            <w:tcW w:w="418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8．国（境）外公务接待人次（人）</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其中：授予小微企业合同金额</w:t>
            </w: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1" w:hRule="atLeast"/>
        </w:trPr>
        <w:tc>
          <w:tcPr>
            <w:tcW w:w="418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二、会议费</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r>
      <w:tr>
        <w:tblPrEx>
          <w:tblLayout w:type="fixed"/>
          <w:tblCellMar>
            <w:top w:w="0" w:type="dxa"/>
            <w:left w:w="0" w:type="dxa"/>
            <w:bottom w:w="0" w:type="dxa"/>
            <w:right w:w="0" w:type="dxa"/>
          </w:tblCellMar>
        </w:tblPrEx>
        <w:trPr>
          <w:trHeight w:val="313" w:hRule="atLeast"/>
        </w:trPr>
        <w:tc>
          <w:tcPr>
            <w:tcW w:w="418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三、培训费</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0.20</w:t>
            </w:r>
            <w:r>
              <w:rPr>
                <w:rFonts w:hint="default" w:ascii="Times New Roman" w:hAnsi="Times New Roman" w:cs="Times New Roman"/>
                <w:color w:val="auto"/>
                <w:sz w:val="20"/>
                <w:highlight w:val="none"/>
                <w:u w:color="auto"/>
              </w:rPr>
              <w:t xml:space="preserve"> </w:t>
            </w:r>
          </w:p>
        </w:tc>
        <w:tc>
          <w:tcPr>
            <w:tcW w:w="46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备注：1.本表反映单位本年度财政拨款</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三公</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经费支出预决算情况。其中，预算数为</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三公</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经费全年预算数，反映按规定程序调整后的预算数；决算数为包括本年度财政拨款和以前年度结转资金安排的实际支出。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66DE5BA2"/>
    <w:multiLevelType w:val="singleLevel"/>
    <w:tmpl w:val="66DE5BA2"/>
    <w:lvl w:ilvl="0" w:tentative="0">
      <w:start w:val="1"/>
      <w:numFmt w:val="decimal"/>
      <w:suff w:val="nothing"/>
      <w:lvlText w:val="（%1）"/>
      <w:lvlJc w:val="left"/>
    </w:lvl>
  </w:abstractNum>
  <w:abstractNum w:abstractNumId="2">
    <w:nsid w:val="66E13B4C"/>
    <w:multiLevelType w:val="singleLevel"/>
    <w:tmpl w:val="66E13B4C"/>
    <w:lvl w:ilvl="0" w:tentative="0">
      <w:start w:val="5"/>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4E3746"/>
    <w:rsid w:val="00550ABE"/>
    <w:rsid w:val="00770383"/>
    <w:rsid w:val="007819D4"/>
    <w:rsid w:val="007B419D"/>
    <w:rsid w:val="009B67B8"/>
    <w:rsid w:val="009D2B67"/>
    <w:rsid w:val="00B03CCD"/>
    <w:rsid w:val="00C20C3E"/>
    <w:rsid w:val="00F73F90"/>
    <w:rsid w:val="00FD3EB6"/>
    <w:rsid w:val="01474EBF"/>
    <w:rsid w:val="019E645B"/>
    <w:rsid w:val="01F3521E"/>
    <w:rsid w:val="03B87EA0"/>
    <w:rsid w:val="03E3214F"/>
    <w:rsid w:val="044C50BA"/>
    <w:rsid w:val="04DB3C04"/>
    <w:rsid w:val="05BC6D49"/>
    <w:rsid w:val="06194FF1"/>
    <w:rsid w:val="06A2550B"/>
    <w:rsid w:val="06F80EE2"/>
    <w:rsid w:val="07001CCA"/>
    <w:rsid w:val="075678DB"/>
    <w:rsid w:val="079D7CC7"/>
    <w:rsid w:val="08051BCA"/>
    <w:rsid w:val="086C12F4"/>
    <w:rsid w:val="08705944"/>
    <w:rsid w:val="08BA052C"/>
    <w:rsid w:val="08DB07BA"/>
    <w:rsid w:val="0969353F"/>
    <w:rsid w:val="098305D0"/>
    <w:rsid w:val="0A0C1039"/>
    <w:rsid w:val="0A3317EA"/>
    <w:rsid w:val="0A5C4B69"/>
    <w:rsid w:val="0A86124A"/>
    <w:rsid w:val="0AB54CC0"/>
    <w:rsid w:val="0B102BB3"/>
    <w:rsid w:val="0B9335CE"/>
    <w:rsid w:val="0BF2311A"/>
    <w:rsid w:val="0C7927C4"/>
    <w:rsid w:val="0C9B098C"/>
    <w:rsid w:val="0D673E11"/>
    <w:rsid w:val="0DCE1D83"/>
    <w:rsid w:val="0DDA54E4"/>
    <w:rsid w:val="0E3A5F83"/>
    <w:rsid w:val="0F836721"/>
    <w:rsid w:val="0FA25D96"/>
    <w:rsid w:val="107B59E5"/>
    <w:rsid w:val="10EC0126"/>
    <w:rsid w:val="10F70B9A"/>
    <w:rsid w:val="111445C7"/>
    <w:rsid w:val="114278C6"/>
    <w:rsid w:val="1158083A"/>
    <w:rsid w:val="11643A4B"/>
    <w:rsid w:val="11E73513"/>
    <w:rsid w:val="11ED0F98"/>
    <w:rsid w:val="11F03528"/>
    <w:rsid w:val="12C921C4"/>
    <w:rsid w:val="13871C70"/>
    <w:rsid w:val="13A71CB4"/>
    <w:rsid w:val="13AF1D43"/>
    <w:rsid w:val="13CE1647"/>
    <w:rsid w:val="13FD55AB"/>
    <w:rsid w:val="14200702"/>
    <w:rsid w:val="14FC673A"/>
    <w:rsid w:val="163A6CEE"/>
    <w:rsid w:val="173708E3"/>
    <w:rsid w:val="17C374FC"/>
    <w:rsid w:val="182E4AB6"/>
    <w:rsid w:val="189079DC"/>
    <w:rsid w:val="189B0D0B"/>
    <w:rsid w:val="18B43F7C"/>
    <w:rsid w:val="194A1770"/>
    <w:rsid w:val="19B906A4"/>
    <w:rsid w:val="1B6F15B6"/>
    <w:rsid w:val="1BAA2EDC"/>
    <w:rsid w:val="1C631F65"/>
    <w:rsid w:val="1CA55E64"/>
    <w:rsid w:val="1D014A01"/>
    <w:rsid w:val="1D022362"/>
    <w:rsid w:val="1D1B04B0"/>
    <w:rsid w:val="1DA52501"/>
    <w:rsid w:val="1DBD6767"/>
    <w:rsid w:val="1DC52125"/>
    <w:rsid w:val="1DD26311"/>
    <w:rsid w:val="1E374ACB"/>
    <w:rsid w:val="1EC312A4"/>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010EFD"/>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220C7A"/>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7162B9"/>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E51216"/>
    <w:rsid w:val="44C37687"/>
    <w:rsid w:val="45CB699A"/>
    <w:rsid w:val="465B470D"/>
    <w:rsid w:val="469D6AD4"/>
    <w:rsid w:val="471E6C84"/>
    <w:rsid w:val="4748792B"/>
    <w:rsid w:val="475D719D"/>
    <w:rsid w:val="47674801"/>
    <w:rsid w:val="48225EF7"/>
    <w:rsid w:val="488F422B"/>
    <w:rsid w:val="489D00EA"/>
    <w:rsid w:val="48E36915"/>
    <w:rsid w:val="48EB6572"/>
    <w:rsid w:val="495C4A24"/>
    <w:rsid w:val="497135DF"/>
    <w:rsid w:val="4A263DF2"/>
    <w:rsid w:val="4A4E62CC"/>
    <w:rsid w:val="4A6F6675"/>
    <w:rsid w:val="4B135857"/>
    <w:rsid w:val="4B7951CB"/>
    <w:rsid w:val="4B7C315C"/>
    <w:rsid w:val="4DAC4ACA"/>
    <w:rsid w:val="4DBE01D2"/>
    <w:rsid w:val="4EC01CE7"/>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943DF1"/>
    <w:rsid w:val="5A3B59D6"/>
    <w:rsid w:val="5AD134D8"/>
    <w:rsid w:val="5C263CE4"/>
    <w:rsid w:val="5C5D2777"/>
    <w:rsid w:val="5CF66BF3"/>
    <w:rsid w:val="5D290C69"/>
    <w:rsid w:val="5F2D4A41"/>
    <w:rsid w:val="60487988"/>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5A3E35"/>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4B258D"/>
    <w:rsid w:val="708F6F7F"/>
    <w:rsid w:val="70B721F7"/>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C503DD"/>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qFormat/>
    <w:uiPriority w:val="0"/>
    <w:pPr>
      <w:spacing w:before="0" w:beforeAutospacing="0" w:after="0" w:afterAutospacing="0"/>
      <w:ind w:left="100" w:leftChars="2500" w:right="0"/>
      <w:jc w:val="left"/>
    </w:pPr>
    <w:rPr>
      <w:rFonts w:hint="eastAsia" w:ascii="宋体" w:hAnsi="宋体" w:eastAsia="宋体" w:cs="宋体"/>
      <w:kern w:val="0"/>
      <w:sz w:val="24"/>
      <w:szCs w:val="24"/>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2024-09-27T03:15:04Z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