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小标宋_GBK" w:cs="Times New Roman"/>
          <w:sz w:val="44"/>
          <w:szCs w:val="44"/>
          <w:shd w:val="clear" w:color="auto" w:fill="FFFFFF"/>
        </w:rPr>
      </w:pPr>
      <w:r>
        <w:rPr>
          <w:rFonts w:hint="eastAsia" w:ascii="Times New Roman" w:hAnsi="Times New Roman" w:eastAsia="方正小标宋_GBK" w:cs="Times New Roman"/>
          <w:w w:val="80"/>
          <w:sz w:val="44"/>
          <w:szCs w:val="44"/>
          <w:lang w:eastAsia="zh-CN"/>
        </w:rPr>
        <w:t>重庆市</w:t>
      </w:r>
      <w:r>
        <w:rPr>
          <w:rFonts w:hint="default" w:ascii="Times New Roman" w:hAnsi="Times New Roman" w:eastAsia="方正小标宋_GBK" w:cs="Times New Roman"/>
          <w:w w:val="80"/>
          <w:sz w:val="44"/>
          <w:szCs w:val="44"/>
          <w:lang w:eastAsia="zh-CN"/>
        </w:rPr>
        <w:t>秀山</w:t>
      </w:r>
      <w:r>
        <w:rPr>
          <w:rFonts w:hint="eastAsia" w:ascii="Times New Roman" w:hAnsi="Times New Roman" w:eastAsia="方正小标宋_GBK" w:cs="Times New Roman"/>
          <w:w w:val="80"/>
          <w:sz w:val="44"/>
          <w:szCs w:val="44"/>
          <w:lang w:eastAsia="zh-CN"/>
        </w:rPr>
        <w:t>土家族苗族自治县</w:t>
      </w:r>
      <w:r>
        <w:rPr>
          <w:rFonts w:hint="default" w:ascii="Times New Roman" w:hAnsi="Times New Roman" w:eastAsia="方正小标宋_GBK" w:cs="Times New Roman"/>
          <w:w w:val="80"/>
          <w:sz w:val="44"/>
          <w:szCs w:val="44"/>
          <w:lang w:val="en-US" w:eastAsia="zh-CN"/>
        </w:rPr>
        <w:t>文化生态保护区建设服务中心</w:t>
      </w:r>
      <w:bookmarkStart w:id="0" w:name="_GoBack"/>
      <w:bookmarkEnd w:id="0"/>
      <w:r>
        <w:rPr>
          <w:rFonts w:hint="default" w:ascii="Times New Roman" w:hAnsi="Times New Roman" w:eastAsia="方正小标宋_GBK" w:cs="Times New Roman"/>
          <w:sz w:val="44"/>
          <w:szCs w:val="44"/>
          <w:shd w:val="clear" w:color="auto" w:fill="FFFFFF"/>
        </w:rPr>
        <w:t>2023年度决算</w:t>
      </w:r>
      <w:r>
        <w:rPr>
          <w:rFonts w:hint="eastAsia" w:ascii="Times New Roman" w:hAnsi="Times New Roman" w:eastAsia="方正小标宋_GBK" w:cs="Times New Roman"/>
          <w:sz w:val="44"/>
          <w:szCs w:val="44"/>
          <w:shd w:val="clear" w:color="auto" w:fill="FFFFFF"/>
          <w:lang w:eastAsia="zh-CN"/>
        </w:rPr>
        <w:t>公开</w:t>
      </w:r>
      <w:r>
        <w:rPr>
          <w:rFonts w:hint="default" w:ascii="Times New Roman" w:hAnsi="Times New Roman" w:eastAsia="方正小标宋_GBK" w:cs="Times New Roman"/>
          <w:sz w:val="44"/>
          <w:szCs w:val="44"/>
          <w:shd w:val="clear" w:color="auto" w:fill="FFFFFF"/>
        </w:rPr>
        <w:t>说明</w:t>
      </w:r>
    </w:p>
    <w:p>
      <w:pPr>
        <w:pStyle w:val="8"/>
        <w:keepNext w:val="0"/>
        <w:keepLines w:val="0"/>
        <w:pageBreakBefore w:val="0"/>
        <w:widowControl/>
        <w:kinsoku/>
        <w:overflowPunct/>
        <w:topLinePunct w:val="0"/>
        <w:autoSpaceDN/>
        <w:bidi w:val="0"/>
        <w:adjustRightInd/>
        <w:spacing w:before="0" w:beforeAutospacing="0" w:after="0" w:afterAutospacing="0" w:line="560" w:lineRule="exact"/>
        <w:ind w:right="0" w:rightChars="0"/>
        <w:jc w:val="center"/>
        <w:rPr>
          <w:rFonts w:hint="default" w:ascii="Times New Roman" w:hAnsi="Times New Roman" w:eastAsia="方正小标宋_GBK" w:cs="Times New Roman"/>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黑体_GBK" w:cs="Times New Roman"/>
          <w:b w:val="0"/>
          <w:bCs/>
          <w:sz w:val="32"/>
          <w:szCs w:val="32"/>
          <w:highlight w:val="yellow"/>
          <w:lang w:eastAsia="zh-CN"/>
        </w:rPr>
      </w:pPr>
      <w:r>
        <w:rPr>
          <w:rStyle w:val="10"/>
          <w:rFonts w:hint="default" w:ascii="Times New Roman" w:hAnsi="Times New Roman" w:eastAsia="方正黑体_GBK" w:cs="Times New Roman"/>
          <w:b w:val="0"/>
          <w:bCs/>
          <w:sz w:val="32"/>
          <w:szCs w:val="32"/>
          <w:shd w:val="clear" w:color="auto" w:fill="FFFFFF"/>
        </w:rPr>
        <w:t>一、</w:t>
      </w:r>
      <w:r>
        <w:rPr>
          <w:rStyle w:val="10"/>
          <w:rFonts w:hint="eastAsia"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基本情况</w:t>
      </w:r>
      <w:r>
        <w:rPr>
          <w:rStyle w:val="10"/>
          <w:rFonts w:hint="default" w:ascii="Times New Roman" w:hAnsi="Times New Roman" w:eastAsia="方正黑体_GBK" w:cs="Times New Roman"/>
          <w:b w:val="0"/>
          <w:bCs/>
          <w:sz w:val="32"/>
          <w:szCs w:val="32"/>
          <w:shd w:val="clear" w:color="auto" w:fill="FFFFFF"/>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10"/>
          <w:rFonts w:hint="default" w:ascii="Times New Roman" w:hAnsi="Times New Roman" w:eastAsia="方正楷体_GBK" w:cs="Times New Roman"/>
          <w:b w:val="0"/>
          <w:bCs/>
          <w:sz w:val="32"/>
          <w:szCs w:val="32"/>
          <w:shd w:val="clear" w:color="auto" w:fill="FFFFFF"/>
        </w:rPr>
        <w:t>（一）职能职责</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color w:val="FF0000"/>
          <w:sz w:val="22"/>
          <w:szCs w:val="22"/>
          <w:shd w:val="clear" w:color="auto" w:fill="FFFFFF"/>
          <w:lang w:val="en-US" w:eastAsia="zh-CN"/>
        </w:rPr>
      </w:pPr>
      <w:r>
        <w:rPr>
          <w:rFonts w:hint="eastAsia" w:ascii="方正仿宋_GBK" w:hAnsi="方正仿宋_GBK" w:eastAsia="方正仿宋_GBK" w:cs="方正仿宋_GBK"/>
          <w:sz w:val="32"/>
          <w:szCs w:val="32"/>
        </w:rPr>
        <w:t>宣传贯彻执行党和国家的路线、方针、政策、法律法规。参与拟订文化事业、文化产业发展相关政策和调控措施；促进文旅融合，参与文化生态保护区建设管理重大项目服务；根据有关规定，做好武陵山区（渝东南）土家族苗族文化生态保护实验区（保护区）秀山县建设服务相关工作；做好全县文化遗产的挖掘、整理、研究、保护和传承、传播等服务工作，配合开展非遗、文物保护重大项目的评审、申报、实施和验收等服务工作；巩固“中国民间文化艺术之乡”创建成果，指导开展全县特色文化乡镇（村）创建活动。指导传统街区、传统乡镇、传统村落、少数民族特色村寨、历史文化名镇（村）的保护和建设管理，配合相关部门、乡镇（街道），协调推进相关重大保护和建设项目的评审、申报、实施和验收等服务工作；规划组织全县非遗传习工作。组织举办非遗传承人群和非遗产业从业人员业务培训，组织开展非遗代表性传承人、民间工艺大师的申报、评审和管理等服务工作；加强内外宣传，组织开展文化生态保护相关对外交流与合作。负责跟踪服务文化创意产业园区建设项目的包装策划、规划设计、申报实施以及推介招商工作；负责跟踪服务园区举办的文化、旅游经营活动以及开展其他对外文化产业交流工作。负责跟踪服务文化创意产业园区行业安全生产监管和应急处置工作；负责服务文化创意产业园区土地报征、整理、储备和供应工作。负责跟踪服务文化产业项目信息库建设和园区内特色文化产业群建设等相关工作；负责跟踪文化创意产业园区行业数据统计、校对、管理等服务工作；负责跟踪服务文化企业孵化，文化产品的研发、生产、销售、和对外宣传工作；承办主管部门交办的其他事项。</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sz w:val="32"/>
          <w:szCs w:val="32"/>
          <w:shd w:val="clear" w:color="auto" w:fill="FFFFFF"/>
          <w:lang w:val="en-US" w:eastAsia="zh-CN"/>
        </w:rPr>
      </w:pPr>
      <w:r>
        <w:rPr>
          <w:rFonts w:hint="default" w:ascii="Times New Roman" w:hAnsi="Times New Roman" w:eastAsia="方正仿宋_GBK" w:cs="Times New Roman"/>
          <w:sz w:val="32"/>
          <w:szCs w:val="32"/>
          <w:lang w:eastAsia="zh-CN"/>
        </w:rPr>
        <w:t>为文化和旅游发展委员会下属事业单位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本年职员</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人</w:t>
      </w:r>
      <w:r>
        <w:rPr>
          <w:rFonts w:hint="default" w:ascii="Times New Roman" w:hAnsi="Times New Roman" w:eastAsia="方正仿宋_GBK" w:cs="Times New Roman"/>
          <w:sz w:val="32"/>
          <w:szCs w:val="32"/>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lang w:val="en-US" w:eastAsia="zh-CN"/>
        </w:rPr>
        <w:t>二、</w:t>
      </w:r>
      <w:r>
        <w:rPr>
          <w:rStyle w:val="10"/>
          <w:rFonts w:hint="eastAsia"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10"/>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8"/>
        <w:keepNext w:val="0"/>
        <w:keepLines w:val="0"/>
        <w:pageBreakBefore w:val="0"/>
        <w:shd w:val="clear" w:color="auto" w:fill="FFFFFF"/>
        <w:kinsoku/>
        <w:overflowPunct/>
        <w:topLinePunct w:val="0"/>
        <w:autoSpaceDN/>
        <w:bidi w:val="0"/>
        <w:adjustRightInd/>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highlight w:val="none"/>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2023年度收入总计36.51万元，支出总计36.51万元。收支较上年决算数增加36.51万元，增长100.00%，主要原因是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color w:val="auto"/>
          <w:sz w:val="32"/>
          <w:szCs w:val="32"/>
          <w:shd w:val="clear" w:color="auto" w:fill="FFFFFF"/>
        </w:rPr>
        <w:t>。</w:t>
      </w:r>
    </w:p>
    <w:p>
      <w:pPr>
        <w:pStyle w:val="8"/>
        <w:keepNext w:val="0"/>
        <w:keepLines w:val="0"/>
        <w:pageBreakBefore w:val="0"/>
        <w:shd w:val="clear" w:color="auto" w:fill="FFFFFF"/>
        <w:kinsoku/>
        <w:overflowPunct/>
        <w:topLinePunct w:val="0"/>
        <w:autoSpaceDN/>
        <w:bidi w:val="0"/>
        <w:adjustRightInd/>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2023年度收入合计36.51万元，较上年决算数增加36.51万元，增长100.00%，主要原因是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。其中：财政拨款收入36.51万元，占100.00%；事业收入0.00万元，占0.00%；经营收入0.00万元，占0.00%；其他收入0.00万元，占0.00%。此外，使用非财政拨款结余和专用结余0.00万元，年初结转和结余0.00万元。</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2023年度支出合计36.51万元，较上年决算数增加36.51万元，增长100.00%，主要原因是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。其中：基本支出36.51万元，占100.00%；项目支出0.00万元，占0.00%；经营支出0.00万元，占0.00%。此外，结余分配0.00万元。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4.结转结余情况。</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023年度年末结转和结余0.00万元，较上年决算数无增减</w:t>
      </w:r>
      <w:r>
        <w:rPr>
          <w:rFonts w:hint="eastAsia"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eastAsia="zh-CN"/>
        </w:rPr>
        <w:t>主要原因是实施零结转制度。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2023年度财政拨款收、支总计36.51万元。与2022年相比，财政拨款收、支总计各增加36.51万元，增长100.00%。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val="en-US" w:eastAsia="zh-CN"/>
        </w:rPr>
        <w:t>2023年度一般公共预算财政拨款收入36.51万元，较上年决算数增加36.51万元，增长100.00%。主要原因是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。较年初预算数减少1.13万元，下降3.00%。主要原因是</w:t>
      </w:r>
      <w:r>
        <w:rPr>
          <w:rFonts w:hint="eastAsia" w:ascii="Times New Roman" w:hAnsi="Times New Roman" w:eastAsia="方正仿宋_GBK" w:cs="Times New Roman"/>
          <w:sz w:val="32"/>
          <w:szCs w:val="32"/>
          <w:shd w:val="clear" w:color="auto" w:fill="FFFFFF"/>
          <w:lang w:val="en-US" w:eastAsia="zh-CN"/>
        </w:rPr>
        <w:t>人员经费减少</w:t>
      </w:r>
      <w:r>
        <w:rPr>
          <w:rFonts w:hint="default" w:ascii="Times New Roman" w:hAnsi="Times New Roman" w:eastAsia="方正仿宋_GBK" w:cs="Times New Roman"/>
          <w:sz w:val="32"/>
          <w:szCs w:val="32"/>
          <w:shd w:val="clear" w:color="auto" w:fill="FFFFFF"/>
          <w:lang w:val="en-US" w:eastAsia="zh-CN"/>
        </w:rPr>
        <w:t>。此外，年初财政拨款结转和结余0.00万元。</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val="en-US" w:eastAsia="zh-CN"/>
        </w:rPr>
        <w:t>2023年度一般公共预算财政拨款支出36.51万元，较上年决算数增加36.51万元，增长100.00%。主要原因是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。较年初预算数减少1.13万元，下降3.00%。主要原因是</w:t>
      </w:r>
      <w:r>
        <w:rPr>
          <w:rFonts w:hint="eastAsia" w:ascii="Times New Roman" w:hAnsi="Times New Roman" w:eastAsia="方正仿宋_GBK" w:cs="Times New Roman"/>
          <w:sz w:val="32"/>
          <w:szCs w:val="32"/>
          <w:shd w:val="clear" w:color="auto" w:fill="FFFFFF"/>
          <w:lang w:val="en-US" w:eastAsia="zh-CN"/>
        </w:rPr>
        <w:t>人员经费减少</w:t>
      </w:r>
      <w:r>
        <w:rPr>
          <w:rFonts w:hint="default" w:ascii="Times New Roman" w:hAnsi="Times New Roman" w:eastAsia="方正仿宋_GBK" w:cs="Times New Roman"/>
          <w:sz w:val="32"/>
          <w:szCs w:val="32"/>
          <w:shd w:val="clear" w:color="auto" w:fill="FFFFFF"/>
          <w:lang w:val="en-US" w:eastAsia="zh-CN"/>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3.结转结余情况。</w:t>
      </w:r>
      <w:r>
        <w:rPr>
          <w:rFonts w:hint="eastAsia" w:ascii="Times New Roman" w:hAnsi="Times New Roman" w:eastAsia="方正仿宋_GBK" w:cs="Times New Roman"/>
          <w:sz w:val="32"/>
          <w:szCs w:val="32"/>
          <w:shd w:val="clear" w:color="auto" w:fill="FFFFFF"/>
          <w:lang w:val="en-US" w:eastAsia="zh-CN"/>
        </w:rPr>
        <w:t>2023年度年末一般公共预算财政拨款结转和结余0.00万元，较上年决算数无增减。</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3" w:firstLineChars="200"/>
        <w:jc w:val="both"/>
        <w:rPr>
          <w:rFonts w:hint="default" w:ascii="Times New Roman" w:hAnsi="Times New Roman" w:eastAsia="方正仿宋_GBK" w:cs="Times New Roman"/>
          <w:color w:val="4874CB" w:themeColor="accent1"/>
          <w:sz w:val="22"/>
          <w:szCs w:val="22"/>
          <w:highlight w:val="none"/>
          <w:shd w:val="clear" w:color="auto" w:fill="FFFFFF"/>
          <w14:textFill>
            <w14:solidFill>
              <w14:schemeClr w14:val="accent1"/>
            </w14:solidFill>
          </w14:textFill>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（1）文化旅游体育与传媒支出32.08万元，占87.88%，较年初预算数增加3.93万元，增长13.96%，主要原因是人员变动，经费变动。</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（2）社会保障与就业支出0.00万元，占0.00%，较年初预算数减少5.06万元，下降100.00%，主要原因是社保缴费减少。</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（3）卫生健康支出1.49万元，占4.09%，较年初预算数无增减，</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实际支出与预算持平。</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（4）住房保障支出2.93万元，占8.03%，较年初预算数无增减，</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实际支出与预算持平。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2023年度一般公共财政拨款基本支出36.51万元。其中：人员经费33.48万元，较上年决算数增加33.48万元，增长100.00%，主要原因是2022年度本单位与部门合并编报决算，按照市财政局要求，2023年度独立编报决算，故与上年对比增长100.00%。</w:t>
      </w:r>
      <w:r>
        <w:rPr>
          <w:rFonts w:hint="default" w:ascii="Times New Roman" w:hAnsi="Times New Roman" w:eastAsia="方正仿宋_GBK" w:cs="Times New Roman"/>
          <w:color w:val="auto"/>
          <w:sz w:val="32"/>
          <w:szCs w:val="32"/>
          <w:highlight w:val="none"/>
        </w:rPr>
        <w:t>人员经费用途主要包括基本工资、津贴补贴、奖金、社会保障缴费等</w:t>
      </w:r>
      <w:r>
        <w:rPr>
          <w:rFonts w:hint="eastAsia" w:ascii="Times New Roman" w:hAnsi="Times New Roman" w:eastAsia="方正仿宋_GBK" w:cs="Times New Roman"/>
          <w:sz w:val="32"/>
          <w:szCs w:val="32"/>
          <w:shd w:val="clear" w:color="auto" w:fill="FFFFFF"/>
          <w:lang w:val="en-US" w:eastAsia="zh-CN"/>
        </w:rPr>
        <w:t>公用经费3.03万元，较上年决算数增加3.03万元，增长100.00%，要原因是2022年度本单位与部门合并编报决算，按照市财政局要求，2023年度独立编报决算，故与上年对比增长100.00%。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val="en-US" w:eastAsia="zh-CN"/>
        </w:rPr>
        <w:t>办公费、</w:t>
      </w:r>
      <w:r>
        <w:rPr>
          <w:rFonts w:hint="default" w:ascii="Times New Roman" w:hAnsi="Times New Roman" w:eastAsia="方正仿宋_GBK" w:cs="Times New Roman"/>
          <w:color w:val="auto"/>
          <w:sz w:val="32"/>
          <w:szCs w:val="32"/>
          <w:highlight w:val="none"/>
        </w:rPr>
        <w:t>差旅费、邮电费、委托业务费</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color w:val="auto"/>
          <w:sz w:val="32"/>
          <w:szCs w:val="32"/>
          <w:shd w:val="clear" w:color="auto" w:fill="auto"/>
        </w:rPr>
      </w:pPr>
      <w:r>
        <w:rPr>
          <w:rStyle w:val="10"/>
          <w:rFonts w:hint="default" w:ascii="Times New Roman" w:hAnsi="Times New Roman" w:eastAsia="方正仿宋_GBK" w:cs="Times New Roman"/>
          <w:b w:val="0"/>
          <w:bCs/>
          <w:color w:val="auto"/>
          <w:sz w:val="32"/>
          <w:szCs w:val="32"/>
          <w:shd w:val="clear" w:color="auto" w:fill="auto"/>
        </w:rPr>
        <w:t>本</w:t>
      </w:r>
      <w:r>
        <w:rPr>
          <w:rStyle w:val="10"/>
          <w:rFonts w:hint="default" w:ascii="Times New Roman" w:hAnsi="Times New Roman" w:eastAsia="方正仿宋_GBK" w:cs="Times New Roman"/>
          <w:b w:val="0"/>
          <w:bCs/>
          <w:color w:val="auto"/>
          <w:sz w:val="32"/>
          <w:szCs w:val="32"/>
          <w:shd w:val="clear" w:color="auto" w:fill="auto"/>
          <w:lang w:eastAsia="zh-CN"/>
        </w:rPr>
        <w:t>单位</w:t>
      </w:r>
      <w:r>
        <w:rPr>
          <w:rStyle w:val="10"/>
          <w:rFonts w:hint="default" w:ascii="Times New Roman" w:hAnsi="Times New Roman" w:eastAsia="方正仿宋_GBK" w:cs="Times New Roman"/>
          <w:b w:val="0"/>
          <w:bCs/>
          <w:color w:val="auto"/>
          <w:sz w:val="32"/>
          <w:szCs w:val="32"/>
          <w:shd w:val="clear" w:color="auto" w:fill="auto"/>
        </w:rPr>
        <w:t>2023年度无政府性基金预算财政拨款收支。</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本</w:t>
      </w:r>
      <w:r>
        <w:rPr>
          <w:rStyle w:val="10"/>
          <w:rFonts w:hint="default" w:ascii="Times New Roman" w:hAnsi="Times New Roman" w:eastAsia="方正仿宋_GBK" w:cs="Times New Roman"/>
          <w:b w:val="0"/>
          <w:bCs/>
          <w:sz w:val="32"/>
          <w:szCs w:val="32"/>
          <w:shd w:val="clear" w:color="auto" w:fill="auto"/>
          <w:lang w:eastAsia="zh-CN"/>
        </w:rPr>
        <w:t>单位</w:t>
      </w:r>
      <w:r>
        <w:rPr>
          <w:rStyle w:val="10"/>
          <w:rFonts w:hint="default" w:ascii="Times New Roman" w:hAnsi="Times New Roman" w:eastAsia="方正仿宋_GBK" w:cs="Times New Roman"/>
          <w:b w:val="0"/>
          <w:bCs/>
          <w:sz w:val="32"/>
          <w:szCs w:val="32"/>
          <w:shd w:val="clear" w:color="auto" w:fill="auto"/>
        </w:rPr>
        <w:t>2023年度无国有资本经营预算财政拨款支出。</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FFFF00"/>
        </w:rPr>
      </w:pPr>
      <w:r>
        <w:rPr>
          <w:rStyle w:val="10"/>
          <w:rFonts w:hint="default" w:ascii="Times New Roman" w:hAnsi="Times New Roman" w:eastAsia="方正黑体_GBK" w:cs="Times New Roman"/>
          <w:b w:val="0"/>
          <w:bCs/>
          <w:sz w:val="32"/>
          <w:szCs w:val="32"/>
          <w:shd w:val="clear" w:color="auto" w:fill="FFFFFF"/>
          <w:lang w:eastAsia="zh-CN"/>
        </w:rPr>
        <w:t>三、</w:t>
      </w:r>
      <w:r>
        <w:rPr>
          <w:rStyle w:val="10"/>
          <w:rFonts w:hint="default" w:ascii="Times New Roman" w:hAnsi="Times New Roman" w:eastAsia="方正黑体_GBK" w:cs="Times New Roman"/>
          <w:b w:val="0"/>
          <w:bCs/>
          <w:sz w:val="32"/>
          <w:szCs w:val="32"/>
          <w:shd w:val="clear" w:color="auto" w:fill="FFFFFF"/>
        </w:rPr>
        <w:t>“三公”经费情况说明</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我单位属于二级下属机构，统一在机关核算，未产生</w:t>
      </w:r>
      <w:r>
        <w:rPr>
          <w:rFonts w:hint="default" w:ascii="Times New Roman" w:hAnsi="Times New Roman" w:eastAsia="方正仿宋_GBK" w:cs="Times New Roman"/>
          <w:sz w:val="32"/>
          <w:szCs w:val="32"/>
          <w:shd w:val="clear" w:color="auto" w:fill="auto"/>
        </w:rPr>
        <w:t>“三公”经费</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我单位属于二级下属机构，统一在机关核算，未产生</w:t>
      </w:r>
      <w:r>
        <w:rPr>
          <w:rFonts w:hint="default" w:ascii="Times New Roman" w:hAnsi="Times New Roman" w:eastAsia="方正仿宋_GBK" w:cs="Times New Roman"/>
          <w:sz w:val="32"/>
          <w:szCs w:val="32"/>
          <w:shd w:val="clear" w:color="auto" w:fill="auto"/>
        </w:rPr>
        <w:t>“三公”经费</w:t>
      </w:r>
      <w:r>
        <w:rPr>
          <w:rFonts w:hint="default" w:ascii="Times New Roman" w:hAnsi="Times New Roman" w:eastAsia="方正仿宋_GBK" w:cs="Times New Roman"/>
          <w:sz w:val="32"/>
          <w:szCs w:val="32"/>
          <w:shd w:val="clear" w:color="auto" w:fill="auto"/>
          <w:lang w:eastAsia="zh-CN"/>
        </w:rPr>
        <w:t>。</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sz w:val="32"/>
          <w:szCs w:val="32"/>
          <w:shd w:val="clear" w:color="auto" w:fill="FFFFFF"/>
        </w:rPr>
        <w:t>主要是用于</w:t>
      </w:r>
      <w:r>
        <w:rPr>
          <w:rFonts w:hint="default"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发生的费用</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单位不存在</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eastAsia="zh-CN"/>
        </w:rPr>
        <w:t>的情况</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eastAsia="zh-CN"/>
        </w:rPr>
        <w:t>单位不存在</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eastAsia="zh-CN"/>
        </w:rPr>
        <w:t>的情况</w:t>
      </w:r>
      <w:r>
        <w:rPr>
          <w:rFonts w:hint="default" w:ascii="Times New Roman" w:hAnsi="Times New Roman" w:eastAsia="方正仿宋_GBK" w:cs="Times New Roman"/>
          <w:color w:val="auto"/>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eastAsia="zh-CN"/>
        </w:rPr>
        <w:t>购买公务车</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万元，主要用于市内因公出行、乡镇检查等工作所需车辆的燃料费、维修费、过桥过路费、保险费等。费用支出较年初预算数无增减，主要原因是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rPr>
        <w:t>主要用于接待市级部门到我县指导业务工作、部分企业到我县考察相关项目等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auto"/>
          <w:lang w:val="en-US" w:eastAsia="zh-CN"/>
        </w:rPr>
        <w:t>我单位属于二级下属机构，统一在机关核算</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本年度会议费支出0.00万元，较上年决算数无增减，主要原因是</w:t>
      </w:r>
      <w:r>
        <w:rPr>
          <w:rStyle w:val="10"/>
          <w:rFonts w:hint="eastAsia" w:ascii="Times New Roman" w:hAnsi="Times New Roman" w:eastAsia="方正仿宋_GBK" w:cs="Times New Roman"/>
          <w:b w:val="0"/>
          <w:bCs/>
          <w:sz w:val="32"/>
          <w:szCs w:val="32"/>
          <w:shd w:val="clear" w:color="auto" w:fill="auto"/>
          <w:lang w:val="en-US" w:eastAsia="zh-CN"/>
        </w:rPr>
        <w:t>为举办大型会议</w:t>
      </w:r>
      <w:r>
        <w:rPr>
          <w:rStyle w:val="10"/>
          <w:rFonts w:hint="default" w:ascii="Times New Roman" w:hAnsi="Times New Roman" w:eastAsia="方正仿宋_GBK" w:cs="Times New Roman"/>
          <w:b w:val="0"/>
          <w:bCs/>
          <w:sz w:val="32"/>
          <w:szCs w:val="32"/>
          <w:shd w:val="clear" w:color="auto" w:fill="auto"/>
        </w:rPr>
        <w:t>。本年度培训费支出0.</w:t>
      </w:r>
      <w:r>
        <w:rPr>
          <w:rStyle w:val="10"/>
          <w:rFonts w:hint="eastAsia" w:ascii="Times New Roman" w:hAnsi="Times New Roman" w:eastAsia="方正仿宋_GBK" w:cs="Times New Roman"/>
          <w:b w:val="0"/>
          <w:bCs/>
          <w:sz w:val="32"/>
          <w:szCs w:val="32"/>
          <w:shd w:val="clear" w:color="auto" w:fill="auto"/>
          <w:lang w:val="en-US" w:eastAsia="zh-CN"/>
        </w:rPr>
        <w:t>11</w:t>
      </w:r>
      <w:r>
        <w:rPr>
          <w:rStyle w:val="10"/>
          <w:rFonts w:hint="default" w:ascii="Times New Roman" w:hAnsi="Times New Roman" w:eastAsia="方正仿宋_GBK" w:cs="Times New Roman"/>
          <w:b w:val="0"/>
          <w:bCs/>
          <w:sz w:val="32"/>
          <w:szCs w:val="32"/>
          <w:shd w:val="clear" w:color="auto" w:fill="auto"/>
        </w:rPr>
        <w:t>万元，较上年决算数增加0.</w:t>
      </w:r>
      <w:r>
        <w:rPr>
          <w:rStyle w:val="10"/>
          <w:rFonts w:hint="eastAsia" w:ascii="Times New Roman" w:hAnsi="Times New Roman" w:eastAsia="方正仿宋_GBK" w:cs="Times New Roman"/>
          <w:b w:val="0"/>
          <w:bCs/>
          <w:sz w:val="32"/>
          <w:szCs w:val="32"/>
          <w:shd w:val="clear" w:color="auto" w:fill="auto"/>
          <w:lang w:val="en-US" w:eastAsia="zh-CN"/>
        </w:rPr>
        <w:t>11</w:t>
      </w:r>
      <w:r>
        <w:rPr>
          <w:rStyle w:val="10"/>
          <w:rFonts w:hint="default" w:ascii="Times New Roman" w:hAnsi="Times New Roman" w:eastAsia="方正仿宋_GBK" w:cs="Times New Roman"/>
          <w:b w:val="0"/>
          <w:bCs/>
          <w:sz w:val="32"/>
          <w:szCs w:val="32"/>
          <w:shd w:val="clear" w:color="auto" w:fill="auto"/>
        </w:rPr>
        <w:t>万元，增长100.00%，主要原因是</w:t>
      </w:r>
      <w:r>
        <w:rPr>
          <w:rStyle w:val="10"/>
          <w:rFonts w:hint="eastAsia" w:ascii="Times New Roman" w:hAnsi="Times New Roman" w:eastAsia="方正仿宋_GBK" w:cs="Times New Roman"/>
          <w:b w:val="0"/>
          <w:bCs/>
          <w:sz w:val="32"/>
          <w:szCs w:val="32"/>
          <w:shd w:val="clear" w:color="auto" w:fill="auto"/>
          <w:lang w:val="en-US" w:eastAsia="zh-CN"/>
        </w:rPr>
        <w:t>2022年该单位未单独核算</w:t>
      </w:r>
      <w:r>
        <w:rPr>
          <w:rStyle w:val="10"/>
          <w:rFonts w:hint="default" w:ascii="Times New Roman" w:hAnsi="Times New Roman" w:eastAsia="方正仿宋_GBK" w:cs="Times New Roman"/>
          <w:b w:val="0"/>
          <w:bCs/>
          <w:sz w:val="32"/>
          <w:szCs w:val="32"/>
          <w:shd w:val="clear" w:color="auto" w:fill="auto"/>
        </w:rPr>
        <w:t>。</w:t>
      </w:r>
    </w:p>
    <w:p>
      <w:pPr>
        <w:pStyle w:val="13"/>
        <w:keepNext w:val="0"/>
        <w:keepLines w:val="0"/>
        <w:pageBreakBefore w:val="0"/>
        <w:widowControl w:val="0"/>
        <w:numPr>
          <w:ilvl w:val="0"/>
          <w:numId w:val="2"/>
        </w:numPr>
        <w:kinsoku/>
        <w:wordWrap/>
        <w:overflowPunct/>
        <w:topLinePunct w:val="0"/>
        <w:autoSpaceDE w:val="0"/>
        <w:autoSpaceDN/>
        <w:bidi w:val="0"/>
        <w:adjustRightInd/>
        <w:snapToGri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机关运行经费情况说明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right="0" w:rightChars="0" w:firstLine="640" w:firstLineChars="200"/>
        <w:jc w:val="both"/>
        <w:rPr>
          <w:rStyle w:val="10"/>
          <w:rFonts w:hint="default" w:ascii="Times New Roman" w:hAnsi="Times New Roman" w:eastAsia="方正仿宋_GBK" w:cs="Times New Roman"/>
          <w:b w:val="0"/>
          <w:bCs/>
          <w:color w:val="auto"/>
          <w:sz w:val="32"/>
          <w:szCs w:val="32"/>
          <w:shd w:val="clear" w:color="auto" w:fill="auto"/>
        </w:rPr>
      </w:pPr>
      <w:r>
        <w:rPr>
          <w:rStyle w:val="10"/>
          <w:rFonts w:hint="default" w:ascii="Times New Roman" w:hAnsi="Times New Roman" w:eastAsia="方正仿宋_GBK" w:cs="Times New Roman"/>
          <w:b w:val="0"/>
          <w:bCs/>
          <w:color w:val="auto"/>
          <w:sz w:val="32"/>
          <w:szCs w:val="32"/>
          <w:shd w:val="clear" w:color="auto" w:fill="auto"/>
        </w:rPr>
        <w:t>按照部门决算列报口径，我单位不在机关运行经费统计范围之内。</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仿宋_GBK" w:cs="Times New Roman"/>
          <w:b w:val="0"/>
          <w:bCs/>
          <w:sz w:val="32"/>
          <w:szCs w:val="32"/>
          <w:shd w:val="clear" w:color="auto" w:fill="auto"/>
          <w:lang w:val="en-US" w:eastAsia="zh-CN"/>
        </w:rPr>
      </w:pPr>
      <w:r>
        <w:rPr>
          <w:rStyle w:val="10"/>
          <w:rFonts w:hint="eastAsia" w:ascii="Times New Roman" w:hAnsi="Times New Roman" w:eastAsia="方正仿宋_GBK" w:cs="Times New Roman"/>
          <w:b w:val="0"/>
          <w:bCs/>
          <w:sz w:val="32"/>
          <w:szCs w:val="32"/>
          <w:shd w:val="clear" w:color="auto" w:fill="auto"/>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right="0" w:rightChars="0"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rPr>
          <w:rStyle w:val="10"/>
          <w:rFonts w:hint="default" w:ascii="Times New Roman" w:hAnsi="Times New Roman" w:eastAsia="方正仿宋_GBK" w:cs="Times New Roman"/>
          <w:b w:val="0"/>
          <w:bCs/>
          <w:sz w:val="32"/>
          <w:szCs w:val="32"/>
          <w:shd w:val="clear" w:color="auto" w:fill="auto"/>
        </w:rPr>
      </w:pPr>
      <w:r>
        <w:rPr>
          <w:rStyle w:val="10"/>
          <w:rFonts w:hint="default" w:ascii="Times New Roman" w:hAnsi="Times New Roman" w:eastAsia="方正仿宋_GBK" w:cs="Times New Roman"/>
          <w:b w:val="0"/>
          <w:bCs/>
          <w:sz w:val="32"/>
          <w:szCs w:val="32"/>
          <w:shd w:val="clear" w:color="auto" w:fill="auto"/>
        </w:rPr>
        <w:t>2023年度我单位未发生政府采购事项，无相关经费支出。</w:t>
      </w:r>
    </w:p>
    <w:p>
      <w:pPr>
        <w:pStyle w:val="13"/>
        <w:keepNext w:val="0"/>
        <w:keepLines w:val="0"/>
        <w:pageBreakBefore w:val="0"/>
        <w:widowControl w:val="0"/>
        <w:numPr>
          <w:ilvl w:val="0"/>
          <w:numId w:val="3"/>
        </w:numPr>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预算绩效管理情况说明</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w:t>
      </w:r>
      <w:r>
        <w:rPr>
          <w:rFonts w:hint="eastAsia"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自评情况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15"/>
          <w:rFonts w:hint="default" w:ascii="Times New Roman" w:hAnsi="Times New Roman" w:eastAsia="方正仿宋_GBK" w:cs="Times New Roman"/>
          <w:color w:val="auto"/>
          <w:sz w:val="32"/>
          <w:szCs w:val="32"/>
          <w:highlight w:val="yellow"/>
          <w:shd w:val="clear" w:color="auto" w:fill="FFFFFF"/>
        </w:rPr>
      </w:pPr>
      <w:r>
        <w:rPr>
          <w:rFonts w:hint="eastAsia" w:ascii="Times New Roman" w:hAnsi="Times New Roman" w:eastAsia="方正仿宋_GBK" w:cs="Times New Roman"/>
          <w:sz w:val="32"/>
          <w:szCs w:val="32"/>
          <w:shd w:val="clear" w:color="auto" w:fill="FFFFFF"/>
          <w:lang w:eastAsia="zh-CN" w:bidi="ar"/>
        </w:rPr>
        <w:t>本单位为文旅委二级机构，项目绩效在文旅委本级核算，该机构不存在单独进行绩效自评的情况。</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w:t>
      </w:r>
      <w:r>
        <w:rPr>
          <w:rFonts w:hint="eastAsia"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绩效评价情况</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15"/>
          <w:rFonts w:hint="default" w:ascii="Times New Roman" w:hAnsi="Times New Roman" w:eastAsia="方正仿宋_GBK" w:cs="Times New Roman"/>
          <w:color w:val="auto"/>
          <w:sz w:val="32"/>
          <w:szCs w:val="32"/>
          <w:highlight w:val="yellow"/>
          <w:shd w:val="clear" w:color="auto" w:fill="FFFFFF"/>
        </w:rPr>
      </w:pPr>
      <w:r>
        <w:rPr>
          <w:rFonts w:hint="eastAsia" w:ascii="Times New Roman" w:hAnsi="Times New Roman" w:eastAsia="方正仿宋_GBK" w:cs="Times New Roman"/>
          <w:sz w:val="32"/>
          <w:szCs w:val="32"/>
          <w:shd w:val="clear" w:color="auto" w:fill="FFFFFF"/>
          <w:lang w:eastAsia="zh-CN" w:bidi="ar"/>
        </w:rPr>
        <w:t>本单位为文旅委二级机构，项目绩效在文旅委本级核算，该机构不存在单独进行绩效评价的情况。</w:t>
      </w:r>
    </w:p>
    <w:p>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eastAsia="zh-CN" w:bidi="ar"/>
        </w:rPr>
        <w:t>县</w:t>
      </w:r>
      <w:r>
        <w:rPr>
          <w:rFonts w:hint="default" w:ascii="Times New Roman" w:hAnsi="Times New Roman" w:eastAsia="方正仿宋_GBK" w:cs="Times New Roman"/>
          <w:sz w:val="32"/>
          <w:szCs w:val="32"/>
          <w:shd w:val="clear" w:color="auto" w:fill="FFFFFF"/>
          <w:lang w:bidi="ar"/>
        </w:rPr>
        <w:t>财政局</w:t>
      </w:r>
      <w:r>
        <w:rPr>
          <w:rFonts w:hint="eastAsia" w:ascii="Times New Roman" w:hAnsi="Times New Roman" w:eastAsia="方正仿宋_GBK" w:cs="Times New Roman"/>
          <w:sz w:val="32"/>
          <w:szCs w:val="32"/>
          <w:shd w:val="clear" w:color="auto" w:fill="FFFFFF"/>
          <w:lang w:eastAsia="zh-CN" w:bidi="ar"/>
        </w:rPr>
        <w:t>未</w:t>
      </w:r>
      <w:r>
        <w:rPr>
          <w:rFonts w:hint="default" w:ascii="Times New Roman" w:hAnsi="Times New Roman" w:eastAsia="方正仿宋_GBK" w:cs="Times New Roman"/>
          <w:sz w:val="32"/>
          <w:szCs w:val="32"/>
          <w:shd w:val="clear" w:color="auto" w:fill="FFFFFF"/>
          <w:lang w:bidi="ar"/>
        </w:rPr>
        <w:t>委托第三方对我单位</w:t>
      </w:r>
      <w:r>
        <w:rPr>
          <w:rFonts w:hint="eastAsia" w:ascii="Times New Roman" w:hAnsi="Times New Roman" w:eastAsia="方正仿宋_GBK" w:cs="Times New Roman"/>
          <w:sz w:val="32"/>
          <w:szCs w:val="32"/>
          <w:shd w:val="clear" w:color="auto" w:fill="FFFFFF"/>
          <w:lang w:eastAsia="zh-CN" w:bidi="ar"/>
        </w:rPr>
        <w:t>开展</w:t>
      </w:r>
      <w:r>
        <w:rPr>
          <w:rFonts w:hint="default" w:ascii="Times New Roman" w:hAnsi="Times New Roman" w:eastAsia="方正仿宋_GBK" w:cs="Times New Roman"/>
          <w:sz w:val="32"/>
          <w:szCs w:val="32"/>
          <w:shd w:val="clear" w:color="auto" w:fill="FFFFFF"/>
          <w:lang w:bidi="ar"/>
        </w:rPr>
        <w:t>绩效评价</w:t>
      </w:r>
      <w:r>
        <w:rPr>
          <w:rFonts w:hint="eastAsia" w:ascii="Times New Roman" w:hAnsi="Times New Roman" w:eastAsia="方正仿宋_GBK" w:cs="Times New Roman"/>
          <w:sz w:val="32"/>
          <w:szCs w:val="32"/>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六、专业名词解释</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outlineLvl w:val="9"/>
        <w:rPr>
          <w:rStyle w:val="10"/>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袁冰婷</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76895733</w:t>
      </w:r>
      <w:r>
        <w:rPr>
          <w:rFonts w:hint="default" w:ascii="Times New Roman" w:hAnsi="Times New Roman" w:eastAsia="方正仿宋_GBK" w:cs="Times New Roman"/>
          <w:color w:val="auto"/>
          <w:sz w:val="32"/>
          <w:szCs w:val="32"/>
          <w:shd w:val="clear" w:color="auto" w:fill="FFFFFF"/>
        </w:rPr>
        <w:t>）</w:t>
      </w:r>
    </w:p>
    <w:p>
      <w:pPr>
        <w:rPr>
          <w:rFonts w:hint="default" w:cs="宋体"/>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重庆市秀山土家族苗族自治县文化生态保护区建设服务中心</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36.51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32.08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36.51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36.51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36.51</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36.51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重庆市秀山土家族苗族自治县文化生态保护区建设服务中心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36.51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36.51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重庆市秀山土家族苗族自治县文化生态保护区建设服务中心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36.51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36.51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重庆市秀山土家族苗族自治县文化生态保护区建设服务中心</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重庆市秀山土家族苗族自治县文化生态保护区建设服务中心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36.51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36.51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重庆市秀山土家族苗族自治县文化生态保护区建设服务中心</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33.48</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重庆市秀山土家族苗族自治县文化生态保护区建设服务中心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重庆市秀山土家族苗族自治县文化生态保护区建设服务中心</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重庆市秀山土家族苗族自治县文化生态保护区建设服务中心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0.11</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abstractNum w:abstractNumId="1">
    <w:nsid w:val="13FC6729"/>
    <w:multiLevelType w:val="singleLevel"/>
    <w:tmpl w:val="13FC6729"/>
    <w:lvl w:ilvl="0" w:tentative="0">
      <w:start w:val="5"/>
      <w:numFmt w:val="chineseCounting"/>
      <w:suff w:val="nothing"/>
      <w:lvlText w:val="%1、"/>
      <w:lvlJc w:val="left"/>
      <w:rPr>
        <w:rFonts w:hint="eastAsia"/>
      </w:rPr>
    </w:lvl>
  </w:abstractNum>
  <w:abstractNum w:abstractNumId="2">
    <w:nsid w:val="5F621918"/>
    <w:multiLevelType w:val="singleLevel"/>
    <w:tmpl w:val="5F621918"/>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3601F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711CA0"/>
    <w:rsid w:val="08BA052C"/>
    <w:rsid w:val="08DB07BA"/>
    <w:rsid w:val="0969353F"/>
    <w:rsid w:val="098305D0"/>
    <w:rsid w:val="0A3317EA"/>
    <w:rsid w:val="0A5C4B69"/>
    <w:rsid w:val="0A86124A"/>
    <w:rsid w:val="0AB54CC0"/>
    <w:rsid w:val="0AD061B4"/>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9D03C3"/>
    <w:rsid w:val="11ED0F98"/>
    <w:rsid w:val="11F03528"/>
    <w:rsid w:val="12C921C4"/>
    <w:rsid w:val="13871C70"/>
    <w:rsid w:val="13A71CB4"/>
    <w:rsid w:val="13AF1D43"/>
    <w:rsid w:val="13CE1647"/>
    <w:rsid w:val="13FD55AB"/>
    <w:rsid w:val="14200702"/>
    <w:rsid w:val="15EC3F58"/>
    <w:rsid w:val="163A6CEE"/>
    <w:rsid w:val="173708E3"/>
    <w:rsid w:val="17C374FC"/>
    <w:rsid w:val="182E4AB6"/>
    <w:rsid w:val="189079DC"/>
    <w:rsid w:val="189B0D0B"/>
    <w:rsid w:val="18B43F7C"/>
    <w:rsid w:val="194A1770"/>
    <w:rsid w:val="19B906A4"/>
    <w:rsid w:val="1B6F15B6"/>
    <w:rsid w:val="1BAA2EDC"/>
    <w:rsid w:val="1BAE7540"/>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C7676C"/>
    <w:rsid w:val="248D0200"/>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C32B84"/>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5C2271"/>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7F7859"/>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633B93"/>
    <w:rsid w:val="6EFD1324"/>
    <w:rsid w:val="6F5A53AC"/>
    <w:rsid w:val="6F7D2BA5"/>
    <w:rsid w:val="6FAC003D"/>
    <w:rsid w:val="6FE55E12"/>
    <w:rsid w:val="6FFB2E76"/>
    <w:rsid w:val="70267DEF"/>
    <w:rsid w:val="708F6F7F"/>
    <w:rsid w:val="70D94BD3"/>
    <w:rsid w:val="71C34D91"/>
    <w:rsid w:val="72DB435C"/>
    <w:rsid w:val="72E2613A"/>
    <w:rsid w:val="72F771F4"/>
    <w:rsid w:val="73934AD2"/>
    <w:rsid w:val="750837F0"/>
    <w:rsid w:val="754758CF"/>
    <w:rsid w:val="764F62AB"/>
    <w:rsid w:val="765C45EC"/>
    <w:rsid w:val="768A7619"/>
    <w:rsid w:val="772E1EBA"/>
    <w:rsid w:val="781926BC"/>
    <w:rsid w:val="789C3DEB"/>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Date"/>
    <w:basedOn w:val="1"/>
    <w:next w:val="1"/>
    <w:qFormat/>
    <w:uiPriority w:val="0"/>
    <w:pPr>
      <w:widowControl w:val="0"/>
      <w:ind w:left="100" w:leftChars="2500"/>
      <w:jc w:val="both"/>
    </w:pPr>
    <w:rPr>
      <w:rFonts w:ascii="Calibri" w:hAnsi="Calibri" w:eastAsia="宋体" w:cs="Times New Roman"/>
      <w:kern w:val="2"/>
      <w:sz w:val="21"/>
      <w:szCs w:val="24"/>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4</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2024-10-08T06:06:15Z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