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_GBK" w:cs="Times New Roman"/>
          <w:sz w:val="44"/>
          <w:szCs w:val="44"/>
          <w:shd w:val="clear" w:color="auto" w:fill="FFFFFF"/>
        </w:rPr>
      </w:pPr>
      <w:r>
        <w:rPr>
          <w:rFonts w:hint="eastAsia" w:ascii="Times New Roman" w:hAnsi="Times New Roman" w:eastAsia="方正小标宋_GBK" w:cs="Times New Roman"/>
          <w:sz w:val="44"/>
          <w:szCs w:val="44"/>
          <w:lang w:eastAsia="zh-CN"/>
        </w:rPr>
        <w:t>重庆市</w:t>
      </w:r>
      <w:bookmarkStart w:id="0" w:name="_GoBack"/>
      <w:bookmarkEnd w:id="0"/>
      <w:r>
        <w:rPr>
          <w:rFonts w:hint="default" w:ascii="Times New Roman" w:hAnsi="Times New Roman" w:eastAsia="方正小标宋_GBK" w:cs="Times New Roman"/>
          <w:sz w:val="44"/>
          <w:szCs w:val="44"/>
          <w:lang w:eastAsia="zh-CN"/>
        </w:rPr>
        <w:t>秀山</w:t>
      </w:r>
      <w:r>
        <w:rPr>
          <w:rFonts w:hint="eastAsia" w:ascii="Times New Roman" w:hAnsi="Times New Roman" w:eastAsia="方正小标宋_GBK" w:cs="Times New Roman"/>
          <w:sz w:val="44"/>
          <w:szCs w:val="44"/>
          <w:lang w:eastAsia="zh-CN"/>
        </w:rPr>
        <w:t>土家族苗族自治县</w:t>
      </w:r>
      <w:r>
        <w:rPr>
          <w:rFonts w:hint="default" w:ascii="Times New Roman" w:hAnsi="Times New Roman" w:eastAsia="方正小标宋_GBK" w:cs="Times New Roman"/>
          <w:sz w:val="44"/>
          <w:szCs w:val="44"/>
          <w:lang w:val="en-US" w:eastAsia="zh-CN"/>
        </w:rPr>
        <w:t>文化旅游宣传中心</w:t>
      </w:r>
      <w:r>
        <w:rPr>
          <w:rFonts w:hint="default" w:ascii="Times New Roman" w:hAnsi="Times New Roman" w:eastAsia="方正小标宋_GBK" w:cs="Times New Roman"/>
          <w:sz w:val="44"/>
          <w:szCs w:val="44"/>
          <w:shd w:val="clear" w:color="auto" w:fill="FFFFFF"/>
        </w:rPr>
        <w:t>2023年度决算</w:t>
      </w:r>
      <w:r>
        <w:rPr>
          <w:rFonts w:hint="eastAsia"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rPr>
          <w:rFonts w:hint="default" w:ascii="Times New Roman" w:hAnsi="Times New Roman" w:eastAsia="方正小标宋_GBK" w:cs="Times New Roman"/>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10"/>
          <w:rFonts w:hint="default" w:ascii="Times New Roman" w:hAnsi="Times New Roman" w:eastAsia="方正黑体_GBK" w:cs="Times New Roman"/>
          <w:b w:val="0"/>
          <w:bCs/>
          <w:sz w:val="32"/>
          <w:szCs w:val="32"/>
          <w:shd w:val="clear" w:color="auto" w:fill="FFFFFF"/>
        </w:rPr>
        <w:t>一、</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10"/>
          <w:rFonts w:hint="default" w:ascii="Times New Roman" w:hAnsi="Times New Roman" w:eastAsia="方正楷体_GBK" w:cs="Times New Roman"/>
          <w:b w:val="0"/>
          <w:bCs/>
          <w:sz w:val="32"/>
          <w:szCs w:val="32"/>
          <w:shd w:val="clear" w:color="auto" w:fill="FFFFFF"/>
        </w:rPr>
        <w:t>（一）职能职责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能。负责拟订全县文化旅游市场开发、营销战略、宣传促销方案并组织实施；负责开展全县文化旅游整体形象宣传；负责重点文化旅游区域、目的地、线路产品的宣传营销推广工作；负责全县文化旅游对外交流合作和区域协作工作；负责文化旅游信息发布、媒体宣传、旅游咨询等工作；负责文化旅游市场信息综合和分析，拟订市场奖励政策措施并组织实施；负责协调全县各项重大节庆活动的组织策划、实施推广等相关工作；完成上级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为文化和旅游发展委员会下属事业单位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本年职员</w:t>
      </w:r>
      <w:r>
        <w:rPr>
          <w:rFonts w:hint="default" w:ascii="Times New Roman" w:hAnsi="Times New Roman" w:eastAsia="方正仿宋_GBK" w:cs="Times New Roman"/>
          <w:sz w:val="32"/>
          <w:szCs w:val="32"/>
          <w:lang w:val="en-US" w:eastAsia="zh-CN"/>
        </w:rPr>
        <w:t>5人</w:t>
      </w:r>
      <w:r>
        <w:rPr>
          <w:rFonts w:hint="default" w:ascii="Times New Roman" w:hAnsi="Times New Roman" w:eastAsia="方正仿宋_GBK" w:cs="Times New Roman"/>
          <w:sz w:val="32"/>
          <w:szCs w:val="32"/>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color w:val="4874CB" w:themeColor="accent1"/>
          <w:sz w:val="32"/>
          <w:szCs w:val="32"/>
          <w:shd w:val="clear" w:color="auto" w:fill="FFFFFF"/>
          <w14:textFill>
            <w14:solidFill>
              <w14:schemeClr w14:val="accent1"/>
            </w14:solidFill>
          </w14:textFill>
        </w:rPr>
      </w:pPr>
      <w:r>
        <w:rPr>
          <w:rStyle w:val="10"/>
          <w:rFonts w:hint="eastAsia" w:ascii="Times New Roman" w:hAnsi="Times New Roman" w:eastAsia="方正黑体_GBK" w:cs="Times New Roman"/>
          <w:b w:val="0"/>
          <w:bCs/>
          <w:sz w:val="32"/>
          <w:szCs w:val="32"/>
          <w:shd w:val="clear" w:color="auto" w:fill="FFFFFF"/>
          <w:lang w:val="en-US" w:eastAsia="zh-CN"/>
        </w:rPr>
        <w:t>二、</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8"/>
        <w:keepNext w:val="0"/>
        <w:keepLines w:val="0"/>
        <w:pageBreakBefore w:val="0"/>
        <w:shd w:val="clear" w:color="auto" w:fill="FFFFFF"/>
        <w:kinsoku/>
        <w:overflowPunct/>
        <w:topLinePunct w:val="0"/>
        <w:autoSpaceDN/>
        <w:bidi w:val="0"/>
        <w:adjustRightInd/>
        <w:spacing w:before="0" w:beforeAutospacing="0" w:after="0" w:afterAutospacing="0" w:line="560" w:lineRule="exact"/>
        <w:ind w:right="0" w:rightChars="0"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2023年度收入总计133.48万元，支出总计133.48万元。收支较上年决算数增加133.48万元，增长100.00%，主要原因是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2023年度收入合计133.48万元，较上年决算数增加133.48万元，增长100.00%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其中：财政拨款收入133.48万元，占100.00%；事业收入0.00万元，占0.00%；经营收入0.00万元，占0.00%；其他收入0.00万元，占0.00%。此外，使用非财政拨款结余和专用结余0.00万元，年初结转和结余0.00万元。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2023年度支出合计133.48万元，较上年决算数增加133.48万元，增长100.00%，主要原因是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其中：基本支出133.48万元，占100.00%；项目支出0.00万元，占0.00%；经营支出0.00万元，占0.00%。此外，结余分配0.00万元。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eastAsia" w:ascii="Times New Roman" w:hAnsi="Times New Roman" w:eastAsia="方正仿宋_GBK" w:cs="Times New Roman"/>
          <w:color w:val="auto"/>
          <w:sz w:val="32"/>
          <w:szCs w:val="32"/>
          <w:shd w:val="clear" w:color="auto" w:fill="FFFFFF"/>
          <w:lang w:val="en-US" w:eastAsia="zh-CN"/>
        </w:rPr>
        <w:t>2023年度年末结转和结余0.00万元，较上年决算数无增减</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eastAsia="zh-CN"/>
        </w:rPr>
        <w:t>主要原因是实施零结转制度。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2023年度财政拨款收、支总计133.48万元。与2022年相比，财政拨款收、支总计各增加133.48万元，增长100.00%。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1.收入情况。</w:t>
      </w:r>
      <w:r>
        <w:rPr>
          <w:rFonts w:hint="eastAsia" w:ascii="Times New Roman" w:hAnsi="Times New Roman" w:eastAsia="方正仿宋_GBK" w:cs="Times New Roman"/>
          <w:color w:val="auto"/>
          <w:sz w:val="32"/>
          <w:szCs w:val="32"/>
          <w:shd w:val="clear" w:color="auto" w:fill="FFFFFF"/>
          <w:lang w:val="en-US" w:eastAsia="zh-CN"/>
        </w:rPr>
        <w:t>2023年度一般公共预算财政拨款收入133.48万元，较上年决算数增加133.48万元，增长100.00%。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较年初预算数增加12.84万元，增长10.64%。主要原因是人员经费增加。此外，年初财政拨款结转和结余0.00万元。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eastAsia" w:ascii="Times New Roman" w:hAnsi="Times New Roman" w:eastAsia="方正仿宋_GBK" w:cs="Times New Roman"/>
          <w:color w:val="auto"/>
          <w:sz w:val="32"/>
          <w:szCs w:val="32"/>
          <w:shd w:val="clear" w:color="auto" w:fill="FFFFFF"/>
          <w:lang w:val="en-US" w:eastAsia="zh-CN"/>
        </w:rPr>
        <w:t>2023年度一般公共预算财政拨款支出133.48万元，较上年决算数增加133.48万元，增长100.00%。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较年初预算数增加12.84万元，增长10.64%。主要原因是是人员经费增加。</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eastAsia" w:ascii="Times New Roman" w:hAnsi="Times New Roman" w:eastAsia="方正仿宋_GBK" w:cs="Times New Roman"/>
          <w:color w:val="auto"/>
          <w:sz w:val="32"/>
          <w:szCs w:val="32"/>
          <w:shd w:val="clear" w:color="auto" w:fill="FFFFFF"/>
          <w:lang w:val="en-US" w:eastAsia="zh-CN"/>
        </w:rPr>
        <w:t>2023年度年末一般公共预算财政拨款结转和结余0.00万元，较上年决算数无增减。</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lang w:val="en-US" w:eastAsia="zh-CN"/>
        </w:rPr>
        <w:t>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lang w:val="en-US" w:eastAsia="zh-CN"/>
        </w:rPr>
        <w:t>2023年度一般公共预算财政拨款支出主要用于以下几个方面：</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（1）文化旅游体育与传媒支出108.58万元，占81.34%，较年初预算数增加18.64万元，增长20.72%，主要原因是人员经费增加。</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（2）社会保障与就业支出12.51万元，占9.37%，较年初预算数减少3.87万元，下降23.63%，主要原因是社保缴费减少。</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（3）卫生健康支出4.92万元，占3.69%，较年初预算数无增减，</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实际支出与预算持平</w:t>
      </w:r>
      <w:r>
        <w:rPr>
          <w:rFonts w:hint="eastAsia"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（4）住房保障支出7.48万元，占5.60%，较年初预算数减少1.91万元，下降20.34%，主要原因是住房公积金减少。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2023年度一般公共财政拨款基本支出133.48万元。其中：人员经费126.67万元，较上年决算数增加126.67万元，增长100.00%，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highlight w:val="none"/>
        </w:rPr>
        <w:t>人员经费用途主要包括基本工资、津贴补贴、奖金、社会保障缴费等</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shd w:val="clear" w:color="auto" w:fill="FFFFFF"/>
          <w:lang w:val="en-US" w:eastAsia="zh-CN"/>
        </w:rPr>
        <w:t>公用经费6.81万元，较上年决算数增加6.81万元，增长100.00%，</w:t>
      </w:r>
      <w:r>
        <w:rPr>
          <w:rFonts w:hint="eastAsia" w:ascii="Times New Roman" w:hAnsi="Times New Roman" w:eastAsia="方正仿宋_GBK" w:cs="Times New Roman"/>
          <w:sz w:val="32"/>
          <w:szCs w:val="32"/>
          <w:shd w:val="clear" w:color="auto" w:fill="FFFFFF"/>
          <w:lang w:val="en-US" w:eastAsia="zh-CN"/>
        </w:rPr>
        <w:t>主要原因是2022年度本单位与部门合并编报决算，按照市财政局要求，2023年度独立编报决算，故与上年对比增长100.00%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办公费、</w:t>
      </w:r>
      <w:r>
        <w:rPr>
          <w:rFonts w:hint="default" w:ascii="Times New Roman" w:hAnsi="Times New Roman" w:eastAsia="方正仿宋_GBK" w:cs="Times New Roman"/>
          <w:color w:val="auto"/>
          <w:sz w:val="32"/>
          <w:szCs w:val="32"/>
          <w:highlight w:val="none"/>
        </w:rPr>
        <w:t>差旅费、邮电费、委托业务费</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w:t>
      </w:r>
      <w:r>
        <w:rPr>
          <w:rStyle w:val="10"/>
          <w:rFonts w:hint="default" w:ascii="Times New Roman" w:hAnsi="Times New Roman" w:eastAsia="方正仿宋_GBK" w:cs="Times New Roman"/>
          <w:b w:val="0"/>
          <w:bCs/>
          <w:color w:val="auto"/>
          <w:sz w:val="32"/>
          <w:szCs w:val="32"/>
          <w:shd w:val="clear" w:color="auto" w:fill="auto"/>
          <w:lang w:eastAsia="zh-CN"/>
        </w:rPr>
        <w:t>单位</w:t>
      </w:r>
      <w:r>
        <w:rPr>
          <w:rStyle w:val="10"/>
          <w:rFonts w:hint="default" w:ascii="Times New Roman" w:hAnsi="Times New Roman" w:eastAsia="方正仿宋_GBK" w:cs="Times New Roman"/>
          <w:b w:val="0"/>
          <w:bCs/>
          <w:color w:val="auto"/>
          <w:sz w:val="32"/>
          <w:szCs w:val="32"/>
          <w:shd w:val="clear" w:color="auto" w:fill="auto"/>
        </w:rPr>
        <w:t>2023年度无政府性基金预算财政拨款收支。</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w:t>
      </w:r>
      <w:r>
        <w:rPr>
          <w:rStyle w:val="10"/>
          <w:rFonts w:hint="default" w:ascii="Times New Roman" w:hAnsi="Times New Roman" w:eastAsia="方正仿宋_GBK" w:cs="Times New Roman"/>
          <w:b w:val="0"/>
          <w:bCs/>
          <w:sz w:val="32"/>
          <w:szCs w:val="32"/>
          <w:shd w:val="clear" w:color="auto" w:fill="auto"/>
          <w:lang w:eastAsia="zh-CN"/>
        </w:rPr>
        <w:t>单位</w:t>
      </w:r>
      <w:r>
        <w:rPr>
          <w:rStyle w:val="10"/>
          <w:rFonts w:hint="default" w:ascii="Times New Roman" w:hAnsi="Times New Roman" w:eastAsia="方正仿宋_GBK" w:cs="Times New Roman"/>
          <w:b w:val="0"/>
          <w:bCs/>
          <w:sz w:val="32"/>
          <w:szCs w:val="32"/>
          <w:shd w:val="clear" w:color="auto" w:fill="auto"/>
        </w:rPr>
        <w:t>2023年度无国有资本经营预算财政拨款支出。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FFFF00"/>
        </w:rPr>
      </w:pPr>
      <w:r>
        <w:rPr>
          <w:rStyle w:val="10"/>
          <w:rFonts w:hint="default" w:ascii="Times New Roman" w:hAnsi="Times New Roman" w:eastAsia="方正黑体_GBK" w:cs="Times New Roman"/>
          <w:b w:val="0"/>
          <w:bCs/>
          <w:sz w:val="32"/>
          <w:szCs w:val="32"/>
          <w:shd w:val="clear" w:color="auto" w:fill="FFFFFF"/>
          <w:lang w:eastAsia="zh-CN"/>
        </w:rPr>
        <w:t>三、</w:t>
      </w:r>
      <w:r>
        <w:rPr>
          <w:rStyle w:val="10"/>
          <w:rFonts w:hint="default" w:ascii="Times New Roman" w:hAnsi="Times New Roman" w:eastAsia="方正黑体_GBK" w:cs="Times New Roman"/>
          <w:b w:val="0"/>
          <w:bCs/>
          <w:sz w:val="32"/>
          <w:szCs w:val="32"/>
          <w:shd w:val="clear" w:color="auto" w:fill="FFFFFF"/>
        </w:rPr>
        <w:t>“三公”经费情况说明</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我单位属于二级下属机构，统一在机关核算，未产生</w:t>
      </w:r>
      <w:r>
        <w:rPr>
          <w:rFonts w:hint="default" w:ascii="Times New Roman" w:hAnsi="Times New Roman" w:eastAsia="方正仿宋_GBK" w:cs="Times New Roman"/>
          <w:sz w:val="32"/>
          <w:szCs w:val="32"/>
          <w:shd w:val="clear" w:color="auto" w:fill="auto"/>
        </w:rPr>
        <w:t>“三公”经费</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我单位属于二级下属机构，统一在机关核算，未产生</w:t>
      </w:r>
      <w:r>
        <w:rPr>
          <w:rFonts w:hint="default" w:ascii="Times New Roman" w:hAnsi="Times New Roman" w:eastAsia="方正仿宋_GBK" w:cs="Times New Roman"/>
          <w:sz w:val="32"/>
          <w:szCs w:val="32"/>
          <w:shd w:val="clear" w:color="auto" w:fill="auto"/>
        </w:rPr>
        <w:t>“三公”经费</w:t>
      </w:r>
      <w:r>
        <w:rPr>
          <w:rFonts w:hint="default" w:ascii="Times New Roman" w:hAnsi="Times New Roman" w:eastAsia="方正仿宋_GBK" w:cs="Times New Roman"/>
          <w:sz w:val="32"/>
          <w:szCs w:val="32"/>
          <w:shd w:val="clear" w:color="auto" w:fill="auto"/>
          <w:lang w:eastAsia="zh-CN"/>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sz w:val="32"/>
          <w:szCs w:val="32"/>
          <w:shd w:val="clear" w:color="auto" w:fill="FFFFFF"/>
        </w:rPr>
        <w:t>主要是用于</w:t>
      </w:r>
      <w:r>
        <w:rPr>
          <w:rFonts w:hint="default"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发生的费用</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购买公务车</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万元，主要用于市内因公出行、乡镇检查等工作所需车辆的燃料费、维修费、过桥过路费、保险费等。费用支出较年初预算数无增减，主要原因是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rPr>
        <w:t>主要用于接待市级部门到我县指导业务工作、部分企业到我县考察相关项目等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本年度会议费支出0.00万元，较上年决算数无增减，主要原因是</w:t>
      </w:r>
      <w:r>
        <w:rPr>
          <w:rStyle w:val="10"/>
          <w:rFonts w:hint="eastAsia" w:ascii="Times New Roman" w:hAnsi="Times New Roman" w:eastAsia="方正仿宋_GBK" w:cs="Times New Roman"/>
          <w:b w:val="0"/>
          <w:bCs/>
          <w:sz w:val="32"/>
          <w:szCs w:val="32"/>
          <w:shd w:val="clear" w:color="auto" w:fill="auto"/>
          <w:lang w:val="en-US" w:eastAsia="zh-CN"/>
        </w:rPr>
        <w:t>为举办大型会议</w:t>
      </w:r>
      <w:r>
        <w:rPr>
          <w:rStyle w:val="10"/>
          <w:rFonts w:hint="default" w:ascii="Times New Roman" w:hAnsi="Times New Roman" w:eastAsia="方正仿宋_GBK" w:cs="Times New Roman"/>
          <w:b w:val="0"/>
          <w:bCs/>
          <w:sz w:val="32"/>
          <w:szCs w:val="32"/>
          <w:shd w:val="clear" w:color="auto" w:fill="auto"/>
        </w:rPr>
        <w:t>。本年度培训费支出0.</w:t>
      </w:r>
      <w:r>
        <w:rPr>
          <w:rStyle w:val="10"/>
          <w:rFonts w:hint="eastAsia" w:ascii="Times New Roman" w:hAnsi="Times New Roman" w:eastAsia="方正仿宋_GBK" w:cs="Times New Roman"/>
          <w:b w:val="0"/>
          <w:bCs/>
          <w:sz w:val="32"/>
          <w:szCs w:val="32"/>
          <w:shd w:val="clear" w:color="auto" w:fill="auto"/>
          <w:lang w:val="en-US" w:eastAsia="zh-CN"/>
        </w:rPr>
        <w:t>37</w:t>
      </w:r>
      <w:r>
        <w:rPr>
          <w:rStyle w:val="10"/>
          <w:rFonts w:hint="default" w:ascii="Times New Roman" w:hAnsi="Times New Roman" w:eastAsia="方正仿宋_GBK" w:cs="Times New Roman"/>
          <w:b w:val="0"/>
          <w:bCs/>
          <w:sz w:val="32"/>
          <w:szCs w:val="32"/>
          <w:shd w:val="clear" w:color="auto" w:fill="auto"/>
        </w:rPr>
        <w:t>万元，较上年决算数增加0.</w:t>
      </w:r>
      <w:r>
        <w:rPr>
          <w:rStyle w:val="10"/>
          <w:rFonts w:hint="eastAsia" w:ascii="Times New Roman" w:hAnsi="Times New Roman" w:eastAsia="方正仿宋_GBK" w:cs="Times New Roman"/>
          <w:b w:val="0"/>
          <w:bCs/>
          <w:sz w:val="32"/>
          <w:szCs w:val="32"/>
          <w:shd w:val="clear" w:color="auto" w:fill="auto"/>
          <w:lang w:val="en-US" w:eastAsia="zh-CN"/>
        </w:rPr>
        <w:t>37</w:t>
      </w:r>
      <w:r>
        <w:rPr>
          <w:rStyle w:val="10"/>
          <w:rFonts w:hint="default" w:ascii="Times New Roman" w:hAnsi="Times New Roman" w:eastAsia="方正仿宋_GBK" w:cs="Times New Roman"/>
          <w:b w:val="0"/>
          <w:bCs/>
          <w:sz w:val="32"/>
          <w:szCs w:val="32"/>
          <w:shd w:val="clear" w:color="auto" w:fill="auto"/>
        </w:rPr>
        <w:t>万元，增长100.00%，主要原因是</w:t>
      </w:r>
      <w:r>
        <w:rPr>
          <w:rStyle w:val="10"/>
          <w:rFonts w:hint="eastAsia" w:ascii="Times New Roman" w:hAnsi="Times New Roman" w:eastAsia="方正仿宋_GBK" w:cs="Times New Roman"/>
          <w:b w:val="0"/>
          <w:bCs/>
          <w:sz w:val="32"/>
          <w:szCs w:val="32"/>
          <w:shd w:val="clear" w:color="auto" w:fill="auto"/>
          <w:lang w:val="en-US" w:eastAsia="zh-CN"/>
        </w:rPr>
        <w:t>2022年该单位未单独核算</w:t>
      </w:r>
      <w:r>
        <w:rPr>
          <w:rStyle w:val="10"/>
          <w:rFonts w:hint="default" w:ascii="Times New Roman" w:hAnsi="Times New Roman" w:eastAsia="方正仿宋_GBK" w:cs="Times New Roman"/>
          <w:b w:val="0"/>
          <w:bCs/>
          <w:sz w:val="32"/>
          <w:szCs w:val="32"/>
          <w:shd w:val="clear" w:color="auto" w:fill="auto"/>
        </w:rPr>
        <w:t>。</w:t>
      </w:r>
    </w:p>
    <w:p>
      <w:pPr>
        <w:pStyle w:val="13"/>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按照部门决算列报口径，我单位不在机关运行经费统计范围之内。</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lang w:val="en-US" w:eastAsia="zh-CN"/>
        </w:rPr>
      </w:pPr>
      <w:r>
        <w:rPr>
          <w:rStyle w:val="10"/>
          <w:rFonts w:hint="eastAsia" w:ascii="Times New Roman" w:hAnsi="Times New Roman" w:eastAsia="方正仿宋_GBK" w:cs="Times New Roman"/>
          <w:b w:val="0"/>
          <w:bCs/>
          <w:sz w:val="32"/>
          <w:szCs w:val="32"/>
          <w:shd w:val="clear" w:color="auto" w:fill="auto"/>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2023年度我单位未发生政府采购事项，无相关经费支出。</w:t>
      </w:r>
    </w:p>
    <w:p>
      <w:pPr>
        <w:pStyle w:val="13"/>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5"/>
          <w:rFonts w:hint="default" w:ascii="Times New Roman" w:hAnsi="Times New Roman" w:eastAsia="方正仿宋_GBK" w:cs="Times New Roman"/>
          <w:color w:val="auto"/>
          <w:sz w:val="32"/>
          <w:szCs w:val="32"/>
          <w:highlight w:val="yellow"/>
          <w:shd w:val="clear" w:color="auto" w:fill="FFFFFF"/>
        </w:rPr>
      </w:pPr>
      <w:r>
        <w:rPr>
          <w:rFonts w:hint="eastAsia" w:ascii="Times New Roman" w:hAnsi="Times New Roman" w:eastAsia="方正仿宋_GBK" w:cs="Times New Roman"/>
          <w:sz w:val="32"/>
          <w:szCs w:val="32"/>
          <w:shd w:val="clear" w:color="auto" w:fill="FFFFFF"/>
          <w:lang w:eastAsia="zh-CN" w:bidi="ar"/>
        </w:rPr>
        <w:t>本单位为文旅委二级机构，项目绩效在文旅委本级核算，该机构不存在单独进行绩效自评的情况。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5"/>
          <w:rFonts w:hint="default" w:ascii="Times New Roman" w:hAnsi="Times New Roman" w:eastAsia="方正仿宋_GBK" w:cs="Times New Roman"/>
          <w:color w:val="auto"/>
          <w:sz w:val="32"/>
          <w:szCs w:val="32"/>
          <w:highlight w:val="yellow"/>
          <w:shd w:val="clear" w:color="auto" w:fill="FFFFFF"/>
        </w:rPr>
      </w:pPr>
      <w:r>
        <w:rPr>
          <w:rFonts w:hint="eastAsia" w:ascii="Times New Roman" w:hAnsi="Times New Roman" w:eastAsia="方正仿宋_GBK" w:cs="Times New Roman"/>
          <w:sz w:val="32"/>
          <w:szCs w:val="32"/>
          <w:shd w:val="clear" w:color="auto" w:fill="FFFFFF"/>
          <w:lang w:eastAsia="zh-CN" w:bidi="ar"/>
        </w:rPr>
        <w:t>本单位为文旅委二级机构，项目绩效在文旅委本级核算，该机构不存在单独进行绩效评价的情况。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bidi="ar"/>
        </w:rPr>
        <w:t>委托第三方对我单位</w:t>
      </w:r>
      <w:r>
        <w:rPr>
          <w:rFonts w:hint="eastAsia" w:ascii="Times New Roman" w:hAnsi="Times New Roman" w:eastAsia="方正仿宋_GBK" w:cs="Times New Roman"/>
          <w:sz w:val="32"/>
          <w:szCs w:val="32"/>
          <w:shd w:val="clear" w:color="auto" w:fill="FFFFFF"/>
          <w:lang w:eastAsia="zh-CN" w:bidi="ar"/>
        </w:rPr>
        <w:t>开展</w:t>
      </w:r>
      <w:r>
        <w:rPr>
          <w:rFonts w:hint="default" w:ascii="Times New Roman" w:hAnsi="Times New Roman" w:eastAsia="方正仿宋_GBK" w:cs="Times New Roman"/>
          <w:sz w:val="32"/>
          <w:szCs w:val="32"/>
          <w:shd w:val="clear" w:color="auto" w:fill="FFFFFF"/>
          <w:lang w:bidi="ar"/>
        </w:rPr>
        <w:t>绩效评价</w:t>
      </w:r>
      <w:r>
        <w:rPr>
          <w:rFonts w:hint="eastAsia" w:ascii="Times New Roman" w:hAnsi="Times New Roman" w:eastAsia="方正仿宋_GBK" w:cs="Times New Roman"/>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袁冰婷</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76895733</w:t>
      </w:r>
      <w:r>
        <w:rPr>
          <w:rFonts w:hint="default" w:ascii="Times New Roman" w:hAnsi="Times New Roman" w:eastAsia="方正仿宋_GBK" w:cs="Times New Roman"/>
          <w:color w:val="auto"/>
          <w:sz w:val="32"/>
          <w:szCs w:val="32"/>
          <w:shd w:val="clear" w:color="auto" w:fill="FFFFFF"/>
        </w:rPr>
        <w:t>）</w:t>
      </w: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重庆市秀山土家族苗族自治县文化旅游宣传中心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133.48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133.48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133.48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133.48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重庆市秀山土家族苗族自治县文化旅游宣传中心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133.48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133.48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重庆市秀山土家族苗族自治县文化旅游宣传中心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133.48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133.48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重庆市秀山土家族苗族自治县文化旅游宣传中心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重庆市秀山土家族苗族自治县文化旅游宣传中心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重庆市秀山土家族苗族自治县文化旅游宣传中心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126.67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重庆市秀山土家族苗族自治县文化旅游宣传中心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重庆市秀山土家族苗族自治县文化旅游宣传中心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重庆市秀山土家族苗族自治县文化旅游宣传中心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0.37</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13FC6729"/>
    <w:multiLevelType w:val="singleLevel"/>
    <w:tmpl w:val="13FC672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D15BE"/>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605F6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701A74"/>
    <w:rsid w:val="3F885DCC"/>
    <w:rsid w:val="3FCD675E"/>
    <w:rsid w:val="4004000C"/>
    <w:rsid w:val="40BD5482"/>
    <w:rsid w:val="40F456A1"/>
    <w:rsid w:val="411B6CE5"/>
    <w:rsid w:val="412070D7"/>
    <w:rsid w:val="41314E40"/>
    <w:rsid w:val="41AD5AB2"/>
    <w:rsid w:val="41E0734B"/>
    <w:rsid w:val="426C1EA8"/>
    <w:rsid w:val="42736402"/>
    <w:rsid w:val="42E86A87"/>
    <w:rsid w:val="43307B09"/>
    <w:rsid w:val="439A3EB9"/>
    <w:rsid w:val="43BB152F"/>
    <w:rsid w:val="44C37687"/>
    <w:rsid w:val="45CB699A"/>
    <w:rsid w:val="45D26FA3"/>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3F777A6"/>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5263AE"/>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Date"/>
    <w:basedOn w:val="1"/>
    <w:next w:val="1"/>
    <w:qFormat/>
    <w:uiPriority w:val="0"/>
    <w:pPr>
      <w:widowControl w:val="0"/>
      <w:ind w:left="100" w:leftChars="2500"/>
      <w:jc w:val="both"/>
    </w:pPr>
    <w:rPr>
      <w:rFonts w:ascii="Calibri" w:hAnsi="Calibri" w:eastAsia="宋体" w:cs="Times New Roman"/>
      <w:kern w:val="2"/>
      <w:sz w:val="21"/>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2024-10-08T06:05:51Z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