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w w:val="90"/>
          <w:sz w:val="44"/>
          <w:szCs w:val="44"/>
          <w:lang w:eastAsia="zh-CN"/>
        </w:rPr>
        <w:t>重庆市</w:t>
      </w:r>
      <w:r>
        <w:rPr>
          <w:rFonts w:hint="default" w:ascii="Times New Roman" w:hAnsi="Times New Roman" w:eastAsia="方正小标宋_GBK" w:cs="Times New Roman"/>
          <w:w w:val="90"/>
          <w:sz w:val="44"/>
          <w:szCs w:val="44"/>
          <w:lang w:eastAsia="zh-CN"/>
        </w:rPr>
        <w:t>秀山土家族苗族自治县文化和旅游发展委员会</w:t>
      </w:r>
      <w:r>
        <w:rPr>
          <w:rFonts w:hint="default" w:ascii="Times New Roman" w:hAnsi="Times New Roman" w:eastAsia="方正小标宋_GBK" w:cs="Times New Roman"/>
          <w:sz w:val="44"/>
          <w:szCs w:val="44"/>
          <w:lang w:eastAsia="zh-CN"/>
        </w:rPr>
        <w:t>2023年度决算公开说明</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rPr>
          <w:rStyle w:val="10"/>
          <w:rFonts w:ascii="黑体" w:hAnsi="黑体" w:eastAsia="黑体" w:cs="黑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1.贯彻执行党和国家宣传、文化、体育、旅游、广播电视、文物工作的方针政策和法律法规，拟订政策措施并组织实施。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订全县文化艺术、旅游、体育、广播电视、文物事业发展规划和政策，推进文化、体育和旅游融合发展，统筹推进体制机制改革；指导、管理文化创作生产和宣传工作，把握正确的工作导向、舆论导向和创作导向，推动先进文化发展；负责行业统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管理全县性重大文化、体育活动；负责全县旅游整体形象宣传和推广，促进文化、体育和旅游产业对外合作及市场推广；拟订全县旅游市场开发的营销战略并组织实施，指导、推进全域旅游；指导、协调、推动广播电视领域产业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整合公共文化服务资源，推动全县公共文化服务、旅游公共服务体系建设，深入实施文化、体育惠民工程，统筹推进基本公共文化服务标准化、均等化；指导基层文化、体育、旅游设施建设，指导乡镇（街道）文旅经济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5.组织实施旅游国家标准和行业标准；推进文化和旅游行业信息化、标准化建设，推动文化与科技融合，推进广电网与电信网、互联网三网融合。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6.统筹规划全县文化、体育产业和旅游产业，组织实施文化和旅游资源普查、挖掘、保护和利用工作。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指导全县文化、体育和旅游市场发展，对文化、体育和旅游市场经营进行行业监管，推进文化、体育和旅游行业信用体系建设，依法规范文化、体育和旅游市场；承担文化、体育市场和旅游经济运行监测体系建设工作，促进文化、体育和旅游产业发展；负责文化、体育和旅游市场的综合协调和监督管理并指导应急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8.负责对文化、体育、旅游、广播电视等经营事项的审核或审批，负责对从事演艺活动的民办机构的管理和监督，承担规范全县旅游市场秩序、监督旅游服务质量、维护旅游消费者和经营者合法权益的责任。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9.负责本行业系统安全和应急管理工作；负责文化市场综合执法，组织查处全县文化、体育、文物、广播电视、旅游等市场的违法行为，督查督办各类案件，维护市场秩序。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10.负责全县一星、二星、三星级饭店评定复核，1A、2A、3A级景区评定复核；负责全县四星、五星级饭店和4A、5A级景区推荐及指导工作。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11.指导并开展群众性体育活动，负责国民体质监测和社会体育指导员的培训工作；负责全县公共体育设施的建设、管理和使用。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拟定全县体育竞赛计划，组织全县综合性运动会，组织队伍参加上级和周边体育竞赛，承办上级交办的体育竞赛；制定全县青少年体育后备人才发展规划，开展后备人才的培训工作；负责等级裁判员和运动员的申报和审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13.负责全县广播电视规划和管理工作；负责对直播卫星广播电视地面接收设施的规划管理；对广播电视节目传输覆盖、监测和安全播出进行监管，负责全县广播体系建设。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14.负责全县文物保护管理工作，组织开展文物普查，履行文物安全督察职责；负责博物馆业务指导；组织实施非物质文化遗产的普查、保护、抢救和传承普及工作。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15.拟定全县文化体育和旅游行业人才队伍建设规划并组织实施，负责从业人员职业资格管理。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16.完成县委县政府交办的其他任务。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重庆市秀山县</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文化旅游委</w:t>
      </w:r>
      <w:r>
        <w:rPr>
          <w:rFonts w:hint="default" w:ascii="Times New Roman" w:hAnsi="Times New Roman" w:eastAsia="方正仿宋_GBK" w:cs="Times New Roman"/>
          <w:i w:val="0"/>
          <w:iCs w:val="0"/>
          <w:caps w:val="0"/>
          <w:color w:val="333333"/>
          <w:spacing w:val="0"/>
          <w:sz w:val="32"/>
          <w:szCs w:val="32"/>
          <w:shd w:val="clear" w:color="auto" w:fill="FFFFFF"/>
        </w:rPr>
        <w:t>为政府组成部门，内设</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333333"/>
          <w:spacing w:val="0"/>
          <w:sz w:val="32"/>
          <w:szCs w:val="32"/>
          <w:shd w:val="clear" w:color="auto" w:fill="FFFFFF"/>
        </w:rPr>
        <w:t>个职能科室，分别是：办公室</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、文化文物科、旅游发展科、体育科、广播电视科</w:t>
      </w:r>
      <w:r>
        <w:rPr>
          <w:rFonts w:hint="default" w:ascii="Times New Roman" w:hAnsi="Times New Roman" w:eastAsia="方正仿宋_GBK" w:cs="Times New Roman"/>
          <w:i w:val="0"/>
          <w:iCs w:val="0"/>
          <w:caps w:val="0"/>
          <w:color w:val="333333"/>
          <w:spacing w:val="0"/>
          <w:sz w:val="32"/>
          <w:szCs w:val="32"/>
          <w:shd w:val="clear" w:color="auto" w:fill="FFFFFF"/>
        </w:rPr>
        <w:t>、产业科（挂内审科牌子）</w:t>
      </w:r>
      <w:r>
        <w:rPr>
          <w:rFonts w:hint="eastAsia" w:ascii="Times New Roman" w:hAnsi="Times New Roman" w:eastAsia="方正仿宋_GBK" w:cs="Times New Roman"/>
          <w:i w:val="0"/>
          <w:iCs w:val="0"/>
          <w:caps w:val="0"/>
          <w:color w:val="333333"/>
          <w:spacing w:val="0"/>
          <w:sz w:val="32"/>
          <w:szCs w:val="32"/>
          <w:shd w:val="clear" w:color="auto" w:fill="FFFFFF"/>
          <w:lang w:eastAsia="zh-CN"/>
        </w:rPr>
        <w:t>、市场管理科（挂行政审批科牌子）、</w:t>
      </w:r>
      <w:r>
        <w:rPr>
          <w:rFonts w:hint="default" w:ascii="Times New Roman" w:hAnsi="Times New Roman" w:eastAsia="方正仿宋_GBK" w:cs="Times New Roman"/>
          <w:i w:val="0"/>
          <w:iCs w:val="0"/>
          <w:caps w:val="0"/>
          <w:color w:val="333333"/>
          <w:spacing w:val="0"/>
          <w:sz w:val="32"/>
          <w:szCs w:val="32"/>
          <w:shd w:val="clear" w:color="auto" w:fill="FFFFFF"/>
        </w:rPr>
        <w:t>3个下属事业单位。包</w:t>
      </w:r>
      <w:r>
        <w:rPr>
          <w:rFonts w:hint="default" w:ascii="仿宋_GB2312" w:hAnsi="微软雅黑" w:eastAsia="仿宋_GB2312" w:cs="仿宋_GB2312"/>
          <w:i w:val="0"/>
          <w:iCs w:val="0"/>
          <w:caps w:val="0"/>
          <w:color w:val="333333"/>
          <w:spacing w:val="0"/>
          <w:sz w:val="32"/>
          <w:szCs w:val="32"/>
          <w:shd w:val="clear" w:color="auto" w:fill="FFFFFF"/>
        </w:rPr>
        <w:t>含：</w:t>
      </w:r>
      <w:r>
        <w:rPr>
          <w:rFonts w:hint="eastAsia" w:ascii="方正仿宋_GBK" w:hAnsi="方正仿宋_GBK" w:eastAsia="方正仿宋_GBK" w:cs="方正仿宋_GBK"/>
          <w:kern w:val="0"/>
          <w:sz w:val="32"/>
          <w:szCs w:val="32"/>
          <w:shd w:val="clear" w:color="auto" w:fill="FFFFFF"/>
          <w:lang w:eastAsia="zh-CN"/>
        </w:rPr>
        <w:t>体育运动技术学校、文化旅游宣传中心、文化生态保护区建设服务中心</w:t>
      </w:r>
      <w:r>
        <w:rPr>
          <w:rFonts w:ascii="方正仿宋_GBK" w:hAnsi="方正仿宋_GBK" w:eastAsia="方正仿宋_GBK" w:cs="方正仿宋_GBK"/>
          <w:i w:val="0"/>
          <w:iCs w:val="0"/>
          <w:caps w:val="0"/>
          <w:color w:val="333333"/>
          <w:spacing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二级预算单位包括文化馆、图书馆、文物管理所。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二、部门决算情况说明</w:t>
      </w:r>
    </w:p>
    <w:p>
      <w:pPr>
        <w:pStyle w:val="13"/>
        <w:keepNext w:val="0"/>
        <w:keepLines w:val="0"/>
        <w:pageBreakBefore w:val="0"/>
        <w:kinsoku/>
        <w:overflowPunct/>
        <w:topLinePunct w:val="0"/>
        <w:autoSpaceDE w:val="0"/>
        <w:autoSpaceDN/>
        <w:bidi w:val="0"/>
        <w:adjustRightInd/>
        <w:spacing w:beforeAutospacing="0" w:afterAutospacing="0" w:line="560" w:lineRule="exact"/>
        <w:ind w:right="0" w:rightChars="0" w:firstLine="643"/>
        <w:rPr>
          <w:rFonts w:ascii="楷体" w:hAnsi="楷体" w:eastAsia="楷体" w:cs="楷体"/>
          <w:b/>
          <w:bCs/>
          <w:sz w:val="32"/>
          <w:szCs w:val="32"/>
          <w:shd w:val="clear" w:color="auto" w:fill="FFFFFF"/>
        </w:rPr>
      </w:pPr>
      <w:r>
        <w:rPr>
          <w:rStyle w:val="10"/>
          <w:rFonts w:hint="eastAsia"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Style w:val="10"/>
          <w:rFonts w:hint="default" w:ascii="Times New Roman" w:hAnsi="Times New Roman" w:eastAsia="方正仿宋_GBK" w:cs="Times New Roman"/>
          <w:b w:val="0"/>
          <w:bCs/>
          <w:sz w:val="32"/>
          <w:szCs w:val="32"/>
          <w:shd w:val="clear" w:color="auto" w:fill="FFFFFF"/>
        </w:rPr>
        <w:t>2023年度收入总计4034.73万元，支出总计4034.73万元。收支较上年决算数减少410.34万元，下降9.23%，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snapToGrid w:val="0"/>
        <w:spacing w:before="0" w:beforeAutospacing="0" w:after="0" w:afterAutospacing="0" w:line="600"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Style w:val="10"/>
          <w:rFonts w:hint="default" w:ascii="Times New Roman" w:hAnsi="Times New Roman" w:eastAsia="方正仿宋_GBK" w:cs="Times New Roman"/>
          <w:b w:val="0"/>
          <w:bCs/>
          <w:sz w:val="32"/>
          <w:szCs w:val="32"/>
          <w:shd w:val="clear" w:color="auto" w:fill="FFFFFF"/>
        </w:rPr>
        <w:t>2023年度收入合计3906.88万元，较上年决算数减少68.11万元，下降1.71%，</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专项资金减少</w:t>
      </w:r>
      <w:r>
        <w:rPr>
          <w:rFonts w:hint="default" w:ascii="Times New Roman" w:hAnsi="Times New Roman" w:eastAsia="方正仿宋_GBK" w:cs="Times New Roman"/>
          <w:color w:val="auto"/>
          <w:sz w:val="32"/>
          <w:szCs w:val="32"/>
          <w:shd w:val="clear" w:color="auto" w:fill="FFFFFF"/>
        </w:rPr>
        <w:t>。</w:t>
      </w:r>
      <w:r>
        <w:rPr>
          <w:rStyle w:val="10"/>
          <w:rFonts w:hint="default" w:ascii="Times New Roman" w:hAnsi="Times New Roman" w:eastAsia="方正仿宋_GBK" w:cs="Times New Roman"/>
          <w:b w:val="0"/>
          <w:bCs/>
          <w:sz w:val="32"/>
          <w:szCs w:val="32"/>
          <w:shd w:val="clear" w:color="auto" w:fill="FFFFFF"/>
        </w:rPr>
        <w:t>其中：财政拨款收入3892.61万元，占99.63%；事业收入0.00万元，占0.00%；经营收入0.00万元，占0.00%；其他收入14.27万元，占0.37%。此外，使用非财政拨款结余和专用结余0.00万元，年初结转和结余127.85万元。</w:t>
      </w:r>
    </w:p>
    <w:p>
      <w:pPr>
        <w:pStyle w:val="8"/>
        <w:snapToGrid w:val="0"/>
        <w:spacing w:before="0" w:beforeAutospacing="0" w:after="0" w:afterAutospacing="0" w:line="600"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Style w:val="10"/>
          <w:rFonts w:hint="default" w:ascii="Times New Roman" w:hAnsi="Times New Roman" w:eastAsia="方正仿宋_GBK" w:cs="Times New Roman"/>
          <w:b w:val="0"/>
          <w:bCs/>
          <w:sz w:val="32"/>
          <w:szCs w:val="32"/>
          <w:shd w:val="clear" w:color="auto" w:fill="FFFFFF"/>
        </w:rPr>
        <w:t>2023年度支出合计4027.43万元，较上年决算数减少395.24万元，下降8.94%，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r>
        <w:rPr>
          <w:rStyle w:val="10"/>
          <w:rFonts w:hint="default" w:ascii="Times New Roman" w:hAnsi="Times New Roman" w:eastAsia="方正仿宋_GBK" w:cs="Times New Roman"/>
          <w:b w:val="0"/>
          <w:bCs/>
          <w:sz w:val="32"/>
          <w:szCs w:val="32"/>
          <w:shd w:val="clear" w:color="auto" w:fill="FFFFFF"/>
        </w:rPr>
        <w:t>其中：基本支出1458.82万元，占36.22%；项目支出2568.61万元，占63.78%；经营支出0.00万元，占0.00%。此外，结余分配0.00万元。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sz w:val="32"/>
          <w:szCs w:val="32"/>
          <w:shd w:val="clear" w:color="auto" w:fill="FFFFFF"/>
        </w:rPr>
        <w:t>4.结转结余情况。</w:t>
      </w:r>
      <w:r>
        <w:rPr>
          <w:rStyle w:val="10"/>
          <w:rFonts w:hint="default" w:ascii="Times New Roman" w:hAnsi="Times New Roman" w:eastAsia="方正仿宋_GBK" w:cs="Times New Roman"/>
          <w:b w:val="0"/>
          <w:bCs/>
          <w:sz w:val="32"/>
          <w:szCs w:val="32"/>
          <w:shd w:val="clear" w:color="auto" w:fill="FFFFFF"/>
        </w:rPr>
        <w:t>2023年度年末结转和结余7.30万元，较上年决算数减少15.10万元，下降67.41%，主要原因是</w:t>
      </w:r>
      <w:r>
        <w:rPr>
          <w:rStyle w:val="10"/>
          <w:rFonts w:hint="eastAsia" w:ascii="Times New Roman" w:hAnsi="Times New Roman" w:eastAsia="方正仿宋_GBK" w:cs="Times New Roman"/>
          <w:b w:val="0"/>
          <w:bCs/>
          <w:sz w:val="32"/>
          <w:szCs w:val="32"/>
          <w:shd w:val="clear" w:color="auto" w:fill="auto"/>
          <w:lang w:val="en-US" w:eastAsia="zh-CN"/>
        </w:rPr>
        <w:t>支付进度加快，非同级财政拨款及其他收入结转减少</w:t>
      </w:r>
      <w:r>
        <w:rPr>
          <w:rStyle w:val="10"/>
          <w:rFonts w:hint="default" w:ascii="Times New Roman" w:hAnsi="Times New Roman" w:eastAsia="方正仿宋_GBK" w:cs="Times New Roman"/>
          <w:b w:val="0"/>
          <w:bCs/>
          <w:sz w:val="32"/>
          <w:szCs w:val="32"/>
          <w:shd w:val="clear" w:color="auto" w:fill="auto"/>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eastAsia"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2023年度财政拨款收、支总计3998.17万元。与2022年相比，财政拨款收、支总计各减少352.10万元，下降8.09%。主要原因是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eastAsia"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1.收入情况。</w:t>
      </w:r>
      <w:r>
        <w:rPr>
          <w:rStyle w:val="10"/>
          <w:rFonts w:hint="default" w:ascii="Times New Roman" w:hAnsi="Times New Roman" w:eastAsia="方正仿宋_GBK" w:cs="Times New Roman"/>
          <w:b w:val="0"/>
          <w:bCs/>
          <w:sz w:val="32"/>
          <w:szCs w:val="32"/>
          <w:shd w:val="clear" w:color="auto" w:fill="FFFFFF"/>
        </w:rPr>
        <w:t>2023年度一般公共预算财政拨款收入2809.03万元，较上年决算数减少149.73万元，下降5.06%。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部分项目资金结转下年</w:t>
      </w:r>
      <w:r>
        <w:rPr>
          <w:rStyle w:val="10"/>
          <w:rFonts w:hint="default" w:ascii="Times New Roman" w:hAnsi="Times New Roman" w:eastAsia="方正仿宋_GBK" w:cs="Times New Roman"/>
          <w:b w:val="0"/>
          <w:bCs/>
          <w:sz w:val="32"/>
          <w:szCs w:val="32"/>
          <w:shd w:val="clear" w:color="auto" w:fill="FFFFFF"/>
        </w:rPr>
        <w:t>。较年初预算数减少396.08万元，下降12.36%。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部分项目资金结转下年</w:t>
      </w:r>
      <w:r>
        <w:rPr>
          <w:rStyle w:val="10"/>
          <w:rFonts w:hint="default" w:ascii="Times New Roman" w:hAnsi="Times New Roman" w:eastAsia="方正仿宋_GBK" w:cs="Times New Roman"/>
          <w:b w:val="0"/>
          <w:bCs/>
          <w:sz w:val="32"/>
          <w:szCs w:val="32"/>
          <w:shd w:val="clear" w:color="auto" w:fill="FFFFFF"/>
        </w:rPr>
        <w:t>。此外，年初财政拨款结转和结余86.15万元。</w:t>
      </w:r>
    </w:p>
    <w:p>
      <w:pPr>
        <w:pStyle w:val="8"/>
        <w:snapToGrid w:val="0"/>
        <w:spacing w:before="0" w:beforeAutospacing="0" w:after="0" w:afterAutospacing="0" w:line="600"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Style w:val="10"/>
          <w:rFonts w:hint="default" w:ascii="Times New Roman" w:hAnsi="Times New Roman" w:eastAsia="方正仿宋_GBK" w:cs="Times New Roman"/>
          <w:b w:val="0"/>
          <w:bCs/>
          <w:sz w:val="32"/>
          <w:szCs w:val="32"/>
          <w:shd w:val="clear" w:color="auto" w:fill="FFFFFF"/>
        </w:rPr>
        <w:t>2023年度一般公共预算财政拨款支出2895.15万元，较上年决算数减少345.09万元，下降10.65%。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部分项目资金结转下年支付</w:t>
      </w:r>
      <w:r>
        <w:rPr>
          <w:rStyle w:val="10"/>
          <w:rFonts w:hint="default" w:ascii="Times New Roman" w:hAnsi="Times New Roman" w:eastAsia="方正仿宋_GBK" w:cs="Times New Roman"/>
          <w:b w:val="0"/>
          <w:bCs/>
          <w:sz w:val="32"/>
          <w:szCs w:val="32"/>
          <w:shd w:val="clear" w:color="auto" w:fill="FFFFFF"/>
        </w:rPr>
        <w:t>。较年初预算数减少1203.99万元，下降29.37%。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Style w:val="10"/>
          <w:rFonts w:hint="default" w:ascii="Times New Roman" w:hAnsi="Times New Roman" w:eastAsia="方正仿宋_GBK" w:cs="Times New Roman"/>
          <w:b w:val="0"/>
          <w:bCs/>
          <w:sz w:val="32"/>
          <w:szCs w:val="32"/>
          <w:shd w:val="clear" w:color="auto" w:fill="FFFFFF"/>
        </w:rPr>
        <w:t>2023年度年末一般公共预算财政拨款结转和结余0.03万元，较上年决算数减少0.07万元，下降70.00%，</w:t>
      </w:r>
      <w:r>
        <w:rPr>
          <w:rStyle w:val="10"/>
          <w:rFonts w:hint="eastAsia" w:ascii="Times New Roman" w:hAnsi="Times New Roman" w:eastAsia="方正仿宋_GBK" w:cs="Times New Roman"/>
          <w:b w:val="0"/>
          <w:bCs/>
          <w:sz w:val="32"/>
          <w:szCs w:val="32"/>
          <w:shd w:val="clear" w:color="auto" w:fill="FFFFFF"/>
          <w:lang w:eastAsia="zh-CN"/>
        </w:rPr>
        <w:t>主要原因是支出增加造成结转减少</w:t>
      </w:r>
      <w:r>
        <w:rPr>
          <w:rStyle w:val="10"/>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（1）一般公共服务支出9.81万元，占0.34%，较年初预算数增加9.81万元，增长100.00%，主要原因是</w:t>
      </w:r>
      <w:r>
        <w:rPr>
          <w:rFonts w:hint="eastAsia" w:ascii="Times New Roman" w:hAnsi="Times New Roman" w:eastAsia="方正仿宋_GBK" w:cs="Times New Roman"/>
          <w:sz w:val="32"/>
          <w:szCs w:val="32"/>
          <w:shd w:val="clear" w:color="auto" w:fill="FFFFFF"/>
          <w:lang w:eastAsia="zh-CN"/>
        </w:rPr>
        <w:t>招商引资经费与固定投资奖励由该科目核算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）文化旅游体育与传媒支出2438.32万元，占84.22%，较年初预算数减少1223.92万元，下降33.42%，主要原因是</w:t>
      </w:r>
      <w:r>
        <w:rPr>
          <w:rFonts w:hint="eastAsia" w:ascii="Times New Roman" w:hAnsi="Times New Roman" w:eastAsia="方正仿宋_GBK" w:cs="Times New Roman"/>
          <w:sz w:val="32"/>
          <w:szCs w:val="32"/>
          <w:shd w:val="clear" w:color="auto" w:fill="FFFFFF"/>
          <w:lang w:eastAsia="zh-CN"/>
        </w:rPr>
        <w:t>专项支出结转下年支付，如生态保护区创建资金、公共文化服务体系建设资金</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）社会保障与就业支出247.51万元，占8.55%，较年初预算数减少31.74万元，下降11.37%，主要原因是</w:t>
      </w:r>
      <w:r>
        <w:rPr>
          <w:rFonts w:hint="eastAsia" w:ascii="Times New Roman" w:hAnsi="Times New Roman" w:eastAsia="方正仿宋_GBK" w:cs="Times New Roman"/>
          <w:sz w:val="32"/>
          <w:szCs w:val="32"/>
          <w:shd w:val="clear" w:color="auto" w:fill="FFFFFF"/>
          <w:lang w:eastAsia="zh-CN"/>
        </w:rPr>
        <w:t>整体社保基数核算下降</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）卫生健康支出56.79万元，占1.96%，较年初预算数增加3.37万元，增长6.31%，主要原因是</w:t>
      </w:r>
      <w:r>
        <w:rPr>
          <w:rFonts w:hint="eastAsia" w:ascii="Times New Roman" w:hAnsi="Times New Roman" w:eastAsia="方正仿宋_GBK" w:cs="Times New Roman"/>
          <w:color w:val="auto"/>
          <w:sz w:val="32"/>
          <w:szCs w:val="32"/>
          <w:shd w:val="clear" w:color="auto" w:fill="FFFFFF"/>
          <w:lang w:eastAsia="zh-CN"/>
        </w:rPr>
        <w:t>人员变动，缴费基数增加</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）农林水支出51.21万元，占1.77%，较年初预算数增加48.13万元，增长1562.66%，主要原因是</w:t>
      </w:r>
      <w:r>
        <w:rPr>
          <w:rFonts w:hint="eastAsia" w:ascii="Times New Roman" w:hAnsi="Times New Roman" w:eastAsia="方正仿宋_GBK" w:cs="Times New Roman"/>
          <w:color w:val="auto"/>
          <w:sz w:val="32"/>
          <w:szCs w:val="32"/>
          <w:shd w:val="clear" w:color="auto" w:fill="FFFFFF"/>
          <w:lang w:eastAsia="zh-CN"/>
        </w:rPr>
        <w:t>乡村振兴资金增加。</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）资源勘探信息等支出10.00万元，占0.35%，较年初预算数增加10.00万元，增长100.00%，主要原因是</w:t>
      </w:r>
      <w:r>
        <w:rPr>
          <w:rFonts w:hint="eastAsia" w:ascii="Times New Roman" w:hAnsi="Times New Roman" w:eastAsia="方正仿宋_GBK" w:cs="Times New Roman"/>
          <w:color w:val="auto"/>
          <w:sz w:val="32"/>
          <w:szCs w:val="32"/>
          <w:shd w:val="clear" w:color="auto" w:fill="FFFFFF"/>
          <w:lang w:eastAsia="zh-CN"/>
        </w:rPr>
        <w:t>增加了“四上”企业奖励</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）住房保障支出81.51万元，占2.82%，较年初预算数减少19.62万元，下降19.40%，主要原因是</w:t>
      </w:r>
      <w:r>
        <w:rPr>
          <w:rFonts w:hint="eastAsia" w:ascii="Times New Roman" w:hAnsi="Times New Roman" w:eastAsia="方正仿宋_GBK" w:cs="Times New Roman"/>
          <w:sz w:val="32"/>
          <w:szCs w:val="32"/>
          <w:shd w:val="clear" w:color="auto" w:fill="FFFFFF"/>
          <w:lang w:eastAsia="zh-CN"/>
        </w:rPr>
        <w:t>人员变动，基数变动</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kinsoku/>
        <w:overflowPunct/>
        <w:topLinePunct w:val="0"/>
        <w:autoSpaceDE w:val="0"/>
        <w:autoSpaceDN/>
        <w:bidi w:val="0"/>
        <w:adjustRightInd/>
        <w:spacing w:beforeAutospacing="0" w:afterAutospacing="0" w:line="560" w:lineRule="exact"/>
        <w:ind w:right="0" w:rightChars="0" w:firstLine="643"/>
        <w:rPr>
          <w:rFonts w:ascii="楷体" w:hAnsi="楷体" w:eastAsia="楷体" w:cs="楷体"/>
          <w:b/>
          <w:bCs/>
          <w:sz w:val="32"/>
          <w:szCs w:val="32"/>
          <w:shd w:val="clear" w:color="auto" w:fill="FFFFFF"/>
        </w:rPr>
      </w:pPr>
      <w:r>
        <w:rPr>
          <w:rStyle w:val="10"/>
          <w:rFonts w:hint="eastAsia"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2023年度一般公共财政拨款基本支出1458.67万元。其中：人员经费1323.30万元，较上年决算数减少86.08万元，下降6.11%，主要原因是</w:t>
      </w:r>
      <w:r>
        <w:rPr>
          <w:rFonts w:hint="eastAsia" w:ascii="Times New Roman" w:hAnsi="Times New Roman" w:eastAsia="方正仿宋_GBK" w:cs="Times New Roman"/>
          <w:sz w:val="32"/>
          <w:szCs w:val="32"/>
          <w:shd w:val="clear" w:color="auto" w:fill="FFFFFF"/>
          <w:lang w:eastAsia="zh-CN"/>
        </w:rPr>
        <w:t>人员变动，且退休人数增加，分机构核算人员经费</w:t>
      </w:r>
      <w:r>
        <w:rPr>
          <w:rFonts w:hint="default" w:ascii="Times New Roman" w:hAnsi="Times New Roman" w:eastAsia="方正仿宋_GBK" w:cs="Times New Roman"/>
          <w:sz w:val="32"/>
          <w:szCs w:val="32"/>
          <w:shd w:val="clear" w:color="auto" w:fill="FFFFFF"/>
        </w:rPr>
        <w:t>。人员经费用途主要包括基本工资、津贴补贴、奖金、社会保障缴费等</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公用经费135.37万元，较上年决算数减少53.84万元，下降28.46%，主要原因是</w:t>
      </w:r>
      <w:r>
        <w:rPr>
          <w:rFonts w:hint="eastAsia" w:ascii="Times New Roman" w:hAnsi="Times New Roman" w:eastAsia="方正仿宋_GBK" w:cs="Times New Roman"/>
          <w:sz w:val="32"/>
          <w:szCs w:val="32"/>
          <w:shd w:val="clear" w:color="auto" w:fill="FFFFFF"/>
          <w:lang w:eastAsia="zh-CN"/>
        </w:rPr>
        <w:t>分机构核算公用经费</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w:t>
      </w:r>
      <w:r>
        <w:rPr>
          <w:rFonts w:hint="default" w:ascii="Times New Roman" w:hAnsi="Times New Roman" w:eastAsia="方正仿宋_GBK" w:cs="Times New Roman"/>
          <w:sz w:val="32"/>
          <w:szCs w:val="32"/>
          <w:shd w:val="clear" w:color="auto" w:fill="FFFFFF"/>
        </w:rPr>
        <w:t>公费、差旅费、公务接待费、邮电费、委托业务费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公务用车运行维护费等。</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2023年度政府性基金预算财政拨款年初结转结余19.41万元，年末结转结余0.00万元。本年收入1083.58万元，较上年决算数增加161.37万元，增长17.50%，主要原因是</w:t>
      </w:r>
      <w:r>
        <w:rPr>
          <w:rFonts w:hint="default" w:ascii="Times New Roman" w:hAnsi="Times New Roman" w:eastAsia="方正仿宋_GBK" w:cs="Times New Roman"/>
          <w:color w:val="auto"/>
          <w:sz w:val="32"/>
          <w:szCs w:val="32"/>
          <w:shd w:val="clear" w:color="auto" w:fill="FFFFFF"/>
          <w:lang w:eastAsia="zh-CN"/>
        </w:rPr>
        <w:t>基建项目增加，如体育馆排危修缮项目</w:t>
      </w:r>
      <w:r>
        <w:rPr>
          <w:rFonts w:hint="default" w:ascii="Times New Roman" w:hAnsi="Times New Roman" w:eastAsia="方正仿宋_GBK" w:cs="Times New Roman"/>
          <w:color w:val="auto"/>
          <w:sz w:val="32"/>
          <w:szCs w:val="32"/>
          <w:shd w:val="clear" w:color="auto" w:fill="FFFFFF"/>
        </w:rPr>
        <w:t>。本年支出1102.99万元，较上年决算数减少6.93万元，下降0.62%，主要原因是</w:t>
      </w:r>
      <w:r>
        <w:rPr>
          <w:rFonts w:hint="default" w:ascii="Times New Roman" w:hAnsi="Times New Roman" w:eastAsia="方正仿宋_GBK" w:cs="Times New Roman"/>
          <w:color w:val="auto"/>
          <w:sz w:val="32"/>
          <w:szCs w:val="32"/>
          <w:shd w:val="clear" w:color="auto" w:fill="FFFFFF"/>
          <w:lang w:eastAsia="zh-CN"/>
        </w:rPr>
        <w:t>本年无旅游发展基金</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default" w:ascii="Times New Roman" w:hAnsi="Times New Roman" w:eastAsia="方正仿宋_GBK" w:cs="Times New Roman"/>
          <w:b w:val="0"/>
          <w:bCs/>
          <w:sz w:val="32"/>
          <w:szCs w:val="32"/>
          <w:shd w:val="clear" w:color="auto" w:fill="auto"/>
        </w:rPr>
        <w:t>本</w:t>
      </w:r>
      <w:r>
        <w:rPr>
          <w:rStyle w:val="10"/>
          <w:rFonts w:hint="eastAsia" w:ascii="Times New Roman" w:hAnsi="Times New Roman" w:eastAsia="方正仿宋_GBK" w:cs="Times New Roman"/>
          <w:b w:val="0"/>
          <w:bCs/>
          <w:sz w:val="32"/>
          <w:szCs w:val="32"/>
          <w:shd w:val="clear" w:color="auto" w:fill="auto"/>
          <w:lang w:eastAsia="zh-CN"/>
        </w:rPr>
        <w:t>部门</w:t>
      </w:r>
      <w:r>
        <w:rPr>
          <w:rStyle w:val="10"/>
          <w:rFonts w:hint="default" w:ascii="Times New Roman" w:hAnsi="Times New Roman" w:eastAsia="方正仿宋_GBK" w:cs="Times New Roman"/>
          <w:b w:val="0"/>
          <w:bCs/>
          <w:sz w:val="32"/>
          <w:szCs w:val="32"/>
          <w:shd w:val="clear" w:color="auto" w:fill="auto"/>
        </w:rPr>
        <w:t>2023年度无国有资本经营预算财政拨款支出。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eastAsia="zh-CN"/>
        </w:rPr>
      </w:pPr>
      <w:r>
        <w:rPr>
          <w:rStyle w:val="10"/>
          <w:rFonts w:hint="default" w:ascii="Times New Roman" w:hAnsi="Times New Roman" w:eastAsia="方正黑体_GBK" w:cs="Times New Roman"/>
          <w:b w:val="0"/>
          <w:bCs/>
          <w:sz w:val="32"/>
          <w:szCs w:val="32"/>
          <w:shd w:val="clear" w:color="auto" w:fill="FFFFFF"/>
          <w:lang w:eastAsia="zh-CN"/>
        </w:rPr>
        <w:t>三、“三公”经费情况说明</w:t>
      </w:r>
    </w:p>
    <w:p>
      <w:pPr>
        <w:pStyle w:val="13"/>
        <w:keepNext w:val="0"/>
        <w:keepLines w:val="0"/>
        <w:pageBreakBefore w:val="0"/>
        <w:kinsoku/>
        <w:overflowPunct/>
        <w:topLinePunct w:val="0"/>
        <w:autoSpaceDE w:val="0"/>
        <w:autoSpaceDN/>
        <w:bidi w:val="0"/>
        <w:adjustRightInd/>
        <w:spacing w:beforeAutospacing="0" w:afterAutospacing="0" w:line="560" w:lineRule="exact"/>
        <w:ind w:right="0" w:rightChars="0" w:firstLine="643"/>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（一）“三公”经费支出总体情况说明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2023年度“三公”经费支出共计28.79万元，较年初预算数增加11.84万元，增长69.85%，主要原因是</w:t>
      </w:r>
      <w:r>
        <w:rPr>
          <w:rFonts w:hint="eastAsia" w:ascii="Times New Roman" w:hAnsi="Times New Roman" w:eastAsia="方正仿宋_GBK" w:cs="Times New Roman"/>
          <w:color w:val="auto"/>
          <w:sz w:val="32"/>
          <w:szCs w:val="32"/>
          <w:shd w:val="clear" w:color="auto" w:fill="FFFFFF"/>
          <w:lang w:eastAsia="zh-CN"/>
        </w:rPr>
        <w:t>该年度产生公务车购置费</w:t>
      </w:r>
      <w:r>
        <w:rPr>
          <w:rFonts w:hint="default" w:ascii="Times New Roman" w:hAnsi="Times New Roman" w:eastAsia="方正仿宋_GBK" w:cs="Times New Roman"/>
          <w:color w:val="auto"/>
          <w:sz w:val="32"/>
          <w:szCs w:val="32"/>
          <w:shd w:val="clear" w:color="auto" w:fill="FFFFFF"/>
        </w:rPr>
        <w:t>。较上年支出数增加17.62万元，增长157.74%，主要原因是</w:t>
      </w:r>
      <w:r>
        <w:rPr>
          <w:rFonts w:hint="eastAsia" w:ascii="Times New Roman" w:hAnsi="Times New Roman" w:eastAsia="方正仿宋_GBK" w:cs="Times New Roman"/>
          <w:color w:val="auto"/>
          <w:sz w:val="32"/>
          <w:szCs w:val="32"/>
          <w:shd w:val="clear" w:color="auto" w:fill="FFFFFF"/>
          <w:lang w:eastAsia="zh-CN"/>
        </w:rPr>
        <w:t>该年度产生公务车购置费</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2023年度本</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主要是用于</w:t>
      </w:r>
      <w:r>
        <w:rPr>
          <w:rFonts w:hint="default"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发生的费用</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lang w:eastAsia="zh-CN"/>
        </w:rPr>
        <w:t>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lang w:eastAsia="zh-CN"/>
        </w:rPr>
        <w:t>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17.98</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购买公务车</w:t>
      </w:r>
      <w:r>
        <w:rPr>
          <w:rFonts w:hint="default" w:ascii="Times New Roman" w:hAnsi="Times New Roman" w:eastAsia="方正仿宋_GBK" w:cs="Times New Roman"/>
          <w:sz w:val="32"/>
          <w:szCs w:val="32"/>
          <w:shd w:val="clear" w:color="auto" w:fill="FFFFFF"/>
        </w:rPr>
        <w:t>。费用支出较年初预算数增加17.98万元，增长100.00%，主要原因是</w:t>
      </w:r>
      <w:r>
        <w:rPr>
          <w:rFonts w:hint="eastAsia" w:ascii="Times New Roman" w:hAnsi="Times New Roman" w:eastAsia="方正仿宋_GBK" w:cs="Times New Roman"/>
          <w:sz w:val="32"/>
          <w:szCs w:val="32"/>
          <w:shd w:val="clear" w:color="auto" w:fill="FFFFFF"/>
          <w:lang w:eastAsia="zh-CN"/>
        </w:rPr>
        <w:t>原公务车老旧无法使用，购买新公务车</w:t>
      </w:r>
      <w:r>
        <w:rPr>
          <w:rFonts w:hint="default" w:ascii="Times New Roman" w:hAnsi="Times New Roman" w:eastAsia="方正仿宋_GBK" w:cs="Times New Roman"/>
          <w:sz w:val="32"/>
          <w:szCs w:val="32"/>
          <w:shd w:val="clear" w:color="auto" w:fill="FFFFFF"/>
        </w:rPr>
        <w:t>。较上年支出数增加17.98万元，增长100.00%，主要原因是</w:t>
      </w:r>
      <w:r>
        <w:rPr>
          <w:rFonts w:hint="eastAsia" w:ascii="Times New Roman" w:hAnsi="Times New Roman" w:eastAsia="方正仿宋_GBK" w:cs="Times New Roman"/>
          <w:sz w:val="32"/>
          <w:szCs w:val="32"/>
          <w:shd w:val="clear" w:color="auto" w:fill="FFFFFF"/>
          <w:lang w:eastAsia="zh-CN"/>
        </w:rPr>
        <w:t>原公务车老旧无法使用，购买新公务车</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公务车运行维护费6.60万元，主要用于市内因公出行、乡镇检查等工作所需车辆的燃料费、维修费、过桥过路费、保险费等。费用支出较年初预算数减少5.08万元，下降43.49%，主要原因是</w:t>
      </w:r>
      <w:r>
        <w:rPr>
          <w:rFonts w:hint="eastAsia" w:ascii="Times New Roman" w:hAnsi="Times New Roman" w:eastAsia="方正仿宋_GBK" w:cs="Times New Roman"/>
          <w:sz w:val="32"/>
          <w:szCs w:val="32"/>
          <w:shd w:val="clear" w:color="auto" w:fill="FFFFFF"/>
          <w:lang w:eastAsia="zh-CN"/>
        </w:rPr>
        <w:t>按车辆实有编制数保障车辆运维</w:t>
      </w:r>
      <w:r>
        <w:rPr>
          <w:rFonts w:hint="default" w:ascii="Times New Roman" w:hAnsi="Times New Roman" w:eastAsia="方正仿宋_GBK" w:cs="Times New Roman"/>
          <w:sz w:val="32"/>
          <w:szCs w:val="32"/>
          <w:shd w:val="clear" w:color="auto" w:fill="FFFFFF"/>
        </w:rPr>
        <w:t>。较上年支出数增加0.14万元，增长2.17%，主要原因是</w:t>
      </w:r>
      <w:r>
        <w:rPr>
          <w:rFonts w:hint="eastAsia" w:ascii="Times New Roman" w:hAnsi="Times New Roman" w:eastAsia="方正仿宋_GBK" w:cs="Times New Roman"/>
          <w:sz w:val="32"/>
          <w:szCs w:val="32"/>
          <w:shd w:val="clear" w:color="auto" w:fill="FFFFFF"/>
          <w:lang w:eastAsia="zh-CN"/>
        </w:rPr>
        <w:t>公务车使用变化不大造成金额基本持平</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公务接待费4.21万元，主要用于接待市级部门到我县指导业务工作、部分企业到我县考察相关项目等</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费用支出较年初预算数减少1.06万元，下降20.11%，主要原因是</w:t>
      </w:r>
      <w:r>
        <w:rPr>
          <w:rFonts w:hint="eastAsia" w:ascii="Times New Roman" w:hAnsi="Times New Roman" w:eastAsia="方正仿宋_GBK" w:cs="Times New Roman"/>
          <w:kern w:val="0"/>
          <w:sz w:val="32"/>
          <w:szCs w:val="32"/>
          <w:lang w:eastAsia="zh-CN"/>
        </w:rPr>
        <w:t>汇总下属单位后公务接待次数减少</w:t>
      </w:r>
      <w:r>
        <w:rPr>
          <w:rFonts w:hint="default" w:ascii="Times New Roman" w:hAnsi="Times New Roman" w:eastAsia="方正仿宋_GBK" w:cs="Times New Roman"/>
          <w:kern w:val="0"/>
          <w:sz w:val="32"/>
          <w:szCs w:val="32"/>
        </w:rPr>
        <w:t>。较上年支出数减少0.50万元，下降10.62%，主要原因是</w:t>
      </w:r>
      <w:r>
        <w:rPr>
          <w:rFonts w:hint="eastAsia" w:ascii="Times New Roman" w:hAnsi="Times New Roman" w:eastAsia="方正仿宋_GBK" w:cs="Times New Roman"/>
          <w:kern w:val="0"/>
          <w:sz w:val="32"/>
          <w:szCs w:val="32"/>
          <w:lang w:eastAsia="zh-CN"/>
        </w:rPr>
        <w:t>汇总下属单位后公务接待次数减少</w:t>
      </w:r>
      <w:r>
        <w:rPr>
          <w:rFonts w:hint="default" w:ascii="Times New Roman" w:hAnsi="Times New Roman" w:eastAsia="方正仿宋_GBK" w:cs="Times New Roman"/>
          <w:kern w:val="0"/>
          <w:sz w:val="32"/>
          <w:szCs w:val="32"/>
        </w:rPr>
        <w:t>。</w:t>
      </w:r>
    </w:p>
    <w:p>
      <w:pPr>
        <w:pStyle w:val="13"/>
        <w:keepNext w:val="0"/>
        <w:keepLines w:val="0"/>
        <w:pageBreakBefore w:val="0"/>
        <w:kinsoku/>
        <w:overflowPunct/>
        <w:topLinePunct w:val="0"/>
        <w:autoSpaceDE w:val="0"/>
        <w:autoSpaceDN/>
        <w:bidi w:val="0"/>
        <w:adjustRightInd/>
        <w:spacing w:beforeAutospacing="0" w:afterAutospacing="0" w:line="560" w:lineRule="exact"/>
        <w:ind w:left="0" w:leftChars="0" w:right="0" w:rightChars="0" w:firstLine="640" w:firstLineChars="200"/>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color w:val="auto"/>
          <w:sz w:val="32"/>
          <w:szCs w:val="32"/>
          <w:shd w:val="clear" w:color="auto" w:fill="FFFFFF"/>
          <w:lang w:bidi="ar"/>
        </w:rPr>
        <w:t>（三）“三公”经费实物量情况</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共计0个团组，0人；公务用车购置1辆，公务车保有量为2辆；国内公务接待17批次306人，其中：国内外事接待0批次，0人；国（境）外公务接待0批次，0人。2023年本部门人均接待费137.73元，车均购置费17.98万元，车均维护费3.30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eastAsia" w:ascii="Times New Roman" w:hAnsi="Times New Roman" w:eastAsia="方正楷体_GBK" w:cs="Times New Roman"/>
          <w:b w:val="0"/>
          <w:bCs w:val="0"/>
          <w:sz w:val="32"/>
          <w:szCs w:val="32"/>
          <w:shd w:val="clear" w:color="auto" w:fill="FFFFFF"/>
          <w:lang w:val="en-US" w:eastAsia="zh-CN" w:bidi="ar"/>
        </w:rPr>
        <w:t>（一）财政拨款会议费和培训费情况说明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本年度会议费支出0.06万元，较上年决算数减少0.04万元，下降40.00%，主要原因是</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lang w:eastAsia="zh-CN"/>
        </w:rPr>
        <w:t>未举办大型会议</w:t>
      </w:r>
      <w:r>
        <w:rPr>
          <w:rFonts w:hint="default" w:ascii="Times New Roman" w:hAnsi="Times New Roman" w:eastAsia="方正仿宋_GBK" w:cs="Times New Roman"/>
          <w:sz w:val="32"/>
          <w:szCs w:val="32"/>
          <w:shd w:val="clear" w:color="auto" w:fill="FFFFFF"/>
        </w:rPr>
        <w:t>。本年度培训费支出8.69万元，较上年决算数增加2.95万元，增长51.39%，主要原因是</w:t>
      </w:r>
      <w:r>
        <w:rPr>
          <w:rFonts w:hint="default" w:ascii="Times New Roman" w:hAnsi="Times New Roman" w:eastAsia="方正仿宋_GBK" w:cs="Times New Roman"/>
          <w:sz w:val="32"/>
          <w:szCs w:val="32"/>
          <w:shd w:val="clear" w:color="auto" w:fill="FFFFFF"/>
          <w:lang w:eastAsia="zh-CN"/>
        </w:rPr>
        <w:t>培训增加</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kinsoku/>
        <w:overflowPunct/>
        <w:topLinePunct w:val="0"/>
        <w:autoSpaceDE w:val="0"/>
        <w:autoSpaceDN/>
        <w:bidi w:val="0"/>
        <w:adjustRightInd/>
        <w:spacing w:beforeAutospacing="0" w:afterAutospacing="0" w:line="560" w:lineRule="exact"/>
        <w:ind w:right="0" w:rightChars="0" w:firstLine="643"/>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（二）机关运行经费情况说明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70.11</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rPr>
        <w:t>办公费、差旅费、公务接待费、邮电费、委托业务费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公务用车运行维护费等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机关运行经费较上年支出数减少74.38万元，下降51.48%，主要原因是</w:t>
      </w:r>
      <w:r>
        <w:rPr>
          <w:rFonts w:hint="default" w:ascii="Times New Roman" w:hAnsi="Times New Roman" w:eastAsia="方正仿宋_GBK" w:cs="Times New Roman"/>
          <w:color w:val="auto"/>
          <w:sz w:val="32"/>
          <w:szCs w:val="32"/>
          <w:shd w:val="clear" w:color="auto" w:fill="FFFFFF"/>
          <w:lang w:eastAsia="zh-CN"/>
        </w:rPr>
        <w:t>分机构核算机关开支</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kinsoku/>
        <w:overflowPunct/>
        <w:topLinePunct w:val="0"/>
        <w:autoSpaceDE w:val="0"/>
        <w:autoSpaceDN/>
        <w:bidi w:val="0"/>
        <w:adjustRightInd/>
        <w:spacing w:beforeAutospacing="0" w:afterAutospacing="0" w:line="560" w:lineRule="exact"/>
        <w:ind w:right="0" w:rightChars="0" w:firstLine="643"/>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（三）国有资产占用情况说明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（四）政府采购支出情况说明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53.96万元，其中：政府采购货物支出53.96万元、政府采购工程支出0.00万元、政府采购服务支出0.00万元。授予中小企业合同金额53.96万元，占政府采购支出总额的100.00%，其中：授予小微企业合同金额53.96万元，占政府采购支出总额的100.00 %。主要用于采购</w:t>
      </w:r>
      <w:r>
        <w:rPr>
          <w:rFonts w:hint="eastAsia" w:ascii="Times New Roman" w:hAnsi="Times New Roman" w:eastAsia="方正仿宋_GBK" w:cs="Times New Roman"/>
          <w:sz w:val="32"/>
          <w:szCs w:val="32"/>
          <w:shd w:val="clear" w:color="auto" w:fill="FFFFFF"/>
          <w:lang w:eastAsia="zh-CN"/>
        </w:rPr>
        <w:t>体育健身设施</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default" w:ascii="Times New Roman" w:hAnsi="Times New Roman" w:eastAsia="方正楷体_GBK" w:cs="Times New Roman"/>
          <w:b w:val="0"/>
          <w:bCs w:val="0"/>
          <w:sz w:val="32"/>
          <w:szCs w:val="32"/>
          <w:shd w:val="clear" w:color="auto" w:fill="FFFFFF"/>
          <w:lang w:eastAsia="zh-CN" w:bidi="ar"/>
        </w:rPr>
        <w:t>部门</w:t>
      </w:r>
      <w:r>
        <w:rPr>
          <w:rFonts w:hint="default" w:ascii="Times New Roman" w:hAnsi="Times New Roman" w:eastAsia="方正楷体_GBK" w:cs="Times New Roman"/>
          <w:b w:val="0"/>
          <w:bCs w:val="0"/>
          <w:sz w:val="32"/>
          <w:szCs w:val="32"/>
          <w:shd w:val="clear" w:color="auto" w:fill="FFFFFF"/>
          <w:lang w:bidi="ar"/>
        </w:rPr>
        <w:t>自评情况</w:t>
      </w:r>
    </w:p>
    <w:p>
      <w:pPr>
        <w:pStyle w:val="14"/>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lang w:bidi="ar"/>
        </w:rPr>
        <w:t>根据预算绩效管理要求，我</w:t>
      </w:r>
      <w:r>
        <w:rPr>
          <w:rFonts w:hint="eastAsia" w:ascii="Times New Roman" w:hAnsi="Times New Roman" w:eastAsia="方正仿宋_GBK" w:cs="Times New Roman"/>
          <w:sz w:val="32"/>
          <w:szCs w:val="32"/>
          <w:shd w:val="clear" w:color="auto" w:fill="FFFFFF"/>
          <w:lang w:eastAsia="zh-CN" w:bidi="ar"/>
        </w:rPr>
        <w:t>部门</w:t>
      </w:r>
      <w:r>
        <w:rPr>
          <w:rFonts w:hint="default" w:ascii="Times New Roman" w:hAnsi="Times New Roman" w:eastAsia="方正仿宋_GBK" w:cs="Times New Roman"/>
          <w:sz w:val="32"/>
          <w:szCs w:val="32"/>
          <w:shd w:val="clear" w:color="auto" w:fill="FFFFFF"/>
          <w:lang w:bidi="ar"/>
        </w:rPr>
        <w:t>对部门整体和</w:t>
      </w:r>
      <w:r>
        <w:rPr>
          <w:rFonts w:hint="eastAsia" w:ascii="Times New Roman" w:hAnsi="Times New Roman" w:eastAsia="方正仿宋_GBK" w:cs="Times New Roman"/>
          <w:sz w:val="32"/>
          <w:szCs w:val="32"/>
          <w:shd w:val="clear" w:color="auto" w:fill="FFFFFF"/>
          <w:lang w:val="en-US" w:eastAsia="zh-CN" w:bidi="ar"/>
        </w:rPr>
        <w:t>118</w:t>
      </w:r>
      <w:r>
        <w:rPr>
          <w:rFonts w:hint="default" w:ascii="Times New Roman" w:hAnsi="Times New Roman" w:eastAsia="方正仿宋_GBK" w:cs="Times New Roman"/>
          <w:sz w:val="32"/>
          <w:szCs w:val="32"/>
          <w:shd w:val="clear" w:color="auto" w:fill="FFFFFF"/>
          <w:lang w:bidi="ar"/>
        </w:rPr>
        <w:t>个一级项目开展了绩效自评，涉及财政拨款项目支出资金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
        </w:rPr>
        <w:t>2568.61</w:t>
      </w:r>
      <w:r>
        <w:rPr>
          <w:rFonts w:hint="default" w:ascii="Times New Roman" w:hAnsi="Times New Roman" w:eastAsia="方正仿宋_GBK" w:cs="Times New Roman"/>
          <w:sz w:val="32"/>
          <w:szCs w:val="32"/>
          <w:shd w:val="clear" w:color="auto" w:fill="FFFFFF"/>
          <w:lang w:bidi="ar"/>
        </w:rPr>
        <w:t>万元</w:t>
      </w:r>
      <w:r>
        <w:rPr>
          <w:rFonts w:hint="eastAsia" w:ascii="Times New Roman" w:hAnsi="Times New Roman" w:eastAsia="方正仿宋_GBK" w:cs="Times New Roman"/>
          <w:sz w:val="32"/>
          <w:szCs w:val="32"/>
          <w:shd w:val="clear" w:color="auto" w:fill="FFFFFF"/>
          <w:lang w:eastAsia="zh-CN" w:bidi="ar"/>
        </w:rPr>
        <w:t>。</w:t>
      </w:r>
    </w:p>
    <w:tbl>
      <w:tblPr>
        <w:tblStyle w:val="11"/>
        <w:tblW w:w="8551" w:type="dxa"/>
        <w:tblInd w:w="93" w:type="dxa"/>
        <w:tblLayout w:type="fixed"/>
        <w:tblCellMar>
          <w:top w:w="0" w:type="dxa"/>
          <w:left w:w="108" w:type="dxa"/>
          <w:bottom w:w="0" w:type="dxa"/>
          <w:right w:w="108" w:type="dxa"/>
        </w:tblCellMar>
      </w:tblPr>
      <w:tblGrid>
        <w:gridCol w:w="786"/>
        <w:gridCol w:w="1371"/>
        <w:gridCol w:w="588"/>
        <w:gridCol w:w="441"/>
        <w:gridCol w:w="267"/>
        <w:gridCol w:w="703"/>
        <w:gridCol w:w="446"/>
        <w:gridCol w:w="510"/>
        <w:gridCol w:w="628"/>
        <w:gridCol w:w="627"/>
        <w:gridCol w:w="546"/>
        <w:gridCol w:w="692"/>
        <w:gridCol w:w="740"/>
        <w:gridCol w:w="206"/>
      </w:tblGrid>
      <w:tr>
        <w:tblPrEx>
          <w:tblLayout w:type="fixed"/>
          <w:tblCellMar>
            <w:top w:w="0" w:type="dxa"/>
            <w:left w:w="108" w:type="dxa"/>
            <w:bottom w:w="0" w:type="dxa"/>
            <w:right w:w="108" w:type="dxa"/>
          </w:tblCellMar>
        </w:tblPrEx>
        <w:trPr>
          <w:trHeight w:val="552" w:hRule="atLeast"/>
        </w:trPr>
        <w:tc>
          <w:tcPr>
            <w:tcW w:w="8551" w:type="dxa"/>
            <w:gridSpan w:val="14"/>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县文化旅游委</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主管部门</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秀山土家族苗族自治县文化和旅游发展委员会</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部门编号</w:t>
            </w: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自评总分（分）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部门联系人</w:t>
            </w:r>
          </w:p>
        </w:tc>
        <w:tc>
          <w:tcPr>
            <w:tcW w:w="43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袁冰婷</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联系电话</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76895733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7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年初预算数</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全年（调整）预算数</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全年执行数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执行率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权重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执行率得分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65884575.51</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68493094.3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40108187.41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65884575.51</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68493094.3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40108187.41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58.55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40991356.96</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41050332.15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29078306.68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70.83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3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年初绩效目标</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全年（调整）绩效目标</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2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3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绩效指标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指标名称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计量</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单位</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性质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偏离度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得分系数</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指标权重</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指标得分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2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参加文化旅游营销活动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创作文艺作品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创作作品增加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77"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开展文化活动场次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场</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年文献外借册次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万册</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8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培养体育后备人才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747"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体育场馆和区域内的场地、设施全年开放天数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天</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342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3.64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4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体育场馆免费开放服务群众数量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万人次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73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文化馆、图书馆、博物馆免费开放服务群众数量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万人次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16.67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组织和参加体育活动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重点项目推进率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广电运行率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旅游资源利用率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0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体育基础设施建设</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文化生态保护区建设推进率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乡村旅游发展</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招商引资力度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非遗保护措施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13"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文旅市场监管力度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13"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文旅宣传营销力度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文物保护措施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77"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总体说明</w:t>
            </w:r>
          </w:p>
        </w:tc>
        <w:tc>
          <w:tcPr>
            <w:tcW w:w="75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各项工作有序推进，资金使用进度有待加快</w:t>
            </w:r>
          </w:p>
        </w:tc>
      </w:tr>
    </w:tbl>
    <w:p>
      <w:pPr>
        <w:pStyle w:val="14"/>
        <w:keepNext w:val="0"/>
        <w:keepLines w:val="0"/>
        <w:pageBreakBefore w:val="0"/>
        <w:widowControl/>
        <w:kinsoku/>
        <w:wordWrap/>
        <w:overflowPunct/>
        <w:topLinePunct w:val="0"/>
        <w:autoSpaceDE w:val="0"/>
        <w:autoSpaceDN/>
        <w:bidi w:val="0"/>
        <w:adjustRightInd/>
        <w:snapToGrid/>
        <w:spacing w:before="0" w:beforeAutospacing="0" w:line="600" w:lineRule="exact"/>
        <w:jc w:val="both"/>
        <w:textAlignment w:val="auto"/>
        <w:rPr>
          <w:rFonts w:hint="default" w:ascii="Times New Roman" w:hAnsi="Times New Roman" w:eastAsia="方正仿宋_GBK" w:cs="Times New Roman"/>
          <w:sz w:val="32"/>
          <w:szCs w:val="32"/>
          <w:highlight w:val="yellow"/>
          <w:shd w:val="clear" w:color="auto" w:fill="FFFFFF"/>
          <w:lang w:bidi="ar"/>
        </w:rPr>
      </w:pPr>
    </w:p>
    <w:tbl>
      <w:tblPr>
        <w:tblStyle w:val="11"/>
        <w:tblW w:w="87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1"/>
        <w:gridCol w:w="739"/>
        <w:gridCol w:w="749"/>
        <w:gridCol w:w="626"/>
        <w:gridCol w:w="902"/>
        <w:gridCol w:w="681"/>
        <w:gridCol w:w="695"/>
        <w:gridCol w:w="933"/>
        <w:gridCol w:w="770"/>
        <w:gridCol w:w="784"/>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86" w:hRule="atLeast"/>
        </w:trPr>
        <w:tc>
          <w:tcPr>
            <w:tcW w:w="87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小标宋_GBK" w:hAnsi="方正小标宋_GBK" w:eastAsia="方正小标宋_GBK" w:cs="方正小标宋_GBK"/>
                <w:color w:val="000000"/>
                <w:kern w:val="0"/>
                <w:sz w:val="36"/>
                <w:szCs w:val="36"/>
                <w:lang w:bidi="ar"/>
              </w:rPr>
            </w:pPr>
          </w:p>
          <w:p>
            <w:pPr>
              <w:widowControl/>
              <w:jc w:val="center"/>
              <w:textAlignment w:val="center"/>
              <w:rPr>
                <w:rFonts w:hint="default" w:ascii="Times New Roman" w:hAnsi="Times New Roman" w:eastAsia="微软雅黑" w:cs="Times New Roman"/>
                <w:b/>
                <w:i w:val="0"/>
                <w:color w:val="000000"/>
                <w:kern w:val="0"/>
                <w:sz w:val="40"/>
                <w:szCs w:val="40"/>
              </w:rPr>
            </w:pPr>
            <w:r>
              <w:rPr>
                <w:rFonts w:hint="eastAsia" w:ascii="方正小标宋_GBK" w:hAnsi="方正小标宋_GBK" w:eastAsia="方正小标宋_GBK" w:cs="方正小标宋_GBK"/>
                <w:color w:val="000000"/>
                <w:w w:val="90"/>
                <w:kern w:val="0"/>
                <w:sz w:val="36"/>
                <w:szCs w:val="36"/>
                <w:lang w:eastAsia="zh-CN" w:bidi="ar"/>
              </w:rPr>
              <w:t>县文化旅游委</w:t>
            </w:r>
            <w:r>
              <w:rPr>
                <w:rFonts w:hint="eastAsia" w:ascii="方正小标宋_GBK" w:hAnsi="方正小标宋_GBK" w:eastAsia="方正小标宋_GBK" w:cs="方正小标宋_GBK"/>
                <w:color w:val="000000"/>
                <w:w w:val="90"/>
                <w:kern w:val="0"/>
                <w:sz w:val="36"/>
                <w:szCs w:val="36"/>
                <w:lang w:bidi="ar"/>
              </w:rPr>
              <w:t>202</w:t>
            </w:r>
            <w:r>
              <w:rPr>
                <w:rFonts w:hint="eastAsia" w:ascii="方正小标宋_GBK" w:hAnsi="方正小标宋_GBK" w:eastAsia="方正小标宋_GBK" w:cs="方正小标宋_GBK"/>
                <w:color w:val="000000"/>
                <w:w w:val="90"/>
                <w:kern w:val="0"/>
                <w:sz w:val="36"/>
                <w:szCs w:val="36"/>
                <w:lang w:val="en-US" w:eastAsia="zh-CN" w:bidi="ar"/>
              </w:rPr>
              <w:t>2</w:t>
            </w:r>
            <w:r>
              <w:rPr>
                <w:rFonts w:hint="eastAsia" w:ascii="方正小标宋_GBK" w:hAnsi="方正小标宋_GBK" w:eastAsia="方正小标宋_GBK" w:cs="方正小标宋_GBK"/>
                <w:color w:val="000000"/>
                <w:w w:val="90"/>
                <w:kern w:val="0"/>
                <w:sz w:val="36"/>
                <w:szCs w:val="36"/>
                <w:lang w:bidi="ar"/>
              </w:rPr>
              <w:t>年度项目支出绩效自评表（一级项目）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20"/>
                <w:szCs w:val="20"/>
              </w:rPr>
            </w:pPr>
            <w:r>
              <w:rPr>
                <w:rFonts w:hint="eastAsia" w:ascii="方正黑体_GBK" w:hAnsi="方正黑体_GBK" w:eastAsia="方正黑体_GBK" w:cs="方正黑体_GBK"/>
                <w:color w:val="000000"/>
                <w:kern w:val="0"/>
                <w:sz w:val="22"/>
                <w:lang w:bidi="ar"/>
              </w:rPr>
              <w:t>序号</w:t>
            </w:r>
          </w:p>
        </w:tc>
        <w:tc>
          <w:tcPr>
            <w:tcW w:w="73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项目名称</w:t>
            </w:r>
          </w:p>
        </w:tc>
        <w:tc>
          <w:tcPr>
            <w:tcW w:w="74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指标名称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指标性质</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指标值</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计量单位</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指标权重</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全年完成值</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指标得分</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说明</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kern w:val="0"/>
                <w:sz w:val="18"/>
                <w:szCs w:val="18"/>
                <w:lang w:bidi="ar"/>
              </w:rPr>
              <w:t>1</w:t>
            </w:r>
          </w:p>
        </w:tc>
        <w:tc>
          <w:tcPr>
            <w:tcW w:w="73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rPr>
              <w:t>国家非物质文化遗产保护资金（国家级文化生态保护区建设）</w:t>
            </w: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非遗培训班</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b/>
                <w:i w:val="0"/>
                <w:color w:val="000000"/>
                <w:kern w:val="0"/>
                <w:sz w:val="18"/>
                <w:szCs w:val="18"/>
              </w:rPr>
            </w:pPr>
          </w:p>
        </w:tc>
        <w:tc>
          <w:tcPr>
            <w:tcW w:w="12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color w:val="000000"/>
                <w:sz w:val="18"/>
                <w:szCs w:val="18"/>
                <w:lang w:val="en-US" w:eastAsia="zh-CN"/>
              </w:rPr>
              <w:t>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举办参加非遗活动</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资料书籍编撰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b/>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非遗社会关注</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非遗保护传承影响</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outlineLvl w:val="9"/>
              <w:rPr>
                <w:rFonts w:hint="eastAsia" w:ascii="方正仿宋_GBK" w:hAnsi="方正仿宋_GBK" w:eastAsia="方正仿宋_GBK" w:cs="方正仿宋_GBK"/>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r>
              <w:rPr>
                <w:rFonts w:hint="eastAsia" w:ascii="方正仿宋_GBK" w:hAnsi="方正仿宋_GBK" w:eastAsia="方正仿宋_GBK" w:cs="方正仿宋_GBK"/>
                <w:color w:val="000000"/>
                <w:kern w:val="0"/>
                <w:sz w:val="18"/>
                <w:szCs w:val="18"/>
                <w:lang w:bidi="ar"/>
              </w:rPr>
              <w:t>2</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2023年非遗（传统手工技艺）培训（2023年德州帮扶）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举办培训次数</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期</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招收学员人数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就业率</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帮扶对象满意度</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kern w:val="0"/>
                <w:sz w:val="18"/>
                <w:szCs w:val="18"/>
                <w:lang w:bidi="ar"/>
              </w:rPr>
              <w:t>3</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业余体校队伍训练经费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训练队伍</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支</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lang w:val="en-US" w:eastAsia="zh-CN"/>
              </w:rPr>
            </w:pPr>
            <w:r>
              <w:rPr>
                <w:rFonts w:hint="eastAsia" w:ascii="方正仿宋_GBK" w:hAnsi="方正仿宋_GBK" w:eastAsia="方正仿宋_GBK" w:cs="方正仿宋_GBK"/>
                <w:b w:val="0"/>
                <w:bCs/>
                <w:i w:val="0"/>
                <w:color w:val="000000"/>
                <w:kern w:val="0"/>
                <w:sz w:val="18"/>
                <w:szCs w:val="18"/>
                <w:lang w:val="en-US" w:eastAsia="zh-CN"/>
              </w:rPr>
              <w:t>6</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1" w:firstLineChars="100"/>
              <w:jc w:val="center"/>
              <w:textAlignment w:val="center"/>
              <w:outlineLvl w:val="9"/>
              <w:rPr>
                <w:rFonts w:hint="eastAsia" w:ascii="方正仿宋_GBK" w:hAnsi="方正仿宋_GBK" w:eastAsia="方正仿宋_GBK" w:cs="方正仿宋_GBK"/>
                <w:b/>
                <w:i w:val="0"/>
                <w:color w:val="000000"/>
                <w:kern w:val="0"/>
                <w:sz w:val="18"/>
                <w:szCs w:val="18"/>
              </w:rPr>
            </w:pPr>
          </w:p>
        </w:tc>
        <w:tc>
          <w:tcPr>
            <w:tcW w:w="12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sz w:val="18"/>
                <w:szCs w:val="18"/>
                <w:lang w:val="en-US" w:eastAsia="zh-CN"/>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训练人数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lang w:val="en-US" w:eastAsia="zh-CN"/>
              </w:rPr>
              <w:t>100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103</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center"/>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训练员</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青少年竞技水平</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有所提高</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outlineLvl w:val="9"/>
              <w:rPr>
                <w:rFonts w:hint="eastAsia" w:ascii="方正仿宋_GBK" w:hAnsi="方正仿宋_GBK" w:eastAsia="方正仿宋_GBK" w:cs="方正仿宋_GBK"/>
                <w:i w:val="0"/>
                <w:color w:val="000000"/>
                <w:kern w:val="0"/>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eastAsia="zh-CN"/>
              </w:rPr>
            </w:pPr>
            <w:r>
              <w:rPr>
                <w:rFonts w:hint="eastAsia" w:ascii="方正仿宋_GBK" w:hAnsi="方正仿宋_GBK" w:eastAsia="方正仿宋_GBK" w:cs="方正仿宋_GBK"/>
                <w:i w:val="0"/>
                <w:color w:val="000000"/>
                <w:kern w:val="0"/>
                <w:sz w:val="18"/>
                <w:szCs w:val="18"/>
                <w:lang w:eastAsia="zh-CN"/>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right"/>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bl>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（二）部门绩效评价情况</w:t>
      </w:r>
    </w:p>
    <w:p>
      <w:pPr>
        <w:pStyle w:val="18"/>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w:t>
      </w:r>
      <w:r>
        <w:rPr>
          <w:rFonts w:hint="eastAsia" w:ascii="Times New Roman" w:hAnsi="Times New Roman" w:eastAsia="方正仿宋_GBK" w:cs="Times New Roman"/>
          <w:sz w:val="32"/>
          <w:szCs w:val="32"/>
          <w:shd w:val="clear" w:color="auto" w:fill="FFFFFF"/>
          <w:lang w:eastAsia="zh-CN" w:bidi="ar"/>
        </w:rPr>
        <w:t>部门</w:t>
      </w:r>
      <w:r>
        <w:rPr>
          <w:rFonts w:hint="default" w:ascii="Times New Roman" w:hAnsi="Times New Roman" w:eastAsia="方正仿宋_GBK" w:cs="Times New Roman"/>
          <w:sz w:val="32"/>
          <w:szCs w:val="32"/>
          <w:shd w:val="clear" w:color="auto" w:fill="FFFFFF"/>
          <w:lang w:bidi="ar"/>
        </w:rPr>
        <w:t>对国家非物质文化遗产保护资金（国家级文化生态保护区建设）开展了绩效评价，涉及财政拨款项目资金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77.5</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81.1</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良</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资金使用缓慢的</w:t>
      </w:r>
      <w:r>
        <w:rPr>
          <w:rFonts w:hint="default" w:ascii="Times New Roman" w:hAnsi="Times New Roman" w:eastAsia="方正仿宋_GBK" w:cs="Times New Roman"/>
          <w:sz w:val="32"/>
          <w:szCs w:val="32"/>
          <w:shd w:val="clear" w:color="auto" w:fill="FFFFFF"/>
          <w:lang w:bidi="ar"/>
        </w:rPr>
        <w:t>问题，提出</w:t>
      </w:r>
      <w:r>
        <w:rPr>
          <w:rFonts w:hint="eastAsia" w:ascii="Times New Roman" w:hAnsi="Times New Roman" w:eastAsia="方正仿宋_GBK" w:cs="Times New Roman"/>
          <w:sz w:val="32"/>
          <w:szCs w:val="32"/>
          <w:shd w:val="clear" w:color="auto" w:fill="FFFFFF"/>
          <w:lang w:eastAsia="zh-CN" w:bidi="ar"/>
        </w:rPr>
        <w:t>规划资金支持，提升资金效益</w:t>
      </w:r>
      <w:r>
        <w:rPr>
          <w:rFonts w:hint="default" w:ascii="Times New Roman" w:hAnsi="Times New Roman" w:eastAsia="方正仿宋_GBK" w:cs="Times New Roman"/>
          <w:sz w:val="32"/>
          <w:szCs w:val="32"/>
          <w:shd w:val="clear" w:color="auto" w:fill="FFFFFF"/>
          <w:lang w:bidi="ar"/>
        </w:rPr>
        <w:t>等下一步工作建议；对2023年非遗（传统手工技艺）培训（2023年德州帮扶）开展了绩效评价，涉及财政拨款项目资金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30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eastAsia="zh-CN" w:bidi="ar"/>
        </w:rPr>
        <w:t>完成了</w:t>
      </w:r>
      <w:r>
        <w:rPr>
          <w:rFonts w:hint="default" w:ascii="Times New Roman" w:hAnsi="Times New Roman" w:eastAsia="方正仿宋_GBK" w:cs="Times New Roman"/>
          <w:sz w:val="32"/>
          <w:szCs w:val="32"/>
          <w:shd w:val="clear" w:color="auto" w:fill="FFFFFF"/>
          <w:lang w:bidi="ar"/>
        </w:rPr>
        <w:t>绩效</w:t>
      </w:r>
      <w:r>
        <w:rPr>
          <w:rFonts w:hint="eastAsia" w:ascii="Times New Roman" w:hAnsi="Times New Roman" w:eastAsia="方正仿宋_GBK" w:cs="Times New Roman"/>
          <w:sz w:val="32"/>
          <w:szCs w:val="32"/>
          <w:shd w:val="clear" w:color="auto" w:fill="FFFFFF"/>
          <w:lang w:eastAsia="zh-CN" w:bidi="ar"/>
        </w:rPr>
        <w:t>目标；</w:t>
      </w:r>
      <w:r>
        <w:rPr>
          <w:rFonts w:hint="default" w:ascii="Times New Roman" w:hAnsi="Times New Roman" w:eastAsia="方正仿宋_GBK" w:cs="Times New Roman"/>
          <w:sz w:val="32"/>
          <w:szCs w:val="32"/>
          <w:shd w:val="clear" w:color="auto" w:fill="FFFFFF"/>
          <w:lang w:bidi="ar"/>
        </w:rPr>
        <w:t>对业余体校队伍训练经费开展了绩效评价，涉及财政拨款项目资金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20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97.3</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eastAsia="zh-CN" w:bidi="ar"/>
        </w:rPr>
        <w:t>完成了</w:t>
      </w:r>
      <w:r>
        <w:rPr>
          <w:rFonts w:hint="default" w:ascii="Times New Roman" w:hAnsi="Times New Roman" w:eastAsia="方正仿宋_GBK" w:cs="Times New Roman"/>
          <w:sz w:val="32"/>
          <w:szCs w:val="32"/>
          <w:shd w:val="clear" w:color="auto" w:fill="FFFFFF"/>
          <w:lang w:bidi="ar"/>
        </w:rPr>
        <w:t>绩效</w:t>
      </w:r>
      <w:r>
        <w:rPr>
          <w:rFonts w:hint="eastAsia" w:ascii="Times New Roman" w:hAnsi="Times New Roman" w:eastAsia="方正仿宋_GBK" w:cs="Times New Roman"/>
          <w:sz w:val="32"/>
          <w:szCs w:val="32"/>
          <w:shd w:val="clear" w:color="auto" w:fill="FFFFFF"/>
          <w:lang w:eastAsia="zh-CN" w:bidi="ar"/>
        </w:rPr>
        <w:t>目标。</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bidi="ar"/>
        </w:rPr>
        <w:t>委托第三方对我</w:t>
      </w:r>
      <w:r>
        <w:rPr>
          <w:rFonts w:hint="eastAsia" w:ascii="Times New Roman" w:hAnsi="Times New Roman" w:eastAsia="方正仿宋_GBK" w:cs="Times New Roman"/>
          <w:sz w:val="32"/>
          <w:szCs w:val="32"/>
          <w:shd w:val="clear" w:color="auto" w:fill="FFFFFF"/>
          <w:lang w:eastAsia="zh-CN" w:bidi="ar"/>
        </w:rPr>
        <w:t>部门</w:t>
      </w:r>
      <w:r>
        <w:rPr>
          <w:rFonts w:hint="default" w:ascii="Times New Roman" w:hAnsi="Times New Roman" w:eastAsia="方正仿宋_GBK" w:cs="Times New Roman"/>
          <w:sz w:val="32"/>
          <w:szCs w:val="32"/>
          <w:shd w:val="clear" w:color="auto" w:fill="FFFFFF"/>
          <w:lang w:bidi="ar"/>
        </w:rPr>
        <w:t>开展绩效评价</w:t>
      </w:r>
      <w:r>
        <w:rPr>
          <w:rFonts w:hint="eastAsia" w:ascii="Times New Roman" w:hAnsi="Times New Roman" w:eastAsia="方正仿宋_GBK"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Style w:val="10"/>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袁冰婷</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76895733</w:t>
      </w:r>
      <w:r>
        <w:rPr>
          <w:rFonts w:hint="default" w:ascii="Times New Roman" w:hAnsi="Times New Roman" w:eastAsia="方正仿宋_GBK" w:cs="Times New Roman"/>
          <w:color w:val="auto"/>
          <w:sz w:val="32"/>
          <w:szCs w:val="32"/>
          <w:shd w:val="clear" w:color="auto" w:fill="FFFFFF"/>
        </w:rPr>
        <w:t>）</w:t>
      </w:r>
    </w:p>
    <w:p>
      <w:pPr>
        <w:rPr>
          <w:rFonts w:hint="default" w:cs="宋体"/>
          <w:sz w:val="21"/>
          <w:szCs w:val="21"/>
        </w:rPr>
      </w:pPr>
    </w:p>
    <w:tbl>
      <w:tblPr>
        <w:tblStyle w:val="11"/>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重庆市秀山土家族苗族自治县文化和旅游发展委员会</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2,809.03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2,467.61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3,906.88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4,027.43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127.85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4,034.73</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4,034.73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重庆市秀山土家族苗族自治县文化和旅游发展委员会</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3,906.88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3,892.61</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1,847.25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重庆市秀山土家族苗族自治县文化和旅游发展委员会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4,027.43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1,458.82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2,568.61</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2,467.61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1,053.86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1,413.75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929.93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173.73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502.65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70.18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重庆市秀山土家族苗族自治县文化和旅游发展委员会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2,809.03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1,083.58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2,438.32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2,438.32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3,892.61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3,998.14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2,895.15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105.56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86.15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3,998.17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3,998.17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2,895.18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260" w:type="dxa"/>
        <w:tblInd w:w="0" w:type="dxa"/>
        <w:tblLayout w:type="fixed"/>
        <w:tblCellMar>
          <w:top w:w="0" w:type="dxa"/>
          <w:left w:w="0" w:type="dxa"/>
          <w:bottom w:w="0" w:type="dxa"/>
          <w:right w:w="0" w:type="dxa"/>
        </w:tblCellMar>
      </w:tblPr>
      <w:tblGrid>
        <w:gridCol w:w="1845"/>
        <w:gridCol w:w="3521"/>
        <w:gridCol w:w="3292"/>
        <w:gridCol w:w="1"/>
        <w:gridCol w:w="3292"/>
        <w:gridCol w:w="3309"/>
      </w:tblGrid>
      <w:tr>
        <w:tblPrEx>
          <w:tblLayout w:type="fixed"/>
          <w:tblCellMar>
            <w:top w:w="0" w:type="dxa"/>
            <w:left w:w="0" w:type="dxa"/>
            <w:bottom w:w="0" w:type="dxa"/>
            <w:right w:w="0" w:type="dxa"/>
          </w:tblCellMar>
        </w:tblPrEx>
        <w:trPr>
          <w:trHeight w:val="559" w:hRule="atLeast"/>
        </w:trPr>
        <w:tc>
          <w:tcPr>
            <w:tcW w:w="15260" w:type="dxa"/>
            <w:gridSpan w:val="6"/>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86" w:hRule="atLeast"/>
        </w:trPr>
        <w:tc>
          <w:tcPr>
            <w:tcW w:w="8659" w:type="dxa"/>
            <w:gridSpan w:val="4"/>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重庆市秀山土家族苗族自治县文化和旅游发展委员会</w:t>
            </w:r>
          </w:p>
        </w:tc>
        <w:tc>
          <w:tcPr>
            <w:tcW w:w="32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6" w:hRule="atLeast"/>
        </w:trPr>
        <w:tc>
          <w:tcPr>
            <w:tcW w:w="8659" w:type="dxa"/>
            <w:gridSpan w:val="4"/>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4" w:hRule="atLeast"/>
        </w:trPr>
        <w:tc>
          <w:tcPr>
            <w:tcW w:w="536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94"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4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0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4" w:hRule="atLeast"/>
        </w:trPr>
        <w:tc>
          <w:tcPr>
            <w:tcW w:w="536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2,895.15</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1,458.67</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1,436.49</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2,438.32</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1,053.71</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1,384.62</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1,873.02</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972.22</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900.79</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324.26</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324.26</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112.93</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112.93</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171.69</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111.49</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60.19</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485.92</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338.37</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147.55</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65.43</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65.43</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697.80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198.10</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499.69</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236.51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81.48</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155.02</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84.84</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84.84</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70.18</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70.18</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81.48</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81.48</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114.03</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114.03</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100.94</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100.94</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104.61</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104.61</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104.61</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110.16</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110.16</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110.16</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110.16</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247.51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240.92</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240.92</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240.92</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66.20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66.20</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93.05</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93.05</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56.79</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52.52</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37.77</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37.77</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21.21</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21.21</w:t>
            </w:r>
            <w:r>
              <w:rPr>
                <w:b/>
                <w:color w:val="000000"/>
                <w:sz w:val="20"/>
                <w:u w:color="auto"/>
              </w:rPr>
              <w:t xml:space="preserve"> </w:t>
            </w:r>
          </w:p>
        </w:tc>
      </w:tr>
      <w:tr>
        <w:tblPrEx>
          <w:tblLayout w:type="fixed"/>
          <w:tblCellMar>
            <w:top w:w="0" w:type="dxa"/>
            <w:left w:w="0" w:type="dxa"/>
            <w:bottom w:w="0" w:type="dxa"/>
            <w:right w:w="0" w:type="dxa"/>
          </w:tblCellMar>
        </w:tblPrEx>
        <w:trPr>
          <w:trHeight w:val="567"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51.21</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21.21</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94"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81.51</w:t>
            </w:r>
            <w:r>
              <w:rPr>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3"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81.51</w:t>
            </w:r>
            <w:r>
              <w:rPr>
                <w:color w:val="000000"/>
                <w:sz w:val="20"/>
                <w:u w:color="auto"/>
              </w:rPr>
              <w:t xml:space="preserve"> </w:t>
            </w:r>
          </w:p>
        </w:tc>
        <w:tc>
          <w:tcPr>
            <w:tcW w:w="32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81.51</w:t>
            </w:r>
            <w:r>
              <w:rPr>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11"/>
        <w:tblW w:w="15340" w:type="dxa"/>
        <w:tblInd w:w="0" w:type="dxa"/>
        <w:tblLayout w:type="fixed"/>
        <w:tblCellMar>
          <w:top w:w="0" w:type="dxa"/>
          <w:left w:w="0" w:type="dxa"/>
          <w:bottom w:w="0" w:type="dxa"/>
          <w:right w:w="0" w:type="dxa"/>
        </w:tblCellMar>
      </w:tblPr>
      <w:tblGrid>
        <w:gridCol w:w="604"/>
        <w:gridCol w:w="2737"/>
        <w:gridCol w:w="1374"/>
        <w:gridCol w:w="835"/>
        <w:gridCol w:w="1920"/>
        <w:gridCol w:w="1"/>
        <w:gridCol w:w="1653"/>
        <w:gridCol w:w="807"/>
        <w:gridCol w:w="3522"/>
        <w:gridCol w:w="1"/>
        <w:gridCol w:w="1886"/>
      </w:tblGrid>
      <w:tr>
        <w:tblPrEx>
          <w:tblLayout w:type="fixed"/>
          <w:tblCellMar>
            <w:top w:w="0" w:type="dxa"/>
            <w:left w:w="0" w:type="dxa"/>
            <w:bottom w:w="0" w:type="dxa"/>
            <w:right w:w="0" w:type="dxa"/>
          </w:tblCellMar>
        </w:tblPrEx>
        <w:trPr>
          <w:trHeight w:val="382" w:hRule="atLeast"/>
        </w:trPr>
        <w:tc>
          <w:tcPr>
            <w:tcW w:w="15340" w:type="dxa"/>
            <w:gridSpan w:val="11"/>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248" w:hRule="atLeast"/>
        </w:trPr>
        <w:tc>
          <w:tcPr>
            <w:tcW w:w="7471" w:type="dxa"/>
            <w:gridSpan w:val="6"/>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重庆市秀山土家族苗族自治县文化和旅游发展委员会</w:t>
            </w:r>
          </w:p>
        </w:tc>
        <w:tc>
          <w:tcPr>
            <w:tcW w:w="165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3"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248" w:hRule="atLeast"/>
        </w:trPr>
        <w:tc>
          <w:tcPr>
            <w:tcW w:w="7471" w:type="dxa"/>
            <w:gridSpan w:val="6"/>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3"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9" w:hRule="atLeast"/>
        </w:trPr>
        <w:tc>
          <w:tcPr>
            <w:tcW w:w="4715"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25" w:type="dxa"/>
            <w:gridSpan w:val="8"/>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1,179.12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134.93</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293.49</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10.71</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115.39</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89.95</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373.72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93.05</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46.86</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21.40</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15.87</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13.52</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144.18</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4.39</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28.90</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105.00</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11.78</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36.00</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14.09</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9"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97" w:hRule="atLeast"/>
        </w:trPr>
        <w:tc>
          <w:tcPr>
            <w:tcW w:w="334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1,323.30</w:t>
            </w:r>
            <w:r>
              <w:rPr>
                <w:color w:val="000000"/>
                <w:sz w:val="18"/>
                <w:u w:color="auto"/>
              </w:rPr>
              <w:t xml:space="preserve"> </w:t>
            </w:r>
          </w:p>
        </w:tc>
        <w:tc>
          <w:tcPr>
            <w:tcW w:w="873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bookmarkStart w:id="0" w:name="_GoBack"/>
      <w:bookmarkEnd w:id="0"/>
    </w:p>
    <w:tbl>
      <w:tblPr>
        <w:tblStyle w:val="11"/>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重庆市秀山土家族苗族自治县文化和旅游发展委员会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1,083.58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1,102.99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1,102.99</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1,083.58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1,102.99</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1,102.99</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重庆市秀山土家族苗族自治县文化和旅游发展委员会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重庆市秀山土家族苗族自治县文化和旅游发展委员会</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70.11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28.79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28.79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70.11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24.58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24.58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4.21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53.96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53.96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53.96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53.96</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0.06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425B34"/>
    <w:rsid w:val="03B87EA0"/>
    <w:rsid w:val="03E3214F"/>
    <w:rsid w:val="044C50BA"/>
    <w:rsid w:val="05BC6D49"/>
    <w:rsid w:val="06194FF1"/>
    <w:rsid w:val="06A2550B"/>
    <w:rsid w:val="06F80EE2"/>
    <w:rsid w:val="07001CCA"/>
    <w:rsid w:val="073359EB"/>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77B4D"/>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A42EFE"/>
    <w:rsid w:val="43BB152F"/>
    <w:rsid w:val="44C37687"/>
    <w:rsid w:val="45CB699A"/>
    <w:rsid w:val="465B470D"/>
    <w:rsid w:val="469D6AD4"/>
    <w:rsid w:val="471E6C84"/>
    <w:rsid w:val="4748792B"/>
    <w:rsid w:val="475D719D"/>
    <w:rsid w:val="47674801"/>
    <w:rsid w:val="48225EF7"/>
    <w:rsid w:val="488F422B"/>
    <w:rsid w:val="48AE0284"/>
    <w:rsid w:val="48E36915"/>
    <w:rsid w:val="495B084E"/>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1B47777"/>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24E69"/>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900D5E"/>
    <w:rsid w:val="65C031CA"/>
    <w:rsid w:val="65CE6852"/>
    <w:rsid w:val="66267C04"/>
    <w:rsid w:val="663F505A"/>
    <w:rsid w:val="66967186"/>
    <w:rsid w:val="66EE5541"/>
    <w:rsid w:val="67924660"/>
    <w:rsid w:val="68407834"/>
    <w:rsid w:val="6883293E"/>
    <w:rsid w:val="688412AD"/>
    <w:rsid w:val="68EB1B71"/>
    <w:rsid w:val="693A4A0F"/>
    <w:rsid w:val="69475C96"/>
    <w:rsid w:val="6AAD2300"/>
    <w:rsid w:val="6B474EF5"/>
    <w:rsid w:val="6BBF53FD"/>
    <w:rsid w:val="6C2877B8"/>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2D12BD"/>
    <w:rsid w:val="796D60A4"/>
    <w:rsid w:val="79A031D5"/>
    <w:rsid w:val="7A1525F7"/>
    <w:rsid w:val="7B420052"/>
    <w:rsid w:val="7B4F51D7"/>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Date"/>
    <w:basedOn w:val="1"/>
    <w:next w:val="1"/>
    <w:qFormat/>
    <w:uiPriority w:val="0"/>
    <w:pPr>
      <w:widowControl w:val="0"/>
      <w:ind w:left="100" w:leftChars="2500"/>
      <w:jc w:val="both"/>
    </w:pPr>
    <w:rPr>
      <w:rFonts w:ascii="Calibri" w:hAnsi="Calibri" w:eastAsia="宋体" w:cs="Times New Roman"/>
      <w:kern w:val="2"/>
      <w:sz w:val="21"/>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basedOn w:val="1"/>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