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重庆市秀山土家族苗族自治县图书馆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hint="eastAsia" w:ascii="方正小标宋_GBK" w:hAnsi="Times New Roman" w:eastAsia="方正小标宋_GBK"/>
          <w:sz w:val="44"/>
          <w:szCs w:val="44"/>
        </w:rPr>
        <w:t>年度部门决算公开说明</w:t>
      </w:r>
    </w:p>
    <w:p>
      <w:pPr>
        <w:spacing w:line="600" w:lineRule="exact"/>
        <w:rPr>
          <w:rFonts w:hint="eastAsia" w:ascii="方正小标宋_GBK" w:hAnsi="Times New Roman" w:eastAsia="方正小标宋_GBK"/>
          <w:b/>
          <w:sz w:val="44"/>
          <w:szCs w:val="44"/>
        </w:rPr>
      </w:pPr>
    </w:p>
    <w:p>
      <w:pPr>
        <w:pStyle w:val="17"/>
        <w:keepNext w:val="0"/>
        <w:keepLines w:val="0"/>
        <w:pageBreakBefore w:val="0"/>
        <w:tabs>
          <w:tab w:val="center" w:pos="4153"/>
          <w:tab w:val="left" w:pos="7275"/>
        </w:tabs>
        <w:kinsoku/>
        <w:wordWrap/>
        <w:overflowPunct/>
        <w:topLinePunct w:val="0"/>
        <w:autoSpaceDN/>
        <w:bidi w:val="0"/>
        <w:adjustRightInd/>
        <w:snapToGrid w:val="0"/>
        <w:spacing w:line="560" w:lineRule="exact"/>
        <w:ind w:firstLine="640"/>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textAlignment w:val="auto"/>
        <w:outlineLvl w:val="9"/>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（一）职能职责</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过收集、整理、保存、流通、研究、传播、传承各类文献资源，为社会大众提供文献借阅、信息咨询、讲座论坛、展览交流、文化休闲等全方位、多层次的文化信息服务，是秀山县重要的知识信息枢纽和精神文明建设基地。具体包含：</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在县委、县政府及上级有关部门的指导下，认真贯彻党和政府的各项方针、政策、法律、法规，严格按照</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读者第一，服务至上</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的宗旨，认真开展各项业务工作。</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根据全县政治、经济、科学、社会和文化教育事业发展的需要，在原有馆藏基础上，积极广泛收集、整理、保存、利用各类图书、报纸、期刊、音像制品、电子出版物和网络信息等高质量高品位的文献信息资源，分门别类建立数据库、资源库。</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通过馆内、网上流通阅览、书目参考、咨询答疑等各种形式和服务手段真诚为读者服务，为政府决策、经济发展、科技创新、学术研究提供高层次的知识支撑和信息服务，传播人类文化科学知识及中华传统文化，最大限度地满足读者的需求。</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积极开展书目、索引工作，编辑出版本县馆藏文献资料目录、索引、以及与本县生产项目的书目信息，发挥文献情报中心的作用。</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充分发挥公共图书馆在普及科学文化知识，提高广大读者，尤其是青少年的阅读习惯、掌握信息技能等方面的导读作用和接受终身教育的作用</w:t>
      </w:r>
      <w:r>
        <w:rPr>
          <w:rFonts w:hint="default" w:ascii="Times New Roman" w:hAnsi="Times New Roman" w:eastAsia="方正仿宋_GBK" w:cs="Times New Roman"/>
          <w:color w:val="000000"/>
          <w:sz w:val="32"/>
          <w:szCs w:val="32"/>
          <w:lang w:eastAsia="zh-CN"/>
        </w:rPr>
        <w:t>。</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组织全县乡镇、村级图书馆搞好协作、协调工作，发挥县图书馆的桥梁作用，组织开展全县乡镇、村级图书馆互动交流，推动全县图书馆事业的繁荣发展。</w:t>
      </w:r>
    </w:p>
    <w:p>
      <w:pPr>
        <w:pStyle w:val="17"/>
        <w:keepNext w:val="0"/>
        <w:keepLines w:val="0"/>
        <w:pageBreakBefore w:val="0"/>
        <w:widowControl w:val="0"/>
        <w:kinsoku/>
        <w:wordWrap/>
        <w:overflowPunct/>
        <w:topLinePunct w:val="0"/>
        <w:autoSpaceDE w:val="0"/>
        <w:autoSpaceDN/>
        <w:bidi w:val="0"/>
        <w:adjustRightInd/>
        <w:snapToGrid w:val="0"/>
        <w:spacing w:line="560" w:lineRule="exact"/>
        <w:ind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承担图书馆免费开放工作。</w:t>
      </w:r>
    </w:p>
    <w:p>
      <w:pPr>
        <w:pStyle w:val="17"/>
        <w:keepNext w:val="0"/>
        <w:keepLines w:val="0"/>
        <w:pageBreakBefore w:val="0"/>
        <w:kinsoku/>
        <w:wordWrap/>
        <w:overflowPunct/>
        <w:topLinePunct w:val="0"/>
        <w:autoSpaceDE w:val="0"/>
        <w:autoSpaceDN/>
        <w:bidi w:val="0"/>
        <w:adjustRightInd/>
        <w:snapToGrid w:val="0"/>
        <w:spacing w:line="560" w:lineRule="exact"/>
        <w:ind w:firstLine="640"/>
        <w:jc w:val="both"/>
        <w:textAlignment w:val="auto"/>
        <w:outlineLvl w:val="9"/>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（二）机构设置</w:t>
      </w:r>
    </w:p>
    <w:p>
      <w:pPr>
        <w:pStyle w:val="17"/>
        <w:keepNext w:val="0"/>
        <w:keepLines w:val="0"/>
        <w:pageBreakBefore w:val="0"/>
        <w:kinsoku/>
        <w:wordWrap/>
        <w:overflowPunct/>
        <w:topLinePunct w:val="0"/>
        <w:autoSpaceDE w:val="0"/>
        <w:autoSpaceDN/>
        <w:bidi w:val="0"/>
        <w:adjustRightInd/>
        <w:snapToGrid w:val="0"/>
        <w:spacing w:line="560" w:lineRule="exact"/>
        <w:ind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秀山土家族苗族自治县机构编制委员会办公室审核，秀山土家族苗族自治县机构编制委员会审定，秀山土家族苗族自治县人民政府批准，秀山土家族苗族自治县编制委员会《关于设立秀山土家族苗族自治县图书馆的通知》，设立秀山土家族苗族自治县图书馆，为秀山土家族苗族自治县文化和旅游发展委员会下属事业单位。</w:t>
      </w:r>
    </w:p>
    <w:p>
      <w:pPr>
        <w:keepNext w:val="0"/>
        <w:keepLines w:val="0"/>
        <w:pageBreakBefore w:val="0"/>
        <w:kinsoku/>
        <w:wordWrap/>
        <w:overflowPunct/>
        <w:topLinePunct w:val="0"/>
        <w:autoSpaceDN/>
        <w:bidi w:val="0"/>
        <w:adjustRightInd/>
        <w:snapToGrid w:val="0"/>
        <w:spacing w:line="560" w:lineRule="exact"/>
        <w:ind w:firstLine="640" w:firstLineChars="200"/>
        <w:jc w:val="both"/>
        <w:textAlignment w:val="auto"/>
        <w:outlineLvl w:val="9"/>
        <w:rPr>
          <w:rFonts w:hint="eastAsia" w:ascii="Times New Roman" w:hAnsi="Times New Roman" w:eastAsia="方正仿宋_GBK" w:cs="宋体"/>
          <w:kern w:val="0"/>
          <w:sz w:val="32"/>
          <w:szCs w:val="32"/>
        </w:rPr>
      </w:pPr>
      <w:r>
        <w:rPr>
          <w:rFonts w:hint="eastAsia" w:ascii="Times New Roman" w:hAnsi="Times New Roman" w:eastAsia="方正黑体_GBK"/>
          <w:sz w:val="32"/>
          <w:szCs w:val="32"/>
        </w:rPr>
        <w:t>二、</w:t>
      </w:r>
      <w:r>
        <w:rPr>
          <w:rFonts w:hint="eastAsia" w:ascii="Times New Roman" w:hAnsi="Times New Roman" w:eastAsia="方正黑体_GBK"/>
          <w:sz w:val="32"/>
          <w:szCs w:val="32"/>
          <w:lang w:eastAsia="zh-CN"/>
        </w:rPr>
        <w:t>单位</w:t>
      </w:r>
      <w:r>
        <w:rPr>
          <w:rFonts w:hint="eastAsia" w:ascii="Times New Roman" w:hAnsi="Times New Roman" w:eastAsia="方正黑体_GBK"/>
          <w:sz w:val="32"/>
          <w:szCs w:val="32"/>
        </w:rPr>
        <w:t>决算情况说明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（一）收入支出决算总体情况说明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1</w:t>
      </w:r>
      <w:r>
        <w:rPr>
          <w:rFonts w:ascii="方正仿宋_GBK" w:hAnsi="仿宋" w:eastAsia="方正仿宋_GBK" w:cs="方正仿宋_GBK"/>
          <w:b/>
          <w:bCs/>
          <w:sz w:val="32"/>
          <w:szCs w:val="32"/>
        </w:rPr>
        <w:t>.总体情况。</w:t>
      </w:r>
      <w:r>
        <w:rPr>
          <w:rFonts w:hint="default" w:ascii="Times New Roman" w:hAnsi="Times New Roman" w:eastAsia="方正仿宋_GBK" w:cs="Times New Roman"/>
          <w:sz w:val="32"/>
          <w:szCs w:val="32"/>
        </w:rPr>
        <w:t>2023年度收入总计321.64万元，支出总计321.64万元。收支较上年决算数增加17.00万元，增长5.58%</w:t>
      </w:r>
      <w:r>
        <w:rPr>
          <w:rFonts w:ascii="方正仿宋_GBK" w:hAnsi="仿宋" w:eastAsia="方正仿宋_GBK" w:cs="方正仿宋_GBK"/>
          <w:sz w:val="32"/>
          <w:szCs w:val="32"/>
        </w:rPr>
        <w:t>，主要原因是</w:t>
      </w:r>
      <w:r>
        <w:rPr>
          <w:rFonts w:ascii="方正仿宋_GBK" w:hAnsi="方正仿宋_GBK" w:eastAsia="方正仿宋_GBK" w:cs="方正仿宋_GBK"/>
          <w:sz w:val="32"/>
          <w:szCs w:val="32"/>
        </w:rPr>
        <w:t>项目经费收入增加，项目支出增加。</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2</w:t>
      </w:r>
      <w:r>
        <w:rPr>
          <w:rFonts w:ascii="方正仿宋_GBK" w:hAnsi="仿宋" w:eastAsia="方正仿宋_GBK" w:cs="方正仿宋_GBK"/>
          <w:b/>
          <w:bCs/>
          <w:sz w:val="32"/>
          <w:szCs w:val="32"/>
        </w:rPr>
        <w:t>.收入情况。</w:t>
      </w:r>
      <w:r>
        <w:rPr>
          <w:rFonts w:hint="default" w:ascii="Times New Roman" w:hAnsi="Times New Roman" w:eastAsia="方正仿宋_GBK" w:cs="Times New Roman"/>
          <w:sz w:val="32"/>
          <w:szCs w:val="32"/>
          <w:shd w:val="clear" w:color="auto" w:fill="FFFFFF"/>
        </w:rPr>
        <w:t>2023年度收入合计291.69万元，较上年决算数增加15.27万元，增长5.52%</w:t>
      </w:r>
      <w:r>
        <w:rPr>
          <w:rFonts w:hint="eastAsia" w:ascii="Times New Roman" w:hAnsi="Times New Roman" w:eastAsia="方正仿宋_GBK" w:cs="Times New Roman"/>
          <w:sz w:val="32"/>
          <w:szCs w:val="32"/>
          <w:shd w:val="clear" w:color="auto" w:fill="FFFFFF"/>
          <w:lang w:eastAsia="zh-CN"/>
        </w:rPr>
        <w:t>，</w:t>
      </w:r>
      <w:r>
        <w:rPr>
          <w:rFonts w:ascii="方正仿宋_GBK" w:hAnsi="仿宋" w:eastAsia="方正仿宋_GBK" w:cs="方正仿宋_GBK"/>
          <w:sz w:val="32"/>
          <w:szCs w:val="32"/>
        </w:rPr>
        <w:t>主要原因是项目经费收入增加。其中：</w:t>
      </w:r>
      <w:r>
        <w:rPr>
          <w:rFonts w:hint="default" w:ascii="Times New Roman" w:hAnsi="Times New Roman" w:eastAsia="方正仿宋_GBK" w:cs="Times New Roman"/>
          <w:sz w:val="32"/>
          <w:szCs w:val="32"/>
          <w:shd w:val="clear" w:color="auto" w:fill="FFFFFF"/>
        </w:rPr>
        <w:t>财政拨款收入</w:t>
      </w:r>
      <w:r>
        <w:rPr>
          <w:rFonts w:hint="default" w:ascii="Times New Roman" w:hAnsi="Times New Roman" w:eastAsia="方正仿宋_GBK" w:cs="Times New Roman"/>
          <w:sz w:val="32"/>
          <w:szCs w:val="32"/>
        </w:rPr>
        <w:t>291.69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29.95</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3</w:t>
      </w:r>
      <w:r>
        <w:rPr>
          <w:rFonts w:ascii="方正仿宋_GBK" w:hAnsi="仿宋" w:eastAsia="方正仿宋_GBK" w:cs="方正仿宋_GBK"/>
          <w:b/>
          <w:bCs/>
          <w:sz w:val="32"/>
          <w:szCs w:val="32"/>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321.62</w:t>
      </w:r>
      <w:r>
        <w:rPr>
          <w:rFonts w:hint="default" w:ascii="Times New Roman" w:hAnsi="Times New Roman" w:eastAsia="方正仿宋_GBK" w:cs="Times New Roman"/>
          <w:sz w:val="32"/>
          <w:szCs w:val="32"/>
          <w:shd w:val="clear" w:color="auto" w:fill="FFFFFF"/>
        </w:rPr>
        <w:t>万元，较上年决算数增加17.08万元，增长5.61%</w:t>
      </w:r>
      <w:r>
        <w:rPr>
          <w:rFonts w:ascii="方正仿宋_GBK" w:hAnsi="仿宋" w:eastAsia="方正仿宋_GBK" w:cs="方正仿宋_GBK"/>
          <w:sz w:val="32"/>
          <w:szCs w:val="32"/>
        </w:rPr>
        <w:t>，主要原因是</w:t>
      </w:r>
      <w:r>
        <w:rPr>
          <w:rFonts w:ascii="方正仿宋_GBK" w:hAnsi="方正仿宋_GBK" w:eastAsia="方正仿宋_GBK" w:cs="方正仿宋_GBK"/>
          <w:sz w:val="32"/>
          <w:szCs w:val="32"/>
        </w:rPr>
        <w:t>项目经费支出</w:t>
      </w:r>
      <w:r>
        <w:rPr>
          <w:rFonts w:ascii="方正仿宋_GBK" w:hAnsi="仿宋" w:eastAsia="方正仿宋_GBK" w:cs="方正仿宋_GBK"/>
          <w:sz w:val="32"/>
          <w:szCs w:val="32"/>
        </w:rPr>
        <w:t>增加</w:t>
      </w:r>
      <w:r>
        <w:rPr>
          <w:rFonts w:ascii="方正仿宋_GBK" w:hAnsi="方正仿宋_GBK" w:eastAsia="方正仿宋_GBK" w:cs="方正仿宋_GBK"/>
          <w:sz w:val="32"/>
          <w:szCs w:val="32"/>
        </w:rPr>
        <w:t>。其中：</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rPr>
        <w:t>154.69</w:t>
      </w:r>
      <w:r>
        <w:rPr>
          <w:rFonts w:hint="default" w:ascii="Times New Roman" w:hAnsi="Times New Roman" w:eastAsia="方正仿宋_GBK" w:cs="Times New Roman"/>
          <w:sz w:val="32"/>
          <w:szCs w:val="32"/>
          <w:shd w:val="clear" w:color="auto" w:fill="FFFFFF"/>
        </w:rPr>
        <w:t>万元，占48.10%；项目支出</w:t>
      </w:r>
      <w:r>
        <w:rPr>
          <w:rFonts w:hint="default" w:ascii="Times New Roman" w:hAnsi="Times New Roman" w:eastAsia="方正仿宋_GBK" w:cs="Times New Roman"/>
          <w:sz w:val="32"/>
          <w:szCs w:val="32"/>
        </w:rPr>
        <w:t>166.93</w:t>
      </w:r>
      <w:r>
        <w:rPr>
          <w:rFonts w:hint="default" w:ascii="Times New Roman" w:hAnsi="Times New Roman" w:eastAsia="方正仿宋_GBK" w:cs="Times New Roman"/>
          <w:sz w:val="32"/>
          <w:szCs w:val="32"/>
          <w:shd w:val="clear" w:color="auto" w:fill="FFFFFF"/>
        </w:rPr>
        <w:t>万元，占51.90%；经营支出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ascii="方正仿宋_GBK" w:hAnsi="仿宋" w:eastAsia="方正仿宋_GBK" w:cs="方正仿宋_GBK"/>
          <w:sz w:val="32"/>
          <w:szCs w:val="32"/>
        </w:rPr>
        <w:t>。</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4</w:t>
      </w:r>
      <w:r>
        <w:rPr>
          <w:rFonts w:ascii="方正仿宋_GBK" w:hAnsi="仿宋" w:eastAsia="方正仿宋_GBK" w:cs="方正仿宋_GBK"/>
          <w:b/>
          <w:bCs/>
          <w:sz w:val="32"/>
          <w:szCs w:val="32"/>
        </w:rPr>
        <w:t>.</w:t>
      </w:r>
      <w:r>
        <w:rPr>
          <w:rFonts w:ascii="方正仿宋_GBK" w:hAnsi="仿宋" w:eastAsia="方正仿宋_GBK" w:cs="方正仿宋_GBK"/>
          <w:b/>
          <w:bCs/>
          <w:color w:val="000000"/>
          <w:sz w:val="32"/>
          <w:szCs w:val="32"/>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万元，较上年决算数减少0.07万元，下降70.00%</w:t>
      </w:r>
      <w:r>
        <w:rPr>
          <w:rFonts w:ascii="方正仿宋_GBK" w:hAnsi="仿宋" w:eastAsia="方正仿宋_GBK" w:cs="方正仿宋_GBK"/>
          <w:color w:val="000000"/>
          <w:sz w:val="32"/>
          <w:szCs w:val="32"/>
        </w:rPr>
        <w:t>，主要原因是</w:t>
      </w:r>
      <w:r>
        <w:rPr>
          <w:rFonts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3</w:t>
      </w:r>
      <w:r>
        <w:rPr>
          <w:rFonts w:ascii="方正仿宋_GBK" w:hAnsi="仿宋" w:eastAsia="方正仿宋_GBK" w:cs="方正仿宋_GBK"/>
          <w:color w:val="000000"/>
          <w:sz w:val="32"/>
          <w:szCs w:val="32"/>
        </w:rPr>
        <w:t>年收入支出平衡，年末结转和结余下降。</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（二）财政拨款收入支出决算总体情况说明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hint="default" w:ascii="Times New Roman" w:hAnsi="Times New Roman" w:eastAsia="方正仿宋_GBK" w:cs="Times New Roman"/>
          <w:sz w:val="32"/>
          <w:szCs w:val="32"/>
          <w:shd w:val="clear" w:color="auto" w:fill="FFFFFF"/>
        </w:rPr>
        <w:t>2023年度财政拨款收、支总计321.64万元。与2022年相比，财政拨款收、支总计各增加17.00万元，增长5.58%。</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w:t>
      </w:r>
      <w:r>
        <w:rPr>
          <w:rFonts w:ascii="方正仿宋_GBK" w:hAnsi="方正仿宋_GBK" w:eastAsia="方正仿宋_GBK" w:cs="方正仿宋_GBK"/>
          <w:sz w:val="32"/>
          <w:szCs w:val="32"/>
        </w:rPr>
        <w:t>财政拨款收、支总体上涨。</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（三）一般公共预算财政拨款支出决算情况说明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1</w:t>
      </w:r>
      <w:r>
        <w:rPr>
          <w:rFonts w:ascii="方正仿宋_GBK" w:hAnsi="仿宋" w:eastAsia="方正仿宋_GBK" w:cs="方正仿宋_GBK"/>
          <w:b/>
          <w:bCs/>
          <w:sz w:val="32"/>
          <w:szCs w:val="32"/>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291.69</w:t>
      </w:r>
      <w:r>
        <w:rPr>
          <w:rFonts w:hint="default" w:ascii="Times New Roman" w:hAnsi="Times New Roman" w:eastAsia="方正仿宋_GBK" w:cs="Times New Roman"/>
          <w:sz w:val="32"/>
          <w:szCs w:val="32"/>
          <w:shd w:val="clear" w:color="auto" w:fill="FFFFFF"/>
        </w:rPr>
        <w:t>万元，较上年决算数增加15.27万元，增长5.52%。</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2022</w:t>
      </w:r>
      <w:r>
        <w:rPr>
          <w:rFonts w:ascii="方正仿宋_GBK" w:hAnsi="仿宋" w:eastAsia="方正仿宋_GBK" w:cs="方正仿宋_GBK"/>
          <w:sz w:val="32"/>
          <w:szCs w:val="32"/>
        </w:rPr>
        <w:t>年</w:t>
      </w:r>
      <w:r>
        <w:rPr>
          <w:rFonts w:ascii="方正仿宋_GBK" w:hAnsi="方正仿宋_GBK" w:eastAsia="方正仿宋_GBK" w:cs="方正仿宋_GBK"/>
          <w:sz w:val="32"/>
          <w:szCs w:val="32"/>
        </w:rPr>
        <w:t>项目经费收入上涨。较年初预算数增加</w:t>
      </w:r>
      <w:r>
        <w:rPr>
          <w:rFonts w:ascii="Times New Roman" w:hAnsi="Times New Roman" w:eastAsia="方正仿宋_GBK" w:cs="方正仿宋_GBK"/>
          <w:sz w:val="32"/>
          <w:szCs w:val="32"/>
        </w:rPr>
        <w:t>52.7</w:t>
      </w:r>
      <w:r>
        <w:rPr>
          <w:rFonts w:ascii="方正仿宋_GBK" w:hAnsi="仿宋" w:eastAsia="方正仿宋_GBK" w:cs="方正仿宋_GBK"/>
          <w:sz w:val="32"/>
          <w:szCs w:val="32"/>
        </w:rPr>
        <w:t>万元，增长</w:t>
      </w:r>
      <w:r>
        <w:rPr>
          <w:rFonts w:ascii="Times New Roman" w:hAnsi="Times New Roman" w:eastAsia="方正仿宋_GBK" w:cs="方正仿宋_GBK"/>
          <w:sz w:val="32"/>
          <w:szCs w:val="32"/>
        </w:rPr>
        <w:t>23.56</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2022</w:t>
      </w:r>
      <w:r>
        <w:rPr>
          <w:rFonts w:ascii="方正仿宋_GBK" w:hAnsi="仿宋" w:eastAsia="方正仿宋_GBK" w:cs="方正仿宋_GBK"/>
          <w:sz w:val="32"/>
          <w:szCs w:val="32"/>
        </w:rPr>
        <w:t>年项目增加，项目收入增加。</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2</w:t>
      </w:r>
      <w:r>
        <w:rPr>
          <w:rFonts w:ascii="方正仿宋_GBK" w:hAnsi="仿宋" w:eastAsia="方正仿宋_GBK" w:cs="方正仿宋_GBK"/>
          <w:b/>
          <w:bCs/>
          <w:sz w:val="32"/>
          <w:szCs w:val="32"/>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321.62</w:t>
      </w:r>
      <w:r>
        <w:rPr>
          <w:rFonts w:hint="default" w:ascii="Times New Roman" w:hAnsi="Times New Roman" w:eastAsia="方正仿宋_GBK" w:cs="Times New Roman"/>
          <w:sz w:val="32"/>
          <w:szCs w:val="32"/>
          <w:shd w:val="clear" w:color="auto" w:fill="FFFFFF"/>
        </w:rPr>
        <w:t>万元，较上年决算数增加17.08万元，增长5.61%。</w:t>
      </w:r>
      <w:r>
        <w:rPr>
          <w:rFonts w:ascii="方正仿宋_GBK" w:hAnsi="仿宋" w:eastAsia="方正仿宋_GBK" w:cs="方正仿宋_GBK"/>
          <w:sz w:val="32"/>
          <w:szCs w:val="32"/>
        </w:rPr>
        <w:t>主要原因是项目支出增加。</w:t>
      </w:r>
      <w:r>
        <w:rPr>
          <w:rFonts w:hint="default" w:ascii="Times New Roman" w:hAnsi="Times New Roman" w:eastAsia="方正仿宋_GBK" w:cs="Times New Roman"/>
          <w:sz w:val="32"/>
          <w:szCs w:val="32"/>
          <w:shd w:val="clear" w:color="auto" w:fill="FFFFFF"/>
        </w:rPr>
        <w:t>较年初预算数增加20.15万元，增长6.68%。</w:t>
      </w:r>
      <w:r>
        <w:rPr>
          <w:rFonts w:ascii="方正仿宋_GBK" w:hAnsi="仿宋" w:eastAsia="方正仿宋_GBK" w:cs="方正仿宋_GBK"/>
          <w:sz w:val="32"/>
          <w:szCs w:val="32"/>
        </w:rPr>
        <w:t>主要原因是项目支出比年初预算增加。</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3</w:t>
      </w:r>
      <w:r>
        <w:rPr>
          <w:rFonts w:ascii="方正仿宋_GBK" w:hAnsi="仿宋" w:eastAsia="方正仿宋_GBK" w:cs="方正仿宋_GBK"/>
          <w:b/>
          <w:bCs/>
          <w:sz w:val="32"/>
          <w:szCs w:val="32"/>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万元，较上年决算数减少0.07万元，下降70.00%，</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年项目进度总体情况好于</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2</w:t>
      </w:r>
      <w:r>
        <w:rPr>
          <w:rFonts w:ascii="方正仿宋_GBK" w:hAnsi="仿宋" w:eastAsia="方正仿宋_GBK" w:cs="方正仿宋_GBK"/>
          <w:sz w:val="32"/>
          <w:szCs w:val="32"/>
        </w:rPr>
        <w:t>年，项目结转下降。</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3"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b/>
          <w:bCs/>
          <w:sz w:val="32"/>
          <w:szCs w:val="32"/>
        </w:rPr>
        <w:t>4</w:t>
      </w:r>
      <w:r>
        <w:rPr>
          <w:rFonts w:ascii="方正仿宋_GBK" w:hAnsi="仿宋" w:eastAsia="方正仿宋_GBK" w:cs="方正仿宋_GBK"/>
          <w:b/>
          <w:bCs/>
          <w:sz w:val="32"/>
          <w:szCs w:val="32"/>
        </w:rPr>
        <w:t>.比较情况。</w:t>
      </w:r>
      <w:r>
        <w:rPr>
          <w:rFonts w:ascii="方正仿宋_GBK" w:hAnsi="仿宋" w:eastAsia="方正仿宋_GBK" w:cs="方正仿宋_GBK"/>
          <w:sz w:val="32"/>
          <w:szCs w:val="32"/>
        </w:rPr>
        <w:t>本部门</w:t>
      </w:r>
      <w:r>
        <w:rPr>
          <w:rFonts w:ascii="Times New Roman" w:hAnsi="Times New Roman" w:eastAsia="方正仿宋_GBK" w:cs="方正仿宋_GBK"/>
          <w:sz w:val="32"/>
          <w:szCs w:val="32"/>
        </w:rPr>
        <w:t>2022</w:t>
      </w:r>
      <w:r>
        <w:rPr>
          <w:rFonts w:ascii="方正仿宋_GBK" w:hAnsi="仿宋" w:eastAsia="方正仿宋_GBK" w:cs="方正仿宋_GBK"/>
          <w:sz w:val="32"/>
          <w:szCs w:val="32"/>
        </w:rPr>
        <w:t>年度一般公共预算财政拨款支出主要用于以下几个方面：</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1</w:t>
      </w:r>
      <w:r>
        <w:rPr>
          <w:rFonts w:ascii="方正仿宋_GBK" w:hAnsi="仿宋" w:eastAsia="方正仿宋_GBK" w:cs="方正仿宋_GBK"/>
          <w:sz w:val="32"/>
          <w:szCs w:val="32"/>
        </w:rPr>
        <w:t>）</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278.43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86.57</w:t>
      </w:r>
      <w:r>
        <w:rPr>
          <w:rFonts w:hint="default" w:ascii="Times New Roman" w:hAnsi="Times New Roman" w:eastAsia="方正仿宋_GBK" w:cs="Times New Roman"/>
          <w:sz w:val="32"/>
          <w:szCs w:val="32"/>
          <w:shd w:val="clear" w:color="auto" w:fill="FFFFFF"/>
        </w:rPr>
        <w:t>%，较年初预算数增加33.76万元，增长13.80%</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年项目进度加快，项目支出增加。</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2</w:t>
      </w:r>
      <w:r>
        <w:rPr>
          <w:rFonts w:ascii="方正仿宋_GBK" w:hAnsi="仿宋" w:eastAsia="方正仿宋_GBK" w:cs="方正仿宋_GBK"/>
          <w:sz w:val="32"/>
          <w:szCs w:val="32"/>
        </w:rPr>
        <w:t>）</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9.51</w:t>
      </w:r>
      <w:r>
        <w:rPr>
          <w:rFonts w:hint="default" w:ascii="Times New Roman" w:hAnsi="Times New Roman" w:eastAsia="方正仿宋_GBK" w:cs="Times New Roman"/>
          <w:sz w:val="32"/>
          <w:szCs w:val="32"/>
          <w:shd w:val="clear" w:color="auto" w:fill="FFFFFF"/>
        </w:rPr>
        <w:t>%，较年初预算数减少8.14万元，下降21.02%，</w:t>
      </w:r>
      <w:r>
        <w:rPr>
          <w:rFonts w:ascii="方正仿宋_GBK" w:hAnsi="仿宋" w:eastAsia="方正仿宋_GBK" w:cs="方正仿宋_GBK"/>
          <w:sz w:val="32"/>
          <w:szCs w:val="32"/>
        </w:rPr>
        <w:t>主要原因是</w:t>
      </w:r>
      <w:r>
        <w:rPr>
          <w:rFonts w:hint="eastAsia" w:ascii="Times New Roman" w:hAnsi="Times New Roman" w:eastAsia="方正仿宋_GBK" w:cs="方正仿宋_GBK"/>
          <w:sz w:val="32"/>
          <w:szCs w:val="32"/>
          <w:lang w:val="en-US" w:eastAsia="zh-CN"/>
        </w:rPr>
        <w:t>2022年12月有在职职工退休、</w:t>
      </w:r>
      <w:r>
        <w:rPr>
          <w:rFonts w:hint="eastAsia" w:ascii="方正仿宋_GBK" w:hAnsi="仿宋" w:eastAsia="方正仿宋_GBK" w:cs="方正仿宋_GBK"/>
          <w:sz w:val="32"/>
          <w:szCs w:val="32"/>
          <w:lang w:eastAsia="zh-CN"/>
        </w:rPr>
        <w:t>有退休职工过世、</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有</w:t>
      </w:r>
      <w:r>
        <w:rPr>
          <w:rFonts w:hint="eastAsia" w:ascii="方正仿宋_GBK" w:hAnsi="仿宋" w:eastAsia="方正仿宋_GBK" w:cs="方正仿宋_GBK"/>
          <w:sz w:val="32"/>
          <w:szCs w:val="32"/>
          <w:lang w:eastAsia="zh-CN"/>
        </w:rPr>
        <w:t>在职工调入其他单位</w:t>
      </w:r>
      <w:r>
        <w:rPr>
          <w:rFonts w:ascii="方正仿宋_GBK" w:hAnsi="仿宋" w:eastAsia="方正仿宋_GBK" w:cs="方正仿宋_GBK"/>
          <w:sz w:val="32"/>
          <w:szCs w:val="32"/>
        </w:rPr>
        <w:t>，</w:t>
      </w:r>
      <w:r>
        <w:rPr>
          <w:rFonts w:hint="eastAsia" w:ascii="方正仿宋_GBK" w:hAnsi="仿宋" w:eastAsia="方正仿宋_GBK" w:cs="方正仿宋_GBK"/>
          <w:sz w:val="32"/>
          <w:szCs w:val="32"/>
          <w:lang w:eastAsia="zh-CN"/>
        </w:rPr>
        <w:t>职工人数减少、职工支出减少</w:t>
      </w:r>
      <w:r>
        <w:rPr>
          <w:rFonts w:ascii="方正仿宋_GBK" w:hAnsi="仿宋" w:eastAsia="方正仿宋_GBK" w:cs="方正仿宋_GBK"/>
          <w:sz w:val="32"/>
          <w:szCs w:val="32"/>
        </w:rPr>
        <w:t>。</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3</w:t>
      </w:r>
      <w:r>
        <w:rPr>
          <w:rFonts w:ascii="方正仿宋_GBK" w:hAnsi="仿宋" w:eastAsia="方正仿宋_GBK" w:cs="方正仿宋_GBK"/>
          <w:sz w:val="32"/>
          <w:szCs w:val="32"/>
        </w:rPr>
        <w:t>）</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1.60</w:t>
      </w:r>
      <w:r>
        <w:rPr>
          <w:rFonts w:hint="default" w:ascii="Times New Roman" w:hAnsi="Times New Roman" w:eastAsia="方正仿宋_GBK" w:cs="Times New Roman"/>
          <w:sz w:val="32"/>
          <w:szCs w:val="32"/>
          <w:shd w:val="clear" w:color="auto" w:fill="FFFFFF"/>
        </w:rPr>
        <w:t>%，较年初预算数减少1.21万元，下降19.06%</w:t>
      </w:r>
      <w:r>
        <w:rPr>
          <w:rFonts w:ascii="方正仿宋_GBK" w:hAnsi="仿宋" w:eastAsia="方正仿宋_GBK" w:cs="方正仿宋_GBK"/>
          <w:sz w:val="32"/>
          <w:szCs w:val="32"/>
        </w:rPr>
        <w:t>，主要原因是</w:t>
      </w:r>
      <w:r>
        <w:rPr>
          <w:rFonts w:hint="eastAsia" w:ascii="Times New Roman" w:hAnsi="Times New Roman" w:eastAsia="方正仿宋_GBK" w:cs="方正仿宋_GBK"/>
          <w:sz w:val="32"/>
          <w:szCs w:val="32"/>
          <w:lang w:val="en-US" w:eastAsia="zh-CN"/>
        </w:rPr>
        <w:t>2023年有职工调入其他单位</w:t>
      </w:r>
      <w:r>
        <w:rPr>
          <w:rFonts w:ascii="方正仿宋_GBK" w:hAnsi="仿宋" w:eastAsia="方正仿宋_GBK" w:cs="方正仿宋_GBK"/>
          <w:sz w:val="32"/>
          <w:szCs w:val="32"/>
        </w:rPr>
        <w:t>，支出减少。</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4</w:t>
      </w:r>
      <w:r>
        <w:rPr>
          <w:rFonts w:ascii="方正仿宋_GBK" w:hAnsi="仿宋" w:eastAsia="方正仿宋_GBK" w:cs="方正仿宋_GBK"/>
          <w:sz w:val="32"/>
          <w:szCs w:val="32"/>
        </w:rPr>
        <w:t>）</w:t>
      </w:r>
      <w:r>
        <w:rPr>
          <w:rFonts w:hint="default" w:ascii="Times New Roman" w:hAnsi="Times New Roman" w:eastAsia="方正仿宋_GBK" w:cs="Times New Roman"/>
          <w:sz w:val="32"/>
          <w:szCs w:val="32"/>
        </w:rPr>
        <w:t>住房保障支出7.47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2.32</w:t>
      </w:r>
      <w:r>
        <w:rPr>
          <w:rFonts w:hint="default" w:ascii="Times New Roman" w:hAnsi="Times New Roman" w:eastAsia="方正仿宋_GBK" w:cs="Times New Roman"/>
          <w:sz w:val="32"/>
          <w:szCs w:val="32"/>
          <w:shd w:val="clear" w:color="auto" w:fill="FFFFFF"/>
        </w:rPr>
        <w:t>%，较年初预算数减少4.26万元，下降36.32%</w:t>
      </w:r>
      <w:r>
        <w:rPr>
          <w:rFonts w:ascii="方正仿宋_GBK" w:hAnsi="仿宋" w:eastAsia="方正仿宋_GBK" w:cs="方正仿宋_GBK"/>
          <w:sz w:val="32"/>
          <w:szCs w:val="32"/>
        </w:rPr>
        <w:t>，主要原因是</w:t>
      </w:r>
      <w:r>
        <w:rPr>
          <w:rFonts w:hint="eastAsia" w:ascii="Times New Roman" w:hAnsi="Times New Roman" w:eastAsia="方正仿宋_GBK" w:cs="方正仿宋_GBK"/>
          <w:sz w:val="32"/>
          <w:szCs w:val="32"/>
          <w:lang w:val="en-US" w:eastAsia="zh-CN"/>
        </w:rPr>
        <w:t>2023年有职工调入其他单位</w:t>
      </w:r>
      <w:r>
        <w:rPr>
          <w:rFonts w:ascii="方正仿宋_GBK" w:hAnsi="仿宋" w:eastAsia="方正仿宋_GBK" w:cs="方正仿宋_GBK"/>
          <w:sz w:val="32"/>
          <w:szCs w:val="32"/>
        </w:rPr>
        <w:t>，支出减少。</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（四）一般公共预算财政拨款基本支出决算情况说明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154.69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144.42</w:t>
      </w:r>
      <w:r>
        <w:rPr>
          <w:rFonts w:hint="default" w:ascii="Times New Roman" w:hAnsi="Times New Roman" w:eastAsia="方正仿宋_GBK" w:cs="Times New Roman"/>
          <w:sz w:val="32"/>
          <w:szCs w:val="32"/>
          <w:shd w:val="clear" w:color="auto" w:fill="FFFFFF"/>
        </w:rPr>
        <w:t>万元，较上年决算数减少20.97万元，下降12.68%，</w:t>
      </w:r>
      <w:r>
        <w:rPr>
          <w:rFonts w:ascii="方正仿宋_GBK" w:hAnsi="仿宋" w:eastAsia="方正仿宋_GBK" w:cs="方正仿宋_GBK"/>
          <w:sz w:val="32"/>
          <w:szCs w:val="32"/>
        </w:rPr>
        <w:t>主要原因是</w:t>
      </w:r>
      <w:r>
        <w:rPr>
          <w:rFonts w:hint="eastAsia" w:ascii="Times New Roman" w:hAnsi="Times New Roman" w:eastAsia="方正仿宋_GBK" w:cs="方正仿宋_GBK"/>
          <w:sz w:val="32"/>
          <w:szCs w:val="32"/>
          <w:lang w:val="en-US" w:eastAsia="zh-CN"/>
        </w:rPr>
        <w:t>2022年12月有在职职工退休</w:t>
      </w:r>
      <w:r>
        <w:rPr>
          <w:rFonts w:hint="eastAsia" w:ascii="方正仿宋_GBK" w:hAnsi="仿宋"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有</w:t>
      </w:r>
      <w:r>
        <w:rPr>
          <w:rFonts w:hint="eastAsia" w:ascii="方正仿宋_GBK" w:hAnsi="仿宋" w:eastAsia="方正仿宋_GBK" w:cs="方正仿宋_GBK"/>
          <w:sz w:val="32"/>
          <w:szCs w:val="32"/>
          <w:lang w:eastAsia="zh-CN"/>
        </w:rPr>
        <w:t>在职工调入其他单位</w:t>
      </w:r>
      <w:r>
        <w:rPr>
          <w:rFonts w:ascii="方正仿宋_GBK" w:hAnsi="仿宋" w:eastAsia="方正仿宋_GBK" w:cs="方正仿宋_GBK"/>
          <w:sz w:val="32"/>
          <w:szCs w:val="32"/>
        </w:rPr>
        <w:t>，</w:t>
      </w:r>
      <w:r>
        <w:rPr>
          <w:rFonts w:hint="eastAsia" w:ascii="方正仿宋_GBK" w:hAnsi="仿宋" w:eastAsia="方正仿宋_GBK" w:cs="方正仿宋_GBK"/>
          <w:sz w:val="32"/>
          <w:szCs w:val="32"/>
          <w:lang w:eastAsia="zh-CN"/>
        </w:rPr>
        <w:t>职工人数减少、职工支出减少</w:t>
      </w:r>
      <w:r>
        <w:rPr>
          <w:rFonts w:ascii="方正仿宋_GBK" w:hAnsi="方正仿宋_GBK" w:eastAsia="方正仿宋_GBK" w:cs="方正仿宋_GBK"/>
          <w:sz w:val="32"/>
          <w:szCs w:val="32"/>
        </w:rPr>
        <w:t>。人员经费用途主要包括基本工资、津贴补贴、社会保障缴费、绩效工资、其他工资福利支出。公用经费</w:t>
      </w:r>
      <w:r>
        <w:rPr>
          <w:rFonts w:hint="eastAsia" w:ascii="Times New Roman" w:hAnsi="Times New Roman" w:eastAsia="方正仿宋_GBK" w:cs="方正仿宋_GBK"/>
          <w:sz w:val="32"/>
          <w:szCs w:val="32"/>
          <w:lang w:val="en-US" w:eastAsia="zh-CN"/>
        </w:rPr>
        <w:t>10.27</w:t>
      </w:r>
      <w:r>
        <w:rPr>
          <w:rFonts w:ascii="方正仿宋_GBK" w:hAnsi="仿宋" w:eastAsia="方正仿宋_GBK" w:cs="方正仿宋_GBK"/>
          <w:sz w:val="32"/>
          <w:szCs w:val="32"/>
        </w:rPr>
        <w:t>万元，较上年决算数</w:t>
      </w:r>
      <w:r>
        <w:rPr>
          <w:rFonts w:hint="default" w:ascii="Times New Roman" w:hAnsi="Times New Roman" w:eastAsia="方正仿宋_GBK" w:cs="Times New Roman"/>
          <w:sz w:val="32"/>
          <w:szCs w:val="32"/>
          <w:shd w:val="clear" w:color="auto" w:fill="FFFFFF"/>
        </w:rPr>
        <w:t>较上年决算数增加0.09万元，增长0.88%</w:t>
      </w:r>
      <w:r>
        <w:rPr>
          <w:rFonts w:ascii="方正仿宋_GBK" w:hAnsi="仿宋" w:eastAsia="方正仿宋_GBK" w:cs="方正仿宋_GBK"/>
          <w:sz w:val="32"/>
          <w:szCs w:val="32"/>
        </w:rPr>
        <w:t>，主要原因是响应政府“过紧日子”号召，</w:t>
      </w:r>
      <w:r>
        <w:rPr>
          <w:rFonts w:hint="eastAsia" w:ascii="方正仿宋_GBK" w:hAnsi="仿宋" w:eastAsia="方正仿宋_GBK" w:cs="方正仿宋_GBK"/>
          <w:sz w:val="32"/>
          <w:szCs w:val="32"/>
          <w:lang w:eastAsia="zh-CN"/>
        </w:rPr>
        <w:t>维持相对平稳的支出</w:t>
      </w:r>
      <w:r>
        <w:rPr>
          <w:rFonts w:ascii="方正仿宋_GBK" w:hAnsi="方正仿宋_GBK" w:eastAsia="方正仿宋_GBK" w:cs="方正仿宋_GBK"/>
          <w:sz w:val="32"/>
          <w:szCs w:val="32"/>
        </w:rPr>
        <w:t>。公用经费用途主要包括办公费、印刷费、水费、电费、邮电费、维修费、差旅费、劳务费、工会经费、其他商品和服务支出。</w:t>
      </w:r>
    </w:p>
    <w:p>
      <w:pPr>
        <w:pStyle w:val="18"/>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楷体_GBK" w:hAnsi="方正楷体_GBK" w:eastAsia="方正楷体_GBK" w:cs="方正楷体_GBK"/>
          <w:color w:val="333333"/>
          <w:sz w:val="32"/>
          <w:szCs w:val="32"/>
        </w:rPr>
      </w:pPr>
      <w:r>
        <w:rPr>
          <w:rFonts w:ascii="方正楷体_GBK" w:hAnsi="方正楷体_GBK" w:eastAsia="方正楷体_GBK" w:cs="方正楷体_GBK"/>
          <w:color w:val="333333"/>
          <w:sz w:val="32"/>
          <w:szCs w:val="32"/>
        </w:rPr>
        <w:t>（五）政府性基金预算收支决算情况说明</w:t>
      </w:r>
    </w:p>
    <w:p>
      <w:pPr>
        <w:pStyle w:val="18"/>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方正仿宋_GBK" w:eastAsia="方正仿宋_GBK" w:cs="方正仿宋_GBK"/>
          <w:sz w:val="32"/>
          <w:szCs w:val="32"/>
        </w:rPr>
        <w:t>年度无政府性基金预算财政拨款收支。</w:t>
      </w:r>
    </w:p>
    <w:p>
      <w:pPr>
        <w:pStyle w:val="18"/>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楷体_GBK" w:hAnsi="方正楷体_GBK" w:eastAsia="方正楷体_GBK" w:cs="方正楷体_GBK"/>
          <w:color w:val="333333"/>
          <w:sz w:val="32"/>
          <w:szCs w:val="32"/>
        </w:rPr>
      </w:pPr>
      <w:r>
        <w:rPr>
          <w:rFonts w:ascii="方正楷体_GBK" w:hAnsi="方正楷体_GBK" w:eastAsia="方正楷体_GBK" w:cs="方正楷体_GBK"/>
          <w:color w:val="333333"/>
          <w:sz w:val="32"/>
          <w:szCs w:val="32"/>
        </w:rPr>
        <w:t>（六）国有资本经营预算财政拨款支出决算情况说明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方正仿宋_GBK" w:eastAsia="方正仿宋_GBK" w:cs="方正仿宋_GBK"/>
          <w:sz w:val="32"/>
          <w:szCs w:val="32"/>
        </w:rPr>
        <w:t>年度无国有资本经营预算财政拨款支出。</w:t>
      </w:r>
    </w:p>
    <w:p>
      <w:pPr>
        <w:keepNext w:val="0"/>
        <w:keepLines w:val="0"/>
        <w:pageBreakBefore w:val="0"/>
        <w:kinsoku/>
        <w:wordWrap/>
        <w:overflowPunct/>
        <w:topLinePunct w:val="0"/>
        <w:autoSpaceDN/>
        <w:bidi w:val="0"/>
        <w:adjustRightInd/>
        <w:snapToGrid w:val="0"/>
        <w:spacing w:line="560" w:lineRule="exact"/>
        <w:ind w:firstLine="640" w:firstLineChars="200"/>
        <w:jc w:val="both"/>
        <w:textAlignment w:val="auto"/>
        <w:outlineLvl w:val="9"/>
        <w:rPr>
          <w:rFonts w:hint="eastAsia" w:ascii="Times New Roman" w:hAnsi="Times New Roman"/>
          <w:sz w:val="30"/>
          <w:szCs w:val="30"/>
        </w:rPr>
      </w:pPr>
      <w:r>
        <w:rPr>
          <w:rFonts w:hint="eastAsia" w:ascii="Times New Roman" w:hAnsi="Times New Roman" w:eastAsia="方正黑体_GBK"/>
          <w:sz w:val="32"/>
          <w:szCs w:val="32"/>
        </w:rPr>
        <w:t xml:space="preserve">三、“三公”经费情况说明 </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（一）</w:t>
      </w:r>
      <w:r>
        <w:rPr>
          <w:rFonts w:hint="default" w:ascii="Times New Roman" w:hAnsi="Times New Roman" w:eastAsia="方正楷体_GBK" w:cs="宋体"/>
          <w:color w:val="333333"/>
          <w:sz w:val="32"/>
          <w:szCs w:val="32"/>
        </w:rPr>
        <w:t>“</w:t>
      </w:r>
      <w:r>
        <w:rPr>
          <w:rFonts w:ascii="方正楷体_GBK" w:hAnsi="方正楷体_GBK" w:eastAsia="方正楷体_GBK" w:cs="方正楷体_GBK"/>
          <w:color w:val="333333"/>
          <w:sz w:val="32"/>
          <w:szCs w:val="32"/>
        </w:rPr>
        <w:t>三公</w:t>
      </w:r>
      <w:r>
        <w:rPr>
          <w:rFonts w:hint="default" w:ascii="Times New Roman" w:hAnsi="Times New Roman" w:eastAsia="方正楷体_GBK"/>
          <w:color w:val="333333"/>
          <w:sz w:val="32"/>
          <w:szCs w:val="32"/>
        </w:rPr>
        <w:t>”</w:t>
      </w:r>
      <w:r>
        <w:rPr>
          <w:rFonts w:ascii="方正楷体_GBK" w:hAnsi="方正楷体_GBK" w:eastAsia="方正楷体_GBK" w:cs="方正楷体_GBK"/>
          <w:color w:val="333333"/>
          <w:sz w:val="32"/>
          <w:szCs w:val="32"/>
        </w:rPr>
        <w:t>经费支出总体情况说明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年度</w:t>
      </w:r>
      <w:r>
        <w:rPr>
          <w:rFonts w:ascii="仿宋" w:hAnsi="仿宋" w:eastAsia="仿宋" w:cs="仿宋"/>
          <w:sz w:val="32"/>
          <w:szCs w:val="32"/>
        </w:rPr>
        <w:t>“</w:t>
      </w:r>
      <w:r>
        <w:rPr>
          <w:rFonts w:ascii="方正仿宋_GBK" w:hAnsi="方正仿宋_GBK" w:eastAsia="方正仿宋_GBK" w:cs="方正仿宋_GBK"/>
          <w:sz w:val="32"/>
          <w:szCs w:val="32"/>
        </w:rPr>
        <w:t>三公</w:t>
      </w:r>
      <w:r>
        <w:rPr>
          <w:rFonts w:ascii="仿宋" w:hAnsi="仿宋" w:eastAsia="仿宋" w:cs="仿宋"/>
          <w:sz w:val="32"/>
          <w:szCs w:val="32"/>
        </w:rPr>
        <w:t>”</w:t>
      </w:r>
      <w:r>
        <w:rPr>
          <w:rFonts w:ascii="方正仿宋_GBK" w:hAnsi="方正仿宋_GBK" w:eastAsia="方正仿宋_GBK" w:cs="方正仿宋_GBK"/>
          <w:sz w:val="32"/>
          <w:szCs w:val="32"/>
        </w:rPr>
        <w:t>经费支出共计</w:t>
      </w:r>
      <w:r>
        <w:rPr>
          <w:rFonts w:ascii="Times New Roman" w:hAnsi="Times New Roman" w:eastAsia="方正仿宋_GBK" w:cs="方正仿宋_GBK"/>
          <w:sz w:val="32"/>
          <w:szCs w:val="32"/>
        </w:rPr>
        <w:t>0</w:t>
      </w: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00</w:t>
      </w:r>
      <w:r>
        <w:rPr>
          <w:rFonts w:ascii="方正仿宋_GBK" w:hAnsi="方正仿宋_GBK" w:eastAsia="方正仿宋_GBK" w:cs="方正仿宋_GBK"/>
          <w:sz w:val="32"/>
          <w:szCs w:val="32"/>
        </w:rPr>
        <w:t>万元，较年初预算数减少</w:t>
      </w:r>
      <w:r>
        <w:rPr>
          <w:rFonts w:ascii="Times New Roman" w:hAnsi="Times New Roman" w:eastAsia="方正仿宋_GBK" w:cs="方正仿宋_GBK"/>
          <w:sz w:val="32"/>
          <w:szCs w:val="32"/>
        </w:rPr>
        <w:t>0</w:t>
      </w: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30</w:t>
      </w:r>
      <w:r>
        <w:rPr>
          <w:rFonts w:ascii="方正仿宋_GBK" w:hAnsi="方正仿宋_GBK" w:eastAsia="方正仿宋_GBK" w:cs="方正仿宋_GBK"/>
          <w:sz w:val="32"/>
          <w:szCs w:val="32"/>
        </w:rPr>
        <w:t>万元，下降</w:t>
      </w:r>
      <w:r>
        <w:rPr>
          <w:rFonts w:ascii="Times New Roman" w:hAnsi="Times New Roman" w:eastAsia="方正仿宋_GBK" w:cs="方正仿宋_GBK"/>
          <w:sz w:val="32"/>
          <w:szCs w:val="32"/>
        </w:rPr>
        <w:t>100</w:t>
      </w: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0</w:t>
      </w:r>
      <w:r>
        <w:rPr>
          <w:rFonts w:ascii="方正仿宋_GBK" w:hAnsi="方正仿宋_GBK" w:eastAsia="方正仿宋_GBK" w:cs="方正仿宋_GBK"/>
          <w:sz w:val="32"/>
          <w:szCs w:val="32"/>
        </w:rPr>
        <w:t>%。</w:t>
      </w:r>
      <w:r>
        <w:rPr>
          <w:rFonts w:ascii="方正仿宋_GBK" w:hAnsi="仿宋" w:eastAsia="方正仿宋_GBK" w:cs="方正仿宋_GBK"/>
          <w:sz w:val="32"/>
          <w:szCs w:val="32"/>
        </w:rPr>
        <w:t>主要原因是</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年我单位未产生</w:t>
      </w:r>
      <w:r>
        <w:rPr>
          <w:rFonts w:ascii="仿宋" w:hAnsi="仿宋" w:eastAsia="仿宋" w:cs="仿宋"/>
          <w:sz w:val="32"/>
          <w:szCs w:val="32"/>
        </w:rPr>
        <w:t>“</w:t>
      </w:r>
      <w:r>
        <w:rPr>
          <w:rFonts w:ascii="方正仿宋_GBK" w:hAnsi="方正仿宋_GBK" w:eastAsia="方正仿宋_GBK" w:cs="方正仿宋_GBK"/>
          <w:sz w:val="32"/>
          <w:szCs w:val="32"/>
        </w:rPr>
        <w:t>三公</w:t>
      </w:r>
      <w:r>
        <w:rPr>
          <w:rFonts w:ascii="仿宋" w:hAnsi="仿宋" w:eastAsia="仿宋" w:cs="仿宋"/>
          <w:sz w:val="32"/>
          <w:szCs w:val="32"/>
        </w:rPr>
        <w:t>”</w:t>
      </w:r>
      <w:r>
        <w:rPr>
          <w:rFonts w:ascii="方正仿宋_GBK" w:hAnsi="方正仿宋_GBK" w:eastAsia="方正仿宋_GBK" w:cs="方正仿宋_GBK"/>
          <w:sz w:val="32"/>
          <w:szCs w:val="32"/>
        </w:rPr>
        <w:t>经费支出。</w:t>
      </w:r>
      <w:r>
        <w:rPr>
          <w:rFonts w:hint="default" w:ascii="Times New Roman" w:hAnsi="Times New Roman" w:eastAsia="方正仿宋_GBK" w:cs="Times New Roman"/>
          <w:sz w:val="32"/>
          <w:szCs w:val="32"/>
          <w:shd w:val="clear" w:color="auto" w:fill="FFFFFF"/>
        </w:rPr>
        <w:t>较上年支出数无增减，主要原因是是</w:t>
      </w:r>
      <w:r>
        <w:rPr>
          <w:rFonts w:hint="eastAsia" w:ascii="Times New Roman" w:hAnsi="Times New Roman" w:eastAsia="方正仿宋_GBK" w:cs="Times New Roman"/>
          <w:sz w:val="32"/>
          <w:szCs w:val="32"/>
          <w:shd w:val="clear" w:color="auto" w:fill="FFFFFF"/>
          <w:lang w:val="en-US" w:eastAsia="zh-CN"/>
        </w:rPr>
        <w:t>2022年及</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w:t>
      </w:r>
      <w:r>
        <w:rPr>
          <w:rFonts w:hint="eastAsia" w:ascii="方正仿宋_GBK" w:hAnsi="仿宋" w:eastAsia="方正仿宋_GBK" w:cs="方正仿宋_GBK"/>
          <w:sz w:val="32"/>
          <w:szCs w:val="32"/>
          <w:lang w:eastAsia="zh-CN"/>
        </w:rPr>
        <w:t>均</w:t>
      </w:r>
      <w:r>
        <w:rPr>
          <w:rFonts w:ascii="方正仿宋_GBK" w:hAnsi="仿宋" w:eastAsia="方正仿宋_GBK" w:cs="方正仿宋_GBK"/>
          <w:sz w:val="32"/>
          <w:szCs w:val="32"/>
        </w:rPr>
        <w:t>未产生</w:t>
      </w:r>
      <w:r>
        <w:rPr>
          <w:rFonts w:ascii="仿宋" w:hAnsi="仿宋" w:eastAsia="仿宋" w:cs="仿宋"/>
          <w:sz w:val="32"/>
          <w:szCs w:val="32"/>
        </w:rPr>
        <w:t>“</w:t>
      </w:r>
      <w:r>
        <w:rPr>
          <w:rFonts w:ascii="方正仿宋_GBK" w:hAnsi="方正仿宋_GBK" w:eastAsia="方正仿宋_GBK" w:cs="方正仿宋_GBK"/>
          <w:sz w:val="32"/>
          <w:szCs w:val="32"/>
        </w:rPr>
        <w:t>三公</w:t>
      </w:r>
      <w:r>
        <w:rPr>
          <w:rFonts w:ascii="仿宋" w:hAnsi="仿宋" w:eastAsia="仿宋" w:cs="仿宋"/>
          <w:sz w:val="32"/>
          <w:szCs w:val="32"/>
        </w:rPr>
        <w:t>”</w:t>
      </w:r>
      <w:r>
        <w:rPr>
          <w:rFonts w:ascii="方正仿宋_GBK" w:hAnsi="方正仿宋_GBK" w:eastAsia="方正仿宋_GBK" w:cs="方正仿宋_GBK"/>
          <w:sz w:val="32"/>
          <w:szCs w:val="32"/>
        </w:rPr>
        <w:t>经费支出。</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楷体_GBK" w:hAnsi="方正楷体_GBK" w:eastAsia="方正楷体_GBK" w:cs="方正楷体_GBK"/>
          <w:color w:val="333333"/>
          <w:sz w:val="32"/>
          <w:szCs w:val="32"/>
        </w:rPr>
      </w:pPr>
      <w:r>
        <w:rPr>
          <w:rFonts w:ascii="方正楷体_GBK" w:hAnsi="方正楷体_GBK" w:eastAsia="方正楷体_GBK" w:cs="方正楷体_GBK"/>
          <w:color w:val="333333"/>
          <w:sz w:val="32"/>
          <w:szCs w:val="32"/>
        </w:rPr>
        <w:t>（二）</w:t>
      </w:r>
      <w:r>
        <w:rPr>
          <w:rFonts w:hint="default" w:ascii="Times New Roman" w:hAnsi="Times New Roman" w:eastAsia="方正楷体_GBK" w:cs="宋体"/>
          <w:color w:val="333333"/>
          <w:sz w:val="32"/>
          <w:szCs w:val="32"/>
        </w:rPr>
        <w:t>“</w:t>
      </w:r>
      <w:r>
        <w:rPr>
          <w:rFonts w:ascii="方正楷体_GBK" w:hAnsi="方正楷体_GBK" w:eastAsia="方正楷体_GBK" w:cs="方正楷体_GBK"/>
          <w:color w:val="333333"/>
          <w:sz w:val="32"/>
          <w:szCs w:val="32"/>
        </w:rPr>
        <w:t>三公</w:t>
      </w:r>
      <w:r>
        <w:rPr>
          <w:rFonts w:hint="default" w:ascii="Times New Roman" w:hAnsi="Times New Roman" w:eastAsia="方正楷体_GBK"/>
          <w:color w:val="333333"/>
          <w:sz w:val="32"/>
          <w:szCs w:val="32"/>
        </w:rPr>
        <w:t>”</w:t>
      </w:r>
      <w:r>
        <w:rPr>
          <w:rFonts w:ascii="方正楷体_GBK" w:hAnsi="方正楷体_GBK" w:eastAsia="方正楷体_GBK" w:cs="方正楷体_GBK"/>
          <w:color w:val="333333"/>
          <w:sz w:val="32"/>
          <w:szCs w:val="32"/>
        </w:rPr>
        <w:t>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主要原因是是</w:t>
      </w:r>
      <w:r>
        <w:rPr>
          <w:rFonts w:hint="eastAsia" w:ascii="Times New Roman" w:hAnsi="Times New Roman" w:eastAsia="方正仿宋_GBK" w:cs="Times New Roman"/>
          <w:sz w:val="32"/>
          <w:szCs w:val="32"/>
          <w:shd w:val="clear" w:color="auto" w:fill="FFFFFF"/>
          <w:lang w:val="en-US" w:eastAsia="zh-CN"/>
        </w:rPr>
        <w:t>2022年及</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w:t>
      </w:r>
      <w:r>
        <w:rPr>
          <w:rFonts w:hint="eastAsia" w:ascii="方正仿宋_GBK" w:hAnsi="仿宋" w:eastAsia="方正仿宋_GBK" w:cs="方正仿宋_GBK"/>
          <w:sz w:val="32"/>
          <w:szCs w:val="32"/>
          <w:lang w:eastAsia="zh-CN"/>
        </w:rPr>
        <w:t>均</w:t>
      </w:r>
      <w:r>
        <w:rPr>
          <w:rFonts w:ascii="方正仿宋_GBK" w:hAnsi="仿宋" w:eastAsia="方正仿宋_GBK" w:cs="方正仿宋_GBK"/>
          <w:sz w:val="32"/>
          <w:szCs w:val="32"/>
        </w:rPr>
        <w:t>未产生</w:t>
      </w:r>
      <w:r>
        <w:rPr>
          <w:rFonts w:hint="default" w:ascii="Times New Roman" w:hAnsi="Times New Roman" w:eastAsia="方正仿宋_GBK" w:cs="Times New Roman"/>
          <w:sz w:val="32"/>
          <w:szCs w:val="32"/>
          <w:shd w:val="clear" w:color="auto" w:fill="FFFFFF"/>
        </w:rPr>
        <w:t>因公出国（境）费用</w:t>
      </w:r>
      <w:r>
        <w:rPr>
          <w:rFonts w:ascii="方正仿宋_GBK" w:hAnsi="方正仿宋_GBK" w:eastAsia="方正仿宋_GBK" w:cs="方正仿宋_GBK"/>
          <w:sz w:val="32"/>
          <w:szCs w:val="32"/>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主要原因是是</w:t>
      </w:r>
      <w:r>
        <w:rPr>
          <w:rFonts w:hint="eastAsia" w:ascii="Times New Roman" w:hAnsi="Times New Roman" w:eastAsia="方正仿宋_GBK" w:cs="Times New Roman"/>
          <w:sz w:val="32"/>
          <w:szCs w:val="32"/>
          <w:shd w:val="clear" w:color="auto" w:fill="FFFFFF"/>
          <w:lang w:val="en-US" w:eastAsia="zh-CN"/>
        </w:rPr>
        <w:t>2022年及</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w:t>
      </w:r>
      <w:r>
        <w:rPr>
          <w:rFonts w:hint="eastAsia" w:ascii="方正仿宋_GBK" w:hAnsi="仿宋" w:eastAsia="方正仿宋_GBK" w:cs="方正仿宋_GBK"/>
          <w:sz w:val="32"/>
          <w:szCs w:val="32"/>
          <w:lang w:eastAsia="zh-CN"/>
        </w:rPr>
        <w:t>均</w:t>
      </w:r>
      <w:r>
        <w:rPr>
          <w:rFonts w:ascii="方正仿宋_GBK" w:hAnsi="仿宋" w:eastAsia="方正仿宋_GBK" w:cs="方正仿宋_GBK"/>
          <w:sz w:val="32"/>
          <w:szCs w:val="32"/>
        </w:rPr>
        <w:t>未产生</w:t>
      </w:r>
      <w:r>
        <w:rPr>
          <w:rFonts w:hint="default" w:ascii="Times New Roman" w:hAnsi="Times New Roman" w:eastAsia="方正仿宋_GBK" w:cs="Times New Roman"/>
          <w:sz w:val="32"/>
          <w:szCs w:val="32"/>
          <w:shd w:val="clear" w:color="auto" w:fill="FFFFFF"/>
        </w:rPr>
        <w:t>公务车购置费。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2022年及</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w:t>
      </w:r>
      <w:r>
        <w:rPr>
          <w:rFonts w:hint="eastAsia" w:ascii="方正仿宋_GBK" w:hAnsi="仿宋" w:eastAsia="方正仿宋_GBK" w:cs="方正仿宋_GBK"/>
          <w:sz w:val="32"/>
          <w:szCs w:val="32"/>
          <w:lang w:eastAsia="zh-CN"/>
        </w:rPr>
        <w:t>均</w:t>
      </w:r>
      <w:r>
        <w:rPr>
          <w:rFonts w:ascii="方正仿宋_GBK" w:hAnsi="仿宋" w:eastAsia="方正仿宋_GBK" w:cs="方正仿宋_GBK"/>
          <w:sz w:val="32"/>
          <w:szCs w:val="32"/>
        </w:rPr>
        <w:t>未产生</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万元，费用支出较年初预算数减少0.30万元，下降100.00%，主要原因是</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年我单位未产生</w:t>
      </w:r>
      <w:r>
        <w:rPr>
          <w:rFonts w:hint="default" w:ascii="Times New Roman" w:hAnsi="Times New Roman" w:eastAsia="方正仿宋_GBK" w:cs="Times New Roman"/>
          <w:sz w:val="32"/>
          <w:szCs w:val="32"/>
          <w:shd w:val="clear" w:color="auto" w:fill="FFFFFF"/>
        </w:rPr>
        <w:t>公务接待费</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2022年及</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年我单位</w:t>
      </w:r>
      <w:r>
        <w:rPr>
          <w:rFonts w:hint="eastAsia" w:ascii="方正仿宋_GBK" w:hAnsi="仿宋" w:eastAsia="方正仿宋_GBK" w:cs="方正仿宋_GBK"/>
          <w:sz w:val="32"/>
          <w:szCs w:val="32"/>
          <w:lang w:eastAsia="zh-CN"/>
        </w:rPr>
        <w:t>均</w:t>
      </w:r>
      <w:r>
        <w:rPr>
          <w:rFonts w:ascii="方正仿宋_GBK" w:hAnsi="仿宋" w:eastAsia="方正仿宋_GBK" w:cs="方正仿宋_GBK"/>
          <w:sz w:val="32"/>
          <w:szCs w:val="32"/>
        </w:rPr>
        <w:t>未产生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（三）</w:t>
      </w:r>
      <w:r>
        <w:rPr>
          <w:rFonts w:hint="default" w:ascii="Times New Roman" w:hAnsi="Times New Roman" w:eastAsia="方正楷体_GBK" w:cs="宋体"/>
          <w:color w:val="333333"/>
          <w:sz w:val="32"/>
          <w:szCs w:val="32"/>
        </w:rPr>
        <w:t>“</w:t>
      </w:r>
      <w:r>
        <w:rPr>
          <w:rFonts w:ascii="方正楷体_GBK" w:hAnsi="方正楷体_GBK" w:eastAsia="方正楷体_GBK" w:cs="方正楷体_GBK"/>
          <w:color w:val="333333"/>
          <w:sz w:val="32"/>
          <w:szCs w:val="32"/>
        </w:rPr>
        <w:t>三公</w:t>
      </w:r>
      <w:r>
        <w:rPr>
          <w:rFonts w:hint="default" w:ascii="Times New Roman" w:hAnsi="Times New Roman" w:eastAsia="方正楷体_GBK"/>
          <w:color w:val="333333"/>
          <w:sz w:val="32"/>
          <w:szCs w:val="32"/>
        </w:rPr>
        <w:t>”</w:t>
      </w:r>
      <w:r>
        <w:rPr>
          <w:rFonts w:ascii="方正楷体_GBK" w:hAnsi="方正楷体_GBK" w:eastAsia="方正楷体_GBK" w:cs="方正楷体_GBK"/>
          <w:color w:val="333333"/>
          <w:sz w:val="32"/>
          <w:szCs w:val="32"/>
        </w:rPr>
        <w:t>经费实物量情况</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ascii="方正仿宋_GBK" w:hAnsi="仿宋" w:eastAsia="方正仿宋_GBK" w:cs="方正仿宋_GBK"/>
          <w:sz w:val="32"/>
          <w:szCs w:val="32"/>
        </w:rPr>
        <w:t>。</w:t>
      </w:r>
    </w:p>
    <w:p>
      <w:pPr>
        <w:pStyle w:val="17"/>
        <w:keepNext w:val="0"/>
        <w:keepLines w:val="0"/>
        <w:pageBreakBefore w:val="0"/>
        <w:numPr>
          <w:ilvl w:val="0"/>
          <w:numId w:val="1"/>
        </w:numPr>
        <w:tabs>
          <w:tab w:val="center" w:pos="4153"/>
          <w:tab w:val="left" w:pos="7275"/>
        </w:tabs>
        <w:kinsoku/>
        <w:wordWrap/>
        <w:overflowPunct/>
        <w:topLinePunct w:val="0"/>
        <w:autoSpaceDN/>
        <w:bidi w:val="0"/>
        <w:adjustRightInd/>
        <w:snapToGrid w:val="0"/>
        <w:spacing w:line="560" w:lineRule="exact"/>
        <w:ind w:firstLine="640"/>
        <w:jc w:val="both"/>
        <w:textAlignment w:val="auto"/>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eastAsia="zh-CN"/>
        </w:rPr>
        <w:t>我单位</w:t>
      </w:r>
      <w:r>
        <w:rPr>
          <w:rFonts w:hint="eastAsia" w:ascii="Times New Roman" w:hAnsi="Times New Roman" w:eastAsia="方正仿宋_GBK" w:cs="Times New Roman"/>
          <w:sz w:val="32"/>
          <w:szCs w:val="32"/>
          <w:shd w:val="clear" w:color="auto" w:fill="FFFFFF"/>
          <w:lang w:val="en-US" w:eastAsia="zh-CN"/>
        </w:rPr>
        <w:t>2022年及2023年均未组织会议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万元，较上年决算数增加0.57万元，增长712.50%，主要原因是</w:t>
      </w:r>
      <w:r>
        <w:rPr>
          <w:rFonts w:hint="eastAsia" w:ascii="Times New Roman" w:hAnsi="Times New Roman" w:eastAsia="方正仿宋_GBK" w:cs="Times New Roman"/>
          <w:sz w:val="32"/>
          <w:szCs w:val="32"/>
          <w:shd w:val="clear" w:color="auto" w:fill="FFFFFF"/>
          <w:lang w:val="en-US" w:eastAsia="zh-CN"/>
        </w:rPr>
        <w:t>2022年受疫情影响，减少了线下培训次数及培训参与人数，2023年恢复正常</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）机关运行经费情况说明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按照部门决算列报口径，我单位不在机关运行经费统计范围之内。</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w:t>
      </w:r>
      <w:r>
        <w:rPr>
          <w:rFonts w:hint="eastAsia" w:ascii="方正楷体_GBK" w:hAnsi="方正楷体_GBK" w:eastAsia="方正楷体_GBK" w:cs="方正楷体_GBK"/>
          <w:color w:val="333333"/>
          <w:sz w:val="32"/>
          <w:szCs w:val="32"/>
          <w:lang w:eastAsia="zh-CN"/>
        </w:rPr>
        <w:t>三</w:t>
      </w:r>
      <w:r>
        <w:rPr>
          <w:rFonts w:ascii="方正楷体_GBK" w:hAnsi="方正楷体_GBK" w:eastAsia="方正楷体_GBK" w:cs="方正楷体_GBK"/>
          <w:color w:val="333333"/>
          <w:sz w:val="32"/>
          <w:szCs w:val="32"/>
        </w:rPr>
        <w:t>）国有资产占用情况说明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仿宋" w:eastAsia="方正仿宋_GBK" w:cs="方正仿宋_GBK"/>
          <w:sz w:val="32"/>
          <w:szCs w:val="32"/>
        </w:rPr>
      </w:pPr>
      <w:r>
        <w:rPr>
          <w:rFonts w:ascii="方正仿宋_GBK" w:hAnsi="方正仿宋_GBK" w:eastAsia="方正仿宋_GBK" w:cs="方正仿宋_GBK"/>
          <w:sz w:val="32"/>
          <w:szCs w:val="32"/>
        </w:rPr>
        <w:t>截至</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ascii="方正仿宋_GBK" w:hAnsi="仿宋" w:eastAsia="方正仿宋_GBK" w:cs="方正仿宋_GBK"/>
          <w:sz w:val="32"/>
          <w:szCs w:val="32"/>
        </w:rPr>
        <w:t>年</w:t>
      </w:r>
      <w:r>
        <w:rPr>
          <w:rFonts w:ascii="Times New Roman" w:hAnsi="Times New Roman" w:eastAsia="方正仿宋_GBK" w:cs="方正仿宋_GBK"/>
          <w:sz w:val="32"/>
          <w:szCs w:val="32"/>
        </w:rPr>
        <w:t>12</w:t>
      </w:r>
      <w:r>
        <w:rPr>
          <w:rFonts w:ascii="方正仿宋_GBK" w:hAnsi="仿宋" w:eastAsia="方正仿宋_GBK" w:cs="方正仿宋_GBK"/>
          <w:sz w:val="32"/>
          <w:szCs w:val="32"/>
        </w:rPr>
        <w:t>月</w:t>
      </w:r>
      <w:r>
        <w:rPr>
          <w:rFonts w:ascii="Times New Roman" w:hAnsi="Times New Roman" w:eastAsia="方正仿宋_GBK" w:cs="方正仿宋_GBK"/>
          <w:sz w:val="32"/>
          <w:szCs w:val="32"/>
        </w:rPr>
        <w:t>31</w:t>
      </w:r>
      <w:r>
        <w:rPr>
          <w:rFonts w:ascii="方正仿宋_GBK" w:hAnsi="仿宋" w:eastAsia="方正仿宋_GBK" w:cs="方正仿宋_GBK"/>
          <w:sz w:val="32"/>
          <w:szCs w:val="32"/>
        </w:rPr>
        <w:t>日，本</w:t>
      </w:r>
      <w:r>
        <w:rPr>
          <w:rFonts w:hint="eastAsia" w:ascii="方正仿宋_GBK" w:hAnsi="仿宋" w:eastAsia="方正仿宋_GBK" w:cs="方正仿宋_GBK"/>
          <w:sz w:val="32"/>
          <w:szCs w:val="32"/>
          <w:lang w:eastAsia="zh-CN"/>
        </w:rPr>
        <w:t>单位</w:t>
      </w:r>
      <w:r>
        <w:rPr>
          <w:rFonts w:ascii="方正仿宋_GBK" w:hAnsi="仿宋" w:eastAsia="方正仿宋_GBK" w:cs="方正仿宋_GBK"/>
          <w:sz w:val="32"/>
          <w:szCs w:val="32"/>
        </w:rPr>
        <w:t>共有车辆</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辆，其中，副部（省）级及以上领导用车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辆、主要领导干部用车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辆、机要通信用车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辆、应急保障用车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辆、执法执勤用车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辆，特种专业技术用车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辆，离退休干部用车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辆，其他用车</w:t>
      </w:r>
      <w:r>
        <w:rPr>
          <w:rFonts w:ascii="Times New Roman" w:hAnsi="Times New Roman" w:eastAsia="方正仿宋_GBK" w:cs="方正仿宋_GBK"/>
          <w:sz w:val="32"/>
          <w:szCs w:val="32"/>
        </w:rPr>
        <w:t>0</w:t>
      </w:r>
      <w:r>
        <w:rPr>
          <w:rFonts w:ascii="方正仿宋_GBK" w:hAnsi="仿宋" w:eastAsia="方正仿宋_GBK" w:cs="方正仿宋_GBK"/>
          <w:sz w:val="32"/>
          <w:szCs w:val="32"/>
        </w:rPr>
        <w:t>辆</w:t>
      </w:r>
      <w:r>
        <w:rPr>
          <w:rFonts w:ascii="方正仿宋_GBK" w:hAnsi="方正仿宋_GBK" w:eastAsia="方正仿宋_GBK" w:cs="方正仿宋_GBK"/>
          <w:sz w:val="32"/>
          <w:szCs w:val="32"/>
        </w:rPr>
        <w:t>。单价</w:t>
      </w:r>
      <w:r>
        <w:rPr>
          <w:rFonts w:ascii="Times New Roman" w:hAnsi="Times New Roman" w:eastAsia="方正仿宋_GBK" w:cs="方正仿宋_GBK"/>
          <w:sz w:val="32"/>
          <w:szCs w:val="32"/>
        </w:rPr>
        <w:t>50</w:t>
      </w:r>
      <w:r>
        <w:rPr>
          <w:rFonts w:ascii="方正仿宋_GBK" w:hAnsi="方正仿宋_GBK" w:eastAsia="方正仿宋_GBK" w:cs="方正仿宋_GBK"/>
          <w:sz w:val="32"/>
          <w:szCs w:val="32"/>
        </w:rPr>
        <w:t>万元（含）以上通用设备</w:t>
      </w:r>
      <w:r>
        <w:rPr>
          <w:rFonts w:ascii="Times New Roman" w:hAnsi="Times New Roman" w:eastAsia="方正仿宋_GBK" w:cs="方正仿宋_GBK"/>
          <w:sz w:val="32"/>
          <w:szCs w:val="32"/>
        </w:rPr>
        <w:t>0</w:t>
      </w:r>
      <w:r>
        <w:rPr>
          <w:rFonts w:ascii="方正仿宋_GBK" w:hAnsi="方正仿宋_GBK" w:eastAsia="方正仿宋_GBK" w:cs="方正仿宋_GBK"/>
          <w:sz w:val="32"/>
          <w:szCs w:val="32"/>
        </w:rPr>
        <w:t>台（套），单价</w:t>
      </w:r>
      <w:r>
        <w:rPr>
          <w:rFonts w:ascii="Times New Roman" w:hAnsi="Times New Roman" w:eastAsia="方正仿宋_GBK" w:cs="方正仿宋_GBK"/>
          <w:sz w:val="32"/>
          <w:szCs w:val="32"/>
        </w:rPr>
        <w:t>100</w:t>
      </w:r>
      <w:r>
        <w:rPr>
          <w:rFonts w:ascii="方正仿宋_GBK" w:hAnsi="方正仿宋_GBK" w:eastAsia="方正仿宋_GBK" w:cs="方正仿宋_GBK"/>
          <w:sz w:val="32"/>
          <w:szCs w:val="32"/>
        </w:rPr>
        <w:t>万元（含）以上专用设备</w:t>
      </w:r>
      <w:r>
        <w:rPr>
          <w:rFonts w:ascii="Times New Roman" w:hAnsi="Times New Roman" w:eastAsia="方正仿宋_GBK" w:cs="方正仿宋_GBK"/>
          <w:sz w:val="32"/>
          <w:szCs w:val="32"/>
        </w:rPr>
        <w:t>0</w:t>
      </w:r>
      <w:r>
        <w:rPr>
          <w:rFonts w:ascii="方正仿宋_GBK" w:hAnsi="方正仿宋_GBK" w:eastAsia="方正仿宋_GBK" w:cs="方正仿宋_GBK"/>
          <w:sz w:val="32"/>
          <w:szCs w:val="32"/>
        </w:rPr>
        <w:t>台（套）。</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宋体"/>
          <w:color w:val="333333"/>
          <w:sz w:val="32"/>
          <w:szCs w:val="32"/>
        </w:rPr>
      </w:pPr>
      <w:r>
        <w:rPr>
          <w:rFonts w:ascii="方正楷体_GBK" w:hAnsi="方正楷体_GBK" w:eastAsia="方正楷体_GBK" w:cs="方正楷体_GBK"/>
          <w:color w:val="333333"/>
          <w:sz w:val="32"/>
          <w:szCs w:val="32"/>
        </w:rPr>
        <w:t>（</w:t>
      </w:r>
      <w:r>
        <w:rPr>
          <w:rFonts w:hint="eastAsia" w:ascii="方正楷体_GBK" w:hAnsi="方正楷体_GBK" w:eastAsia="方正楷体_GBK" w:cs="方正楷体_GBK"/>
          <w:color w:val="333333"/>
          <w:sz w:val="32"/>
          <w:szCs w:val="32"/>
          <w:lang w:eastAsia="zh-CN"/>
        </w:rPr>
        <w:t>四</w:t>
      </w:r>
      <w:r>
        <w:rPr>
          <w:rFonts w:ascii="方正楷体_GBK" w:hAnsi="方正楷体_GBK" w:eastAsia="方正楷体_GBK" w:cs="方正楷体_GBK"/>
          <w:color w:val="333333"/>
          <w:sz w:val="32"/>
          <w:szCs w:val="32"/>
        </w:rPr>
        <w:t>）政府采购支出情况说明</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ascii="Times New Roman" w:hAnsi="Times New Roman" w:eastAsia="方正仿宋_GBK" w:cs="宋体"/>
          <w:color w:val="000000"/>
          <w:sz w:val="32"/>
          <w:szCs w:val="32"/>
        </w:rPr>
      </w:pPr>
      <w:r>
        <w:rPr>
          <w:rFonts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3</w:t>
      </w:r>
      <w:r>
        <w:rPr>
          <w:rFonts w:ascii="方正仿宋_GBK" w:hAnsi="仿宋" w:eastAsia="方正仿宋_GBK" w:cs="方正仿宋_GBK"/>
          <w:color w:val="000000"/>
          <w:sz w:val="32"/>
          <w:szCs w:val="32"/>
        </w:rPr>
        <w:t>年度本</w:t>
      </w:r>
      <w:r>
        <w:rPr>
          <w:rFonts w:hint="eastAsia" w:ascii="方正仿宋_GBK" w:hAnsi="仿宋" w:eastAsia="方正仿宋_GBK" w:cs="方正仿宋_GBK"/>
          <w:color w:val="000000"/>
          <w:sz w:val="32"/>
          <w:szCs w:val="32"/>
          <w:lang w:eastAsia="zh-CN"/>
        </w:rPr>
        <w:t>单位</w:t>
      </w:r>
      <w:r>
        <w:rPr>
          <w:rFonts w:ascii="方正仿宋_GBK" w:hAnsi="仿宋" w:eastAsia="方正仿宋_GBK" w:cs="方正仿宋_GBK"/>
          <w:color w:val="000000"/>
          <w:sz w:val="32"/>
          <w:szCs w:val="32"/>
        </w:rPr>
        <w:t>政府采购支出总额</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万元，其中：政府采购货物支出</w:t>
      </w:r>
      <w:r>
        <w:rPr>
          <w:rFonts w:ascii="Times New Roman" w:hAnsi="Times New Roman" w:eastAsia="方正仿宋_GBK" w:cs="方正仿宋_GBK"/>
          <w:color w:val="000000"/>
          <w:sz w:val="32"/>
          <w:szCs w:val="32"/>
        </w:rPr>
        <w:t>0</w:t>
      </w:r>
      <w:r>
        <w:rPr>
          <w:rFonts w:ascii="方正仿宋_GBK" w:hAnsi="方正仿宋_GBK" w:eastAsia="方正仿宋_GBK" w:cs="方正仿宋_GBK"/>
          <w:color w:val="000000"/>
          <w:sz w:val="32"/>
          <w:szCs w:val="32"/>
        </w:rPr>
        <w:t>万元、政府采购工程支出</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w:t>
      </w:r>
      <w:r>
        <w:rPr>
          <w:rFonts w:ascii="Times New Roman" w:hAnsi="Times New Roman" w:eastAsia="方正仿宋_GBK" w:cs="方正仿宋_GBK"/>
          <w:color w:val="000000"/>
          <w:sz w:val="32"/>
          <w:szCs w:val="32"/>
        </w:rPr>
        <w:t>00</w:t>
      </w:r>
      <w:r>
        <w:rPr>
          <w:rFonts w:ascii="方正仿宋_GBK" w:hAnsi="仿宋" w:eastAsia="方正仿宋_GBK" w:cs="方正仿宋_GBK"/>
          <w:color w:val="000000"/>
          <w:sz w:val="32"/>
          <w:szCs w:val="32"/>
        </w:rPr>
        <w:t>万元、政府采购服务支出</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w:t>
      </w:r>
      <w:r>
        <w:rPr>
          <w:rFonts w:ascii="Times New Roman" w:hAnsi="Times New Roman" w:eastAsia="方正仿宋_GBK" w:cs="方正仿宋_GBK"/>
          <w:color w:val="000000"/>
          <w:sz w:val="32"/>
          <w:szCs w:val="32"/>
        </w:rPr>
        <w:t>00</w:t>
      </w:r>
      <w:r>
        <w:rPr>
          <w:rFonts w:ascii="方正仿宋_GBK" w:hAnsi="仿宋" w:eastAsia="方正仿宋_GBK" w:cs="方正仿宋_GBK"/>
          <w:color w:val="000000"/>
          <w:sz w:val="32"/>
          <w:szCs w:val="32"/>
        </w:rPr>
        <w:t>万元。授予中小企业合同金额</w:t>
      </w:r>
      <w:r>
        <w:rPr>
          <w:rFonts w:ascii="Times New Roman" w:hAnsi="Times New Roman" w:eastAsia="方正仿宋_GBK" w:cs="方正仿宋_GBK"/>
          <w:color w:val="000000"/>
          <w:sz w:val="32"/>
          <w:szCs w:val="32"/>
        </w:rPr>
        <w:t>0</w:t>
      </w:r>
      <w:r>
        <w:rPr>
          <w:rFonts w:ascii="方正仿宋_GBK" w:hAnsi="方正仿宋_GBK" w:eastAsia="方正仿宋_GBK" w:cs="方正仿宋_GBK"/>
          <w:color w:val="000000"/>
          <w:sz w:val="32"/>
          <w:szCs w:val="32"/>
        </w:rPr>
        <w:t>万元，占政府采购支出总额的</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%，其中：授予小微企业合同金额</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万元，占政府采购支出总额的</w:t>
      </w:r>
      <w:r>
        <w:rPr>
          <w:rFonts w:ascii="Times New Roman" w:hAnsi="Times New Roman" w:eastAsia="方正仿宋_GBK" w:cs="方正仿宋_GBK"/>
          <w:color w:val="000000"/>
          <w:sz w:val="32"/>
          <w:szCs w:val="32"/>
        </w:rPr>
        <w:t>0</w:t>
      </w:r>
      <w:r>
        <w:rPr>
          <w:rFonts w:ascii="方正仿宋_GBK" w:hAnsi="仿宋" w:eastAsia="方正仿宋_GBK" w:cs="方正仿宋_GBK"/>
          <w:color w:val="000000"/>
          <w:sz w:val="32"/>
          <w:szCs w:val="32"/>
        </w:rPr>
        <w:t>%。</w:t>
      </w:r>
    </w:p>
    <w:p>
      <w:pPr>
        <w:keepNext w:val="0"/>
        <w:keepLines w:val="0"/>
        <w:pageBreakBefore w:val="0"/>
        <w:kinsoku/>
        <w:wordWrap/>
        <w:overflowPunct/>
        <w:topLinePunct w:val="0"/>
        <w:autoSpaceDN/>
        <w:bidi w:val="0"/>
        <w:adjustRightInd/>
        <w:snapToGrid w:val="0"/>
        <w:spacing w:line="560" w:lineRule="exact"/>
        <w:ind w:firstLine="640" w:firstLineChars="200"/>
        <w:jc w:val="both"/>
        <w:textAlignment w:val="auto"/>
        <w:outlineLvl w:val="9"/>
        <w:rPr>
          <w:rFonts w:hint="eastAsia" w:ascii="Times New Roman" w:hAnsi="Times New Roman" w:eastAsia="方正仿宋_GBK" w:cs="宋体"/>
          <w:b/>
          <w:color w:val="auto"/>
          <w:kern w:val="0"/>
          <w:sz w:val="32"/>
          <w:szCs w:val="32"/>
        </w:rPr>
      </w:pPr>
      <w:r>
        <w:rPr>
          <w:rFonts w:hint="eastAsia" w:ascii="Times New Roman" w:hAnsi="Times New Roman" w:eastAsia="方正黑体_GBK" w:cs="宋体"/>
          <w:color w:val="auto"/>
          <w:kern w:val="0"/>
          <w:sz w:val="32"/>
          <w:szCs w:val="32"/>
        </w:rPr>
        <w:t>五、预算绩效管理情况说明</w:t>
      </w:r>
    </w:p>
    <w:p>
      <w:pPr>
        <w:pStyle w:val="17"/>
        <w:keepNext w:val="0"/>
        <w:keepLines w:val="0"/>
        <w:pageBreakBefore w:val="0"/>
        <w:tabs>
          <w:tab w:val="center" w:pos="4153"/>
          <w:tab w:val="left" w:pos="7275"/>
        </w:tabs>
        <w:kinsoku/>
        <w:wordWrap/>
        <w:overflowPunct/>
        <w:topLinePunct w:val="0"/>
        <w:autoSpaceDN/>
        <w:bidi w:val="0"/>
        <w:adjustRightInd/>
        <w:snapToGrid w:val="0"/>
        <w:spacing w:line="560" w:lineRule="exact"/>
        <w:ind w:firstLine="640"/>
        <w:jc w:val="both"/>
        <w:textAlignment w:val="auto"/>
        <w:outlineLvl w:val="9"/>
        <w:rPr>
          <w:rFonts w:hint="eastAsia" w:ascii="Times New Roman" w:hAnsi="Times New Roman" w:eastAsia="方正楷体_GBK"/>
          <w:color w:val="auto"/>
          <w:sz w:val="32"/>
          <w:szCs w:val="32"/>
          <w:lang w:val="en-US" w:eastAsia="zh-CN"/>
        </w:rPr>
      </w:pPr>
      <w:r>
        <w:rPr>
          <w:rFonts w:hint="eastAsia" w:ascii="Times New Roman" w:hAnsi="Times New Roman" w:eastAsia="方正楷体_GBK"/>
          <w:color w:val="auto"/>
          <w:sz w:val="32"/>
          <w:szCs w:val="32"/>
        </w:rPr>
        <w:t>（一）</w:t>
      </w:r>
      <w:r>
        <w:rPr>
          <w:rFonts w:hint="eastAsia" w:ascii="Times New Roman" w:hAnsi="Times New Roman" w:eastAsia="方正楷体_GBK"/>
          <w:color w:val="auto"/>
          <w:sz w:val="32"/>
          <w:szCs w:val="32"/>
          <w:lang w:eastAsia="zh-CN"/>
        </w:rPr>
        <w:t>单位</w:t>
      </w:r>
      <w:r>
        <w:rPr>
          <w:rFonts w:hint="eastAsia" w:ascii="Times New Roman" w:hAnsi="Times New Roman" w:eastAsia="方正楷体_GBK"/>
          <w:color w:val="auto"/>
          <w:sz w:val="32"/>
          <w:szCs w:val="32"/>
          <w:lang w:val="en-US" w:eastAsia="zh-CN"/>
        </w:rPr>
        <w:t>自评情况</w:t>
      </w:r>
    </w:p>
    <w:p>
      <w:pPr>
        <w:pStyle w:val="13"/>
        <w:keepNext w:val="0"/>
        <w:keepLines w:val="0"/>
        <w:pageBreakBefore w:val="0"/>
        <w:kinsoku/>
        <w:wordWrap/>
        <w:overflowPunct/>
        <w:topLinePunct w:val="0"/>
        <w:autoSpaceDE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olor w:val="92D050"/>
          <w:sz w:val="32"/>
          <w:szCs w:val="32"/>
        </w:rPr>
      </w:pPr>
      <w:r>
        <w:rPr>
          <w:rFonts w:hint="default" w:ascii="Times New Roman" w:hAnsi="Times New Roman" w:eastAsia="方正仿宋_GBK"/>
          <w:color w:val="auto"/>
          <w:sz w:val="32"/>
          <w:szCs w:val="32"/>
        </w:rPr>
        <w:t>根据预算绩效管理要求，本</w:t>
      </w:r>
      <w:r>
        <w:rPr>
          <w:rFonts w:hint="eastAsia" w:ascii="Times New Roman" w:hAnsi="Times New Roman" w:eastAsia="方正仿宋_GBK"/>
          <w:color w:val="auto"/>
          <w:sz w:val="32"/>
          <w:szCs w:val="32"/>
          <w:lang w:eastAsia="zh-CN"/>
        </w:rPr>
        <w:t>单位</w:t>
      </w:r>
      <w:r>
        <w:rPr>
          <w:rFonts w:hint="default" w:ascii="Times New Roman" w:hAnsi="Times New Roman" w:eastAsia="方正仿宋_GBK"/>
          <w:color w:val="auto"/>
          <w:sz w:val="32"/>
          <w:szCs w:val="32"/>
        </w:rPr>
        <w:t>对1</w:t>
      </w:r>
      <w:r>
        <w:rPr>
          <w:rFonts w:hint="eastAsia" w:ascii="Times New Roman" w:hAnsi="Times New Roman" w:eastAsia="方正仿宋_GBK"/>
          <w:color w:val="auto"/>
          <w:sz w:val="32"/>
          <w:szCs w:val="32"/>
          <w:lang w:val="en-US" w:eastAsia="zh-CN"/>
        </w:rPr>
        <w:t>7</w:t>
      </w:r>
      <w:r>
        <w:rPr>
          <w:rFonts w:hint="default" w:ascii="Times New Roman" w:hAnsi="Times New Roman" w:eastAsia="方正仿宋_GBK"/>
          <w:color w:val="auto"/>
          <w:sz w:val="32"/>
          <w:szCs w:val="32"/>
        </w:rPr>
        <w:t>个</w:t>
      </w:r>
      <w:r>
        <w:rPr>
          <w:rFonts w:hint="eastAsia" w:ascii="Times New Roman" w:hAnsi="Times New Roman" w:eastAsia="方正仿宋_GBK"/>
          <w:color w:val="auto"/>
          <w:sz w:val="32"/>
          <w:szCs w:val="32"/>
          <w:lang w:eastAsia="zh-CN"/>
        </w:rPr>
        <w:t>二级</w:t>
      </w:r>
      <w:r>
        <w:rPr>
          <w:rFonts w:hint="default" w:ascii="Times New Roman" w:hAnsi="Times New Roman" w:eastAsia="方正仿宋_GBK"/>
          <w:color w:val="auto"/>
          <w:sz w:val="32"/>
          <w:szCs w:val="32"/>
        </w:rPr>
        <w:t>项目开展了绩效自评，</w:t>
      </w:r>
      <w:r>
        <w:rPr>
          <w:rFonts w:hint="default" w:ascii="Times New Roman" w:hAnsi="Times New Roman" w:eastAsia="方正仿宋_GBK" w:cs="Times New Roman"/>
          <w:color w:val="auto"/>
          <w:sz w:val="32"/>
          <w:szCs w:val="32"/>
          <w:shd w:val="clear" w:color="auto" w:fill="FFFFFF"/>
          <w:lang w:bidi="ar"/>
        </w:rPr>
        <w:t>涉及财政拨款项目支出资金</w:t>
      </w:r>
      <w:r>
        <w:rPr>
          <w:rFonts w:hint="eastAsia" w:ascii="Times New Roman" w:hAnsi="Times New Roman" w:eastAsia="方正仿宋_GBK" w:cs="Times New Roman"/>
          <w:color w:val="auto"/>
          <w:sz w:val="32"/>
          <w:szCs w:val="32"/>
          <w:shd w:val="clear" w:color="auto" w:fill="FFFFFF"/>
          <w:lang w:val="en-US" w:eastAsia="zh-CN" w:bidi="ar"/>
        </w:rPr>
        <w:t>166.93</w:t>
      </w:r>
      <w:r>
        <w:rPr>
          <w:rFonts w:hint="default" w:ascii="Times New Roman" w:hAnsi="Times New Roman" w:eastAsia="方正仿宋_GBK" w:cs="Times New Roman"/>
          <w:color w:val="auto"/>
          <w:sz w:val="32"/>
          <w:szCs w:val="32"/>
          <w:shd w:val="clear" w:color="auto" w:fill="FFFFFF"/>
          <w:lang w:bidi="ar"/>
        </w:rPr>
        <w:t>万元</w:t>
      </w:r>
      <w:r>
        <w:rPr>
          <w:rFonts w:hint="eastAsia" w:ascii="Times New Roman" w:hAnsi="Times New Roman" w:eastAsia="方正仿宋_GBK" w:cs="Times New Roman"/>
          <w:color w:val="auto"/>
          <w:sz w:val="32"/>
          <w:szCs w:val="32"/>
          <w:shd w:val="clear" w:color="auto" w:fill="FFFFFF"/>
          <w:lang w:eastAsia="zh-CN" w:bidi="ar"/>
        </w:rPr>
        <w:t>。</w:t>
      </w:r>
    </w:p>
    <w:tbl>
      <w:tblPr>
        <w:tblStyle w:val="10"/>
        <w:tblW w:w="9079" w:type="dxa"/>
        <w:tblInd w:w="93" w:type="dxa"/>
        <w:tblLayout w:type="fixed"/>
        <w:tblCellMar>
          <w:top w:w="0" w:type="dxa"/>
          <w:left w:w="108" w:type="dxa"/>
          <w:bottom w:w="0" w:type="dxa"/>
          <w:right w:w="108" w:type="dxa"/>
        </w:tblCellMar>
      </w:tblPr>
      <w:tblGrid>
        <w:gridCol w:w="600"/>
        <w:gridCol w:w="750"/>
        <w:gridCol w:w="1250"/>
        <w:gridCol w:w="825"/>
        <w:gridCol w:w="675"/>
        <w:gridCol w:w="825"/>
        <w:gridCol w:w="810"/>
        <w:gridCol w:w="945"/>
        <w:gridCol w:w="660"/>
        <w:gridCol w:w="735"/>
        <w:gridCol w:w="1004"/>
      </w:tblGrid>
      <w:tr>
        <w:tblPrEx>
          <w:tblLayout w:type="fixed"/>
          <w:tblCellMar>
            <w:top w:w="0" w:type="dxa"/>
            <w:left w:w="108" w:type="dxa"/>
            <w:bottom w:w="0" w:type="dxa"/>
            <w:right w:w="108" w:type="dxa"/>
          </w:tblCellMar>
        </w:tblPrEx>
        <w:trPr>
          <w:trHeight w:val="780" w:hRule="atLeast"/>
        </w:trPr>
        <w:tc>
          <w:tcPr>
            <w:tcW w:w="9079" w:type="dxa"/>
            <w:gridSpan w:val="11"/>
            <w:tcBorders>
              <w:top w:val="nil"/>
              <w:left w:val="nil"/>
              <w:bottom w:val="single" w:color="000000" w:sz="4" w:space="0"/>
              <w:right w:val="nil"/>
            </w:tcBorders>
            <w:vAlign w:val="center"/>
          </w:tcPr>
          <w:p>
            <w:pPr>
              <w:widowControl/>
              <w:jc w:val="both"/>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秀山县图书馆202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年度项目支出绩效自评表（二级项目）</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10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r>
              <w:rPr>
                <w:color w:val="000000"/>
                <w:kern w:val="0"/>
                <w:sz w:val="22"/>
                <w:lang w:bidi="ar"/>
              </w:rPr>
              <w:t>1</w:t>
            </w:r>
          </w:p>
        </w:tc>
        <w:tc>
          <w:tcPr>
            <w:tcW w:w="750" w:type="dxa"/>
            <w:vMerge w:val="restart"/>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r>
              <w:rPr>
                <w:rFonts w:hint="eastAsia" w:eastAsia="方正仿宋_GBK"/>
                <w:color w:val="000000"/>
                <w:sz w:val="20"/>
                <w:szCs w:val="20"/>
              </w:rPr>
              <w:t>美术馆、图书馆、文化馆(站)免费开放专项</w:t>
            </w: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年服务人次</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eastAsia="zh-CN"/>
              </w:rPr>
            </w:pPr>
            <w:r>
              <w:rPr>
                <w:rFonts w:hint="eastAsia" w:eastAsia="方正仿宋_GBK"/>
                <w:color w:val="000000"/>
                <w:sz w:val="20"/>
                <w:szCs w:val="20"/>
                <w:lang w:eastAsia="zh-CN"/>
              </w:rPr>
              <w:t>万人次</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color w:val="000000"/>
                <w:sz w:val="20"/>
                <w:szCs w:val="20"/>
              </w:rPr>
            </w:pPr>
            <w:r>
              <w:rPr>
                <w:rFonts w:hint="eastAsia"/>
              </w:rPr>
              <w:t>20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20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r>
              <w:rPr>
                <w:rFonts w:hint="eastAsia" w:eastAsia="方正仿宋_GBK"/>
                <w:color w:val="000000"/>
                <w:sz w:val="20"/>
                <w:szCs w:val="20"/>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tabs>
                <w:tab w:val="left" w:pos="257"/>
              </w:tabs>
              <w:spacing w:line="240" w:lineRule="atLeast"/>
              <w:jc w:val="left"/>
              <w:rPr>
                <w:rFonts w:hint="eastAsia" w:eastAsia="方正仿宋_GBK"/>
                <w:color w:val="000000"/>
                <w:sz w:val="20"/>
                <w:szCs w:val="20"/>
                <w:lang w:eastAsia="zh-CN"/>
              </w:rPr>
            </w:pPr>
            <w:r>
              <w:rPr>
                <w:rFonts w:hint="eastAsia" w:eastAsia="方正仿宋_GBK"/>
                <w:color w:val="000000"/>
                <w:sz w:val="20"/>
                <w:szCs w:val="20"/>
                <w:lang w:eastAsia="zh-CN"/>
              </w:rPr>
              <w:t>年讲座场次</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eastAsia="zh-CN"/>
              </w:rPr>
            </w:pPr>
            <w:r>
              <w:rPr>
                <w:rFonts w:hint="eastAsia" w:eastAsia="方正仿宋_GBK"/>
                <w:color w:val="000000"/>
                <w:sz w:val="20"/>
                <w:szCs w:val="20"/>
                <w:lang w:eastAsia="zh-CN"/>
              </w:rPr>
              <w:t>场次</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color w:val="000000"/>
                <w:sz w:val="20"/>
                <w:szCs w:val="20"/>
              </w:rPr>
            </w:pPr>
            <w:r>
              <w:rPr>
                <w:rFonts w:hint="eastAsia"/>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年阅读推广活动场次</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30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eastAsia="zh-CN"/>
              </w:rPr>
            </w:pPr>
            <w:r>
              <w:rPr>
                <w:rFonts w:hint="eastAsia" w:eastAsia="方正仿宋_GBK"/>
                <w:color w:val="000000"/>
                <w:sz w:val="20"/>
                <w:szCs w:val="20"/>
                <w:lang w:eastAsia="zh-CN"/>
              </w:rPr>
              <w:t>场次</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sz w:val="20"/>
                <w:szCs w:val="20"/>
                <w:lang w:val="en-US" w:eastAsia="zh-CN"/>
              </w:rPr>
            </w:pPr>
            <w:r>
              <w:rPr>
                <w:rFonts w:hint="eastAsia"/>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年展览场次</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25</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eastAsia="zh-CN"/>
              </w:rPr>
            </w:pPr>
            <w:r>
              <w:rPr>
                <w:rFonts w:hint="eastAsia" w:eastAsia="方正仿宋_GBK"/>
                <w:color w:val="000000"/>
                <w:sz w:val="20"/>
                <w:szCs w:val="20"/>
                <w:lang w:eastAsia="zh-CN"/>
              </w:rPr>
              <w:t>场次</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color w:val="000000"/>
                <w:sz w:val="20"/>
                <w:szCs w:val="20"/>
              </w:rPr>
            </w:pPr>
            <w:r>
              <w:rPr>
                <w:rFonts w:hint="eastAsia"/>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25</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活动质量认可率</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85</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color w:val="000000"/>
                <w:sz w:val="20"/>
                <w:szCs w:val="20"/>
              </w:rPr>
            </w:pPr>
            <w:r>
              <w:rPr>
                <w:rFonts w:hint="eastAsia"/>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85</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免费开放场所利用率</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90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color w:val="000000"/>
                <w:sz w:val="20"/>
                <w:szCs w:val="20"/>
              </w:rPr>
            </w:pPr>
            <w:r>
              <w:rPr>
                <w:rFonts w:hint="eastAsia"/>
              </w:rPr>
              <w:t>20</w:t>
            </w: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hint="eastAsia" w:eastAsia="方正仿宋_GBK"/>
                <w:color w:val="000000"/>
                <w:sz w:val="20"/>
                <w:szCs w:val="20"/>
              </w:rPr>
            </w:pPr>
            <w:r>
              <w:rPr>
                <w:rFonts w:hint="eastAsia"/>
              </w:rPr>
              <w:t>90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20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参与群众满意度</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ascii="Times New Roman" w:hAnsi="Times New Roman" w:eastAsia="方正仿宋_GBK" w:cs="Times New Roman"/>
                <w:color w:val="000000"/>
                <w:sz w:val="20"/>
                <w:szCs w:val="20"/>
              </w:rPr>
            </w:pPr>
            <w:r>
              <w:rPr>
                <w:rFonts w:hint="default" w:ascii="Times New Roman" w:hAnsi="Times New Roman" w:cs="Times New Roman"/>
                <w:sz w:val="20"/>
                <w:szCs w:val="20"/>
              </w:rPr>
              <w:t>90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both"/>
              <w:rPr>
                <w:rFonts w:hint="eastAsia" w:eastAsia="方正仿宋_GBK"/>
                <w:color w:val="000000"/>
                <w:sz w:val="20"/>
                <w:szCs w:val="20"/>
              </w:rPr>
            </w:pPr>
            <w:r>
              <w:rPr>
                <w:rFonts w:hint="eastAsia"/>
              </w:rPr>
              <w:t>90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atLeast"/>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atLeast"/>
              <w:jc w:val="center"/>
              <w:rPr>
                <w:rFonts w:hint="eastAsia" w:ascii="宋体" w:hAnsi="宋体" w:cs="宋体"/>
                <w:color w:val="000000"/>
                <w:sz w:val="22"/>
              </w:rPr>
            </w:pPr>
          </w:p>
        </w:tc>
        <w:tc>
          <w:tcPr>
            <w:tcW w:w="1250"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rPr>
            </w:pPr>
            <w:r>
              <w:rPr>
                <w:rFonts w:hint="eastAsia" w:eastAsia="方正仿宋_GBK"/>
                <w:color w:val="000000"/>
                <w:sz w:val="20"/>
                <w:szCs w:val="20"/>
              </w:rPr>
              <w:t>资金执行率</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000000"/>
                <w:sz w:val="20"/>
                <w:szCs w:val="20"/>
                <w:lang w:val="en-US" w:eastAsia="zh-CN"/>
              </w:rPr>
            </w:pPr>
            <w:r>
              <w:rPr>
                <w:rFonts w:hint="eastAsia" w:eastAsia="方正仿宋_GBK"/>
                <w:color w:val="000000"/>
                <w:sz w:val="20"/>
                <w:szCs w:val="20"/>
                <w:lang w:val="en-US" w:eastAsia="zh-CN"/>
              </w:rPr>
              <w:t>10</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eastAsia="方正仿宋_GBK"/>
                <w:color w:val="FF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宋体" w:hAnsi="宋体" w:cs="宋体"/>
                <w:color w:val="000000"/>
                <w:sz w:val="22"/>
              </w:rPr>
            </w:pPr>
          </w:p>
        </w:tc>
      </w:tr>
    </w:tbl>
    <w:p>
      <w:pPr>
        <w:pStyle w:val="17"/>
        <w:tabs>
          <w:tab w:val="center" w:pos="4153"/>
          <w:tab w:val="left" w:pos="7275"/>
        </w:tabs>
        <w:spacing w:line="596"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（二）部门绩效评价情况</w:t>
      </w:r>
    </w:p>
    <w:p>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w:t>
      </w:r>
      <w:r>
        <w:rPr>
          <w:rFonts w:hint="eastAsia" w:ascii="Times New Roman" w:hAnsi="Times New Roman" w:eastAsia="方正仿宋_GBK" w:cs="Times New Roman"/>
          <w:sz w:val="32"/>
          <w:szCs w:val="32"/>
        </w:rPr>
        <w:t>美术馆、图书馆、文化馆(站)免费开放专项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“三馆一站”免费开放配套资金</w:t>
      </w:r>
      <w:r>
        <w:rPr>
          <w:rFonts w:hint="eastAsia" w:ascii="Times New Roman" w:hAnsi="Times New Roman" w:eastAsia="方正仿宋_GBK" w:cs="Times New Roman"/>
          <w:sz w:val="32"/>
          <w:szCs w:val="32"/>
          <w:lang w:eastAsia="zh-CN"/>
        </w:rPr>
        <w:t>，2022年文化人才专项经费等</w:t>
      </w:r>
      <w:r>
        <w:rPr>
          <w:rFonts w:hint="eastAsia" w:ascii="Times New Roman" w:hAnsi="Times New Roman" w:eastAsia="方正仿宋_GBK" w:cs="Times New Roman"/>
          <w:sz w:val="32"/>
          <w:szCs w:val="32"/>
          <w:lang w:val="en-US" w:eastAsia="zh-CN"/>
        </w:rPr>
        <w:t>15个二级项目</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162.12</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eastAsia"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；对文化人才专项资金图书馆自主招募上挂培养开展了绩效评价，涉及财政拨款项目资金</w:t>
      </w:r>
      <w:r>
        <w:rPr>
          <w:rFonts w:hint="eastAsia" w:ascii="Times New Roman" w:hAnsi="Times New Roman" w:eastAsia="方正仿宋_GBK" w:cs="Times New Roman"/>
          <w:sz w:val="32"/>
          <w:szCs w:val="32"/>
          <w:shd w:val="clear" w:color="auto" w:fill="FFFFFF"/>
          <w:lang w:val="en-US" w:eastAsia="zh-CN"/>
        </w:rPr>
        <w:t>4.32</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93.6</w:t>
      </w:r>
      <w:r>
        <w:rPr>
          <w:rFonts w:hint="default" w:ascii="Times New Roman" w:hAnsi="Times New Roman" w:eastAsia="方正仿宋_GBK" w:cs="Times New Roman"/>
          <w:sz w:val="32"/>
          <w:szCs w:val="32"/>
          <w:shd w:val="clear" w:color="auto" w:fill="FFFFFF"/>
        </w:rPr>
        <w:t>分，评价等次为</w:t>
      </w:r>
      <w:r>
        <w:rPr>
          <w:rFonts w:hint="eastAsia" w:ascii="Times New Roman" w:hAnsi="Times New Roman" w:eastAsia="方正仿宋_GBK" w:cs="Times New Roman"/>
          <w:sz w:val="32"/>
          <w:szCs w:val="32"/>
          <w:shd w:val="clear" w:color="auto" w:fill="FFFFFF"/>
          <w:lang w:eastAsia="zh-CN"/>
        </w:rPr>
        <w:t>优；对</w:t>
      </w:r>
      <w:r>
        <w:rPr>
          <w:rFonts w:hint="eastAsia" w:ascii="Times New Roman" w:hAnsi="Times New Roman" w:eastAsia="方正仿宋_GBK" w:cs="Times New Roman"/>
          <w:sz w:val="32"/>
          <w:szCs w:val="32"/>
        </w:rPr>
        <w:t>2022年中央公共文化服务体系建设（图书馆大门排危修缮）</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0.49</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82.82</w:t>
      </w:r>
      <w:r>
        <w:rPr>
          <w:rFonts w:hint="default" w:ascii="Times New Roman" w:hAnsi="Times New Roman" w:eastAsia="方正仿宋_GBK" w:cs="Times New Roman"/>
          <w:sz w:val="32"/>
          <w:szCs w:val="32"/>
          <w:shd w:val="clear" w:color="auto" w:fill="FFFFFF"/>
        </w:rPr>
        <w:t>分，评价等次为</w:t>
      </w:r>
      <w:r>
        <w:rPr>
          <w:rFonts w:hint="eastAsia" w:ascii="Times New Roman" w:hAnsi="Times New Roman" w:eastAsia="方正仿宋_GBK" w:cs="Times New Roman"/>
          <w:sz w:val="32"/>
          <w:szCs w:val="32"/>
          <w:shd w:val="clear" w:color="auto" w:fill="FFFFFF"/>
          <w:lang w:eastAsia="zh-CN"/>
        </w:rPr>
        <w:t>良。</w:t>
      </w:r>
      <w:r>
        <w:rPr>
          <w:rFonts w:hint="default" w:ascii="Times New Roman" w:hAnsi="Times New Roman" w:eastAsia="方正仿宋_GBK" w:cs="Times New Roman"/>
          <w:sz w:val="32"/>
          <w:szCs w:val="32"/>
          <w:shd w:val="clear" w:color="auto" w:fill="FFFFFF"/>
        </w:rPr>
        <w:t>绩效评价发现了</w:t>
      </w:r>
      <w:r>
        <w:rPr>
          <w:rFonts w:hint="eastAsia" w:ascii="Times New Roman" w:hAnsi="Times New Roman" w:eastAsia="方正仿宋_GBK" w:cs="Times New Roman"/>
          <w:sz w:val="32"/>
          <w:szCs w:val="32"/>
        </w:rPr>
        <w:t>部分项目执行率过低</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shd w:val="clear" w:color="auto" w:fill="FFFFFF"/>
        </w:rPr>
        <w:t>主要问题，</w:t>
      </w:r>
      <w:r>
        <w:rPr>
          <w:rFonts w:hint="eastAsia" w:ascii="Times New Roman" w:hAnsi="Times New Roman" w:eastAsia="方正仿宋_GBK" w:cs="Times New Roman"/>
          <w:sz w:val="32"/>
          <w:szCs w:val="32"/>
        </w:rPr>
        <w:t>原因有项目预算时间太晚，如文化人才专项资金项目在2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年年底才设立；项目开工时间太晚导致年底资金支付时间紧张、甚至项目未完全完工</w:t>
      </w:r>
      <w:r>
        <w:rPr>
          <w:rFonts w:hint="default" w:ascii="Times New Roman" w:hAnsi="Times New Roman" w:eastAsia="方正仿宋_GBK" w:cs="Times New Roman"/>
          <w:sz w:val="32"/>
          <w:szCs w:val="32"/>
          <w:shd w:val="clear" w:color="auto" w:fill="FFFFFF"/>
        </w:rPr>
        <w:t>等</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下一步工作建议</w:t>
      </w:r>
      <w:r>
        <w:rPr>
          <w:rFonts w:hint="eastAsia" w:ascii="Times New Roman" w:hAnsi="Times New Roman" w:eastAsia="方正仿宋_GBK" w:cs="Times New Roman"/>
          <w:sz w:val="32"/>
          <w:szCs w:val="32"/>
        </w:rPr>
        <w:t>将提前设立预算项目、提前规划项目资金使用，减少年底新增预算项目的情况，争取本年度项目能在本年度完工并支付成功</w:t>
      </w:r>
      <w:r>
        <w:rPr>
          <w:rFonts w:ascii="Times New Roman" w:hAnsi="Times New Roman" w:eastAsia="方正仿宋_GBK" w:cs="Times New Roman"/>
          <w:sz w:val="32"/>
          <w:szCs w:val="32"/>
        </w:rPr>
        <w:t>。</w:t>
      </w:r>
    </w:p>
    <w:p>
      <w:pPr>
        <w:pStyle w:val="17"/>
        <w:tabs>
          <w:tab w:val="center" w:pos="4153"/>
          <w:tab w:val="left" w:pos="7275"/>
        </w:tabs>
        <w:spacing w:line="596" w:lineRule="exact"/>
        <w:ind w:firstLine="640"/>
        <w:rPr>
          <w:rFonts w:hint="eastAsia" w:ascii="Times New Roman" w:hAnsi="Times New Roman" w:eastAsia="方正楷体_GBK"/>
          <w:color w:val="333333"/>
          <w:sz w:val="32"/>
          <w:szCs w:val="32"/>
        </w:rPr>
      </w:pPr>
      <w:r>
        <w:rPr>
          <w:rFonts w:hint="eastAsia" w:ascii="Times New Roman" w:hAnsi="Times New Roman" w:eastAsia="方正楷体_GBK"/>
          <w:color w:val="333333"/>
          <w:sz w:val="32"/>
          <w:szCs w:val="32"/>
        </w:rPr>
        <w:t>（三）财政绩效评价情况</w:t>
      </w:r>
    </w:p>
    <w:p>
      <w:pPr>
        <w:pStyle w:val="17"/>
        <w:tabs>
          <w:tab w:val="center" w:pos="4153"/>
          <w:tab w:val="left" w:pos="7275"/>
        </w:tabs>
        <w:spacing w:line="600" w:lineRule="exact"/>
        <w:ind w:firstLine="640"/>
        <w:rPr>
          <w:rFonts w:hint="eastAsia" w:ascii="方正仿宋_GBK" w:hAnsi="宋体" w:eastAsia="方正仿宋_GBK" w:cs="宋体"/>
          <w:kern w:val="0"/>
          <w:sz w:val="32"/>
          <w:szCs w:val="32"/>
        </w:rPr>
      </w:pPr>
      <w:r>
        <w:rPr>
          <w:rFonts w:hint="eastAsia" w:ascii="方正仿宋_GBK" w:eastAsia="方正仿宋_GBK" w:cs="宋体"/>
          <w:kern w:val="0"/>
          <w:sz w:val="32"/>
          <w:szCs w:val="32"/>
          <w:lang w:val="en-US" w:eastAsia="zh-CN"/>
        </w:rPr>
        <w:t>县财政局</w:t>
      </w:r>
      <w:r>
        <w:rPr>
          <w:rFonts w:hint="eastAsia" w:ascii="方正仿宋_GBK" w:hAnsi="宋体" w:eastAsia="方正仿宋_GBK" w:cs="宋体"/>
          <w:kern w:val="0"/>
          <w:sz w:val="32"/>
          <w:szCs w:val="32"/>
        </w:rPr>
        <w:t>未委托第三方开展重点绩效自评。</w:t>
      </w:r>
    </w:p>
    <w:p>
      <w:pPr>
        <w:pStyle w:val="13"/>
        <w:autoSpaceDE w:val="0"/>
        <w:spacing w:before="0" w:beforeAutospacing="0" w:after="0" w:afterAutospacing="0" w:line="560" w:lineRule="exact"/>
        <w:ind w:firstLine="640" w:firstLineChars="200"/>
        <w:jc w:val="both"/>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六、专业名词解释</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（四）其他收入：</w:t>
      </w:r>
      <w:r>
        <w:rPr>
          <w:rFonts w:ascii="方正仿宋_GBK" w:hAnsi="方正仿宋_GBK" w:eastAsia="方正仿宋_GBK" w:cs="方正仿宋_GBK"/>
          <w:sz w:val="32"/>
          <w:szCs w:val="32"/>
        </w:rPr>
        <w:t>指单位取得的除</w:t>
      </w:r>
      <w:r>
        <w:rPr>
          <w:rFonts w:ascii="方正仿宋_GBK" w:hAnsi="仿宋" w:eastAsia="方正仿宋_GBK" w:cs="方正仿宋_GBK"/>
          <w:sz w:val="32"/>
          <w:szCs w:val="32"/>
        </w:rPr>
        <w:t>“</w:t>
      </w:r>
      <w:r>
        <w:rPr>
          <w:rFonts w:ascii="方正仿宋_GBK" w:hAnsi="方正仿宋_GBK" w:eastAsia="方正仿宋_GBK" w:cs="方正仿宋_GBK"/>
          <w:sz w:val="32"/>
          <w:szCs w:val="32"/>
        </w:rPr>
        <w:t>财政拨款收入</w:t>
      </w:r>
      <w:r>
        <w:rPr>
          <w:rFonts w:ascii="仿宋" w:hAnsi="仿宋" w:eastAsia="仿宋" w:cs="仿宋"/>
          <w:sz w:val="32"/>
          <w:szCs w:val="32"/>
        </w:rPr>
        <w:t>”</w:t>
      </w:r>
      <w:r>
        <w:rPr>
          <w:rFonts w:ascii="方正仿宋_GBK" w:hAnsi="方正仿宋_GBK" w:eastAsia="方正仿宋_GBK" w:cs="方正仿宋_GBK"/>
          <w:sz w:val="32"/>
          <w:szCs w:val="32"/>
        </w:rPr>
        <w:t>、</w:t>
      </w:r>
      <w:r>
        <w:rPr>
          <w:rFonts w:ascii="仿宋" w:hAnsi="仿宋" w:eastAsia="仿宋" w:cs="仿宋"/>
          <w:sz w:val="32"/>
          <w:szCs w:val="32"/>
        </w:rPr>
        <w:t>“</w:t>
      </w:r>
      <w:r>
        <w:rPr>
          <w:rFonts w:ascii="方正仿宋_GBK" w:hAnsi="方正仿宋_GBK" w:eastAsia="方正仿宋_GBK" w:cs="方正仿宋_GBK"/>
          <w:sz w:val="32"/>
          <w:szCs w:val="32"/>
        </w:rPr>
        <w:t>事业收入</w:t>
      </w:r>
      <w:r>
        <w:rPr>
          <w:rFonts w:ascii="仿宋" w:hAnsi="仿宋" w:eastAsia="仿宋" w:cs="仿宋"/>
          <w:sz w:val="32"/>
          <w:szCs w:val="32"/>
        </w:rPr>
        <w:t>”</w:t>
      </w:r>
      <w:r>
        <w:rPr>
          <w:rFonts w:ascii="方正仿宋_GBK" w:hAnsi="方正仿宋_GBK" w:eastAsia="方正仿宋_GBK" w:cs="方正仿宋_GBK"/>
          <w:sz w:val="32"/>
          <w:szCs w:val="32"/>
        </w:rPr>
        <w:t>、</w:t>
      </w:r>
      <w:r>
        <w:rPr>
          <w:rFonts w:ascii="仿宋" w:hAnsi="仿宋" w:eastAsia="仿宋" w:cs="仿宋"/>
          <w:sz w:val="32"/>
          <w:szCs w:val="32"/>
        </w:rPr>
        <w:t>“</w:t>
      </w:r>
      <w:r>
        <w:rPr>
          <w:rFonts w:ascii="方正仿宋_GBK" w:hAnsi="方正仿宋_GBK" w:eastAsia="方正仿宋_GBK" w:cs="方正仿宋_GBK"/>
          <w:sz w:val="32"/>
          <w:szCs w:val="32"/>
        </w:rPr>
        <w:t>经营收入</w:t>
      </w:r>
      <w:r>
        <w:rPr>
          <w:rFonts w:ascii="仿宋" w:hAnsi="仿宋" w:eastAsia="仿宋" w:cs="仿宋"/>
          <w:sz w:val="32"/>
          <w:szCs w:val="32"/>
        </w:rPr>
        <w:t>”</w:t>
      </w:r>
      <w:r>
        <w:rPr>
          <w:rFonts w:ascii="方正仿宋_GBK" w:hAnsi="方正仿宋_GBK" w:eastAsia="方正仿宋_GBK" w:cs="方正仿宋_GBK"/>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（五）使用非财政拨款结余：</w:t>
      </w:r>
      <w:r>
        <w:rPr>
          <w:rFonts w:ascii="方正仿宋_GBK" w:hAnsi="方正仿宋_GBK" w:eastAsia="方正仿宋_GBK" w:cs="方正仿宋_GBK"/>
          <w:sz w:val="32"/>
          <w:szCs w:val="32"/>
        </w:rPr>
        <w:t>指单位在当年的</w:t>
      </w:r>
      <w:r>
        <w:rPr>
          <w:rFonts w:ascii="方正仿宋_GBK" w:hAnsi="仿宋" w:eastAsia="方正仿宋_GBK" w:cs="方正仿宋_GBK"/>
          <w:sz w:val="32"/>
          <w:szCs w:val="32"/>
        </w:rPr>
        <w:t>“</w:t>
      </w:r>
      <w:r>
        <w:rPr>
          <w:rFonts w:ascii="方正仿宋_GBK" w:hAnsi="方正仿宋_GBK" w:eastAsia="方正仿宋_GBK" w:cs="方正仿宋_GBK"/>
          <w:sz w:val="32"/>
          <w:szCs w:val="32"/>
        </w:rPr>
        <w:t>财政拨款收入</w:t>
      </w:r>
      <w:r>
        <w:rPr>
          <w:rFonts w:ascii="仿宋" w:hAnsi="仿宋" w:eastAsia="仿宋" w:cs="仿宋"/>
          <w:sz w:val="32"/>
          <w:szCs w:val="32"/>
        </w:rPr>
        <w:t>”</w:t>
      </w:r>
      <w:r>
        <w:rPr>
          <w:rFonts w:ascii="方正仿宋_GBK" w:hAnsi="方正仿宋_GBK" w:eastAsia="方正仿宋_GBK" w:cs="方正仿宋_GBK"/>
          <w:sz w:val="32"/>
          <w:szCs w:val="32"/>
        </w:rPr>
        <w:t>、</w:t>
      </w:r>
      <w:r>
        <w:rPr>
          <w:rFonts w:ascii="仿宋" w:hAnsi="仿宋" w:eastAsia="仿宋" w:cs="仿宋"/>
          <w:sz w:val="32"/>
          <w:szCs w:val="32"/>
        </w:rPr>
        <w:t>“</w:t>
      </w:r>
      <w:r>
        <w:rPr>
          <w:rFonts w:ascii="方正仿宋_GBK" w:hAnsi="方正仿宋_GBK" w:eastAsia="方正仿宋_GBK" w:cs="方正仿宋_GBK"/>
          <w:sz w:val="32"/>
          <w:szCs w:val="32"/>
        </w:rPr>
        <w:t>事业收入</w:t>
      </w:r>
      <w:r>
        <w:rPr>
          <w:rFonts w:ascii="仿宋" w:hAnsi="仿宋" w:eastAsia="仿宋" w:cs="仿宋"/>
          <w:sz w:val="32"/>
          <w:szCs w:val="32"/>
        </w:rPr>
        <w:t>”</w:t>
      </w:r>
      <w:r>
        <w:rPr>
          <w:rFonts w:ascii="方正仿宋_GBK" w:hAnsi="方正仿宋_GBK" w:eastAsia="方正仿宋_GBK" w:cs="方正仿宋_GBK"/>
          <w:sz w:val="32"/>
          <w:szCs w:val="32"/>
        </w:rPr>
        <w:t>、</w:t>
      </w:r>
      <w:r>
        <w:rPr>
          <w:rFonts w:ascii="仿宋" w:hAnsi="仿宋" w:eastAsia="仿宋" w:cs="仿宋"/>
          <w:sz w:val="32"/>
          <w:szCs w:val="32"/>
        </w:rPr>
        <w:t>“</w:t>
      </w:r>
      <w:r>
        <w:rPr>
          <w:rFonts w:ascii="方正仿宋_GBK" w:hAnsi="方正仿宋_GBK" w:eastAsia="方正仿宋_GBK" w:cs="方正仿宋_GBK"/>
          <w:sz w:val="32"/>
          <w:szCs w:val="32"/>
        </w:rPr>
        <w:t>经营收入</w:t>
      </w:r>
      <w:r>
        <w:rPr>
          <w:rFonts w:ascii="仿宋" w:hAnsi="仿宋" w:eastAsia="仿宋" w:cs="仿宋"/>
          <w:sz w:val="32"/>
          <w:szCs w:val="32"/>
        </w:rPr>
        <w:t>”</w:t>
      </w:r>
      <w:r>
        <w:rPr>
          <w:rFonts w:ascii="方正仿宋_GBK" w:hAnsi="方正仿宋_GBK" w:eastAsia="方正仿宋_GBK" w:cs="方正仿宋_GBK"/>
          <w:sz w:val="32"/>
          <w:szCs w:val="32"/>
        </w:rPr>
        <w:t>、</w:t>
      </w:r>
      <w:r>
        <w:rPr>
          <w:rFonts w:ascii="仿宋" w:hAnsi="仿宋" w:eastAsia="仿宋" w:cs="仿宋"/>
          <w:sz w:val="32"/>
          <w:szCs w:val="32"/>
        </w:rPr>
        <w:t>“</w:t>
      </w:r>
      <w:r>
        <w:rPr>
          <w:rFonts w:ascii="方正仿宋_GBK" w:hAnsi="方正仿宋_GBK" w:eastAsia="方正仿宋_GBK" w:cs="方正仿宋_GBK"/>
          <w:sz w:val="32"/>
          <w:szCs w:val="32"/>
        </w:rPr>
        <w:t>其他收入</w:t>
      </w:r>
      <w:r>
        <w:rPr>
          <w:rFonts w:ascii="仿宋" w:hAnsi="仿宋" w:eastAsia="仿宋" w:cs="仿宋"/>
          <w:sz w:val="32"/>
          <w:szCs w:val="32"/>
        </w:rPr>
        <w:t>”</w:t>
      </w:r>
      <w:r>
        <w:rPr>
          <w:rFonts w:ascii="方正仿宋_GBK" w:hAnsi="方正仿宋_GBK" w:eastAsia="方正仿宋_GBK" w:cs="方正仿宋_GBK"/>
          <w:sz w:val="32"/>
          <w:szCs w:val="32"/>
        </w:rPr>
        <w:t>等不足以安排当年支出的情况下，使用以前年度积累的非财政拨款结余弥补本年度收支缺口的资金。</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（八）年末结转和结余：</w:t>
      </w:r>
      <w:r>
        <w:rPr>
          <w:rFonts w:ascii="方正仿宋_GBK" w:hAnsi="方正仿宋_GBK" w:eastAsia="方正仿宋_GBK" w:cs="方正仿宋_GBK"/>
          <w:sz w:val="32"/>
          <w:szCs w:val="32"/>
        </w:rPr>
        <w:t>指单位结转下年的基本支出结转、项目支出结转和结余、经营结余。</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w:t>
      </w:r>
      <w:r>
        <w:rPr>
          <w:rFonts w:ascii="方正仿宋_GBK" w:hAnsi="仿宋" w:eastAsia="方正仿宋_GBK" w:cs="方正仿宋_GBK"/>
          <w:sz w:val="32"/>
          <w:szCs w:val="32"/>
        </w:rPr>
        <w:t>“</w:t>
      </w:r>
      <w:r>
        <w:rPr>
          <w:rFonts w:ascii="方正仿宋_GBK" w:hAnsi="方正仿宋_GBK" w:eastAsia="方正仿宋_GBK" w:cs="方正仿宋_GBK"/>
          <w:sz w:val="32"/>
          <w:szCs w:val="32"/>
        </w:rPr>
        <w:t>工资福利支出</w:t>
      </w:r>
      <w:r>
        <w:rPr>
          <w:rFonts w:ascii="仿宋" w:hAnsi="仿宋" w:eastAsia="仿宋" w:cs="仿宋"/>
          <w:sz w:val="32"/>
          <w:szCs w:val="32"/>
        </w:rPr>
        <w:t>”</w:t>
      </w:r>
      <w:r>
        <w:rPr>
          <w:rFonts w:ascii="方正仿宋_GBK" w:hAnsi="方正仿宋_GBK" w:eastAsia="方正仿宋_GBK" w:cs="方正仿宋_GBK"/>
          <w:sz w:val="32"/>
          <w:szCs w:val="32"/>
        </w:rPr>
        <w:t>和</w:t>
      </w:r>
      <w:r>
        <w:rPr>
          <w:rFonts w:ascii="仿宋" w:hAnsi="仿宋" w:eastAsia="仿宋" w:cs="仿宋"/>
          <w:sz w:val="32"/>
          <w:szCs w:val="32"/>
        </w:rPr>
        <w:t>“</w:t>
      </w:r>
      <w:r>
        <w:rPr>
          <w:rFonts w:ascii="方正仿宋_GBK" w:hAnsi="方正仿宋_GBK" w:eastAsia="方正仿宋_GBK" w:cs="方正仿宋_GBK"/>
          <w:sz w:val="32"/>
          <w:szCs w:val="32"/>
        </w:rPr>
        <w:t>对个人和家庭的补助</w:t>
      </w:r>
      <w:r>
        <w:rPr>
          <w:rFonts w:ascii="仿宋" w:hAnsi="仿宋" w:eastAsia="仿宋" w:cs="仿宋"/>
          <w:sz w:val="32"/>
          <w:szCs w:val="32"/>
        </w:rPr>
        <w:t>”</w:t>
      </w:r>
      <w:r>
        <w:rPr>
          <w:rFonts w:ascii="方正仿宋_GBK" w:hAnsi="方正仿宋_GBK" w:eastAsia="方正仿宋_GBK" w:cs="方正仿宋_GBK"/>
          <w:sz w:val="32"/>
          <w:szCs w:val="32"/>
        </w:rPr>
        <w:t>；公用经费指政府收支分类经济科目中除</w:t>
      </w:r>
      <w:r>
        <w:rPr>
          <w:rFonts w:ascii="仿宋" w:hAnsi="仿宋" w:eastAsia="仿宋" w:cs="仿宋"/>
          <w:sz w:val="32"/>
          <w:szCs w:val="32"/>
        </w:rPr>
        <w:t>“</w:t>
      </w:r>
      <w:r>
        <w:rPr>
          <w:rFonts w:ascii="方正仿宋_GBK" w:hAnsi="方正仿宋_GBK" w:eastAsia="方正仿宋_GBK" w:cs="方正仿宋_GBK"/>
          <w:sz w:val="32"/>
          <w:szCs w:val="32"/>
        </w:rPr>
        <w:t>工资福利支出</w:t>
      </w:r>
      <w:r>
        <w:rPr>
          <w:rFonts w:ascii="仿宋" w:hAnsi="仿宋" w:eastAsia="仿宋" w:cs="仿宋"/>
          <w:sz w:val="32"/>
          <w:szCs w:val="32"/>
        </w:rPr>
        <w:t>”</w:t>
      </w:r>
      <w:r>
        <w:rPr>
          <w:rFonts w:ascii="方正仿宋_GBK" w:hAnsi="方正仿宋_GBK" w:eastAsia="方正仿宋_GBK" w:cs="方正仿宋_GBK"/>
          <w:sz w:val="32"/>
          <w:szCs w:val="32"/>
        </w:rPr>
        <w:t>和</w:t>
      </w:r>
      <w:r>
        <w:rPr>
          <w:rFonts w:ascii="仿宋" w:hAnsi="仿宋" w:eastAsia="仿宋" w:cs="仿宋"/>
          <w:sz w:val="32"/>
          <w:szCs w:val="32"/>
        </w:rPr>
        <w:t>“</w:t>
      </w:r>
      <w:r>
        <w:rPr>
          <w:rFonts w:ascii="方正仿宋_GBK" w:hAnsi="方正仿宋_GBK" w:eastAsia="方正仿宋_GBK" w:cs="方正仿宋_GBK"/>
          <w:sz w:val="32"/>
          <w:szCs w:val="32"/>
        </w:rPr>
        <w:t>对个人和家庭的补助</w:t>
      </w:r>
      <w:r>
        <w:rPr>
          <w:rFonts w:ascii="仿宋" w:hAnsi="仿宋" w:eastAsia="仿宋" w:cs="仿宋"/>
          <w:sz w:val="32"/>
          <w:szCs w:val="32"/>
        </w:rPr>
        <w:t>”</w:t>
      </w:r>
      <w:r>
        <w:rPr>
          <w:rFonts w:ascii="方正仿宋_GBK" w:hAnsi="方正仿宋_GBK" w:eastAsia="方正仿宋_GBK" w:cs="方正仿宋_GBK"/>
          <w:sz w:val="32"/>
          <w:szCs w:val="32"/>
        </w:rPr>
        <w:t>外的其他支出。</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（十）项目支出：</w:t>
      </w:r>
      <w:r>
        <w:rPr>
          <w:rFonts w:ascii="方正仿宋_GBK" w:hAnsi="方正仿宋_GBK" w:eastAsia="方正仿宋_GBK" w:cs="方正仿宋_GBK"/>
          <w:sz w:val="32"/>
          <w:szCs w:val="32"/>
        </w:rPr>
        <w:t>指在基本支出之外为完成特定行政任务和事业发展目标所发生的支出。</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（十二）</w:t>
      </w:r>
      <w:r>
        <w:rPr>
          <w:rFonts w:hint="default" w:ascii="方正仿宋_GBK" w:hAnsi="方正仿宋_GBK" w:eastAsia="方正仿宋_GBK" w:cs="方正仿宋_GBK"/>
          <w:b/>
          <w:bCs/>
          <w:sz w:val="32"/>
          <w:szCs w:val="32"/>
        </w:rPr>
        <w:t>“</w:t>
      </w:r>
      <w:r>
        <w:rPr>
          <w:rFonts w:ascii="方正仿宋_GBK" w:hAnsi="方正仿宋_GBK" w:eastAsia="方正仿宋_GBK" w:cs="方正仿宋_GBK"/>
          <w:b/>
          <w:bCs/>
          <w:sz w:val="32"/>
          <w:szCs w:val="32"/>
        </w:rPr>
        <w:t>三公</w:t>
      </w:r>
      <w:r>
        <w:rPr>
          <w:rFonts w:hint="default" w:ascii="方正仿宋_GBK" w:hAnsi="方正仿宋_GBK" w:eastAsia="方正仿宋_GBK" w:cs="方正仿宋_GBK"/>
          <w:b/>
          <w:bCs/>
          <w:sz w:val="32"/>
          <w:szCs w:val="32"/>
        </w:rPr>
        <w:t>”</w:t>
      </w:r>
      <w:r>
        <w:rPr>
          <w:rFonts w:ascii="方正仿宋_GBK" w:hAnsi="方正仿宋_GBK" w:eastAsia="方正仿宋_GBK" w:cs="方正仿宋_GBK"/>
          <w:b/>
          <w:bCs/>
          <w:sz w:val="32"/>
          <w:szCs w:val="32"/>
        </w:rPr>
        <w:t>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w:t>
      </w:r>
      <w:r>
        <w:rPr>
          <w:rFonts w:ascii="方正仿宋_GBK" w:hAnsi="仿宋" w:eastAsia="方正仿宋_GBK" w:cs="方正仿宋_GBK"/>
          <w:sz w:val="32"/>
          <w:szCs w:val="32"/>
        </w:rPr>
        <w:t xml:space="preserve"> </w:t>
      </w:r>
      <w:r>
        <w:rPr>
          <w:rFonts w:ascii="方正仿宋_GBK" w:hAnsi="方正仿宋_GBK" w:eastAsia="方正仿宋_GBK" w:cs="方正仿宋_GBK"/>
          <w:sz w:val="32"/>
          <w:szCs w:val="32"/>
        </w:rPr>
        <w:t>费、专用材料及一般设备购置费、办公用房水电费、办公用房取暖费、办公用房物业管理费、公务用车运行维护费以及其他费用。</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pPr>
        <w:pStyle w:val="13"/>
        <w:autoSpaceDE w:val="0"/>
        <w:spacing w:before="0" w:beforeAutospacing="0" w:after="0" w:afterAutospacing="0" w:line="560" w:lineRule="exact"/>
        <w:ind w:firstLine="643" w:firstLineChars="200"/>
        <w:jc w:val="both"/>
        <w:rPr>
          <w:rFonts w:ascii="方正仿宋_GBK" w:hAnsi="仿宋" w:eastAsia="方正仿宋_GBK" w:cs="方正仿宋_GBK"/>
          <w:sz w:val="32"/>
          <w:szCs w:val="32"/>
        </w:rPr>
      </w:pPr>
      <w:r>
        <w:rPr>
          <w:rFonts w:ascii="方正仿宋_GBK" w:hAnsi="方正仿宋_GBK" w:eastAsia="方正仿宋_GBK" w:cs="方正仿宋_GBK"/>
          <w:b/>
          <w:bCs/>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pPr>
        <w:pStyle w:val="13"/>
        <w:autoSpaceDE w:val="0"/>
        <w:spacing w:before="0" w:beforeAutospacing="0" w:after="0" w:afterAutospacing="0" w:line="560" w:lineRule="exact"/>
        <w:ind w:firstLine="643"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13"/>
        <w:autoSpaceDE w:val="0"/>
        <w:spacing w:before="0" w:beforeAutospacing="0" w:after="0" w:afterAutospacing="0" w:line="560" w:lineRule="exact"/>
        <w:ind w:firstLine="640" w:firstLineChars="200"/>
        <w:jc w:val="both"/>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七、决算公开联系方式及信息反馈渠道</w:t>
      </w:r>
    </w:p>
    <w:p>
      <w:pPr>
        <w:pStyle w:val="13"/>
        <w:autoSpaceDE w:val="0"/>
        <w:spacing w:before="0" w:beforeAutospacing="0" w:after="0" w:afterAutospacing="0" w:line="560" w:lineRule="exact"/>
        <w:ind w:firstLine="640" w:firstLineChars="200"/>
        <w:jc w:val="both"/>
        <w:rPr>
          <w:rFonts w:ascii="方正仿宋_GBK" w:hAnsi="仿宋" w:eastAsia="方正仿宋_GBK" w:cs="方正仿宋_GBK"/>
          <w:sz w:val="32"/>
          <w:szCs w:val="32"/>
        </w:rPr>
      </w:pPr>
      <w:r>
        <w:rPr>
          <w:rFonts w:ascii="方正仿宋_GBK" w:hAnsi="方正仿宋_GBK" w:eastAsia="方正仿宋_GBK" w:cs="方正仿宋_GBK"/>
          <w:sz w:val="32"/>
          <w:szCs w:val="32"/>
        </w:rPr>
        <w:t>本单位决算公开信息反馈和联系方式：</w:t>
      </w:r>
    </w:p>
    <w:p>
      <w:pPr>
        <w:pStyle w:val="13"/>
        <w:autoSpaceDE w:val="0"/>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lang w:eastAsia="zh-CN"/>
        </w:rPr>
      </w:pPr>
      <w:r>
        <w:rPr>
          <w:rFonts w:hint="eastAsia" w:ascii="方正仿宋_GBK" w:hAnsi="方正仿宋_GBK" w:eastAsia="方正仿宋_GBK" w:cs="方正仿宋_GBK"/>
          <w:sz w:val="32"/>
          <w:szCs w:val="32"/>
          <w:lang w:eastAsia="zh-CN"/>
        </w:rPr>
        <w:t>张月影</w:t>
      </w:r>
      <w:r>
        <w:rPr>
          <w:rFonts w:hint="eastAsia" w:ascii="方正仿宋_GBK" w:hAnsi="方正仿宋_GBK" w:eastAsia="方正仿宋_GBK" w:cs="方正仿宋_GBK"/>
          <w:sz w:val="32"/>
          <w:szCs w:val="32"/>
          <w:lang w:val="en-US" w:eastAsia="zh-CN"/>
        </w:rPr>
        <w:t xml:space="preserve">   </w:t>
      </w:r>
      <w:r>
        <w:rPr>
          <w:rFonts w:ascii="Times New Roman" w:hAnsi="Times New Roman" w:eastAsia="方正仿宋_GBK" w:cs="方正仿宋_GBK"/>
          <w:sz w:val="32"/>
          <w:szCs w:val="32"/>
        </w:rPr>
        <w:t>023</w:t>
      </w:r>
      <w:r>
        <w:rPr>
          <w:rFonts w:ascii="方正仿宋_GBK" w:hAnsi="仿宋" w:eastAsia="方正仿宋_GBK" w:cs="方正仿宋_GBK"/>
          <w:sz w:val="32"/>
          <w:szCs w:val="32"/>
        </w:rPr>
        <w:t>-</w:t>
      </w:r>
      <w:r>
        <w:rPr>
          <w:rFonts w:ascii="Times New Roman" w:hAnsi="Times New Roman" w:eastAsia="方正仿宋_GBK" w:cs="方正仿宋_GBK"/>
          <w:sz w:val="32"/>
          <w:szCs w:val="32"/>
        </w:rPr>
        <w:t>81553158</w:t>
      </w:r>
      <w:r>
        <w:rPr>
          <w:rFonts w:hint="eastAsia" w:ascii="Times New Roman" w:hAnsi="Times New Roman" w:eastAsia="方正仿宋_GBK" w:cs="方正仿宋_GBK"/>
          <w:sz w:val="32"/>
          <w:szCs w:val="32"/>
          <w:lang w:eastAsia="zh-CN"/>
        </w:rPr>
        <w:t>。</w:t>
      </w:r>
    </w:p>
    <w:p>
      <w:pPr>
        <w:pStyle w:val="12"/>
        <w:autoSpaceDE w:val="0"/>
        <w:ind w:firstLine="0" w:firstLineChars="0"/>
        <w:rPr>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重庆市秀山土家族苗族自治县图书馆</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291.69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278.43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291.69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321.64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321.64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393"/>
        <w:gridCol w:w="1395"/>
        <w:gridCol w:w="1245"/>
        <w:gridCol w:w="1230"/>
        <w:gridCol w:w="1155"/>
        <w:gridCol w:w="1350"/>
        <w:gridCol w:w="1008"/>
        <w:gridCol w:w="1439"/>
        <w:gridCol w:w="1461"/>
      </w:tblGrid>
      <w:tr>
        <w:tblPrEx>
          <w:tblLayout w:type="fixed"/>
          <w:tblCellMar>
            <w:top w:w="0" w:type="dxa"/>
            <w:left w:w="0" w:type="dxa"/>
            <w:bottom w:w="0" w:type="dxa"/>
            <w:right w:w="0" w:type="dxa"/>
          </w:tblCellMar>
        </w:tblPrEx>
        <w:trPr>
          <w:trHeight w:val="547"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49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重庆市秀山土家族苗族自治县图书馆</w:t>
            </w:r>
          </w:p>
        </w:tc>
        <w:tc>
          <w:tcPr>
            <w:tcW w:w="124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5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00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49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4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15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00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509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9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9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291.69</w:t>
            </w:r>
            <w:r>
              <w:rPr>
                <w:rFonts w:hint="default" w:ascii="Times New Roman" w:hAnsi="Times New Roman" w:cs="Times New Roman"/>
                <w:b/>
                <w:color w:val="000000"/>
                <w:sz w:val="20"/>
                <w:u w:color="auto"/>
              </w:rPr>
              <w:t xml:space="preserve"> </w:t>
            </w: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291.69</w:t>
            </w:r>
            <w:r>
              <w:rPr>
                <w:rFonts w:hint="default" w:ascii="Times New Roman" w:hAnsi="Times New Roman" w:cs="Times New Roman"/>
                <w:b/>
                <w:color w:val="000000"/>
                <w:sz w:val="20"/>
                <w:u w:color="auto"/>
              </w:rPr>
              <w:t xml:space="preserve"> </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3"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248.50</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248.50</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219.10</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219.10</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145.92</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145.92</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29.41</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29.41</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29.41</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29.41</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22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131"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szCs w:val="24"/>
                <w:u w:color="auto"/>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szCs w:val="24"/>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4"/>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547"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236"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重庆市秀山土家族苗族自治县图书馆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28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321.62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166.93</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278.43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219.07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107.58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5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145.89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34.40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5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59.36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59.36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59.36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6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2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401"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cs="Times New Roman"/>
          <w:sz w:val="21"/>
          <w:szCs w:val="21"/>
        </w:rPr>
      </w:pPr>
    </w:p>
    <w:tbl>
      <w:tblPr>
        <w:tblStyle w:val="10"/>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bookmarkStart w:id="0" w:name="_GoBack"/>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675"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34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2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291.69</w:t>
            </w: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278.43</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278.43</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30.58</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30.58</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7.47</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7.47</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291.69</w:t>
            </w: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321.62</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321.62</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29.95</w:t>
            </w: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29.95</w:t>
            </w: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321.64</w:t>
            </w:r>
            <w:r>
              <w:rPr>
                <w:rFonts w:hint="default" w:ascii="Times New Roman" w:hAnsi="Times New Roman" w:cs="Times New Roman"/>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321.64</w:t>
            </w:r>
            <w:r>
              <w:rPr>
                <w:rFonts w:hint="default" w:ascii="Times New Roman" w:hAnsi="Times New Roman" w:cs="Times New Roman"/>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321.64</w:t>
            </w:r>
            <w:r>
              <w:rPr>
                <w:rFonts w:hint="default" w:ascii="Times New Roman" w:hAnsi="Times New Roman" w:cs="Times New Roman"/>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bookmarkEnd w:id="0"/>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321.62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278.43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219.07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111.49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107.58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145.89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111.49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59.36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59.36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144.42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重庆市秀山土家族苗族自治县图书馆</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8B189"/>
    <w:multiLevelType w:val="singleLevel"/>
    <w:tmpl w:val="EB38B1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D97C2E"/>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B83B47"/>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383EE5"/>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8C12A4"/>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DD0965"/>
    <w:rsid w:val="72DB435C"/>
    <w:rsid w:val="72E2613A"/>
    <w:rsid w:val="72F771F4"/>
    <w:rsid w:val="73934AD2"/>
    <w:rsid w:val="750837F0"/>
    <w:rsid w:val="750F0631"/>
    <w:rsid w:val="754758CF"/>
    <w:rsid w:val="764F62AB"/>
    <w:rsid w:val="765C45EC"/>
    <w:rsid w:val="768A7619"/>
    <w:rsid w:val="772E1EBA"/>
    <w:rsid w:val="781926BC"/>
    <w:rsid w:val="796D60A4"/>
    <w:rsid w:val="79A031D5"/>
    <w:rsid w:val="79FC6437"/>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styleId="17">
    <w:name w:val="List Paragraph"/>
    <w:basedOn w:val="1"/>
    <w:qFormat/>
    <w:uiPriority w:val="34"/>
    <w:pPr>
      <w:ind w:firstLine="420" w:firstLineChars="200"/>
    </w:pPr>
  </w:style>
  <w:style w:type="paragraph" w:customStyle="1" w:styleId="18">
    <w:name w:val="普通(网站) Char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