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中国共产党秀山土家族苗族自治县委员会统战部（本级）</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调查研究、宣传统一战线的理论和方针政策，组织贯彻执行中央关于统一战线的方针、政策；向县委反映统一战线的情况，提出开展统战工作的意见和建议。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负责联系民主党派和无党派代表人士，及时通报情况，反映他们的意见和建议。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负责做好党外知识分子工作，调查研究党外知识分子的情况，反映意见，协调关系，提出政策性建议。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做好党外后备干部和新的社会阶层人士队伍的建设工作。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负责调查研究、贯彻落实党的有关民族、宗教工作的方针、政策；联系少数民族和宗教界的代表人物；协助有关部门做好少数民族干部的培养和举荐工作。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联系港、澳、台和华侨华人中的有关社团及代表人士；做好台胞、台属的有关工作。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7</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调查研究并反映非公有制经济代表人士的情况，协调关系，提出政策性建议。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8</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负责指导基层统战工作，指导协调县级各有关部门开展统战工作。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Style w:val="8"/>
          <w:rFonts w:ascii="楷体" w:hAnsi="楷体" w:eastAsia="楷体" w:cs="楷体"/>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fill="FFFFFF"/>
        </w:rPr>
        <w:t>9</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完成县委和上级部门交办的其他任务。</w:t>
      </w:r>
    </w:p>
    <w:p>
      <w:pPr>
        <w:pStyle w:val="6"/>
        <w:keepNext w:val="0"/>
        <w:keepLines w:val="0"/>
        <w:pageBreakBefore w:val="0"/>
        <w:shd w:val="clear" w:color="auto" w:fill="FFFFFF"/>
        <w:kinsoku/>
        <w:wordWrap/>
        <w:overflowPunct/>
        <w:topLinePunct w:val="0"/>
        <w:autoSpaceDN/>
        <w:bidi w:val="0"/>
        <w:adjustRightInd/>
        <w:snapToGrid w:val="0"/>
        <w:spacing w:beforeAutospacing="0" w:afterAutospacing="0" w:line="560" w:lineRule="exact"/>
        <w:ind w:firstLine="640" w:firstLineChars="20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Style w:val="8"/>
          <w:rFonts w:hint="eastAsia" w:ascii="黑体" w:hAnsi="黑体" w:eastAsia="黑体" w:cs="黑体"/>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根据上述职责，</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中国共产党秀山土家族苗族自治县委员会统战部（本级）</w:t>
      </w:r>
      <w:r>
        <w:rPr>
          <w:rFonts w:hint="default" w:ascii="Times New Roman" w:hAnsi="Times New Roman" w:eastAsia="方正仿宋_GBK" w:cs="Times New Roman"/>
          <w:i w:val="0"/>
          <w:iCs w:val="0"/>
          <w:caps w:val="0"/>
          <w:color w:val="333333"/>
          <w:spacing w:val="0"/>
          <w:sz w:val="32"/>
          <w:szCs w:val="32"/>
          <w:shd w:val="clear" w:fill="FFFFFF"/>
        </w:rPr>
        <w:t>设4个职能科室：办公室、党外干部和新阶层科、宣教经济科和民宗台侨科。</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Style w:val="8"/>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万元。收支较上年决算数减少</w:t>
      </w:r>
      <w:r>
        <w:rPr>
          <w:rFonts w:hint="default" w:ascii="Times New Roman" w:hAnsi="Times New Roman" w:eastAsia="方正仿宋_GBK" w:cs="Times New Roman"/>
          <w:i w:val="0"/>
          <w:iCs w:val="0"/>
          <w:caps w:val="0"/>
          <w:color w:val="333333"/>
          <w:spacing w:val="0"/>
          <w:sz w:val="32"/>
          <w:szCs w:val="32"/>
          <w:shd w:val="clear" w:fill="FFFFFF"/>
        </w:rPr>
        <w:t>154.86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28.68%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154.84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28.67%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154.86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28.68%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cs="Times New Roman"/>
          <w:i w:val="0"/>
          <w:iCs w:val="0"/>
          <w:caps w:val="0"/>
          <w:color w:val="333333"/>
          <w:spacing w:val="0"/>
          <w:sz w:val="32"/>
          <w:szCs w:val="32"/>
          <w:shd w:val="clear" w:fill="FFFFFF"/>
        </w:rPr>
        <w:t>294.34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76.41%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i w:val="0"/>
          <w:iCs w:val="0"/>
          <w:caps w:val="0"/>
          <w:color w:val="333333"/>
          <w:spacing w:val="0"/>
          <w:sz w:val="32"/>
          <w:szCs w:val="32"/>
          <w:shd w:val="clear" w:fill="FFFFFF"/>
        </w:rPr>
        <w:t>90.85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23.59%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4.</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i w:val="0"/>
          <w:iCs w:val="0"/>
          <w:caps w:val="0"/>
          <w:color w:val="333333"/>
          <w:spacing w:val="0"/>
          <w:sz w:val="32"/>
          <w:szCs w:val="32"/>
          <w:shd w:val="clear" w:fill="FFFFFF"/>
        </w:rPr>
        <w:t>2022</w:t>
      </w:r>
      <w:r>
        <w:rPr>
          <w:rFonts w:ascii="方正仿宋_GBK" w:hAnsi="方正仿宋_GBK" w:eastAsia="方正仿宋_GBK" w:cs="方正仿宋_GBK"/>
          <w:sz w:val="32"/>
          <w:szCs w:val="32"/>
          <w:shd w:val="clear" w:color="auto" w:fill="FFFFFF"/>
        </w:rPr>
        <w:t>年相比，财政拨款收、支总计各减少</w:t>
      </w:r>
      <w:r>
        <w:rPr>
          <w:rFonts w:hint="default" w:ascii="Times New Roman" w:hAnsi="Times New Roman" w:eastAsia="方正仿宋_GBK" w:cs="Times New Roman"/>
          <w:i w:val="0"/>
          <w:iCs w:val="0"/>
          <w:caps w:val="0"/>
          <w:color w:val="333333"/>
          <w:spacing w:val="0"/>
          <w:sz w:val="32"/>
          <w:szCs w:val="32"/>
          <w:shd w:val="clear" w:fill="FFFFFF"/>
        </w:rPr>
        <w:t>154.86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28.68%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154.84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28.67%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25.30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7.03%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是举办统战干部培训班、党外代表人士培训班。</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Times New Roman"/>
          <w:i w:val="0"/>
          <w:iCs w:val="0"/>
          <w:caps w:val="0"/>
          <w:color w:val="333333"/>
          <w:spacing w:val="0"/>
          <w:sz w:val="32"/>
          <w:szCs w:val="32"/>
          <w:shd w:val="clear" w:fill="FFFFFF"/>
        </w:rPr>
        <w:t>385.19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154.86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28.68%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25.30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7.03%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是举办统战干部培训班、党外代表人士培训班。</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3.结转结余情况。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cs="Times New Roman"/>
          <w:i w:val="0"/>
          <w:iCs w:val="0"/>
          <w:caps w:val="0"/>
          <w:color w:val="333333"/>
          <w:spacing w:val="0"/>
          <w:sz w:val="32"/>
          <w:szCs w:val="32"/>
          <w:shd w:val="clear" w:fill="FFFFFF"/>
        </w:rPr>
        <w:t>255.61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66.36%</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i w:val="0"/>
          <w:iCs w:val="0"/>
          <w:caps w:val="0"/>
          <w:color w:val="333333"/>
          <w:spacing w:val="0"/>
          <w:sz w:val="32"/>
          <w:szCs w:val="32"/>
          <w:shd w:val="clear" w:fill="FFFFFF"/>
        </w:rPr>
        <w:t>13.70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5.09%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cs="Times New Roman"/>
          <w:i w:val="0"/>
          <w:iCs w:val="0"/>
          <w:caps w:val="0"/>
          <w:color w:val="333333"/>
          <w:spacing w:val="0"/>
          <w:sz w:val="32"/>
          <w:szCs w:val="32"/>
          <w:shd w:val="clear" w:fill="FFFFFF"/>
        </w:rPr>
        <w:t>41.60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10.80%</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41.60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是举办统战干部培训班、党外代表人士培训班。</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cs="Times New Roman"/>
          <w:i w:val="0"/>
          <w:iCs w:val="0"/>
          <w:caps w:val="0"/>
          <w:color w:val="333333"/>
          <w:spacing w:val="0"/>
          <w:sz w:val="32"/>
          <w:szCs w:val="32"/>
          <w:shd w:val="clear" w:fill="FFFFFF"/>
        </w:rPr>
        <w:t>55.14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14.31%</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i w:val="0"/>
          <w:iCs w:val="0"/>
          <w:caps w:val="0"/>
          <w:color w:val="333333"/>
          <w:spacing w:val="0"/>
          <w:sz w:val="32"/>
          <w:szCs w:val="32"/>
          <w:shd w:val="clear" w:fill="FFFFFF"/>
        </w:rPr>
        <w:t>2.43万</w:t>
      </w:r>
      <w:r>
        <w:rPr>
          <w:rFonts w:ascii="方正仿宋_GBK" w:hAnsi="方正仿宋_GBK" w:eastAsia="方正仿宋_GBK" w:cs="方正仿宋_GBK"/>
          <w:sz w:val="32"/>
          <w:szCs w:val="32"/>
          <w:shd w:val="clear" w:color="auto" w:fill="FFFFFF"/>
        </w:rPr>
        <w:t>元，下降</w:t>
      </w:r>
      <w:r>
        <w:rPr>
          <w:rFonts w:hint="default" w:ascii="Times New Roman" w:hAnsi="Times New Roman" w:eastAsia="方正仿宋_GBK" w:cs="Times New Roman"/>
          <w:i w:val="0"/>
          <w:iCs w:val="0"/>
          <w:caps w:val="0"/>
          <w:color w:val="333333"/>
          <w:spacing w:val="0"/>
          <w:sz w:val="32"/>
          <w:szCs w:val="32"/>
          <w:shd w:val="clear" w:fill="FFFFFF"/>
        </w:rPr>
        <w:t>4.22%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cs="Times New Roman"/>
          <w:i w:val="0"/>
          <w:iCs w:val="0"/>
          <w:caps w:val="0"/>
          <w:color w:val="333333"/>
          <w:spacing w:val="0"/>
          <w:sz w:val="32"/>
          <w:szCs w:val="32"/>
          <w:shd w:val="clear" w:fill="FFFFFF"/>
        </w:rPr>
        <w:t>10.95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2.84%</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i w:val="0"/>
          <w:iCs w:val="0"/>
          <w:caps w:val="0"/>
          <w:color w:val="333333"/>
          <w:spacing w:val="0"/>
          <w:sz w:val="32"/>
          <w:szCs w:val="32"/>
          <w:shd w:val="clear" w:fill="FFFFFF"/>
        </w:rPr>
        <w:t>0.18</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1.62%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keepNext w:val="0"/>
        <w:keepLines w:val="0"/>
        <w:pageBreakBefore w:val="0"/>
        <w:kinsoku/>
        <w:wordWrap/>
        <w:overflowPunct/>
        <w:topLinePunct w:val="0"/>
        <w:autoSpaceDN/>
        <w:bidi w:val="0"/>
        <w:adjustRightInd/>
        <w:snapToGrid w:val="0"/>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5</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w:t>
      </w:r>
      <w:r>
        <w:rPr>
          <w:rFonts w:ascii="方正仿宋_GBK" w:hAnsi="方正仿宋_GBK" w:eastAsia="方正仿宋_GBK" w:cs="方正仿宋_GBK"/>
          <w:sz w:val="32"/>
          <w:szCs w:val="32"/>
        </w:rPr>
        <w:t>住房保障支出</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21.89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5.68%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 2023</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cs="Times New Roman"/>
          <w:i w:val="0"/>
          <w:iCs w:val="0"/>
          <w:caps w:val="0"/>
          <w:color w:val="333333"/>
          <w:spacing w:val="0"/>
          <w:sz w:val="32"/>
          <w:szCs w:val="32"/>
          <w:shd w:val="clear" w:fill="FFFFFF"/>
        </w:rPr>
        <w:t>294.34</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cs="Times New Roman"/>
          <w:i w:val="0"/>
          <w:iCs w:val="0"/>
          <w:caps w:val="0"/>
          <w:color w:val="333333"/>
          <w:spacing w:val="0"/>
          <w:sz w:val="32"/>
          <w:szCs w:val="32"/>
          <w:shd w:val="clear" w:fill="FFFFFF"/>
        </w:rPr>
        <w:t>261.87</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129.43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33.08%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b w:val="0"/>
          <w:color w:val="000000"/>
          <w:kern w:val="0"/>
          <w:sz w:val="32"/>
          <w:szCs w:val="32"/>
        </w:rPr>
        <w:t>基本工资、津贴补贴、奖金、社保缴费等。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cs="Times New Roman"/>
          <w:i w:val="0"/>
          <w:iCs w:val="0"/>
          <w:caps w:val="0"/>
          <w:color w:val="333333"/>
          <w:spacing w:val="0"/>
          <w:sz w:val="32"/>
          <w:szCs w:val="32"/>
          <w:shd w:val="clear" w:fill="FFFFFF"/>
        </w:rPr>
        <w:t>32.47</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15.07</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31.70%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i w:val="0"/>
          <w:iCs w:val="0"/>
          <w:caps w:val="0"/>
          <w:color w:val="333333"/>
          <w:spacing w:val="0"/>
          <w:sz w:val="32"/>
          <w:szCs w:val="32"/>
          <w:shd w:val="clear" w:fill="FFFFFF"/>
        </w:rPr>
        <w:t>2022</w:t>
      </w:r>
      <w:r>
        <w:rPr>
          <w:rFonts w:hint="eastAsia" w:ascii="方正仿宋_GBK" w:hAnsi="方正仿宋_GBK" w:eastAsia="方正仿宋_GBK" w:cs="方正仿宋_GBK"/>
          <w:sz w:val="32"/>
          <w:szCs w:val="32"/>
          <w:shd w:val="clear" w:color="auto" w:fill="FFFFFF"/>
        </w:rPr>
        <w:t>年度我单位与</w:t>
      </w:r>
      <w:r>
        <w:rPr>
          <w:rFonts w:hint="eastAsia" w:ascii="方正仿宋_GBK" w:hAnsi="方正仿宋_GBK" w:eastAsia="方正仿宋_GBK" w:cs="方正仿宋_GBK"/>
          <w:sz w:val="32"/>
          <w:szCs w:val="32"/>
          <w:shd w:val="clear" w:color="auto" w:fill="FFFFFF"/>
          <w:lang w:eastAsia="zh-CN"/>
        </w:rPr>
        <w:t>统战服务中心</w:t>
      </w:r>
      <w:r>
        <w:rPr>
          <w:rFonts w:hint="eastAsia" w:ascii="方正仿宋_GBK" w:hAnsi="方正仿宋_GBK" w:eastAsia="方正仿宋_GBK" w:cs="方正仿宋_GBK"/>
          <w:sz w:val="32"/>
          <w:szCs w:val="32"/>
          <w:shd w:val="clear" w:color="auto" w:fill="FFFFFF"/>
        </w:rPr>
        <w:t>合并编报决算，</w:t>
      </w:r>
      <w:r>
        <w:rPr>
          <w:rFonts w:hint="eastAsia" w:ascii="方正仿宋_GBK" w:hAnsi="方正仿宋_GBK" w:eastAsia="方正仿宋_GBK" w:cs="方正仿宋_GBK"/>
          <w:sz w:val="32"/>
          <w:szCs w:val="32"/>
          <w:shd w:val="clear" w:color="auto" w:fill="FFFFFF"/>
          <w:lang w:eastAsia="zh-CN"/>
        </w:rPr>
        <w:t>按照市财政局要求，</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独立编报决算。</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b w:val="0"/>
          <w:color w:val="000000"/>
          <w:kern w:val="0"/>
          <w:sz w:val="32"/>
          <w:szCs w:val="32"/>
        </w:rPr>
        <w:t>办公费、公务接待费、公务用车运行费等。</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cs="Times New Roman"/>
          <w:i w:val="0"/>
          <w:iCs w:val="0"/>
          <w:caps w:val="0"/>
          <w:color w:val="333333"/>
          <w:spacing w:val="0"/>
          <w:sz w:val="32"/>
          <w:szCs w:val="32"/>
          <w:shd w:val="clear" w:fill="FFFFFF"/>
        </w:rPr>
        <w:t>5.94</w:t>
      </w:r>
      <w:r>
        <w:rPr>
          <w:rFonts w:ascii="方正仿宋_GBK" w:hAnsi="方正仿宋_GBK" w:eastAsia="方正仿宋_GBK" w:cs="方正仿宋_GBK"/>
          <w:sz w:val="32"/>
          <w:szCs w:val="32"/>
          <w:shd w:val="clear" w:color="auto" w:fill="FFFFFF"/>
        </w:rPr>
        <w:t>万元，较年初预算数减少</w:t>
      </w:r>
      <w:r>
        <w:rPr>
          <w:rFonts w:hint="default" w:ascii="Times New Roman" w:hAnsi="Times New Roman" w:eastAsia="方正仿宋_GBK" w:cs="Times New Roman"/>
          <w:i w:val="0"/>
          <w:iCs w:val="0"/>
          <w:caps w:val="0"/>
          <w:color w:val="333333"/>
          <w:spacing w:val="0"/>
          <w:sz w:val="32"/>
          <w:szCs w:val="32"/>
          <w:shd w:val="clear" w:fill="FFFFFF"/>
        </w:rPr>
        <w:t>8.56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59.03%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i w:val="0"/>
          <w:iCs w:val="0"/>
          <w:caps w:val="0"/>
          <w:color w:val="333333"/>
          <w:spacing w:val="0"/>
          <w:sz w:val="32"/>
          <w:szCs w:val="32"/>
          <w:shd w:val="clear" w:fill="FFFFFF"/>
        </w:rPr>
        <w:t>0.04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0.67%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b w:val="0"/>
          <w:color w:val="000000"/>
          <w:kern w:val="0"/>
          <w:sz w:val="32"/>
          <w:szCs w:val="32"/>
        </w:rPr>
        <w:t>。</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i w:val="0"/>
          <w:iCs w:val="0"/>
          <w:caps w:val="0"/>
          <w:color w:val="333333"/>
          <w:spacing w:val="0"/>
          <w:sz w:val="32"/>
          <w:szCs w:val="32"/>
          <w:shd w:val="clear" w:fill="FFFFFF"/>
        </w:rPr>
        <w:t>2.00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本</w:t>
      </w:r>
      <w:r>
        <w:rPr>
          <w:rFonts w:hint="eastAsia" w:ascii="方正仿宋_GBK" w:hAnsi="方正仿宋_GBK" w:eastAsia="方正仿宋_GBK" w:cs="方正仿宋_GBK"/>
          <w:b w:val="0"/>
          <w:color w:val="000000"/>
          <w:kern w:val="0"/>
          <w:sz w:val="32"/>
          <w:szCs w:val="32"/>
          <w:lang w:val="en-US" w:eastAsia="zh-CN"/>
        </w:rPr>
        <w:t>单位</w:t>
      </w:r>
      <w:r>
        <w:rPr>
          <w:rFonts w:hint="eastAsia" w:ascii="Times New Roman" w:hAnsi="Times New Roman" w:eastAsia="方正仿宋_GBK" w:cs="Times New Roman"/>
          <w:i w:val="0"/>
          <w:iCs w:val="0"/>
          <w:caps w:val="0"/>
          <w:color w:val="333333"/>
          <w:spacing w:val="0"/>
          <w:sz w:val="32"/>
          <w:szCs w:val="32"/>
          <w:shd w:val="clear" w:fill="FFFFFF"/>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b w:val="0"/>
          <w:color w:val="000000"/>
          <w:kern w:val="0"/>
          <w:sz w:val="32"/>
          <w:szCs w:val="32"/>
        </w:rPr>
        <w:t>年度未发生因公出国（境）支出。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b w:val="0"/>
          <w:color w:val="000000"/>
          <w:kern w:val="0"/>
          <w:sz w:val="32"/>
          <w:szCs w:val="32"/>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b w:val="0"/>
          <w:color w:val="000000"/>
          <w:kern w:val="0"/>
          <w:sz w:val="32"/>
          <w:szCs w:val="32"/>
        </w:rPr>
        <w:t>本</w:t>
      </w:r>
      <w:r>
        <w:rPr>
          <w:rFonts w:hint="eastAsia" w:ascii="方正仿宋_GBK" w:hAnsi="方正仿宋_GBK" w:eastAsia="方正仿宋_GBK" w:cs="方正仿宋_GBK"/>
          <w:b w:val="0"/>
          <w:color w:val="000000"/>
          <w:kern w:val="0"/>
          <w:sz w:val="32"/>
          <w:szCs w:val="32"/>
          <w:lang w:val="en-US" w:eastAsia="zh-CN"/>
        </w:rPr>
        <w:t>单位</w:t>
      </w:r>
      <w:r>
        <w:rPr>
          <w:rFonts w:hint="eastAsia" w:ascii="Times New Roman" w:hAnsi="Times New Roman" w:eastAsia="方正仿宋_GBK" w:cs="Times New Roman"/>
          <w:i w:val="0"/>
          <w:iCs w:val="0"/>
          <w:caps w:val="0"/>
          <w:color w:val="333333"/>
          <w:spacing w:val="0"/>
          <w:sz w:val="32"/>
          <w:szCs w:val="32"/>
          <w:shd w:val="clear" w:fill="FFFFFF"/>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b w:val="0"/>
          <w:color w:val="000000"/>
          <w:kern w:val="0"/>
          <w:sz w:val="32"/>
          <w:szCs w:val="32"/>
        </w:rPr>
        <w:t>年度未发生公务车购置支出。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cs="Times New Roman"/>
          <w:i w:val="0"/>
          <w:iCs w:val="0"/>
          <w:caps w:val="0"/>
          <w:color w:val="333333"/>
          <w:spacing w:val="0"/>
          <w:sz w:val="32"/>
          <w:szCs w:val="32"/>
          <w:shd w:val="clear" w:fill="FFFFFF"/>
        </w:rPr>
        <w:t>5.00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b w:val="0"/>
          <w:color w:val="000000"/>
          <w:kern w:val="0"/>
          <w:sz w:val="32"/>
          <w:szCs w:val="32"/>
        </w:rPr>
        <w:t>公务用车加油、维修保养及过路费、保险费等。</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i w:val="0"/>
          <w:iCs w:val="0"/>
          <w:caps w:val="0"/>
          <w:color w:val="333333"/>
          <w:spacing w:val="0"/>
          <w:sz w:val="32"/>
          <w:szCs w:val="32"/>
          <w:shd w:val="clear" w:fill="FFFFFF"/>
        </w:rPr>
        <w:t>3.50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41.18%，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i w:val="0"/>
          <w:iCs w:val="0"/>
          <w:caps w:val="0"/>
          <w:color w:val="333333"/>
          <w:spacing w:val="0"/>
          <w:sz w:val="32"/>
          <w:szCs w:val="32"/>
          <w:shd w:val="clear" w:fill="FFFFFF"/>
        </w:rPr>
        <w:t>0.03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0.60%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cs="Times New Roman"/>
          <w:i w:val="0"/>
          <w:iCs w:val="0"/>
          <w:caps w:val="0"/>
          <w:color w:val="333333"/>
          <w:spacing w:val="0"/>
          <w:sz w:val="32"/>
          <w:szCs w:val="32"/>
          <w:shd w:val="clear" w:fill="FFFFFF"/>
        </w:rPr>
        <w:t>0.94万</w:t>
      </w:r>
      <w:r>
        <w:rPr>
          <w:rFonts w:ascii="方正仿宋_GBK" w:hAnsi="方正仿宋_GBK" w:eastAsia="方正仿宋_GBK" w:cs="方正仿宋_GBK"/>
          <w:sz w:val="32"/>
          <w:szCs w:val="32"/>
          <w:shd w:val="clear" w:color="auto" w:fill="FFFFFF"/>
        </w:rPr>
        <w:t>元，主要用于接待</w:t>
      </w:r>
      <w:r>
        <w:rPr>
          <w:rFonts w:hint="eastAsia" w:ascii="方正仿宋_GBK" w:hAnsi="方正仿宋_GBK" w:eastAsia="方正仿宋_GBK" w:cs="方正仿宋_GBK"/>
          <w:b w:val="0"/>
          <w:color w:val="000000"/>
          <w:kern w:val="0"/>
          <w:sz w:val="32"/>
          <w:szCs w:val="32"/>
        </w:rPr>
        <w:t>市级部门、市内其他区县到我县调研等费用开支。</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i w:val="0"/>
          <w:iCs w:val="0"/>
          <w:caps w:val="0"/>
          <w:color w:val="333333"/>
          <w:spacing w:val="0"/>
          <w:sz w:val="32"/>
          <w:szCs w:val="32"/>
          <w:shd w:val="clear" w:fill="FFFFFF"/>
        </w:rPr>
        <w:t>3.06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76.50%，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i w:val="0"/>
          <w:iCs w:val="0"/>
          <w:caps w:val="0"/>
          <w:color w:val="333333"/>
          <w:spacing w:val="0"/>
          <w:sz w:val="32"/>
          <w:szCs w:val="32"/>
          <w:shd w:val="clear" w:fill="FFFFFF"/>
        </w:rPr>
        <w:t>0.01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1.05%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cs="Times New Roman"/>
          <w:i w:val="0"/>
          <w:iCs w:val="0"/>
          <w:caps w:val="0"/>
          <w:color w:val="333333"/>
          <w:spacing w:val="0"/>
          <w:sz w:val="32"/>
          <w:szCs w:val="32"/>
          <w:shd w:val="clear" w:fill="FFFFFF"/>
        </w:rPr>
        <w:t>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i w:val="0"/>
          <w:iCs w:val="0"/>
          <w:caps w:val="0"/>
          <w:color w:val="333333"/>
          <w:spacing w:val="0"/>
          <w:sz w:val="32"/>
          <w:szCs w:val="32"/>
          <w:shd w:val="clear" w:fill="FFFFFF"/>
        </w:rPr>
        <w:t>98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i w:val="0"/>
          <w:iCs w:val="0"/>
          <w:caps w:val="0"/>
          <w:color w:val="333333"/>
          <w:spacing w:val="0"/>
          <w:sz w:val="32"/>
          <w:szCs w:val="32"/>
          <w:shd w:val="clear" w:fill="FFFFFF"/>
        </w:rPr>
        <w:t>0人</w:t>
      </w:r>
      <w:r>
        <w:rPr>
          <w:rFonts w:ascii="方正仿宋_GBK" w:hAnsi="方正仿宋_GBK" w:eastAsia="方正仿宋_GBK" w:cs="方正仿宋_GBK"/>
          <w:sz w:val="32"/>
          <w:szCs w:val="32"/>
          <w:shd w:val="clear" w:color="auto" w:fill="FFFFFF"/>
        </w:rPr>
        <w:t>；国（境）外公务接待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cs="Times New Roman"/>
          <w:i w:val="0"/>
          <w:iCs w:val="0"/>
          <w:caps w:val="0"/>
          <w:color w:val="333333"/>
          <w:spacing w:val="0"/>
          <w:sz w:val="32"/>
          <w:szCs w:val="32"/>
          <w:shd w:val="clear" w:fill="FFFFFF"/>
        </w:rPr>
        <w:t>96.12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cs="Times New Roman"/>
          <w:i w:val="0"/>
          <w:iCs w:val="0"/>
          <w:caps w:val="0"/>
          <w:color w:val="333333"/>
          <w:spacing w:val="0"/>
          <w:sz w:val="32"/>
          <w:szCs w:val="32"/>
          <w:shd w:val="clear" w:fill="FFFFFF"/>
        </w:rPr>
        <w:t>5.00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cs="Times New Roman"/>
          <w:i w:val="0"/>
          <w:iCs w:val="0"/>
          <w:caps w:val="0"/>
          <w:color w:val="333333"/>
          <w:spacing w:val="0"/>
          <w:sz w:val="32"/>
          <w:szCs w:val="32"/>
          <w:shd w:val="clear" w:fill="FFFFFF"/>
        </w:rPr>
        <w:t>0.07</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5.60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98.77%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cs="Times New Roman"/>
          <w:i w:val="0"/>
          <w:iCs w:val="0"/>
          <w:caps w:val="0"/>
          <w:color w:val="333333"/>
          <w:spacing w:val="0"/>
          <w:sz w:val="32"/>
          <w:szCs w:val="32"/>
          <w:shd w:val="clear" w:fill="FFFFFF"/>
        </w:rPr>
        <w:t>42.57</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i w:val="0"/>
          <w:iCs w:val="0"/>
          <w:caps w:val="0"/>
          <w:color w:val="333333"/>
          <w:spacing w:val="0"/>
          <w:sz w:val="32"/>
          <w:szCs w:val="32"/>
          <w:shd w:val="clear" w:fill="FFFFFF"/>
        </w:rPr>
        <w:t>28.45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201.49%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举办统战干部培训班、党外代表人士培训班。</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cs="Times New Roman"/>
          <w:i w:val="0"/>
          <w:iCs w:val="0"/>
          <w:caps w:val="0"/>
          <w:color w:val="333333"/>
          <w:spacing w:val="0"/>
          <w:sz w:val="32"/>
          <w:szCs w:val="32"/>
          <w:shd w:val="clear" w:fill="FFFFFF"/>
        </w:rPr>
        <w:t>32.47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b w:val="0"/>
          <w:color w:val="000000"/>
          <w:kern w:val="0"/>
          <w:sz w:val="32"/>
          <w:szCs w:val="32"/>
        </w:rPr>
        <w:t>办公费、公务车运行维护费、差旅费等。</w:t>
      </w:r>
      <w:r>
        <w:rPr>
          <w:rFonts w:ascii="方正仿宋_GBK" w:hAnsi="方正仿宋_GBK" w:eastAsia="方正仿宋_GBK" w:cs="方正仿宋_GBK"/>
          <w:sz w:val="32"/>
          <w:szCs w:val="32"/>
          <w:shd w:val="clear" w:color="auto" w:fill="FFFFFF"/>
        </w:rPr>
        <w:t>机关运行经费较上年支出数减少</w:t>
      </w:r>
      <w:r>
        <w:rPr>
          <w:rFonts w:hint="default" w:ascii="Times New Roman" w:hAnsi="Times New Roman" w:eastAsia="方正仿宋_GBK" w:cs="Times New Roman"/>
          <w:i w:val="0"/>
          <w:iCs w:val="0"/>
          <w:caps w:val="0"/>
          <w:color w:val="333333"/>
          <w:spacing w:val="0"/>
          <w:sz w:val="32"/>
          <w:szCs w:val="32"/>
          <w:shd w:val="clear" w:fill="FFFFFF"/>
        </w:rPr>
        <w:t>15.07</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31.70%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cs="Times New Roman"/>
          <w:i w:val="0"/>
          <w:iCs w:val="0"/>
          <w:caps w:val="0"/>
          <w:color w:val="333333"/>
          <w:spacing w:val="0"/>
          <w:sz w:val="32"/>
          <w:szCs w:val="32"/>
          <w:shd w:val="clear"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cs="Times New Roman"/>
          <w:i w:val="0"/>
          <w:iCs w:val="0"/>
          <w:caps w:val="0"/>
          <w:color w:val="333333"/>
          <w:spacing w:val="0"/>
          <w:sz w:val="32"/>
          <w:szCs w:val="32"/>
          <w:shd w:val="clear"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cs="Times New Roman"/>
          <w:i w:val="0"/>
          <w:iCs w:val="0"/>
          <w:caps w:val="0"/>
          <w:color w:val="333333"/>
          <w:spacing w:val="0"/>
          <w:sz w:val="32"/>
          <w:szCs w:val="32"/>
          <w:shd w:val="clear" w:fill="FFFFFF"/>
        </w:rPr>
        <w:t>100.00 %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办公电脑。</w:t>
      </w:r>
    </w:p>
    <w:p>
      <w:pPr>
        <w:pStyle w:val="6"/>
        <w:keepNext w:val="0"/>
        <w:keepLines w:val="0"/>
        <w:pageBreakBefore w:val="0"/>
        <w:shd w:val="clear" w:color="auto" w:fill="FFFFFF"/>
        <w:kinsoku/>
        <w:wordWrap/>
        <w:overflowPunct/>
        <w:topLinePunct w:val="0"/>
        <w:autoSpaceDN/>
        <w:bidi w:val="0"/>
        <w:adjustRightInd/>
        <w:snapToGrid w:val="0"/>
        <w:spacing w:beforeAutospacing="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五、</w:t>
      </w: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kinsoku/>
        <w:wordWrap/>
        <w:overflowPunct/>
        <w:topLinePunct w:val="0"/>
        <w:autoSpaceDE w:val="0"/>
        <w:autoSpaceDN/>
        <w:bidi w:val="0"/>
        <w:adjustRightInd/>
        <w:snapToGrid w:val="0"/>
        <w:spacing w:before="0"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8</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级项目开展了绩效自评，涉及财政拨款项目支出资金</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90.85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kinsoku/>
        <w:wordWrap/>
        <w:overflowPunct/>
        <w:topLinePunct w:val="0"/>
        <w:autoSpaceDE w:val="0"/>
        <w:autoSpaceDN/>
        <w:bidi w:val="0"/>
        <w:adjustRightInd/>
        <w:snapToGrid w:val="0"/>
        <w:spacing w:before="0"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p>
    <w:tbl>
      <w:tblPr>
        <w:tblStyle w:val="9"/>
        <w:tblW w:w="8843" w:type="dxa"/>
        <w:tblInd w:w="91" w:type="dxa"/>
        <w:tblLayout w:type="fixed"/>
        <w:tblCellMar>
          <w:top w:w="0" w:type="dxa"/>
          <w:left w:w="108" w:type="dxa"/>
          <w:bottom w:w="0" w:type="dxa"/>
          <w:right w:w="108" w:type="dxa"/>
        </w:tblCellMar>
      </w:tblPr>
      <w:tblGrid>
        <w:gridCol w:w="600"/>
        <w:gridCol w:w="750"/>
        <w:gridCol w:w="1711"/>
        <w:gridCol w:w="437"/>
        <w:gridCol w:w="600"/>
        <w:gridCol w:w="791"/>
        <w:gridCol w:w="586"/>
        <w:gridCol w:w="695"/>
        <w:gridCol w:w="846"/>
        <w:gridCol w:w="668"/>
        <w:gridCol w:w="1159"/>
      </w:tblGrid>
      <w:tr>
        <w:tblPrEx>
          <w:tblLayout w:type="fixed"/>
          <w:tblCellMar>
            <w:top w:w="0" w:type="dxa"/>
            <w:left w:w="108" w:type="dxa"/>
            <w:bottom w:w="0" w:type="dxa"/>
            <w:right w:w="108" w:type="dxa"/>
          </w:tblCellMar>
        </w:tblPrEx>
        <w:trPr>
          <w:trHeight w:val="780" w:hRule="atLeast"/>
        </w:trPr>
        <w:tc>
          <w:tcPr>
            <w:tcW w:w="8843" w:type="dxa"/>
            <w:gridSpan w:val="11"/>
            <w:tcBorders>
              <w:top w:val="nil"/>
              <w:left w:val="nil"/>
              <w:bottom w:val="single" w:color="000000" w:sz="4" w:space="0"/>
              <w:right w:val="nil"/>
            </w:tcBorders>
            <w:vAlign w:val="center"/>
          </w:tcPr>
          <w:p>
            <w:pPr>
              <w:keepNext w:val="0"/>
              <w:keepLines w:val="0"/>
              <w:pageBreakBefore w:val="0"/>
              <w:widowControl/>
              <w:kinsoku/>
              <w:wordWrap/>
              <w:autoSpaceDN/>
              <w:bidi w:val="0"/>
              <w:adjustRightInd/>
              <w:snapToGrid/>
              <w:spacing w:line="600" w:lineRule="exact"/>
              <w:jc w:val="both"/>
              <w:textAlignment w:val="center"/>
              <w:rPr>
                <w:rFonts w:hint="eastAsia" w:ascii="方正小标宋_GBK" w:hAnsi="方正小标宋_GBK" w:eastAsia="方正小标宋_GBK" w:cs="方正小标宋_GBK"/>
                <w:color w:val="000000"/>
                <w:kern w:val="0"/>
                <w:sz w:val="36"/>
                <w:szCs w:val="36"/>
                <w:lang w:bidi="ar"/>
              </w:rPr>
            </w:pPr>
          </w:p>
          <w:p>
            <w:pPr>
              <w:keepNext w:val="0"/>
              <w:keepLines w:val="0"/>
              <w:pageBreakBefore w:val="0"/>
              <w:widowControl/>
              <w:kinsoku/>
              <w:wordWrap/>
              <w:autoSpaceDN/>
              <w:bidi w:val="0"/>
              <w:adjustRightInd/>
              <w:snapToGrid/>
              <w:spacing w:line="600" w:lineRule="exact"/>
              <w:jc w:val="center"/>
              <w:textAlignment w:val="center"/>
              <w:rPr>
                <w:rFonts w:hint="eastAsia" w:ascii="方正小标宋_GBK" w:hAnsi="方正小标宋_GBK" w:eastAsia="方正小标宋_GBK" w:cs="方正小标宋_GBK"/>
                <w:color w:val="000000"/>
                <w:kern w:val="0"/>
                <w:sz w:val="36"/>
                <w:szCs w:val="36"/>
                <w:lang w:bidi="ar"/>
              </w:rPr>
            </w:pPr>
            <w:r>
              <w:rPr>
                <w:rFonts w:ascii="方正小标宋_GBK" w:hAnsi="方正小标宋_GBK" w:eastAsia="方正小标宋_GBK" w:cs="方正小标宋_GBK"/>
                <w:sz w:val="36"/>
                <w:szCs w:val="36"/>
              </w:rPr>
              <w:t>中国共产党秀山土家族苗族自治县委员会统战部（本级）</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w:t>
            </w:r>
            <w:bookmarkStart w:id="0" w:name="_GoBack"/>
            <w:bookmarkEnd w:id="0"/>
          </w:p>
          <w:p>
            <w:pPr>
              <w:keepNext w:val="0"/>
              <w:keepLines w:val="0"/>
              <w:pageBreakBefore w:val="0"/>
              <w:widowControl/>
              <w:kinsoku/>
              <w:wordWrap/>
              <w:autoSpaceDN/>
              <w:bidi w:val="0"/>
              <w:adjustRightInd/>
              <w:snapToGrid/>
              <w:spacing w:line="600" w:lineRule="exact"/>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w:t>
            </w:r>
            <w:r>
              <w:rPr>
                <w:rFonts w:hint="eastAsia" w:ascii="方正小标宋_GBK" w:hAnsi="方正小标宋_GBK" w:eastAsia="方正小标宋_GBK" w:cs="方正小标宋_GBK"/>
                <w:color w:val="000000"/>
                <w:kern w:val="0"/>
                <w:sz w:val="36"/>
                <w:szCs w:val="36"/>
                <w:lang w:val="en-US" w:eastAsia="zh-CN" w:bidi="ar"/>
              </w:rPr>
              <w:t>一级</w:t>
            </w:r>
            <w:r>
              <w:rPr>
                <w:rFonts w:hint="eastAsia" w:ascii="方正小标宋_GBK" w:hAnsi="方正小标宋_GBK" w:eastAsia="方正小标宋_GBK" w:cs="方正小标宋_GBK"/>
                <w:color w:val="000000"/>
                <w:kern w:val="0"/>
                <w:sz w:val="36"/>
                <w:szCs w:val="36"/>
                <w:lang w:bidi="ar"/>
              </w:rPr>
              <w:t>项目）</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2"/>
                <w:lang w:eastAsia="zh-CN"/>
              </w:rPr>
            </w:pPr>
            <w:r>
              <w:rPr>
                <w:rFonts w:hint="eastAsia" w:ascii="宋体" w:hAnsi="宋体" w:cs="宋体"/>
                <w:color w:val="000000"/>
                <w:sz w:val="22"/>
                <w:lang w:eastAsia="zh-CN"/>
              </w:rPr>
              <w:t>党外代表人士暑期谈心会</w:t>
            </w: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r>
              <w:rPr>
                <w:rFonts w:hint="eastAsia" w:cs="宋体"/>
                <w:color w:val="000000"/>
                <w:sz w:val="21"/>
                <w:szCs w:val="21"/>
                <w:lang w:eastAsia="zh-CN"/>
              </w:rPr>
              <w:t>年度预算</w:t>
            </w:r>
            <w:r>
              <w:rPr>
                <w:rFonts w:hint="eastAsia" w:ascii="宋体" w:hAnsi="宋体" w:cs="宋体"/>
                <w:color w:val="000000"/>
                <w:sz w:val="21"/>
                <w:szCs w:val="21"/>
                <w:lang w:eastAsia="zh-CN"/>
              </w:rPr>
              <w:t>执行率</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党外代表人士暑期谈心会</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会议人数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60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人次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会议天数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天</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民主党派、工商联、无党派人士暑期谈心活动</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25</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25</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人均会议费</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300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元/人*天</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300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增加党外代表人士凝聚力</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95</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参会人员满意度</w:t>
            </w:r>
          </w:p>
        </w:tc>
        <w:tc>
          <w:tcPr>
            <w:tcW w:w="43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95</w:t>
            </w:r>
          </w:p>
        </w:tc>
        <w:tc>
          <w:tcPr>
            <w:tcW w:w="79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66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eastAsia="宋体"/>
                <w:color w:val="000000"/>
                <w:sz w:val="22"/>
                <w:lang w:val="en-US" w:eastAsia="zh-CN"/>
              </w:rPr>
            </w:pPr>
            <w:r>
              <w:rPr>
                <w:rFonts w:hint="eastAsia"/>
                <w:color w:val="000000"/>
                <w:sz w:val="22"/>
                <w:lang w:val="en-US" w:eastAsia="zh-CN"/>
              </w:rPr>
              <w:t>2</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2"/>
                <w:lang w:eastAsia="zh-CN"/>
              </w:rPr>
            </w:pPr>
            <w:r>
              <w:rPr>
                <w:rFonts w:hint="eastAsia" w:cs="宋体"/>
                <w:color w:val="000000"/>
                <w:sz w:val="22"/>
                <w:lang w:eastAsia="zh-CN"/>
              </w:rPr>
              <w:t>统战干部培训班</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sz w:val="21"/>
                <w:szCs w:val="21"/>
                <w:lang w:eastAsia="zh-CN"/>
              </w:rPr>
              <w:t>执行率</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sz w:val="21"/>
                <w:szCs w:val="21"/>
                <w:lang w:val="en-US" w:eastAsia="zh-CN"/>
              </w:rPr>
              <w:t>100</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sz w:val="21"/>
                <w:szCs w:val="21"/>
                <w:lang w:val="en-US" w:eastAsia="zh-CN"/>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培训班次</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30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培训人次</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培训天数</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天</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培训对象政策知晓率</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30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培训对象满意度</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10</w:t>
            </w:r>
          </w:p>
        </w:tc>
        <w:tc>
          <w:tcPr>
            <w:tcW w:w="668"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bl>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（二）单位绩效评价情况</w:t>
      </w:r>
    </w:p>
    <w:p>
      <w:pPr>
        <w:pStyle w:val="16"/>
        <w:keepNext w:val="0"/>
        <w:keepLines w:val="0"/>
        <w:pageBreakBefore w:val="0"/>
        <w:tabs>
          <w:tab w:val="center" w:pos="4153"/>
          <w:tab w:val="left" w:pos="7275"/>
        </w:tabs>
        <w:kinsoku/>
        <w:wordWrap/>
        <w:overflowPunct/>
        <w:topLinePunct w:val="0"/>
        <w:autoSpaceDN/>
        <w:bidi w:val="0"/>
        <w:adjustRightInd/>
        <w:snapToGrid/>
        <w:spacing w:beforeAutospacing="0" w:afterAutospacing="0" w:line="560" w:lineRule="exact"/>
        <w:ind w:left="0" w:leftChars="0"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对党外代表人士暑期谈心会、统战干部培训班等</w:t>
      </w:r>
      <w:r>
        <w:rPr>
          <w:rFonts w:hint="eastAsia" w:ascii="Times New Roman" w:hAnsi="Times New Roman" w:eastAsia="方正仿宋_GBK" w:cs="Times New Roman"/>
          <w:sz w:val="32"/>
          <w:szCs w:val="32"/>
          <w:shd w:val="clear" w:color="auto" w:fill="FFFFFF"/>
          <w:lang w:val="en-US" w:eastAsia="zh-CN" w:bidi="ar-SA"/>
        </w:rPr>
        <w:t>8</w:t>
      </w:r>
      <w:r>
        <w:rPr>
          <w:rFonts w:hint="eastAsia" w:ascii="方正仿宋_GBK" w:hAnsi="方正仿宋_GBK" w:eastAsia="方正仿宋_GBK" w:cs="方正仿宋_GBK"/>
          <w:sz w:val="32"/>
          <w:szCs w:val="32"/>
          <w:shd w:val="clear" w:color="auto" w:fill="FFFFFF"/>
          <w:lang w:val="en-US" w:eastAsia="zh-CN"/>
        </w:rPr>
        <w:t>个项目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SA"/>
        </w:rPr>
        <w:t>90.85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项目得分</w:t>
      </w:r>
      <w:r>
        <w:rPr>
          <w:rFonts w:hint="eastAsia" w:ascii="Times New Roman" w:hAnsi="Times New Roman" w:eastAsia="方正仿宋_GBK" w:cs="Times New Roman"/>
          <w:sz w:val="32"/>
          <w:szCs w:val="32"/>
          <w:shd w:val="clear" w:color="auto" w:fill="FFFFFF"/>
          <w:lang w:val="en-US" w:eastAsia="zh-CN" w:bidi="ar-SA"/>
        </w:rPr>
        <w:t>100</w:t>
      </w:r>
      <w:r>
        <w:rPr>
          <w:rFonts w:hint="eastAsia" w:ascii="方正仿宋_GBK" w:hAnsi="方正仿宋_GBK" w:eastAsia="方正仿宋_GBK" w:cs="方正仿宋_GBK"/>
          <w:sz w:val="32"/>
          <w:szCs w:val="32"/>
          <w:shd w:val="clear" w:color="auto" w:fill="FFFFFF"/>
        </w:rPr>
        <w:t>分，</w:t>
      </w:r>
      <w:r>
        <w:rPr>
          <w:rFonts w:hint="eastAsia" w:ascii="Times New Roman" w:hAnsi="Times New Roman" w:eastAsia="方正仿宋_GBK"/>
          <w:sz w:val="32"/>
          <w:szCs w:val="32"/>
          <w:lang w:val="en-US" w:eastAsia="zh-CN"/>
        </w:rPr>
        <w:t>从评价情况来看，项目立项较为规范，绩效目标明确，预算编制合理，管理科学规范，总体完成情况较好，有力保障了各项工作的开展，各项目基本达到预期绩效目标。</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ascii="楷体" w:hAnsi="楷体" w:eastAsia="楷体" w:cs="楷体"/>
          <w:b/>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eastAsia="zh-CN"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eastAsia="zh-CN" w:bidi="ar"/>
        </w:rPr>
        <w:t>委托第三方对</w:t>
      </w:r>
      <w:r>
        <w:rPr>
          <w:rFonts w:hint="eastAsia" w:ascii="Times New Roman" w:hAnsi="Times New Roman" w:eastAsia="方正仿宋_GBK" w:cs="Times New Roman"/>
          <w:sz w:val="32"/>
          <w:szCs w:val="32"/>
          <w:shd w:val="clear" w:color="auto" w:fill="FFFFFF"/>
          <w:lang w:eastAsia="zh-CN" w:bidi="ar"/>
        </w:rPr>
        <w:t>我单位</w:t>
      </w:r>
      <w:r>
        <w:rPr>
          <w:rFonts w:hint="default" w:ascii="Times New Roman" w:hAnsi="Times New Roman" w:eastAsia="方正仿宋_GBK" w:cs="Times New Roman"/>
          <w:sz w:val="32"/>
          <w:szCs w:val="32"/>
          <w:shd w:val="clear" w:color="auto" w:fill="FFFFFF"/>
          <w:lang w:eastAsia="zh-CN" w:bidi="ar"/>
        </w:rPr>
        <w:t>开展绩效评价</w:t>
      </w:r>
      <w:r>
        <w:rPr>
          <w:rFonts w:hint="eastAsia" w:ascii="Times New Roman" w:hAnsi="Times New Roman" w:eastAsia="方正仿宋_GBK" w:cs="Times New Roman"/>
          <w:sz w:val="32"/>
          <w:szCs w:val="32"/>
          <w:shd w:val="clear" w:color="auto" w:fill="FFFFFF"/>
          <w:lang w:eastAsia="zh-CN" w:bidi="ar"/>
        </w:rPr>
        <w:t>。</w:t>
      </w:r>
    </w:p>
    <w:p>
      <w:pPr>
        <w:pStyle w:val="6"/>
        <w:keepNext w:val="0"/>
        <w:keepLines w:val="0"/>
        <w:pageBreakBefore w:val="0"/>
        <w:shd w:val="clear" w:color="auto" w:fill="FFFFFF"/>
        <w:kinsoku/>
        <w:wordWrap/>
        <w:overflowPunct/>
        <w:topLinePunct w:val="0"/>
        <w:autoSpaceDN/>
        <w:bidi w:val="0"/>
        <w:adjustRightInd/>
        <w:snapToGrid w:val="0"/>
        <w:spacing w:beforeAutospacing="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napToGrid w:val="0"/>
        <w:spacing w:beforeAutospacing="0" w:afterAutospacing="0" w:line="560"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 七、决算公开联系方式及信息反馈渠道</w:t>
      </w:r>
    </w:p>
    <w:p>
      <w:pPr>
        <w:pStyle w:val="16"/>
        <w:keepNext w:val="0"/>
        <w:keepLines w:val="0"/>
        <w:pageBreakBefore w:val="0"/>
        <w:tabs>
          <w:tab w:val="center" w:pos="4153"/>
          <w:tab w:val="left" w:pos="7275"/>
        </w:tabs>
        <w:kinsoku/>
        <w:wordWrap/>
        <w:overflowPunct/>
        <w:topLinePunct w:val="0"/>
        <w:autoSpaceDN/>
        <w:bidi w:val="0"/>
        <w:adjustRightInd/>
        <w:snapToGrid/>
        <w:spacing w:beforeAutospacing="0" w:afterAutospacing="0" w:line="560" w:lineRule="exact"/>
        <w:ind w:left="0" w:leftChars="0" w:firstLine="596" w:firstLineChars="200"/>
        <w:textAlignment w:val="auto"/>
        <w:rPr>
          <w:rStyle w:val="8"/>
          <w:rFonts w:hint="eastAsia" w:ascii="方正仿宋_GBK" w:hAnsi="方正仿宋_GBK" w:eastAsia="方正仿宋_GBK" w:cs="方正仿宋_GBK"/>
          <w:spacing w:val="-11"/>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spacing w:val="-11"/>
          <w:sz w:val="32"/>
          <w:szCs w:val="32"/>
        </w:rPr>
        <w:t>本单位决算公开信息反馈和联系方式：</w:t>
      </w:r>
      <w:r>
        <w:rPr>
          <w:rFonts w:hint="eastAsia" w:ascii="Times New Roman" w:hAnsi="Times New Roman" w:eastAsia="方正仿宋_GBK"/>
          <w:spacing w:val="-11"/>
          <w:sz w:val="32"/>
          <w:szCs w:val="32"/>
          <w:lang w:eastAsia="zh-CN"/>
        </w:rPr>
        <w:t>刘导（</w:t>
      </w:r>
      <w:r>
        <w:rPr>
          <w:rFonts w:hint="eastAsia" w:ascii="Times New Roman" w:hAnsi="Times New Roman" w:eastAsia="方正仿宋_GBK"/>
          <w:spacing w:val="-11"/>
          <w:sz w:val="32"/>
          <w:szCs w:val="32"/>
        </w:rPr>
        <w:t>023-</w:t>
      </w:r>
      <w:r>
        <w:rPr>
          <w:rFonts w:hint="eastAsia" w:ascii="Times New Roman" w:hAnsi="Times New Roman" w:eastAsia="方正仿宋_GBK"/>
          <w:spacing w:val="-11"/>
          <w:sz w:val="32"/>
          <w:szCs w:val="32"/>
          <w:lang w:val="en-US" w:eastAsia="zh-CN"/>
        </w:rPr>
        <w:t>76662579）</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中国共产党秀山土家族苗族自治县委员会统战部（本级）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385.19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255.61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385.19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385.19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385.19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385.19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中国共产党秀山土家族苗族自治县委员会统战部（本级）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83" w:hRule="exac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385.19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385.19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550"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中国共产党秀山土家族苗族自治县委员会统战部（本级）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1" w:hRule="exac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385.19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294.34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90.85</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3" w:hRule="exac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4732" w:type="dxa"/>
        <w:jc w:val="center"/>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385.19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385.19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385.19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ind w:firstLine="600" w:firstLineChars="3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605"/>
        <w:gridCol w:w="1252"/>
        <w:gridCol w:w="1488"/>
        <w:gridCol w:w="1376"/>
        <w:gridCol w:w="685"/>
        <w:gridCol w:w="151"/>
        <w:gridCol w:w="1923"/>
        <w:gridCol w:w="1245"/>
        <w:gridCol w:w="411"/>
        <w:gridCol w:w="808"/>
        <w:gridCol w:w="2100"/>
        <w:gridCol w:w="1427"/>
        <w:gridCol w:w="1889"/>
        <w:gridCol w:w="18"/>
      </w:tblGrid>
      <w:tr>
        <w:tblPrEx>
          <w:tblLayout w:type="fixed"/>
          <w:tblCellMar>
            <w:top w:w="0" w:type="dxa"/>
            <w:left w:w="0" w:type="dxa"/>
            <w:bottom w:w="0" w:type="dxa"/>
            <w:right w:w="0" w:type="dxa"/>
          </w:tblCellMar>
        </w:tblPrEx>
        <w:trPr>
          <w:trHeight w:val="510" w:hRule="atLeast"/>
        </w:trPr>
        <w:tc>
          <w:tcPr>
            <w:tcW w:w="15378" w:type="dxa"/>
            <w:gridSpan w:val="1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8"/>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中国共产党秀山土家族苗族自治县委员会统战部（本级）</w:t>
            </w:r>
          </w:p>
        </w:tc>
        <w:tc>
          <w:tcPr>
            <w:tcW w:w="331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gridSpan w:val="3"/>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8"/>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gridSpan w:val="3"/>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9"/>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5"/>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385.19</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294.34</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90.85</w:t>
            </w:r>
            <w:r>
              <w:rPr>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255.61</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208.61</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255.61</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208.61</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208.61</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208.61</w:t>
            </w: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37.00</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37.00</w:t>
            </w: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41.60</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41.60</w:t>
            </w: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55.14</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52.89</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52.89</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52.89</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18.13</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18.13</w:t>
            </w: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23.17</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23.17</w:t>
            </w: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11.59</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11.59</w:t>
            </w: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10.95</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10.95</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10.95</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10.95</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10.95</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10.95</w:t>
            </w: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6" w:hRule="exact"/>
        </w:trPr>
        <w:tc>
          <w:tcPr>
            <w:tcW w:w="18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21.89</w:t>
            </w:r>
            <w:r>
              <w:rPr>
                <w:color w:val="000000"/>
                <w:sz w:val="20"/>
                <w:u w:color="auto"/>
              </w:rPr>
              <w:t xml:space="preserve"> </w:t>
            </w:r>
          </w:p>
        </w:tc>
        <w:tc>
          <w:tcPr>
            <w:tcW w:w="331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21.89</w:t>
            </w:r>
            <w:r>
              <w:rPr>
                <w:color w:val="000000"/>
                <w:sz w:val="20"/>
                <w:u w:color="auto"/>
              </w:rPr>
              <w:t xml:space="preserve"> </w:t>
            </w:r>
          </w:p>
        </w:tc>
        <w:tc>
          <w:tcPr>
            <w:tcW w:w="333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gridAfter w:val="1"/>
          <w:wAfter w:w="18" w:type="dxa"/>
          <w:trHeight w:val="337" w:hRule="atLeast"/>
        </w:trPr>
        <w:tc>
          <w:tcPr>
            <w:tcW w:w="15360" w:type="dxa"/>
            <w:gridSpan w:val="13"/>
            <w:tcBorders>
              <w:top w:val="nil"/>
              <w:left w:val="nil"/>
              <w:bottom w:val="nil"/>
              <w:right w:val="nil"/>
            </w:tcBorders>
            <w:shd w:val="clear" w:color="auto" w:fill="auto"/>
            <w:tcMar>
              <w:top w:w="15" w:type="dxa"/>
              <w:left w:w="15" w:type="dxa"/>
              <w:right w:w="15" w:type="dxa"/>
            </w:tcMar>
            <w:vAlign w:val="bottom"/>
          </w:tcPr>
          <w:p>
            <w:pPr>
              <w:ind w:left="5200" w:hanging="5200" w:hangingChars="2600"/>
              <w:rPr>
                <w:rFonts w:cs="宋体"/>
                <w:sz w:val="20"/>
                <w:szCs w:val="20"/>
              </w:rPr>
            </w:pPr>
            <w:r>
              <w:rPr>
                <w:rFonts w:cs="宋体"/>
                <w:sz w:val="20"/>
                <w:szCs w:val="20"/>
              </w:rPr>
              <w:t>备注：1.本表反映单位本年度一般公共预算财政拨款支出情况。</w:t>
            </w:r>
          </w:p>
          <w:p>
            <w:pPr>
              <w:ind w:left="5200" w:hanging="5200" w:hangingChars="2600"/>
              <w:rPr>
                <w:rFonts w:hint="default" w:cs="宋体"/>
                <w:b/>
                <w:color w:val="000000"/>
                <w:sz w:val="32"/>
                <w:szCs w:val="32"/>
              </w:rPr>
            </w:pP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gridAfter w:val="1"/>
          <w:wAfter w:w="18" w:type="dxa"/>
          <w:trHeight w:val="90" w:hRule="atLeast"/>
        </w:trPr>
        <w:tc>
          <w:tcPr>
            <w:tcW w:w="5557" w:type="dxa"/>
            <w:gridSpan w:val="6"/>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20" w:lineRule="exact"/>
              <w:textAlignment w:val="auto"/>
              <w:outlineLvl w:val="9"/>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gridAfter w:val="1"/>
          <w:wAfter w:w="18" w:type="dxa"/>
          <w:trHeight w:val="90" w:hRule="atLeast"/>
        </w:trPr>
        <w:tc>
          <w:tcPr>
            <w:tcW w:w="5557" w:type="dxa"/>
            <w:gridSpan w:val="6"/>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gridAfter w:val="1"/>
          <w:wAfter w:w="18" w:type="dxa"/>
          <w:trHeight w:val="90" w:hRule="atLeast"/>
        </w:trPr>
        <w:tc>
          <w:tcPr>
            <w:tcW w:w="4721"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9"/>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gridAfter w:val="1"/>
          <w:wAfter w:w="18" w:type="dxa"/>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gridAfter w:val="1"/>
          <w:wAfter w:w="18" w:type="dxa"/>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241.15</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57.99</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50.31</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62.27</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23.17</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11.59</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10.95</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20.73</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18.70</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gridAfter w:val="1"/>
          <w:wAfter w:w="18" w:type="dxa"/>
          <w:trHeight w:val="14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3345"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261.87</w:t>
            </w:r>
            <w:r>
              <w:rPr>
                <w:color w:val="000000"/>
                <w:sz w:val="18"/>
                <w:u w:color="auto"/>
              </w:rPr>
              <w:t xml:space="preserve"> </w:t>
            </w:r>
          </w:p>
        </w:tc>
        <w:tc>
          <w:tcPr>
            <w:tcW w:w="8750"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32.47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32.47</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42.57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1F218F"/>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5E527D"/>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A6B13"/>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A371BA"/>
    <w:rsid w:val="163A6CEE"/>
    <w:rsid w:val="173708E3"/>
    <w:rsid w:val="17C374FC"/>
    <w:rsid w:val="182E4AB6"/>
    <w:rsid w:val="189079DC"/>
    <w:rsid w:val="189B0D0B"/>
    <w:rsid w:val="18B43F7C"/>
    <w:rsid w:val="194A1770"/>
    <w:rsid w:val="19B906A4"/>
    <w:rsid w:val="1B6F15B6"/>
    <w:rsid w:val="1BAA2EDC"/>
    <w:rsid w:val="1C3A019E"/>
    <w:rsid w:val="1CA55E64"/>
    <w:rsid w:val="1D014A01"/>
    <w:rsid w:val="1D022362"/>
    <w:rsid w:val="1D1B04B0"/>
    <w:rsid w:val="1DA52501"/>
    <w:rsid w:val="1DBD6767"/>
    <w:rsid w:val="1DC52125"/>
    <w:rsid w:val="1DD26311"/>
    <w:rsid w:val="1E374ACB"/>
    <w:rsid w:val="1E731CA3"/>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3C017D"/>
    <w:rsid w:val="2A40735B"/>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9D0198"/>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A38A2"/>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DC0046"/>
    <w:rsid w:val="796D60A4"/>
    <w:rsid w:val="79A031D5"/>
    <w:rsid w:val="7A1525F7"/>
    <w:rsid w:val="7B420052"/>
    <w:rsid w:val="7BD06A28"/>
    <w:rsid w:val="7C1C76DC"/>
    <w:rsid w:val="7C3A7C0B"/>
    <w:rsid w:val="7C5248E4"/>
    <w:rsid w:val="7C566698"/>
    <w:rsid w:val="7C5866A3"/>
    <w:rsid w:val="7D5F7D1B"/>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18</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2024-10-08T04:39:16Z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