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color w:val="auto"/>
          <w:sz w:val="36"/>
          <w:szCs w:val="36"/>
          <w:lang w:eastAsia="zh-CN"/>
        </w:rPr>
      </w:pPr>
      <w:r>
        <w:rPr>
          <w:rFonts w:ascii="方正小标宋_GBK" w:hAnsi="方正小标宋_GBK" w:eastAsia="方正小标宋_GBK" w:cs="方正小标宋_GBK"/>
          <w:color w:val="auto"/>
          <w:sz w:val="36"/>
          <w:szCs w:val="36"/>
        </w:rPr>
        <w:t>重庆市秀山土家族苗族自治县司法局</w:t>
      </w:r>
      <w:r>
        <w:rPr>
          <w:rFonts w:hint="eastAsia" w:ascii="方正小标宋_GBK" w:hAnsi="方正小标宋_GBK" w:eastAsia="方正小标宋_GBK" w:cs="方正小标宋_GBK"/>
          <w:color w:val="auto"/>
          <w:sz w:val="36"/>
          <w:szCs w:val="36"/>
          <w:lang w:eastAsia="zh-CN"/>
        </w:rPr>
        <w:t>（</w:t>
      </w:r>
      <w:r>
        <w:rPr>
          <w:rFonts w:hint="eastAsia" w:ascii="方正小标宋_GBK" w:hAnsi="方正小标宋_GBK" w:eastAsia="方正小标宋_GBK" w:cs="方正小标宋_GBK"/>
          <w:color w:val="auto"/>
          <w:sz w:val="36"/>
          <w:szCs w:val="36"/>
          <w:lang w:val="en-US" w:eastAsia="zh-CN"/>
        </w:rPr>
        <w:t>本级</w:t>
      </w:r>
      <w:r>
        <w:rPr>
          <w:rFonts w:hint="eastAsia" w:ascii="方正小标宋_GBK" w:hAnsi="方正小标宋_GBK" w:eastAsia="方正小标宋_GBK" w:cs="方正小标宋_GBK"/>
          <w:color w:val="auto"/>
          <w:sz w:val="36"/>
          <w:szCs w:val="36"/>
          <w:lang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Autospacing="0" w:line="600" w:lineRule="exact"/>
        <w:jc w:val="center"/>
        <w:textAlignment w:val="auto"/>
        <w:outlineLvl w:val="9"/>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shd w:val="clear" w:color="auto" w:fill="FFFFFF"/>
        </w:rPr>
        <w:t>2023</w:t>
      </w:r>
      <w:bookmarkStart w:id="0" w:name="_GoBack"/>
      <w:bookmarkEnd w:id="0"/>
      <w:r>
        <w:rPr>
          <w:rFonts w:ascii="方正小标宋_GBK" w:hAnsi="方正小标宋_GBK" w:eastAsia="方正小标宋_GBK" w:cs="方正小标宋_GBK"/>
          <w:color w:val="auto"/>
          <w:sz w:val="36"/>
          <w:szCs w:val="36"/>
          <w:shd w:val="clear" w:color="auto" w:fill="FFFFFF"/>
        </w:rPr>
        <w:t>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outlineLvl w:val="9"/>
        <w:rPr>
          <w:rStyle w:val="9"/>
          <w:rFonts w:ascii="黑体" w:hAnsi="黑体" w:eastAsia="黑体" w:cs="黑体"/>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方正黑体_GBK" w:hAnsi="方正黑体_GBK" w:eastAsia="方正黑体_GBK" w:cs="方正黑体_GBK"/>
          <w:b w:val="0"/>
          <w:bCs/>
          <w:color w:val="auto"/>
          <w:sz w:val="32"/>
          <w:szCs w:val="32"/>
        </w:rPr>
      </w:pPr>
      <w:r>
        <w:rPr>
          <w:rStyle w:val="9"/>
          <w:rFonts w:hint="eastAsia" w:ascii="方正黑体_GBK" w:hAnsi="方正黑体_GBK" w:eastAsia="方正黑体_GBK" w:cs="方正黑体_GBK"/>
          <w:b w:val="0"/>
          <w:bCs/>
          <w:color w:val="auto"/>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outlineLvl w:val="9"/>
        <w:rPr>
          <w:rStyle w:val="9"/>
          <w:rFonts w:hint="eastAsia" w:ascii="方正楷体_GBK" w:hAnsi="方正楷体_GBK" w:eastAsia="方正楷体_GBK" w:cs="方正楷体_GBK"/>
          <w:b w:val="0"/>
          <w:bCs/>
          <w:color w:val="auto"/>
          <w:sz w:val="32"/>
          <w:szCs w:val="32"/>
          <w:shd w:val="clear" w:color="auto" w:fill="FFFFFF"/>
        </w:rPr>
      </w:pPr>
      <w:r>
        <w:rPr>
          <w:rStyle w:val="9"/>
          <w:rFonts w:hint="eastAsia" w:ascii="方正楷体_GBK" w:hAnsi="方正楷体_GBK" w:eastAsia="方正楷体_GBK" w:cs="方正楷体_GBK"/>
          <w:b w:val="0"/>
          <w:bCs/>
          <w:color w:val="auto"/>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依据《中共重庆市委办公厅重庆市人民政府办公厅关于秀山土家族苗族自治县人民政府机构改革方案的通知》（秀山委办发〔</w:t>
      </w:r>
      <w:r>
        <w:rPr>
          <w:rFonts w:hint="default" w:ascii="Times New Roman" w:hAnsi="Times New Roman" w:eastAsia="方正仿宋_GBK" w:cs="Times New Roman"/>
          <w:color w:val="auto"/>
          <w:kern w:val="0"/>
          <w:sz w:val="32"/>
          <w:szCs w:val="32"/>
          <w:lang w:val="en-US" w:eastAsia="zh-CN" w:bidi="ar"/>
        </w:rPr>
        <w:t>2019〕42</w:t>
      </w:r>
      <w:r>
        <w:rPr>
          <w:rFonts w:hint="default" w:ascii="Times New Roman" w:hAnsi="Times New Roman" w:eastAsia="方正仿宋_GBK" w:cs="Times New Roman"/>
          <w:color w:val="auto"/>
          <w:sz w:val="32"/>
          <w:szCs w:val="32"/>
        </w:rPr>
        <w:t>号）和《关于县司法局下属事业单位机构编制事项的批复》（秀山委编委〔</w:t>
      </w:r>
      <w:r>
        <w:rPr>
          <w:rFonts w:hint="default" w:ascii="Times New Roman" w:hAnsi="Times New Roman" w:eastAsia="方正仿宋_GBK" w:cs="Times New Roman"/>
          <w:color w:val="auto"/>
          <w:kern w:val="0"/>
          <w:sz w:val="32"/>
          <w:szCs w:val="32"/>
          <w:lang w:val="en-US" w:eastAsia="zh-CN" w:bidi="ar"/>
        </w:rPr>
        <w:t>2019〕88</w:t>
      </w:r>
      <w:r>
        <w:rPr>
          <w:rFonts w:hint="default" w:ascii="Times New Roman" w:hAnsi="Times New Roman" w:eastAsia="方正仿宋_GBK" w:cs="Times New Roman"/>
          <w:color w:val="auto"/>
          <w:sz w:val="32"/>
          <w:szCs w:val="32"/>
        </w:rPr>
        <w:t>号）为秀山县政府主管司法行政工作的职能部门。主要职责是：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承担县委全面依法治县委员会办公室日常工作，组织开展全面依法治县重大问题的政策研究，协调督促有关方面落实县委全面依法治县委员会决定事项、工作部署和要求等，协调有关方面拟订全面依法治县中长期规划建设，负责全面依法治县重大决策部署的督察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2、负责协调县级各部门实施法律、法规、规章中的争议和问题；审查县级各部门报送县政府的规范性文件，组织开展全县规范性文件清理工作。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承担统筹推进法治政府建设工作。指导、监督全县依法行政工作；承担推进行政执法体制改革有关工作，负责行政执法协调工作，推进严格、规范、公正、文明执法；承办县政府行政复议、国家赔偿案件，承办县政府有关行政诉讼案件和市政府裁决案件；指导、监督全县国家赔偿、行政应诉和行政裁决工作；指导和协调政府法律顾问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4、承担统筹规划法治社会建设工作。拟订法治宣传教育规划，组织实施普法宣传工作；推动人民参与和促进法治建设；指导依法治理和法治创建工作；指导调解工作和人民陪审员、人民监督员选任管理工作。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5、承担社区矫正工作；指导帮教安置工作。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6、拟订全县公共法律服务体系建设规划并组织实施，统筹和布局城乡、区域法律服务资源；指导、监督律师、法律援助、司法鉴定、公证和基层法律服务管理工作。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7、承担国家统一法律职业资格考试政策的宣传咨询工作；负责全县法律职业资格证书持有人备案工作。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8、规划、协调、指导全县法治人才队伍建设相关工作。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9、负责本系统信息化建设和应急处突工作。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10、完成县委、县政府交办的其他任务。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秀山土家族苗族自治县司法局，为秀山土家族苗族自治县人民政府工作部门。内设办公室、法治综合科、行政复议与应诉科、行政执法监督科、普法与依法治理科、人民参与和促进法治科、社区矫正管理科、公共法律服务管理科、律师工作科、政治部共</w:t>
      </w:r>
      <w:r>
        <w:rPr>
          <w:rFonts w:hint="default" w:ascii="Times New Roman" w:hAnsi="Times New Roman" w:eastAsia="方正仿宋_GBK" w:cs="Times New Roman"/>
          <w:color w:val="auto"/>
          <w:kern w:val="0"/>
          <w:sz w:val="32"/>
          <w:szCs w:val="32"/>
          <w:lang w:val="en-US" w:eastAsia="zh-CN" w:bidi="ar"/>
        </w:rPr>
        <w:t>10个职能科室，下辖27个司法所、3</w:t>
      </w:r>
      <w:r>
        <w:rPr>
          <w:rFonts w:hint="default" w:ascii="Times New Roman" w:hAnsi="Times New Roman" w:eastAsia="方正仿宋_GBK" w:cs="Times New Roman"/>
          <w:color w:val="auto"/>
          <w:sz w:val="32"/>
          <w:szCs w:val="32"/>
        </w:rPr>
        <w:t>个直属事业单位（县公证处、县法律援助中心、县矫正帮教管理服务中心）。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eastAsia" w:ascii="方正黑体_GBK" w:hAnsi="方正黑体_GBK" w:eastAsia="方正黑体_GBK" w:cs="方正黑体_GBK"/>
          <w:b w:val="0"/>
          <w:bCs/>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二、单位决算情况说明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color w:val="auto"/>
          <w:kern w:val="0"/>
          <w:sz w:val="32"/>
          <w:szCs w:val="32"/>
          <w:lang w:val="en-US" w:eastAsia="zh-CN" w:bidi="ar"/>
        </w:rPr>
      </w:pPr>
      <w:r>
        <w:rPr>
          <w:rStyle w:val="9"/>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kern w:val="0"/>
          <w:sz w:val="32"/>
          <w:szCs w:val="32"/>
          <w:lang w:val="en-US" w:eastAsia="zh-CN" w:bidi="ar"/>
        </w:rPr>
        <w:t>2023年度收入总计2106.73万元，支出总计2106.73万元。收支较上年决算数减少233.62万元，下降9.98%，主要原因是人员经费及项目经费收支均有所下降。</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Style w:val="9"/>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kern w:val="0"/>
          <w:sz w:val="32"/>
          <w:szCs w:val="32"/>
          <w:lang w:val="en-US" w:eastAsia="zh-CN" w:bidi="ar"/>
        </w:rPr>
        <w:t>2023年度收入合计2106.73万元，较上年决算数减少232.12万元，下降9.92%，主要原因是落实过紧日子政策，项目经费收入较上年有所减少。其中：财政拨款收入2106.73万元，占100.00%，年初结转和结余0.00万元。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Style w:val="9"/>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kern w:val="0"/>
          <w:sz w:val="32"/>
          <w:szCs w:val="32"/>
          <w:lang w:val="en-US" w:eastAsia="zh-CN" w:bidi="ar"/>
        </w:rPr>
        <w:t>2023年度支出合计2106.73万元，较上年决算数减少233.62万元，下降9.98%，主要原因是落实过紧日子政策，项目经费支出均上年有所减少。其中：基本支出1478.44万元，占70.18%；项目支出628.29万元，占29.82%。此外，结余分配0.00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Style w:val="9"/>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kern w:val="0"/>
          <w:sz w:val="32"/>
          <w:szCs w:val="32"/>
          <w:lang w:val="en-US" w:eastAsia="zh-CN" w:bidi="ar"/>
        </w:rPr>
        <w:t>2023年度年末结转和结余0.00万元，较上年决算数无增减。</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jc w:val="both"/>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2023年度财政拨款收、支总计2106.73万元。与2022年相比，财政拨款收、支总计各减少233.62万元，下降9.98%。主要原因是落实过紧日子政策，项目经费收入较上年有所减少。</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jc w:val="both"/>
        <w:textAlignment w:val="auto"/>
        <w:rPr>
          <w:rFonts w:hint="default" w:ascii="方正楷体_GBK" w:hAnsi="方正楷体_GBK" w:eastAsia="方正楷体_GBK" w:cs="方正楷体_GBK"/>
          <w:b w:val="0"/>
          <w:bCs w:val="0"/>
          <w:color w:val="auto"/>
          <w:sz w:val="32"/>
          <w:szCs w:val="32"/>
          <w:shd w:val="clear" w:color="auto" w:fill="FFFFFF"/>
        </w:rPr>
      </w:pPr>
      <w:r>
        <w:rPr>
          <w:rFonts w:hint="default" w:ascii="方正楷体_GBK" w:hAnsi="方正楷体_GBK" w:eastAsia="方正楷体_GBK" w:cs="方正楷体_GBK"/>
          <w:b w:val="0"/>
          <w:bCs w:val="0"/>
          <w:color w:val="auto"/>
          <w:sz w:val="32"/>
          <w:szCs w:val="32"/>
          <w:shd w:val="clear" w:color="auto" w:fill="FFFFFF"/>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kern w:val="0"/>
          <w:sz w:val="32"/>
          <w:szCs w:val="32"/>
          <w:lang w:val="en-US" w:eastAsia="zh-CN" w:bidi="ar"/>
        </w:rPr>
        <w:t>2023年度一般公共预算财政拨款收入2106.73万元，较上年决算数减少232.12万元，下降9.92%。主要原因是落实过紧日子政策，项目经费收入较上年有所减少。较年初预算数增加108.25万元，增长5.42%。主要原因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kern w:val="0"/>
          <w:sz w:val="32"/>
          <w:szCs w:val="32"/>
          <w:lang w:val="en-US" w:eastAsia="zh-CN" w:bidi="ar"/>
        </w:rPr>
        <w:t>工资福利支出的变化，相应支出的减少。</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Style w:val="9"/>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kern w:val="0"/>
          <w:sz w:val="32"/>
          <w:szCs w:val="32"/>
          <w:lang w:val="en-US" w:eastAsia="zh-CN" w:bidi="ar"/>
        </w:rPr>
        <w:t>2023年度一般公共预算财政拨款支出2106.73万元，较上年决算数减少233.62万元，下降9.98%。主要原因是落实过紧日子政策，项目经费收入较上年有所减少。较年初预算数增加108.25万元，增长5.42%。主要原因是工资福利支出的变化，相应支出的减少。</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kern w:val="0"/>
          <w:sz w:val="32"/>
          <w:szCs w:val="32"/>
          <w:lang w:val="en-US" w:eastAsia="zh-CN" w:bidi="ar"/>
        </w:rPr>
        <w:t>2023年度年末一般公共预算财政拨款结转和结余0.00万元，较上年决算数无增减，主要原因严格落实过紧日子政策，缩紧支出。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Style w:val="9"/>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kern w:val="0"/>
          <w:sz w:val="32"/>
          <w:szCs w:val="32"/>
          <w:lang w:val="en-US" w:eastAsia="zh-CN" w:bidi="ar"/>
        </w:rPr>
        <w:t>本单位2023年度一般公共预算财政拨款支出主要用于以下几个方面：</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（1）一般公共服务支出0.48万元，占0.02%，较年初预算数增加0.48万元，增长100.00%，主要原因是新增秀山县律师行业支部2023年度工作经费。</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（2）公共安全支出1709.71万元，占81.15%，较年初预算数增加64.52万元，增长3.92%，主要原因是人员社保、公积金等经费支出增加。</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（3）社会保障与就业支出235.21万元，占11.16%，较年初预算数增加7.54万元，增长3.31%，主要原因是人员社保等基数调整。</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（4）卫生健康支出44.64万元，占2.12%，较年初预算数增加2.92万元，增长7.00%，主要原因是人员社保等基数调整。</w:t>
      </w:r>
    </w:p>
    <w:p>
      <w:pPr>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住房保障支出116.70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5.54</w:t>
      </w:r>
      <w:r>
        <w:rPr>
          <w:rFonts w:hint="default" w:ascii="Times New Roman" w:hAnsi="Times New Roman" w:eastAsia="方正仿宋_GBK" w:cs="Times New Roman"/>
          <w:color w:val="auto"/>
          <w:sz w:val="32"/>
          <w:szCs w:val="32"/>
          <w:shd w:val="clear" w:color="auto" w:fill="FFFFFF"/>
        </w:rPr>
        <w:t>%，较年初预算数增加32.80万元，增长39.09%，主要原因是是</w:t>
      </w:r>
      <w:r>
        <w:rPr>
          <w:rFonts w:hint="default" w:ascii="Times New Roman" w:hAnsi="Times New Roman" w:eastAsia="方正仿宋_GBK" w:cs="Times New Roman"/>
          <w:color w:val="auto"/>
          <w:sz w:val="32"/>
          <w:szCs w:val="32"/>
          <w:shd w:val="clear" w:color="auto" w:fill="FFFFFF"/>
          <w:lang w:val="en-US" w:eastAsia="zh-CN"/>
        </w:rPr>
        <w:t>人员公积金基数调整。</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1478.44</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1339.75</w:t>
      </w:r>
      <w:r>
        <w:rPr>
          <w:rFonts w:hint="default" w:ascii="Times New Roman" w:hAnsi="Times New Roman" w:eastAsia="方正仿宋_GBK" w:cs="Times New Roman"/>
          <w:color w:val="auto"/>
          <w:sz w:val="32"/>
          <w:szCs w:val="32"/>
          <w:shd w:val="clear" w:color="auto" w:fill="FFFFFF"/>
        </w:rPr>
        <w:t>万元，较上年决算数减少119.86万元，下降8.21%，主</w:t>
      </w:r>
      <w:r>
        <w:rPr>
          <w:rFonts w:hint="default" w:ascii="Times New Roman" w:hAnsi="Times New Roman" w:eastAsia="方正仿宋_GBK" w:cs="Times New Roman"/>
          <w:color w:val="auto"/>
          <w:kern w:val="0"/>
          <w:sz w:val="32"/>
          <w:szCs w:val="32"/>
          <w:lang w:val="en-US" w:eastAsia="zh-CN" w:bidi="ar"/>
        </w:rPr>
        <w:t>要原因是工资福利支出的变化，相应支出的减少。人员经费用途主要包括基本工资、津贴补贴、奖金、社会保障缴费等。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138.69</w:t>
      </w:r>
      <w:r>
        <w:rPr>
          <w:rFonts w:hint="default" w:ascii="Times New Roman" w:hAnsi="Times New Roman" w:eastAsia="方正仿宋_GBK" w:cs="Times New Roman"/>
          <w:color w:val="auto"/>
          <w:sz w:val="32"/>
          <w:szCs w:val="32"/>
          <w:shd w:val="clear" w:color="auto" w:fill="FFFFFF"/>
        </w:rPr>
        <w:t>万元，较上年决算数减少29.02万元，下降17.30%，主要原因是</w:t>
      </w:r>
      <w:r>
        <w:rPr>
          <w:rFonts w:hint="default" w:ascii="Times New Roman" w:hAnsi="Times New Roman" w:eastAsia="方正仿宋_GBK" w:cs="Times New Roman"/>
          <w:color w:val="auto"/>
          <w:sz w:val="32"/>
          <w:szCs w:val="32"/>
          <w:shd w:val="clear" w:color="auto" w:fill="FFFFFF"/>
          <w:lang w:eastAsia="zh-CN"/>
        </w:rPr>
        <w:t>落实</w:t>
      </w:r>
      <w:r>
        <w:rPr>
          <w:rFonts w:hint="default" w:ascii="Times New Roman" w:hAnsi="Times New Roman" w:eastAsia="方正仿宋_GBK" w:cs="Times New Roman"/>
          <w:color w:val="auto"/>
          <w:sz w:val="32"/>
          <w:szCs w:val="32"/>
          <w:shd w:val="clear" w:color="auto" w:fill="FFFFFF"/>
          <w:lang w:val="en-US" w:eastAsia="zh-CN"/>
        </w:rPr>
        <w:t>过紧日子政策，缩紧开支</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kern w:val="0"/>
          <w:sz w:val="32"/>
          <w:szCs w:val="32"/>
          <w:lang w:val="en-US" w:eastAsia="zh-CN" w:bidi="ar"/>
        </w:rPr>
        <w:t>办公费、水电费、物管费、差旅费等。</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本单位2023年度无政府性基金预算财政拨款收支。</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本单位2023年度无国有资本经营预算财政拨款支出。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eastAsia" w:ascii="方正黑体_GBK" w:hAnsi="方正黑体_GBK" w:eastAsia="方正黑体_GBK" w:cs="方正黑体_GBK"/>
          <w:b w:val="0"/>
          <w:bCs/>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三、“三公”经费情况说明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 xml:space="preserve"> （一）“三公”经费支出总体情况说明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39.04</w:t>
      </w:r>
      <w:r>
        <w:rPr>
          <w:rFonts w:hint="default" w:ascii="Times New Roman" w:hAnsi="Times New Roman" w:eastAsia="方正仿宋_GBK" w:cs="Times New Roman"/>
          <w:color w:val="auto"/>
          <w:sz w:val="32"/>
          <w:szCs w:val="32"/>
          <w:shd w:val="clear" w:color="auto" w:fill="FFFFFF"/>
        </w:rPr>
        <w:t>万元，较年初预算数减少30.76万元，下降44.07%，主要原因是</w:t>
      </w:r>
      <w:r>
        <w:rPr>
          <w:rFonts w:hint="default" w:ascii="Times New Roman" w:hAnsi="Times New Roman" w:eastAsia="方正仿宋_GBK" w:cs="Times New Roman"/>
          <w:color w:val="auto"/>
          <w:sz w:val="32"/>
          <w:szCs w:val="32"/>
          <w:shd w:val="clear" w:color="auto" w:fill="FFFFFF"/>
          <w:lang w:val="en-US" w:eastAsia="zh-CN"/>
        </w:rPr>
        <w:t>落实过紧日子政策，缩紧开支</w:t>
      </w:r>
      <w:r>
        <w:rPr>
          <w:rFonts w:hint="default" w:ascii="Times New Roman" w:hAnsi="Times New Roman" w:eastAsia="方正仿宋_GBK" w:cs="Times New Roman"/>
          <w:color w:val="auto"/>
          <w:sz w:val="32"/>
          <w:szCs w:val="32"/>
          <w:shd w:val="clear" w:color="auto" w:fill="FFFFFF"/>
        </w:rPr>
        <w:t>。较上年支出数增加21.07万元，增长117.25%，主要原因是</w:t>
      </w:r>
      <w:r>
        <w:rPr>
          <w:rFonts w:hint="default" w:ascii="Times New Roman" w:hAnsi="Times New Roman" w:eastAsia="方正仿宋_GBK" w:cs="Times New Roman"/>
          <w:color w:val="auto"/>
          <w:sz w:val="32"/>
          <w:szCs w:val="32"/>
          <w:shd w:val="clear" w:color="auto" w:fill="FFFFFF"/>
          <w:lang w:eastAsia="zh-CN"/>
        </w:rPr>
        <w:t>报废一台警车并新购，因此增加相关三公经费。</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（二）“三公”经费分项支出情况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本单位202</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年度未发生因公出国（境）支出</w:t>
      </w:r>
      <w:r>
        <w:rPr>
          <w:rFonts w:hint="default"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b w:val="0"/>
          <w:bCs/>
          <w:color w:val="auto"/>
          <w:sz w:val="32"/>
          <w:szCs w:val="32"/>
          <w:shd w:val="clear" w:color="auto" w:fill="FFFFFF"/>
          <w:lang w:eastAsia="zh-CN"/>
        </w:rPr>
        <w:t>费用支出</w:t>
      </w:r>
      <w:r>
        <w:rPr>
          <w:rFonts w:hint="default" w:ascii="Times New Roman" w:hAnsi="Times New Roman" w:eastAsia="方正仿宋_GBK" w:cs="Times New Roman"/>
          <w:b w:val="0"/>
          <w:bCs w:val="0"/>
          <w:color w:val="auto"/>
          <w:sz w:val="32"/>
          <w:szCs w:val="32"/>
          <w:shd w:val="clear" w:color="auto" w:fill="FFFFFF"/>
        </w:rPr>
        <w:t>较年初预算数</w:t>
      </w:r>
      <w:r>
        <w:rPr>
          <w:rFonts w:hint="eastAsia" w:ascii="Times New Roman" w:hAnsi="Times New Roman" w:eastAsia="方正仿宋_GBK" w:cs="Times New Roman"/>
          <w:b w:val="0"/>
          <w:bCs w:val="0"/>
          <w:color w:val="auto"/>
          <w:sz w:val="32"/>
          <w:szCs w:val="32"/>
          <w:shd w:val="clear" w:color="auto" w:fill="FFFFFF"/>
          <w:lang w:eastAsia="zh-CN"/>
        </w:rPr>
        <w:t>、上年支出数</w:t>
      </w:r>
      <w:r>
        <w:rPr>
          <w:rFonts w:hint="default" w:ascii="Times New Roman" w:hAnsi="Times New Roman" w:eastAsia="方正仿宋_GBK" w:cs="Times New Roman"/>
          <w:b w:val="0"/>
          <w:bCs w:val="0"/>
          <w:color w:val="auto"/>
          <w:sz w:val="32"/>
          <w:szCs w:val="32"/>
          <w:shd w:val="clear" w:color="auto" w:fill="FFFFFF"/>
        </w:rPr>
        <w:t>无增减</w:t>
      </w:r>
      <w:r>
        <w:rPr>
          <w:rFonts w:hint="eastAsia" w:ascii="Times New Roman" w:hAnsi="Times New Roman" w:eastAsia="方正仿宋_GBK" w:cs="Times New Roman"/>
          <w:b w:val="0"/>
          <w:bCs w:val="0"/>
          <w:color w:val="auto"/>
          <w:sz w:val="32"/>
          <w:szCs w:val="32"/>
          <w:shd w:val="clear" w:color="auto" w:fill="FFFFFF"/>
          <w:lang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公务车购置费</w:t>
      </w:r>
      <w:r>
        <w:rPr>
          <w:rFonts w:hint="default" w:ascii="Times New Roman" w:hAnsi="Times New Roman" w:eastAsia="方正仿宋_GBK" w:cs="Times New Roman"/>
          <w:color w:val="auto"/>
          <w:sz w:val="32"/>
          <w:szCs w:val="32"/>
        </w:rPr>
        <w:t>17.98</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eastAsia="zh-CN"/>
        </w:rPr>
        <w:t>购置警车</w:t>
      </w:r>
      <w:r>
        <w:rPr>
          <w:rFonts w:hint="default" w:ascii="Times New Roman" w:hAnsi="Times New Roman" w:eastAsia="方正仿宋_GBK" w:cs="Times New Roman"/>
          <w:color w:val="auto"/>
          <w:sz w:val="32"/>
          <w:szCs w:val="32"/>
          <w:shd w:val="clear" w:color="auto" w:fill="FFFFFF"/>
        </w:rPr>
        <w:t>。费用支出较年初预算数减少0.02万元，下降0.11%，主要原因是</w:t>
      </w:r>
      <w:r>
        <w:rPr>
          <w:rFonts w:hint="default" w:ascii="Times New Roman" w:hAnsi="Times New Roman" w:eastAsia="方正仿宋_GBK" w:cs="Times New Roman"/>
          <w:color w:val="auto"/>
          <w:sz w:val="32"/>
          <w:szCs w:val="32"/>
          <w:shd w:val="clear" w:color="auto" w:fill="FFFFFF"/>
          <w:lang w:eastAsia="zh-CN"/>
        </w:rPr>
        <w:t>严格执行警车购置标准</w:t>
      </w:r>
      <w:r>
        <w:rPr>
          <w:rFonts w:hint="default" w:ascii="Times New Roman" w:hAnsi="Times New Roman" w:eastAsia="方正仿宋_GBK" w:cs="Times New Roman"/>
          <w:color w:val="auto"/>
          <w:sz w:val="32"/>
          <w:szCs w:val="32"/>
          <w:shd w:val="clear" w:color="auto" w:fill="FFFFFF"/>
        </w:rPr>
        <w:t>。较上年支出数增加16.43万元，增长1060.00%，主要原因是</w:t>
      </w:r>
      <w:r>
        <w:rPr>
          <w:rFonts w:hint="default" w:ascii="Times New Roman" w:hAnsi="Times New Roman" w:eastAsia="方正仿宋_GBK" w:cs="Times New Roman"/>
          <w:color w:val="auto"/>
          <w:sz w:val="32"/>
          <w:szCs w:val="32"/>
          <w:shd w:val="clear" w:color="auto" w:fill="FFFFFF"/>
          <w:lang w:eastAsia="zh-CN"/>
        </w:rPr>
        <w:t>上年度未购置新车，本年度报废并新购警车一辆</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20.20</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kern w:val="0"/>
          <w:sz w:val="32"/>
          <w:szCs w:val="32"/>
          <w:lang w:val="en-US" w:eastAsia="zh-CN" w:bidi="ar"/>
        </w:rPr>
        <w:t>工作需要所产生的维修费、油费、保险费等</w:t>
      </w:r>
      <w:r>
        <w:rPr>
          <w:rFonts w:hint="default" w:ascii="Times New Roman" w:hAnsi="Times New Roman" w:eastAsia="方正仿宋_GBK" w:cs="Times New Roman"/>
          <w:color w:val="auto"/>
          <w:sz w:val="32"/>
          <w:szCs w:val="32"/>
          <w:shd w:val="clear" w:color="auto" w:fill="FFFFFF"/>
        </w:rPr>
        <w:t>。费用支出较年初预算数减少24.80万元，下降55.11%，主要原因是</w:t>
      </w:r>
      <w:r>
        <w:rPr>
          <w:rFonts w:hint="default" w:ascii="Times New Roman" w:hAnsi="Times New Roman" w:eastAsia="方正仿宋_GBK" w:cs="Times New Roman"/>
          <w:color w:val="auto"/>
          <w:sz w:val="32"/>
          <w:szCs w:val="32"/>
          <w:shd w:val="clear" w:color="auto" w:fill="FFFFFF"/>
          <w:lang w:val="en-US" w:eastAsia="zh-CN"/>
        </w:rPr>
        <w:t>落实过紧日子政策，缩紧开支</w:t>
      </w:r>
      <w:r>
        <w:rPr>
          <w:rFonts w:hint="default" w:ascii="Times New Roman" w:hAnsi="Times New Roman" w:eastAsia="方正仿宋_GBK" w:cs="Times New Roman"/>
          <w:color w:val="auto"/>
          <w:sz w:val="32"/>
          <w:szCs w:val="32"/>
          <w:shd w:val="clear" w:color="auto" w:fill="FFFFFF"/>
        </w:rPr>
        <w:t>。较上年支出数增加4.35万元，增长27.44%，主要原因是</w:t>
      </w:r>
      <w:r>
        <w:rPr>
          <w:rFonts w:hint="default" w:ascii="Times New Roman" w:hAnsi="Times New Roman" w:eastAsia="方正仿宋_GBK" w:cs="Times New Roman"/>
          <w:color w:val="auto"/>
          <w:sz w:val="32"/>
          <w:szCs w:val="32"/>
          <w:shd w:val="clear" w:color="auto" w:fill="FFFFFF"/>
          <w:lang w:eastAsia="zh-CN"/>
        </w:rPr>
        <w:t>购置警车一台，相应费用有所增长</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0.86</w:t>
      </w:r>
      <w:r>
        <w:rPr>
          <w:rFonts w:hint="default" w:ascii="Times New Roman" w:hAnsi="Times New Roman" w:eastAsia="方正仿宋_GBK" w:cs="Times New Roman"/>
          <w:color w:val="auto"/>
          <w:sz w:val="32"/>
          <w:szCs w:val="32"/>
          <w:shd w:val="clear" w:color="auto" w:fill="FFFFFF"/>
        </w:rPr>
        <w:t>万元，主要用于接待</w:t>
      </w:r>
      <w:r>
        <w:rPr>
          <w:rFonts w:hint="default" w:ascii="Times New Roman" w:hAnsi="Times New Roman" w:eastAsia="方正仿宋_GBK" w:cs="Times New Roman"/>
          <w:color w:val="auto"/>
          <w:kern w:val="0"/>
          <w:sz w:val="32"/>
          <w:szCs w:val="32"/>
          <w:lang w:val="en-US" w:eastAsia="zh-CN" w:bidi="ar"/>
        </w:rPr>
        <w:t>相关部门检查指导工作发生的接待支出</w:t>
      </w:r>
      <w:r>
        <w:rPr>
          <w:rFonts w:hint="default" w:ascii="Times New Roman" w:hAnsi="Times New Roman" w:eastAsia="方正仿宋_GBK" w:cs="Times New Roman"/>
          <w:color w:val="auto"/>
          <w:sz w:val="32"/>
          <w:szCs w:val="32"/>
          <w:shd w:val="clear" w:color="auto" w:fill="FFFFFF"/>
        </w:rPr>
        <w:t>。费用支出较年初预算数减少5.94万元，下降87.35%，主要原因是</w:t>
      </w:r>
      <w:r>
        <w:rPr>
          <w:rFonts w:hint="default" w:ascii="Times New Roman" w:hAnsi="Times New Roman" w:eastAsia="方正仿宋_GBK" w:cs="Times New Roman"/>
          <w:color w:val="auto"/>
          <w:sz w:val="32"/>
          <w:szCs w:val="32"/>
          <w:shd w:val="clear" w:color="auto" w:fill="FFFFFF"/>
          <w:lang w:val="en-US" w:eastAsia="zh-CN"/>
        </w:rPr>
        <w:t>落实过紧日子政策，缩紧开支</w:t>
      </w:r>
      <w:r>
        <w:rPr>
          <w:rFonts w:hint="default" w:ascii="Times New Roman" w:hAnsi="Times New Roman" w:eastAsia="方正仿宋_GBK" w:cs="Times New Roman"/>
          <w:color w:val="auto"/>
          <w:sz w:val="32"/>
          <w:szCs w:val="32"/>
          <w:shd w:val="clear" w:color="auto" w:fill="FFFFFF"/>
        </w:rPr>
        <w:t>。较上年支出数增加0.28万元，增长48.28%，主要原因是</w:t>
      </w:r>
      <w:r>
        <w:rPr>
          <w:rFonts w:hint="default" w:ascii="Times New Roman" w:hAnsi="Times New Roman" w:eastAsia="方正仿宋_GBK" w:cs="Times New Roman"/>
          <w:color w:val="auto"/>
          <w:sz w:val="32"/>
          <w:szCs w:val="32"/>
          <w:shd w:val="clear" w:color="auto" w:fill="FFFFFF"/>
          <w:lang w:eastAsia="zh-CN"/>
        </w:rPr>
        <w:t>来秀检查业务工作开展次数及人数较上年度均有所增长。</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（三）“三公”经费实物量情况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10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11</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60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143.08</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17.98</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eastAsia" w:ascii="方正黑体_GBK" w:hAnsi="方正黑体_GBK" w:eastAsia="方正黑体_GBK" w:cs="方正黑体_GBK"/>
          <w:b w:val="0"/>
          <w:bCs/>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rPr>
        <w:t xml:space="preserve"> （一）财政拨款会议费和培训费情况说明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本年度会议费支出</w:t>
      </w:r>
      <w:r>
        <w:rPr>
          <w:rFonts w:hint="default" w:ascii="Times New Roman" w:hAnsi="Times New Roman" w:eastAsia="方正仿宋_GBK" w:cs="Times New Roman"/>
          <w:color w:val="auto"/>
          <w:sz w:val="32"/>
          <w:szCs w:val="32"/>
        </w:rPr>
        <w:t>1.66</w:t>
      </w:r>
      <w:r>
        <w:rPr>
          <w:rFonts w:hint="default" w:ascii="Times New Roman" w:hAnsi="Times New Roman" w:eastAsia="方正仿宋_GBK" w:cs="Times New Roman"/>
          <w:color w:val="auto"/>
          <w:sz w:val="32"/>
          <w:szCs w:val="32"/>
          <w:shd w:val="clear" w:color="auto" w:fill="FFFFFF"/>
        </w:rPr>
        <w:t>万元，较上年决算数增加1.48万元，增长822.22%，</w:t>
      </w:r>
      <w:r>
        <w:rPr>
          <w:rFonts w:hint="default" w:ascii="Times New Roman" w:hAnsi="Times New Roman" w:eastAsia="方正仿宋_GBK" w:cs="Times New Roman"/>
          <w:color w:val="auto"/>
          <w:sz w:val="32"/>
          <w:szCs w:val="32"/>
          <w:shd w:val="clear" w:color="auto" w:fill="FFFFFF"/>
          <w:lang w:eastAsia="zh-CN"/>
        </w:rPr>
        <w:t>主要因为根据工作需要，</w:t>
      </w:r>
      <w:r>
        <w:rPr>
          <w:rFonts w:hint="eastAsia" w:ascii="Times New Roman" w:hAnsi="Times New Roman" w:eastAsia="方正仿宋_GBK" w:cs="Times New Roman"/>
          <w:color w:val="auto"/>
          <w:sz w:val="32"/>
          <w:szCs w:val="32"/>
          <w:shd w:val="clear" w:color="auto" w:fill="FFFFFF"/>
          <w:lang w:eastAsia="zh-CN"/>
        </w:rPr>
        <w:t>合理范围内</w:t>
      </w:r>
      <w:r>
        <w:rPr>
          <w:rFonts w:hint="default" w:ascii="Times New Roman" w:hAnsi="Times New Roman" w:eastAsia="方正仿宋_GBK" w:cs="Times New Roman"/>
          <w:color w:val="auto"/>
          <w:sz w:val="32"/>
          <w:szCs w:val="32"/>
          <w:shd w:val="clear" w:color="auto" w:fill="FFFFFF"/>
          <w:lang w:eastAsia="zh-CN"/>
        </w:rPr>
        <w:t>据实召开会议</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18.69</w:t>
      </w:r>
      <w:r>
        <w:rPr>
          <w:rFonts w:hint="default" w:ascii="Times New Roman" w:hAnsi="Times New Roman" w:eastAsia="方正仿宋_GBK" w:cs="Times New Roman"/>
          <w:color w:val="auto"/>
          <w:sz w:val="32"/>
          <w:szCs w:val="32"/>
          <w:shd w:val="clear" w:color="auto" w:fill="FFFFFF"/>
        </w:rPr>
        <w:t>万元，较上年决算数减少1.00万元，下降5.08%，主要原因是</w:t>
      </w:r>
      <w:r>
        <w:rPr>
          <w:rFonts w:hint="default" w:ascii="Times New Roman" w:hAnsi="Times New Roman" w:eastAsia="方正仿宋_GBK" w:cs="Times New Roman"/>
          <w:color w:val="auto"/>
          <w:sz w:val="32"/>
          <w:szCs w:val="32"/>
          <w:shd w:val="clear" w:color="auto" w:fill="FFFFFF"/>
          <w:lang w:val="en-US" w:eastAsia="zh-CN"/>
        </w:rPr>
        <w:t>落实过紧日子政策，缩紧开支。</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（二）机关运行经费情况说明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2023年度本单位机关运行经费支出</w:t>
      </w:r>
      <w:r>
        <w:rPr>
          <w:rFonts w:hint="default" w:ascii="Times New Roman" w:hAnsi="Times New Roman" w:eastAsia="方正仿宋_GBK" w:cs="Times New Roman"/>
          <w:color w:val="auto"/>
          <w:sz w:val="32"/>
          <w:szCs w:val="32"/>
        </w:rPr>
        <w:t>138.69</w:t>
      </w:r>
      <w:r>
        <w:rPr>
          <w:rFonts w:hint="default" w:ascii="Times New Roman" w:hAnsi="Times New Roman" w:eastAsia="方正仿宋_GBK" w:cs="Times New Roman"/>
          <w:color w:val="auto"/>
          <w:sz w:val="32"/>
          <w:szCs w:val="32"/>
          <w:shd w:val="clear" w:color="auto" w:fill="FFFFFF"/>
        </w:rPr>
        <w:t>万元，机关运行经费主要用于开支</w:t>
      </w:r>
      <w:r>
        <w:rPr>
          <w:rFonts w:hint="default" w:ascii="Times New Roman" w:hAnsi="Times New Roman" w:eastAsia="方正仿宋_GBK" w:cs="Times New Roman"/>
          <w:color w:val="auto"/>
          <w:kern w:val="0"/>
          <w:sz w:val="32"/>
          <w:szCs w:val="32"/>
          <w:lang w:val="en-US" w:eastAsia="zh-CN" w:bidi="ar"/>
        </w:rPr>
        <w:t>办公费、水电费、物管费、差旅费等</w:t>
      </w:r>
      <w:r>
        <w:rPr>
          <w:rFonts w:hint="default" w:ascii="Times New Roman" w:hAnsi="Times New Roman" w:eastAsia="方正仿宋_GBK" w:cs="Times New Roman"/>
          <w:color w:val="auto"/>
          <w:sz w:val="32"/>
          <w:szCs w:val="32"/>
          <w:shd w:val="clear" w:color="auto" w:fill="FFFFFF"/>
        </w:rPr>
        <w:t>。机关运行经费较上年支出数减少29.02万元，下降17.30%，主要原因是</w:t>
      </w:r>
      <w:r>
        <w:rPr>
          <w:rFonts w:hint="default" w:ascii="Times New Roman" w:hAnsi="Times New Roman" w:eastAsia="方正仿宋_GBK" w:cs="Times New Roman"/>
          <w:color w:val="auto"/>
          <w:sz w:val="32"/>
          <w:szCs w:val="32"/>
          <w:shd w:val="clear" w:color="auto" w:fill="FFFFFF"/>
          <w:lang w:val="en-US" w:eastAsia="zh-CN"/>
        </w:rPr>
        <w:t>过紧日子政策，缩紧开支。</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（三）国有资产占用情况说明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截至2023年12月31日，本单位共有车辆</w:t>
      </w:r>
      <w:r>
        <w:rPr>
          <w:rFonts w:hint="default" w:ascii="Times New Roman" w:hAnsi="Times New Roman" w:eastAsia="方正仿宋_GBK" w:cs="Times New Roman"/>
          <w:color w:val="auto"/>
          <w:sz w:val="32"/>
          <w:szCs w:val="32"/>
        </w:rPr>
        <w:t>10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9</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（四）政府采购支出情况说明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2023年度本单位政府采购支出总额</w:t>
      </w:r>
      <w:r>
        <w:rPr>
          <w:rFonts w:hint="default" w:ascii="Times New Roman" w:hAnsi="Times New Roman" w:eastAsia="方正仿宋_GBK" w:cs="Times New Roman"/>
          <w:color w:val="auto"/>
          <w:sz w:val="32"/>
          <w:szCs w:val="32"/>
        </w:rPr>
        <w:t>4.49</w:t>
      </w:r>
      <w:r>
        <w:rPr>
          <w:rFonts w:hint="default" w:ascii="Times New Roman" w:hAnsi="Times New Roman" w:eastAsia="方正仿宋_GBK" w:cs="Times New Roman"/>
          <w:color w:val="auto"/>
          <w:sz w:val="32"/>
          <w:szCs w:val="32"/>
          <w:shd w:val="clear" w:color="auto" w:fill="FFFFFF"/>
        </w:rPr>
        <w:t>万元，其中：政府采购货物支出</w:t>
      </w:r>
      <w:r>
        <w:rPr>
          <w:rFonts w:hint="default" w:ascii="Times New Roman" w:hAnsi="Times New Roman" w:eastAsia="方正仿宋_GBK" w:cs="Times New Roman"/>
          <w:color w:val="auto"/>
          <w:sz w:val="32"/>
          <w:szCs w:val="32"/>
        </w:rPr>
        <w:t>4.49</w:t>
      </w:r>
      <w:r>
        <w:rPr>
          <w:rFonts w:hint="default" w:ascii="Times New Roman" w:hAnsi="Times New Roman" w:eastAsia="方正仿宋_GBK" w:cs="Times New Roman"/>
          <w:color w:val="auto"/>
          <w:sz w:val="32"/>
          <w:szCs w:val="32"/>
          <w:shd w:val="clear" w:color="auto" w:fill="FFFFFF"/>
        </w:rPr>
        <w:t>万元、政府采购工程支出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万元、政府采购服务支出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万元。授予中小企业合同金额</w:t>
      </w:r>
      <w:r>
        <w:rPr>
          <w:rFonts w:hint="default" w:ascii="Times New Roman" w:hAnsi="Times New Roman" w:eastAsia="方正仿宋_GBK" w:cs="Times New Roman"/>
          <w:color w:val="auto"/>
          <w:sz w:val="32"/>
          <w:szCs w:val="32"/>
        </w:rPr>
        <w:t>4.49万</w:t>
      </w:r>
      <w:r>
        <w:rPr>
          <w:rFonts w:hint="default" w:ascii="Times New Roman" w:hAnsi="Times New Roman" w:eastAsia="方正仿宋_GBK" w:cs="Times New Roman"/>
          <w:color w:val="auto"/>
          <w:sz w:val="32"/>
          <w:szCs w:val="32"/>
          <w:shd w:val="clear" w:color="auto" w:fill="FFFFFF"/>
        </w:rPr>
        <w:t>元，占政府采购支出总额的</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%，其中：授予小微企业合同金额</w:t>
      </w:r>
      <w:r>
        <w:rPr>
          <w:rFonts w:hint="default" w:ascii="Times New Roman" w:hAnsi="Times New Roman" w:eastAsia="方正仿宋_GBK" w:cs="Times New Roman"/>
          <w:color w:val="auto"/>
          <w:sz w:val="32"/>
          <w:szCs w:val="32"/>
        </w:rPr>
        <w:t>4.49</w:t>
      </w:r>
      <w:r>
        <w:rPr>
          <w:rFonts w:hint="default" w:ascii="Times New Roman" w:hAnsi="Times New Roman" w:eastAsia="方正仿宋_GBK" w:cs="Times New Roman"/>
          <w:color w:val="auto"/>
          <w:sz w:val="32"/>
          <w:szCs w:val="32"/>
          <w:shd w:val="clear" w:color="auto" w:fill="FFFFFF"/>
        </w:rPr>
        <w:t>万元，占政府采购支出总额的</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 xml:space="preserve"> %。主要用于采购</w:t>
      </w:r>
      <w:r>
        <w:rPr>
          <w:rFonts w:hint="default" w:ascii="Times New Roman" w:hAnsi="Times New Roman" w:eastAsia="方正仿宋_GBK" w:cs="Times New Roman"/>
          <w:color w:val="auto"/>
          <w:kern w:val="0"/>
          <w:sz w:val="32"/>
          <w:szCs w:val="32"/>
          <w:lang w:val="en-US" w:eastAsia="zh-CN" w:bidi="ar"/>
        </w:rPr>
        <w:t>办案设备</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eastAsia" w:ascii="方正黑体_GBK" w:hAnsi="方正黑体_GBK" w:eastAsia="方正黑体_GBK" w:cs="方正黑体_GBK"/>
          <w:b w:val="0"/>
          <w:bCs/>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预算绩效管理情况说明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根据预算绩效管理要求，我单位对部门整体和</w:t>
      </w:r>
      <w:r>
        <w:rPr>
          <w:rFonts w:hint="default" w:ascii="Times New Roman" w:hAnsi="Times New Roman" w:eastAsia="方正仿宋_GBK" w:cs="Times New Roman"/>
          <w:color w:val="auto"/>
          <w:sz w:val="32"/>
          <w:szCs w:val="32"/>
          <w:shd w:val="clear" w:color="auto" w:fill="FFFFFF"/>
          <w:lang w:val="en-US" w:eastAsia="zh-CN"/>
        </w:rPr>
        <w:t>13</w:t>
      </w:r>
      <w:r>
        <w:rPr>
          <w:rFonts w:hint="default" w:ascii="Times New Roman" w:hAnsi="Times New Roman" w:eastAsia="方正仿宋_GBK" w:cs="Times New Roman"/>
          <w:color w:val="auto"/>
          <w:sz w:val="32"/>
          <w:szCs w:val="32"/>
          <w:shd w:val="clear" w:color="auto" w:fill="FFFFFF"/>
        </w:rPr>
        <w:t>个二级项目开展了绩效自评，涉及财政拨款项目支出资金</w:t>
      </w:r>
      <w:r>
        <w:rPr>
          <w:rFonts w:hint="default" w:ascii="Times New Roman" w:hAnsi="Times New Roman" w:eastAsia="方正仿宋_GBK" w:cs="Times New Roman"/>
          <w:color w:val="auto"/>
          <w:sz w:val="32"/>
          <w:szCs w:val="32"/>
          <w:shd w:val="clear" w:color="auto" w:fill="FFFFFF"/>
          <w:lang w:val="en-US" w:eastAsia="zh-CN"/>
        </w:rPr>
        <w:t>635.89</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p>
    <w:tbl>
      <w:tblPr>
        <w:tblStyle w:val="10"/>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7"/>
        <w:gridCol w:w="524"/>
        <w:gridCol w:w="1502"/>
        <w:gridCol w:w="769"/>
        <w:gridCol w:w="662"/>
        <w:gridCol w:w="746"/>
        <w:gridCol w:w="826"/>
        <w:gridCol w:w="931"/>
        <w:gridCol w:w="873"/>
        <w:gridCol w:w="476"/>
        <w:gridCol w:w="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7" w:hRule="atLeast"/>
        </w:trPr>
        <w:tc>
          <w:tcPr>
            <w:tcW w:w="8520"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秀山县司法局2023年度项目支出绩效自评情况表（一级项目）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1"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1" w:hRule="atLeast"/>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法律援助</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年度预算执行率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100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法律援助办结案件数量</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 </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法律援助办案错误率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 </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挽回经济损失</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 </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受援人满意度</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1" w:hRule="atLeast"/>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人民调解</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年度预算执行率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100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1"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矛盾纠纷化解率</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 </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排查化解矛盾纠纷案件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04"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审核、发放人民调解补贴案件数量</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 </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5"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人民调解培训人员满意度</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 </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pStyle w:val="13"/>
        <w:keepNext w:val="0"/>
        <w:keepLines w:val="0"/>
        <w:pageBreakBefore w:val="0"/>
        <w:widowControl/>
        <w:kinsoku/>
        <w:wordWrap/>
        <w:overflowPunct/>
        <w:topLinePunct w:val="0"/>
        <w:autoSpaceDE w:val="0"/>
        <w:autoSpaceDN/>
        <w:bidi w:val="0"/>
        <w:adjustRightInd/>
        <w:snapToGrid/>
        <w:spacing w:before="0" w:beforeAutospacing="0" w:afterAutospacing="0" w:line="560" w:lineRule="exact"/>
        <w:jc w:val="both"/>
        <w:textAlignment w:val="auto"/>
        <w:outlineLvl w:val="9"/>
        <w:rPr>
          <w:rFonts w:hint="default" w:ascii="Times New Roman" w:hAnsi="Times New Roman" w:eastAsia="方正仿宋_GBK" w:cs="Times New Roman"/>
          <w:color w:val="auto"/>
          <w:sz w:val="32"/>
          <w:szCs w:val="32"/>
          <w:shd w:val="clear" w:color="auto" w:fill="FFFFFF"/>
          <w:lang w:eastAsia="zh-CN"/>
        </w:rPr>
      </w:pPr>
    </w:p>
    <w:p>
      <w:pPr>
        <w:pStyle w:val="12"/>
        <w:keepNext w:val="0"/>
        <w:keepLines w:val="0"/>
        <w:pageBreakBefore w:val="0"/>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（二）单位绩效评价情况</w:t>
      </w:r>
    </w:p>
    <w:p>
      <w:pPr>
        <w:pStyle w:val="15"/>
        <w:autoSpaceDE w:val="0"/>
        <w:ind w:firstLine="960" w:firstLineChars="3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我</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对</w:t>
      </w:r>
      <w:r>
        <w:rPr>
          <w:rFonts w:hint="default" w:ascii="Times New Roman" w:hAnsi="Times New Roman" w:eastAsia="方正仿宋_GBK" w:cs="Times New Roman"/>
          <w:sz w:val="32"/>
          <w:szCs w:val="32"/>
          <w:shd w:val="clear" w:color="auto" w:fill="FFFFFF"/>
          <w:lang w:val="en-US" w:eastAsia="zh-CN"/>
        </w:rPr>
        <w:t>法律援助项目</w:t>
      </w:r>
      <w:r>
        <w:rPr>
          <w:rFonts w:hint="default" w:ascii="Times New Roman" w:hAnsi="Times New Roman" w:eastAsia="方正仿宋_GBK" w:cs="Times New Roman"/>
          <w:sz w:val="32"/>
          <w:szCs w:val="32"/>
          <w:shd w:val="clear" w:color="auto" w:fill="FFFFFF"/>
        </w:rPr>
        <w:t>开展了绩效评价，涉及财政拨款项目资金</w:t>
      </w:r>
      <w:r>
        <w:rPr>
          <w:rFonts w:hint="default" w:ascii="Times New Roman" w:hAnsi="Times New Roman" w:eastAsia="方正仿宋_GBK" w:cs="Times New Roman"/>
          <w:sz w:val="32"/>
          <w:szCs w:val="32"/>
          <w:shd w:val="clear" w:color="auto" w:fill="FFFFFF"/>
          <w:lang w:val="en-US" w:eastAsia="zh-CN"/>
        </w:rPr>
        <w:t>20</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val="en-US" w:eastAsia="zh-CN"/>
        </w:rPr>
        <w:t>优</w:t>
      </w:r>
      <w:r>
        <w:rPr>
          <w:rFonts w:hint="default" w:ascii="Times New Roman" w:hAnsi="Times New Roman" w:eastAsia="方正仿宋_GBK" w:cs="Times New Roman"/>
          <w:sz w:val="32"/>
          <w:szCs w:val="32"/>
          <w:shd w:val="clear" w:color="auto" w:fill="FFFFFF"/>
        </w:rPr>
        <w:t>，绩效评价发现了</w:t>
      </w:r>
      <w:r>
        <w:rPr>
          <w:rFonts w:hint="default" w:ascii="Times New Roman" w:hAnsi="Times New Roman" w:eastAsia="方正仿宋_GBK" w:cs="Times New Roman"/>
          <w:sz w:val="32"/>
          <w:szCs w:val="32"/>
          <w:shd w:val="clear" w:color="auto" w:fill="FFFFFF"/>
          <w:lang w:val="en-US" w:eastAsia="zh-CN"/>
        </w:rPr>
        <w:t>指标值预估不准</w:t>
      </w:r>
      <w:r>
        <w:rPr>
          <w:rFonts w:hint="default" w:ascii="Times New Roman" w:hAnsi="Times New Roman" w:eastAsia="方正仿宋_GBK" w:cs="Times New Roman"/>
          <w:sz w:val="32"/>
          <w:szCs w:val="32"/>
          <w:shd w:val="clear" w:color="auto" w:fill="FFFFFF"/>
        </w:rPr>
        <w:t>等主要问题，提出</w:t>
      </w:r>
      <w:r>
        <w:rPr>
          <w:rFonts w:hint="default" w:ascii="Times New Roman" w:hAnsi="Times New Roman" w:eastAsia="方正仿宋_GBK" w:cs="Times New Roman"/>
          <w:sz w:val="32"/>
          <w:szCs w:val="32"/>
          <w:shd w:val="clear" w:color="auto" w:fill="FFFFFF"/>
          <w:lang w:val="en-US" w:eastAsia="zh-CN"/>
        </w:rPr>
        <w:t>进一步加强合理测算指标值</w:t>
      </w:r>
      <w:r>
        <w:rPr>
          <w:rFonts w:hint="default" w:ascii="Times New Roman" w:hAnsi="Times New Roman" w:eastAsia="方正仿宋_GBK" w:cs="Times New Roman"/>
          <w:sz w:val="32"/>
          <w:szCs w:val="32"/>
          <w:shd w:val="clear" w:color="auto" w:fill="FFFFFF"/>
        </w:rPr>
        <w:t>等下一步工作建议；对</w:t>
      </w:r>
      <w:r>
        <w:rPr>
          <w:rFonts w:hint="default" w:ascii="Times New Roman" w:hAnsi="Times New Roman" w:eastAsia="方正仿宋_GBK" w:cs="Times New Roman"/>
          <w:sz w:val="32"/>
          <w:szCs w:val="32"/>
          <w:shd w:val="clear" w:color="auto" w:fill="FFFFFF"/>
          <w:lang w:val="en-US" w:eastAsia="zh-CN"/>
        </w:rPr>
        <w:t>人民调解项目</w:t>
      </w:r>
      <w:r>
        <w:rPr>
          <w:rFonts w:hint="default" w:ascii="Times New Roman" w:hAnsi="Times New Roman" w:eastAsia="方正仿宋_GBK" w:cs="Times New Roman"/>
          <w:sz w:val="32"/>
          <w:szCs w:val="32"/>
          <w:shd w:val="clear" w:color="auto" w:fill="FFFFFF"/>
        </w:rPr>
        <w:t>开展了绩效评价，涉及财政拨款项目资金</w:t>
      </w:r>
      <w:r>
        <w:rPr>
          <w:rFonts w:hint="default" w:ascii="Times New Roman" w:hAnsi="Times New Roman" w:eastAsia="方正仿宋_GBK" w:cs="Times New Roman"/>
          <w:sz w:val="32"/>
          <w:szCs w:val="32"/>
          <w:shd w:val="clear" w:color="auto" w:fill="FFFFFF"/>
          <w:lang w:val="en-US" w:eastAsia="zh-CN"/>
        </w:rPr>
        <w:t>12</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val="en-US" w:eastAsia="zh-CN"/>
        </w:rPr>
        <w:t>优</w:t>
      </w:r>
      <w:r>
        <w:rPr>
          <w:rFonts w:hint="default" w:ascii="Times New Roman" w:hAnsi="Times New Roman" w:eastAsia="方正仿宋_GBK" w:cs="Times New Roman"/>
          <w:sz w:val="32"/>
          <w:szCs w:val="32"/>
          <w:shd w:val="clear" w:color="auto" w:fill="FFFFFF"/>
        </w:rPr>
        <w:t>，绩效评价发现了</w:t>
      </w:r>
      <w:r>
        <w:rPr>
          <w:rFonts w:hint="default" w:ascii="Times New Roman" w:hAnsi="Times New Roman" w:eastAsia="方正仿宋_GBK" w:cs="Times New Roman"/>
          <w:sz w:val="32"/>
          <w:szCs w:val="32"/>
          <w:shd w:val="clear" w:color="auto" w:fill="FFFFFF"/>
          <w:lang w:val="en-US" w:eastAsia="zh-CN"/>
        </w:rPr>
        <w:t>指标值预估不准</w:t>
      </w:r>
      <w:r>
        <w:rPr>
          <w:rFonts w:hint="default" w:ascii="Times New Roman" w:hAnsi="Times New Roman" w:eastAsia="方正仿宋_GBK" w:cs="Times New Roman"/>
          <w:sz w:val="32"/>
          <w:szCs w:val="32"/>
          <w:shd w:val="clear" w:color="auto" w:fill="FFFFFF"/>
        </w:rPr>
        <w:t>等主要问题，提出</w:t>
      </w:r>
      <w:r>
        <w:rPr>
          <w:rFonts w:hint="default" w:ascii="Times New Roman" w:hAnsi="Times New Roman" w:eastAsia="方正仿宋_GBK" w:cs="Times New Roman"/>
          <w:sz w:val="32"/>
          <w:szCs w:val="32"/>
          <w:shd w:val="clear" w:color="auto" w:fill="FFFFFF"/>
          <w:lang w:val="en-US" w:eastAsia="zh-CN"/>
        </w:rPr>
        <w:t>进一步加强合理测算指标值</w:t>
      </w:r>
      <w:r>
        <w:rPr>
          <w:rFonts w:hint="default" w:ascii="Times New Roman" w:hAnsi="Times New Roman" w:eastAsia="方正仿宋_GBK" w:cs="Times New Roman"/>
          <w:sz w:val="32"/>
          <w:szCs w:val="32"/>
          <w:shd w:val="clear" w:color="auto" w:fill="FFFFFF"/>
        </w:rPr>
        <w:t>等下一步工作建议</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（三）财政绩效评价情况</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县财政局未委托第三方对我单位开展绩效评价。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9"/>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 xml:space="preserve">  </w:t>
      </w:r>
      <w:r>
        <w:rPr>
          <w:rStyle w:val="9"/>
          <w:rFonts w:hint="default" w:ascii="Times New Roman" w:hAnsi="Times New Roman" w:eastAsia="黑体" w:cs="Times New Roman"/>
          <w:color w:val="auto"/>
          <w:sz w:val="32"/>
          <w:szCs w:val="32"/>
          <w:shd w:val="clear" w:color="auto" w:fill="FFFFFF"/>
        </w:rPr>
        <w:t>六、专业名词解释</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 （二）事业收入</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eastAsia" w:ascii="方正楷体_GBK" w:hAnsi="方正楷体_GBK" w:eastAsia="方正楷体_GBK" w:cs="方正楷体_GBK"/>
          <w:b w:val="0"/>
          <w:bCs/>
          <w:color w:val="auto"/>
          <w:sz w:val="32"/>
          <w:szCs w:val="32"/>
          <w:shd w:val="clear" w:color="auto" w:fill="FFFFFF"/>
        </w:rPr>
        <w:t>（三）经营收入</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eastAsia" w:ascii="方正楷体_GBK" w:hAnsi="方正楷体_GBK" w:eastAsia="方正楷体_GBK" w:cs="方正楷体_GBK"/>
          <w:b w:val="0"/>
          <w:bCs/>
          <w:color w:val="auto"/>
          <w:sz w:val="32"/>
          <w:szCs w:val="32"/>
          <w:shd w:val="clear" w:color="auto" w:fill="FFFFFF"/>
        </w:rPr>
        <w:t>（四）其他收入</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（五）使用非财政拨款结余</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 （六）年初结转和结余</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eastAsia" w:ascii="方正楷体_GBK" w:hAnsi="方正楷体_GBK" w:eastAsia="方正楷体_GBK" w:cs="方正楷体_GBK"/>
          <w:b w:val="0"/>
          <w:bCs/>
          <w:color w:val="auto"/>
          <w:sz w:val="32"/>
          <w:szCs w:val="32"/>
          <w:shd w:val="clear" w:color="auto" w:fill="FFFFFF"/>
        </w:rPr>
        <w:t>（七）结余分配</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eastAsia" w:ascii="方正楷体_GBK" w:hAnsi="方正楷体_GBK" w:eastAsia="方正楷体_GBK" w:cs="方正楷体_GBK"/>
          <w:b w:val="0"/>
          <w:bCs/>
          <w:color w:val="auto"/>
          <w:sz w:val="32"/>
          <w:szCs w:val="32"/>
          <w:shd w:val="clear" w:color="auto" w:fill="FFFFFF"/>
        </w:rPr>
        <w:t>（八）年末结转和结余</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eastAsia" w:ascii="方正楷体_GBK" w:hAnsi="方正楷体_GBK" w:eastAsia="方正楷体_GBK" w:cs="方正楷体_GBK"/>
          <w:b w:val="0"/>
          <w:bCs/>
          <w:color w:val="auto"/>
          <w:sz w:val="32"/>
          <w:szCs w:val="32"/>
          <w:shd w:val="clear" w:color="auto" w:fill="FFFFFF"/>
        </w:rPr>
        <w:t>（九）基本支出</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eastAsia" w:ascii="方正楷体_GBK" w:hAnsi="方正楷体_GBK" w:eastAsia="方正楷体_GBK" w:cs="方正楷体_GBK"/>
          <w:b w:val="0"/>
          <w:bCs/>
          <w:color w:val="auto"/>
          <w:sz w:val="32"/>
          <w:szCs w:val="32"/>
          <w:shd w:val="clear" w:color="auto" w:fill="FFFFFF"/>
        </w:rPr>
        <w:t>（十）项目支出</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 （十一）经营支出</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eastAsia" w:ascii="方正楷体_GBK" w:hAnsi="方正楷体_GBK" w:eastAsia="方正楷体_GBK" w:cs="方正楷体_GBK"/>
          <w:b w:val="0"/>
          <w:bCs/>
          <w:color w:val="auto"/>
          <w:sz w:val="32"/>
          <w:szCs w:val="32"/>
          <w:shd w:val="clear" w:color="auto" w:fill="FFFFFF"/>
        </w:rPr>
        <w:t>（十二）“三公”经费</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eastAsia" w:ascii="方正楷体_GBK" w:hAnsi="方正楷体_GBK" w:eastAsia="方正楷体_GBK" w:cs="方正楷体_GBK"/>
          <w:b w:val="0"/>
          <w:bCs/>
          <w:color w:val="auto"/>
          <w:sz w:val="32"/>
          <w:szCs w:val="32"/>
          <w:shd w:val="clear" w:color="auto" w:fill="FFFFFF"/>
        </w:rPr>
        <w:t>（十三）机关运行经费</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eastAsia" w:ascii="方正楷体_GBK" w:hAnsi="方正楷体_GBK" w:eastAsia="方正楷体_GBK" w:cs="方正楷体_GBK"/>
          <w:b w:val="0"/>
          <w:bCs/>
          <w:color w:val="auto"/>
          <w:sz w:val="32"/>
          <w:szCs w:val="32"/>
          <w:shd w:val="clear" w:color="auto" w:fill="FFFFFF"/>
        </w:rPr>
        <w:t>（十四）工资福利支出（支出经济分类科目类级）</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 </w:t>
      </w:r>
      <w:r>
        <w:rPr>
          <w:rStyle w:val="9"/>
          <w:rFonts w:hint="eastAsia" w:ascii="方正楷体_GBK" w:hAnsi="方正楷体_GBK" w:eastAsia="方正楷体_GBK" w:cs="方正楷体_GBK"/>
          <w:b w:val="0"/>
          <w:bCs/>
          <w:color w:val="auto"/>
          <w:sz w:val="32"/>
          <w:szCs w:val="32"/>
          <w:shd w:val="clear" w:color="auto" w:fill="FFFFFF"/>
        </w:rPr>
        <w:t>（十五）商品和服务支出（支出经济分类科目类级）</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 </w:t>
      </w:r>
      <w:r>
        <w:rPr>
          <w:rStyle w:val="9"/>
          <w:rFonts w:hint="eastAsia" w:ascii="方正楷体_GBK" w:hAnsi="方正楷体_GBK" w:eastAsia="方正楷体_GBK" w:cs="方正楷体_GBK"/>
          <w:b w:val="0"/>
          <w:bCs/>
          <w:color w:val="auto"/>
          <w:sz w:val="32"/>
          <w:szCs w:val="32"/>
          <w:shd w:val="clear" w:color="auto" w:fill="FFFFFF"/>
        </w:rPr>
        <w:t>（十六）对个人和家庭的补助（支出经济分类科目类级）</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 （十七）其他资本性支出（支出经济分类科目类级）</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shd w:val="clear" w:color="auto" w:fill="FFFFFF"/>
        <w:kinsoku/>
        <w:wordWrap/>
        <w:overflowPunct/>
        <w:topLinePunct w:val="0"/>
        <w:autoSpaceDN/>
        <w:bidi w:val="0"/>
        <w:adjustRightInd/>
        <w:spacing w:beforeAutospacing="0" w:afterAutospacing="0" w:line="560" w:lineRule="exact"/>
        <w:jc w:val="both"/>
        <w:textAlignment w:val="auto"/>
        <w:rPr>
          <w:rStyle w:val="9"/>
          <w:rFonts w:hint="eastAsia" w:ascii="方正黑体_GBK" w:hAnsi="方正黑体_GBK" w:eastAsia="方正黑体_GBK" w:cs="方正黑体_GBK"/>
          <w:b w:val="0"/>
          <w:bCs/>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  七、决算公开联系方式及信息反馈渠道</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本单位决算公开信息反馈和联系方式：</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shd w:val="clear" w:color="auto" w:fill="FFFFFF"/>
          <w:lang w:val="en-US" w:eastAsia="zh-CN" w:bidi="ar-SA"/>
        </w:rPr>
        <w:t>田瑶 023-76685987</w:t>
      </w:r>
    </w:p>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重庆市秀山土家族苗族自治县司法局</w:t>
            </w: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2,106.73</w:t>
            </w: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0.48</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1,709.71</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235.21</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44.64</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116.70</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center"/>
              <w:rPr>
                <w:rFonts w:hint="default" w:ascii="Times New Roman" w:hAnsi="Times New Roman" w:cs="Times New Roman"/>
                <w:b/>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2,106.73</w:t>
            </w: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2,106.73</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2,106.73</w:t>
            </w:r>
            <w:r>
              <w:rPr>
                <w:rFonts w:hint="default" w:ascii="Times New Roman" w:hAnsi="Times New Roman" w:cs="Times New Roman"/>
                <w:color w:val="auto"/>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2,106.73</w:t>
            </w:r>
            <w:r>
              <w:rPr>
                <w:rFonts w:hint="default" w:ascii="Times New Roman" w:hAnsi="Times New Roman" w:cs="Times New Roman"/>
                <w:color w:val="auto"/>
                <w:sz w:val="20"/>
                <w:u w:color="auto"/>
              </w:rPr>
              <w:t xml:space="preserve"> </w:t>
            </w:r>
          </w:p>
        </w:tc>
      </w:tr>
    </w:tbl>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重庆市秀山土家族苗族自治县司法局</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2,106.73</w:t>
            </w:r>
            <w:r>
              <w:rPr>
                <w:rFonts w:hint="default" w:ascii="Times New Roman" w:hAnsi="Times New Roman" w:cs="Times New Roman"/>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2,106.73</w:t>
            </w:r>
            <w:r>
              <w:rPr>
                <w:rFonts w:hint="default" w:ascii="Times New Roman" w:hAnsi="Times New Roman" w:cs="Times New Roman"/>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0.48</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0.48</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1,709.71</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1,709.71</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司法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1,709.71</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1,709.71</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1,081.90</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1,081.90</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30.87</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30.87</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基层司法业务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162.06</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162.06</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普法宣传</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73.10</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73.10</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律师管理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17.55</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17.55</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公共法律服务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197.06</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197.06</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社区矫正</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147.17</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147.17</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235.21</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235.21</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235.21</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235.21</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79.13</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79.13</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104.05</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104.05</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52.03</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52.03</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44.64</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44.64</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44.64</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44.64</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44.64</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44.64</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116.70</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116.70</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116.70</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116.70</w:t>
            </w:r>
            <w:r>
              <w:rPr>
                <w:rFonts w:hint="default" w:ascii="Times New Roman" w:hAnsi="Times New Roman" w:cs="Times New Roman"/>
                <w:b/>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116.70</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116.70</w:t>
            </w: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kinsoku/>
        <w:overflowPunct/>
        <w:topLinePunct w:val="0"/>
        <w:autoSpaceDN/>
        <w:bidi w:val="0"/>
        <w:adjustRightInd/>
        <w:spacing w:beforeAutospacing="0" w:afterAutospacing="0"/>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 xml:space="preserve">重庆市秀山土家族苗族自治县司法局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2,106.73</w:t>
            </w:r>
            <w:r>
              <w:rPr>
                <w:rFonts w:hint="default" w:ascii="Times New Roman" w:hAnsi="Times New Roman" w:cs="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1,478.44</w:t>
            </w:r>
            <w:r>
              <w:rPr>
                <w:rFonts w:hint="default" w:ascii="Times New Roman" w:hAnsi="Times New Roman" w:cs="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628.29</w:t>
            </w:r>
            <w:r>
              <w:rPr>
                <w:rFonts w:hint="default" w:ascii="Times New Roman" w:hAnsi="Times New Roman" w:cs="Times New Roman"/>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0.48</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0.48</w:t>
            </w: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1,709.71</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1,081.90</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627.81</w:t>
            </w:r>
            <w:r>
              <w:rPr>
                <w:rFonts w:hint="default" w:ascii="Times New Roman" w:hAnsi="Times New Roman" w:cs="Times New Roman"/>
                <w:b/>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司法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1,709.71</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1,081.90</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627.81</w:t>
            </w:r>
            <w:r>
              <w:rPr>
                <w:rFonts w:hint="default" w:ascii="Times New Roman" w:hAnsi="Times New Roman" w:cs="Times New Roman"/>
                <w:b/>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1,081.90</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1,081.90</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30.87</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30.87</w:t>
            </w: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基层司法业务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162.06</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162.06</w:t>
            </w: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普法宣传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73.10</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73.10</w:t>
            </w: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律师管理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17.55</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17.55</w:t>
            </w: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公共法律服务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197.06</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197.06</w:t>
            </w: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社区矫正</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147.17</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147.17</w:t>
            </w: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235.21</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235.21</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235.21</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235.21</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79.13</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79.13</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104.05</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104.05</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52.03</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52.03</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44.64</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44.64</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44.64</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44.64</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44.64</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44.64</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116.70</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116.70</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116.70</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116.70</w:t>
            </w:r>
            <w:r>
              <w:rPr>
                <w:rFonts w:hint="default" w:ascii="Times New Roman" w:hAnsi="Times New Roman" w:cs="Times New Roman"/>
                <w:b/>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116.70</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116.70</w:t>
            </w:r>
            <w:r>
              <w:rPr>
                <w:rFonts w:hint="default" w:ascii="Times New Roman" w:hAnsi="Times New Roman" w:cs="Times New Roman"/>
                <w:color w:val="auto"/>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1"/>
          <w:szCs w:val="21"/>
        </w:rPr>
      </w:pPr>
    </w:p>
    <w:tbl>
      <w:tblPr>
        <w:tblStyle w:val="10"/>
        <w:tblW w:w="15060" w:type="dxa"/>
        <w:tblInd w:w="0" w:type="dxa"/>
        <w:tblLayout w:type="fixed"/>
        <w:tblCellMar>
          <w:top w:w="0" w:type="dxa"/>
          <w:left w:w="0" w:type="dxa"/>
          <w:bottom w:w="0" w:type="dxa"/>
          <w:right w:w="0" w:type="dxa"/>
        </w:tblCellMar>
      </w:tblPr>
      <w:tblGrid>
        <w:gridCol w:w="3045"/>
        <w:gridCol w:w="1561"/>
        <w:gridCol w:w="3261"/>
        <w:gridCol w:w="1"/>
        <w:gridCol w:w="1737"/>
        <w:gridCol w:w="1"/>
        <w:gridCol w:w="1737"/>
        <w:gridCol w:w="1"/>
        <w:gridCol w:w="1737"/>
        <w:gridCol w:w="1"/>
        <w:gridCol w:w="1978"/>
      </w:tblGrid>
      <w:tr>
        <w:tblPrEx>
          <w:tblLayout w:type="fixed"/>
          <w:tblCellMar>
            <w:top w:w="0" w:type="dxa"/>
            <w:left w:w="0" w:type="dxa"/>
            <w:bottom w:w="0" w:type="dxa"/>
            <w:right w:w="0" w:type="dxa"/>
          </w:tblCellMar>
        </w:tblPrEx>
        <w:trPr>
          <w:trHeight w:val="442" w:hRule="atLeast"/>
        </w:trPr>
        <w:tc>
          <w:tcPr>
            <w:tcW w:w="15060" w:type="dxa"/>
            <w:gridSpan w:val="11"/>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Layout w:type="fixed"/>
          <w:tblCellMar>
            <w:top w:w="0" w:type="dxa"/>
            <w:left w:w="0" w:type="dxa"/>
            <w:bottom w:w="0" w:type="dxa"/>
            <w:right w:w="0" w:type="dxa"/>
          </w:tblCellMar>
        </w:tblPrEx>
        <w:trPr>
          <w:trHeight w:val="278" w:hRule="atLeast"/>
        </w:trPr>
        <w:tc>
          <w:tcPr>
            <w:tcW w:w="78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重庆市秀山土家族苗族自治县司法局</w:t>
            </w:r>
          </w:p>
        </w:tc>
        <w:tc>
          <w:tcPr>
            <w:tcW w:w="1738"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738"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738"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979"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Layout w:type="fixed"/>
          <w:tblCellMar>
            <w:top w:w="0" w:type="dxa"/>
            <w:left w:w="0" w:type="dxa"/>
            <w:bottom w:w="0" w:type="dxa"/>
            <w:right w:w="0" w:type="dxa"/>
          </w:tblCellMar>
        </w:tblPrEx>
        <w:trPr>
          <w:trHeight w:val="319" w:hRule="atLeast"/>
        </w:trPr>
        <w:tc>
          <w:tcPr>
            <w:tcW w:w="7867"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738"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738"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738"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979"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256" w:hRule="atLeast"/>
        </w:trPr>
        <w:tc>
          <w:tcPr>
            <w:tcW w:w="46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10454" w:type="dxa"/>
            <w:gridSpan w:val="9"/>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Layout w:type="fixed"/>
          <w:tblCellMar>
            <w:top w:w="0" w:type="dxa"/>
            <w:left w:w="0" w:type="dxa"/>
            <w:bottom w:w="0" w:type="dxa"/>
            <w:right w:w="0" w:type="dxa"/>
          </w:tblCellMar>
        </w:tblPrEx>
        <w:trPr>
          <w:trHeight w:val="256" w:hRule="atLeast"/>
        </w:trPr>
        <w:tc>
          <w:tcPr>
            <w:tcW w:w="304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326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7192" w:type="dxa"/>
            <w:gridSpan w:val="7"/>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Layout w:type="fixed"/>
          <w:tblCellMar>
            <w:top w:w="0" w:type="dxa"/>
            <w:left w:w="0" w:type="dxa"/>
            <w:bottom w:w="0" w:type="dxa"/>
            <w:right w:w="0" w:type="dxa"/>
          </w:tblCellMar>
        </w:tblPrEx>
        <w:trPr>
          <w:trHeight w:val="462" w:hRule="atLeast"/>
        </w:trPr>
        <w:tc>
          <w:tcPr>
            <w:tcW w:w="30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rPr>
                <w:rFonts w:hint="default" w:ascii="Times New Roman" w:hAnsi="Times New Roman" w:cs="Times New Roman"/>
                <w:b/>
                <w:color w:val="auto"/>
                <w:sz w:val="18"/>
                <w:szCs w:val="18"/>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rPr>
                <w:rFonts w:hint="default" w:ascii="Times New Roman" w:hAnsi="Times New Roman" w:cs="Times New Roman"/>
                <w:b/>
                <w:color w:val="auto"/>
                <w:sz w:val="18"/>
                <w:szCs w:val="18"/>
              </w:rPr>
            </w:pPr>
          </w:p>
        </w:tc>
        <w:tc>
          <w:tcPr>
            <w:tcW w:w="326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rPr>
                <w:rFonts w:hint="default" w:ascii="Times New Roman" w:hAnsi="Times New Roman" w:cs="Times New Roman"/>
                <w:b/>
                <w:color w:val="auto"/>
                <w:sz w:val="18"/>
                <w:szCs w:val="18"/>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17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17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197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2,106.73</w:t>
            </w:r>
            <w:r>
              <w:rPr>
                <w:rFonts w:hint="default" w:ascii="Times New Roman" w:hAnsi="Times New Roman" w:cs="Times New Roman"/>
                <w:color w:val="auto"/>
                <w:sz w:val="18"/>
                <w:u w:color="auto"/>
              </w:rPr>
              <w:t xml:space="preserve"> </w:t>
            </w: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0.48</w:t>
            </w: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0.48</w:t>
            </w: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1,709.71</w:t>
            </w: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1,709.71</w:t>
            </w: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235.21</w:t>
            </w: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235.21</w:t>
            </w: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44.64</w:t>
            </w: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44.64</w:t>
            </w: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116.70</w:t>
            </w: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116.70</w:t>
            </w: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2,106.73</w:t>
            </w:r>
            <w:r>
              <w:rPr>
                <w:rFonts w:hint="default" w:ascii="Times New Roman" w:hAnsi="Times New Roman" w:cs="Times New Roman"/>
                <w:color w:val="auto"/>
                <w:sz w:val="18"/>
                <w:u w:color="auto"/>
              </w:rPr>
              <w:t xml:space="preserve"> </w:t>
            </w: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2,106.73</w:t>
            </w: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2,106.73</w:t>
            </w: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rPr>
                <w:rFonts w:hint="default" w:ascii="Times New Roman" w:hAnsi="Times New Roman" w:cs="Times New Roman"/>
                <w:b/>
                <w:color w:val="auto"/>
                <w:sz w:val="18"/>
                <w:szCs w:val="18"/>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256"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rPr>
                <w:rFonts w:hint="default" w:ascii="Times New Roman" w:hAnsi="Times New Roman" w:cs="Times New Roman"/>
                <w:b/>
                <w:color w:val="auto"/>
                <w:sz w:val="18"/>
                <w:szCs w:val="18"/>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277" w:hRule="atLeast"/>
        </w:trPr>
        <w:tc>
          <w:tcPr>
            <w:tcW w:w="30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2,106.73</w:t>
            </w:r>
            <w:r>
              <w:rPr>
                <w:rFonts w:hint="default" w:ascii="Times New Roman" w:hAnsi="Times New Roman" w:cs="Times New Roman"/>
                <w:color w:val="auto"/>
                <w:sz w:val="18"/>
                <w:u w:color="auto"/>
              </w:rPr>
              <w:t xml:space="preserve"> </w:t>
            </w:r>
          </w:p>
        </w:tc>
        <w:tc>
          <w:tcPr>
            <w:tcW w:w="326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2,106.73</w:t>
            </w: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2,106.73</w:t>
            </w:r>
            <w:r>
              <w:rPr>
                <w:rFonts w:hint="default" w:ascii="Times New Roman" w:hAnsi="Times New Roman" w:cs="Times New Roman"/>
                <w:color w:val="auto"/>
                <w:sz w:val="18"/>
                <w:u w:color="auto"/>
              </w:rPr>
              <w:t xml:space="preserve"> </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keepNext w:val="0"/>
        <w:keepLines w:val="0"/>
        <w:pageBreakBefore w:val="0"/>
        <w:kinsoku/>
        <w:overflowPunct/>
        <w:topLinePunct w:val="0"/>
        <w:autoSpaceDN/>
        <w:bidi w:val="0"/>
        <w:adjustRightInd/>
        <w:spacing w:beforeAutospacing="0" w:afterAutospacing="0"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重庆市秀山土家族苗族自治县司法局</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2,106.73</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1,478.44</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628.29</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组织事务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0.48</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0.48</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0.48</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1,709.71</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1,081.90</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627.81</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20406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司法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1,709.71</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1,081.90</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627.81</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1,081.90</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1,081.90</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30.87</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30.87</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基层司法业务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162.06</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162.06</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普法宣传</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73.10</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73.10</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律师管理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17.55</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17.55</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公共法律服务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197.06</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197.06</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2040610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社区矫正</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147.17</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147.17</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235.21</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235.21</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235.21</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235.21</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79.13</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79.13</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104.05</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104.05</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52.03</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52.03</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44.64</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44.64</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44.64</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44.64</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44.64</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44.64</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116.70</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116.70</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116.70</w:t>
            </w:r>
            <w:r>
              <w:rPr>
                <w:rFonts w:hint="default" w:ascii="Times New Roman" w:hAnsi="Times New Roman" w:cs="Times New Roman"/>
                <w:b/>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116.70</w:t>
            </w:r>
            <w:r>
              <w:rPr>
                <w:rFonts w:hint="default" w:ascii="Times New Roman" w:hAnsi="Times New Roman" w:cs="Times New Roman"/>
                <w:b/>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116.70</w:t>
            </w:r>
            <w:r>
              <w:rPr>
                <w:rFonts w:hint="default" w:ascii="Times New Roman" w:hAnsi="Times New Roman" w:cs="Times New Roman"/>
                <w:color w:val="auto"/>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116.70</w:t>
            </w:r>
            <w:r>
              <w:rPr>
                <w:rFonts w:hint="default" w:ascii="Times New Roman" w:hAnsi="Times New Roman" w:cs="Times New Roman"/>
                <w:color w:val="auto"/>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kinsoku/>
        <w:overflowPunct/>
        <w:topLinePunct w:val="0"/>
        <w:autoSpaceDN/>
        <w:bidi w:val="0"/>
        <w:adjustRightInd/>
        <w:spacing w:beforeAutospacing="0" w:afterAutospacing="0"/>
        <w:rPr>
          <w:rFonts w:hint="default" w:ascii="宋体" w:hAnsi="宋体" w:eastAsia="宋体" w:cs="Times New Roman"/>
          <w:sz w:val="24"/>
          <w:szCs w:val="24"/>
          <w:lang w:val="en-US" w:eastAsia="zh-CN" w:bidi="ar-SA"/>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44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重庆市秀山土家族苗族自治县司法局</w:t>
            </w: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rPr>
                <w:rFonts w:hint="default" w:ascii="Times New Roman" w:hAnsi="Times New Roman" w:cs="Times New Roman"/>
                <w:b/>
                <w:color w:val="auto"/>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rPr>
                <w:rFonts w:hint="default" w:ascii="Times New Roman" w:hAnsi="Times New Roman" w:cs="Times New Roman"/>
                <w:b/>
                <w:color w:val="auto"/>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rPr>
                <w:rFonts w:hint="default" w:ascii="Times New Roman" w:hAnsi="Times New Roman" w:cs="Times New Roman"/>
                <w:b/>
                <w:color w:val="auto"/>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rPr>
                <w:rFonts w:hint="default" w:ascii="Times New Roman" w:hAnsi="Times New Roman" w:cs="Times New Roman"/>
                <w:b/>
                <w:color w:val="auto"/>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rPr>
                <w:rFonts w:hint="default" w:ascii="Times New Roman" w:hAnsi="Times New Roman" w:cs="Times New Roman"/>
                <w:b/>
                <w:color w:val="auto"/>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rPr>
                <w:rFonts w:hint="default" w:ascii="Times New Roman" w:hAnsi="Times New Roman" w:cs="Times New Roman"/>
                <w:b/>
                <w:color w:val="auto"/>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rPr>
                <w:rFonts w:hint="default" w:ascii="Times New Roman" w:hAnsi="Times New Roman" w:cs="Times New Roman"/>
                <w:b/>
                <w:color w:val="auto"/>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rPr>
                <w:rFonts w:hint="default" w:ascii="Times New Roman" w:hAnsi="Times New Roman" w:cs="Times New Roman"/>
                <w:b/>
                <w:color w:val="auto"/>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rPr>
                <w:rFonts w:hint="default" w:ascii="Times New Roman" w:hAnsi="Times New Roman" w:cs="Times New Roman"/>
                <w:b/>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1,233.31</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138.69</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248.03</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6.31</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307.67</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300.48</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43.19</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0.47</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104.05</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13.71</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52.03</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17.58</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44.64</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15.60</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1.25</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0.48</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116.70</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15.28</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0.11</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106.44</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0.03</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0.10</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0.86</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22.38</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75.66</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10.64</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8.40</w:t>
            </w: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11.58</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47.29</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13.94</w:t>
            </w: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afterAutospacing="0" w:line="200" w:lineRule="exact"/>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1,339.75</w:t>
            </w:r>
            <w:r>
              <w:rPr>
                <w:rFonts w:hint="default" w:ascii="Times New Roman" w:hAnsi="Times New Roman" w:cs="Times New Roman"/>
                <w:color w:val="auto"/>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138.69</w:t>
            </w:r>
            <w:r>
              <w:rPr>
                <w:rFonts w:hint="default" w:ascii="Times New Roman" w:hAnsi="Times New Roman" w:cs="Times New Roman"/>
                <w:color w:val="auto"/>
                <w:sz w:val="18"/>
                <w:u w:color="auto"/>
              </w:rPr>
              <w:t xml:space="preserve"> </w:t>
            </w:r>
          </w:p>
        </w:tc>
      </w:tr>
    </w:tbl>
    <w:p>
      <w:pPr>
        <w:keepNext w:val="0"/>
        <w:keepLines w:val="0"/>
        <w:pageBreakBefore w:val="0"/>
        <w:kinsoku/>
        <w:overflowPunct/>
        <w:topLinePunct w:val="0"/>
        <w:autoSpaceDN/>
        <w:bidi w:val="0"/>
        <w:adjustRightInd/>
        <w:spacing w:beforeAutospacing="0" w:afterAutospacing="0"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重庆市秀山土家族苗族自治县司法局</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ascii="Times New Roman" w:hAnsi="Times New Roman" w:cs="Times New Roman"/>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kinsoku/>
        <w:overflowPunct/>
        <w:topLinePunct w:val="0"/>
        <w:autoSpaceDN/>
        <w:bidi w:val="0"/>
        <w:adjustRightInd/>
        <w:spacing w:beforeAutospacing="0" w:afterAutospacing="0"/>
        <w:rPr>
          <w:rFonts w:hint="default" w:cs="宋体"/>
          <w:color w:val="auto"/>
          <w:sz w:val="21"/>
          <w:szCs w:val="21"/>
        </w:rPr>
      </w:pPr>
      <w:r>
        <w:rPr>
          <w:rFonts w:hint="default" w:ascii="Times New Roman" w:hAnsi="Times New Roman" w:cs="Times New Roman"/>
          <w:color w:val="auto"/>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rPr>
        <w:br w:type="textWrapping"/>
      </w:r>
      <w:r>
        <w:rPr>
          <w:rFonts w:cs="宋体"/>
          <w:color w:val="auto"/>
          <w:sz w:val="20"/>
          <w:szCs w:val="20"/>
        </w:rPr>
        <w:br w:type="textWrapping"/>
      </w:r>
    </w:p>
    <w:p>
      <w:pPr>
        <w:keepNext w:val="0"/>
        <w:keepLines w:val="0"/>
        <w:pageBreakBefore w:val="0"/>
        <w:kinsoku/>
        <w:overflowPunct/>
        <w:topLinePunct w:val="0"/>
        <w:autoSpaceDN/>
        <w:bidi w:val="0"/>
        <w:adjustRightInd/>
        <w:spacing w:beforeAutospacing="0" w:afterAutospacing="0"/>
        <w:rPr>
          <w:rFonts w:hint="default" w:cs="宋体"/>
          <w:color w:val="auto"/>
          <w:sz w:val="21"/>
          <w:szCs w:val="21"/>
        </w:rPr>
      </w:pPr>
      <w:r>
        <w:rPr>
          <w:rFonts w:cs="宋体"/>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cs="宋体"/>
                <w:color w:val="auto"/>
                <w:sz w:val="20"/>
                <w:szCs w:val="20"/>
              </w:rPr>
            </w:pPr>
            <w:r>
              <w:rPr>
                <w:rFonts w:cs="宋体"/>
                <w:color w:val="auto"/>
                <w:sz w:val="20"/>
                <w:szCs w:val="20"/>
              </w:rPr>
              <w:t xml:space="preserve">公开单位： </w:t>
            </w:r>
            <w:r>
              <w:rPr>
                <w:color w:val="auto"/>
                <w:sz w:val="20"/>
                <w:u w:color="auto"/>
              </w:rPr>
              <w:t>重庆市秀山土家族苗族自治县司法局</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cs="宋体"/>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right"/>
              <w:textAlignment w:val="bottom"/>
              <w:rPr>
                <w:rFonts w:hint="default" w:cs="宋体"/>
                <w:color w:val="auto"/>
                <w:sz w:val="20"/>
                <w:szCs w:val="20"/>
              </w:rPr>
            </w:pPr>
            <w:r>
              <w:rPr>
                <w:rFonts w:cs="宋体"/>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cs="宋体"/>
                <w:color w:val="auto"/>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rPr>
                <w:rFonts w:hint="default" w:cs="宋体"/>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center"/>
              <w:textAlignment w:val="bottom"/>
              <w:rPr>
                <w:rFonts w:hint="default" w:cs="宋体"/>
                <w:b/>
                <w:color w:val="auto"/>
                <w:sz w:val="20"/>
                <w:szCs w:val="20"/>
              </w:rPr>
            </w:pPr>
            <w:r>
              <w:rPr>
                <w:rFonts w:cs="宋体"/>
                <w:b/>
                <w:color w:val="auto"/>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cs="宋体"/>
                <w:b/>
                <w:color w:val="auto"/>
                <w:sz w:val="20"/>
                <w:szCs w:val="20"/>
              </w:rPr>
            </w:pPr>
            <w:r>
              <w:rPr>
                <w:rFonts w:cs="宋体"/>
                <w:b/>
                <w:color w:val="auto"/>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cs="宋体"/>
                <w:b/>
                <w:color w:val="auto"/>
                <w:sz w:val="20"/>
                <w:szCs w:val="20"/>
              </w:rPr>
            </w:pPr>
            <w:r>
              <w:rPr>
                <w:rFonts w:cs="宋体"/>
                <w:b/>
                <w:color w:val="auto"/>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cs="宋体"/>
                <w:b/>
                <w:color w:val="auto"/>
                <w:sz w:val="20"/>
                <w:szCs w:val="20"/>
              </w:rPr>
            </w:pPr>
            <w:r>
              <w:rPr>
                <w:rFonts w:cs="宋体"/>
                <w:b/>
                <w:color w:val="auto"/>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cs="宋体"/>
                <w:b/>
                <w:color w:val="auto"/>
                <w:sz w:val="20"/>
                <w:szCs w:val="20"/>
              </w:rPr>
            </w:pPr>
            <w:r>
              <w:rPr>
                <w:rFonts w:cs="宋体"/>
                <w:b/>
                <w:color w:val="auto"/>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center"/>
              <w:textAlignment w:val="center"/>
              <w:rPr>
                <w:rFonts w:hint="default" w:cs="宋体"/>
                <w:b/>
                <w:color w:val="auto"/>
                <w:sz w:val="20"/>
                <w:szCs w:val="20"/>
              </w:rPr>
            </w:pPr>
            <w:r>
              <w:rPr>
                <w:rFonts w:cs="宋体"/>
                <w:b/>
                <w:color w:val="auto"/>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cs="宋体"/>
                <w:b/>
                <w:color w:val="auto"/>
                <w:sz w:val="20"/>
                <w:szCs w:val="20"/>
              </w:rPr>
            </w:pPr>
            <w:r>
              <w:rPr>
                <w:b/>
                <w:color w:val="auto"/>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jc w:val="right"/>
              <w:rPr>
                <w:rFonts w:hint="default" w:cs="宋体"/>
                <w:b/>
                <w:color w:val="auto"/>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afterAutospacing="0"/>
              <w:jc w:val="right"/>
              <w:textAlignment w:val="center"/>
              <w:rPr>
                <w:rFonts w:hint="default" w:cs="宋体"/>
                <w:b/>
                <w:color w:val="auto"/>
                <w:sz w:val="20"/>
                <w:szCs w:val="20"/>
              </w:rPr>
            </w:pPr>
            <w:r>
              <w:rPr>
                <w:b/>
                <w:color w:val="auto"/>
                <w:sz w:val="20"/>
                <w:u w:color="auto"/>
              </w:rPr>
              <w:t xml:space="preserve"> </w:t>
            </w:r>
          </w:p>
        </w:tc>
      </w:tr>
    </w:tbl>
    <w:p>
      <w:pPr>
        <w:keepNext w:val="0"/>
        <w:keepLines w:val="0"/>
        <w:pageBreakBefore w:val="0"/>
        <w:kinsoku/>
        <w:overflowPunct/>
        <w:topLinePunct w:val="0"/>
        <w:autoSpaceDN/>
        <w:bidi w:val="0"/>
        <w:adjustRightInd/>
        <w:spacing w:beforeAutospacing="0" w:afterAutospacing="0"/>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r>
        <w:rPr>
          <w:rFonts w:hint="default" w:cs="宋体"/>
          <w:color w:val="auto"/>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400" w:lineRule="exact"/>
              <w:jc w:val="center"/>
              <w:textAlignment w:val="bottom"/>
              <w:rPr>
                <w:rFonts w:hint="default" w:cs="宋体"/>
                <w:b/>
                <w:color w:val="auto"/>
                <w:sz w:val="32"/>
                <w:szCs w:val="32"/>
              </w:rPr>
            </w:pPr>
            <w:r>
              <w:rPr>
                <w:rFonts w:cs="宋体"/>
                <w:b/>
                <w:color w:val="auto"/>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80" w:lineRule="exact"/>
              <w:rPr>
                <w:rFonts w:hint="default" w:cs="宋体"/>
                <w:color w:val="auto"/>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80" w:lineRule="exact"/>
              <w:jc w:val="center"/>
              <w:rPr>
                <w:rFonts w:hint="default" w:cs="宋体"/>
                <w:color w:val="auto"/>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80" w:lineRule="exact"/>
              <w:jc w:val="right"/>
              <w:rPr>
                <w:rFonts w:hint="default" w:cs="宋体"/>
                <w:color w:val="auto"/>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80" w:lineRule="exact"/>
              <w:rPr>
                <w:rFonts w:hint="default" w:cs="宋体"/>
                <w:color w:val="auto"/>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80" w:lineRule="exact"/>
              <w:jc w:val="right"/>
              <w:textAlignment w:val="bottom"/>
              <w:rPr>
                <w:rFonts w:hint="default" w:cs="宋体"/>
                <w:color w:val="auto"/>
                <w:sz w:val="20"/>
                <w:szCs w:val="20"/>
              </w:rPr>
            </w:pPr>
            <w:r>
              <w:rPr>
                <w:rFonts w:cs="宋体"/>
                <w:color w:val="auto"/>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80" w:lineRule="exact"/>
              <w:rPr>
                <w:rFonts w:hint="default" w:cs="宋体"/>
                <w:color w:val="auto"/>
                <w:sz w:val="20"/>
                <w:szCs w:val="20"/>
              </w:rPr>
            </w:pPr>
            <w:r>
              <w:rPr>
                <w:rFonts w:cs="宋体"/>
                <w:color w:val="auto"/>
                <w:sz w:val="20"/>
                <w:szCs w:val="20"/>
              </w:rPr>
              <w:t xml:space="preserve">公开单位： </w:t>
            </w:r>
            <w:r>
              <w:rPr>
                <w:color w:val="auto"/>
                <w:sz w:val="20"/>
                <w:u w:color="auto"/>
              </w:rPr>
              <w:t>重庆市秀山土家族苗族自治县司法局</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80" w:lineRule="exact"/>
              <w:jc w:val="right"/>
              <w:rPr>
                <w:rFonts w:hint="default" w:cs="宋体"/>
                <w:color w:val="auto"/>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80" w:lineRule="exact"/>
              <w:rPr>
                <w:rFonts w:hint="default" w:cs="宋体"/>
                <w:color w:val="auto"/>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b/>
                <w:color w:val="auto"/>
                <w:sz w:val="16"/>
                <w:szCs w:val="16"/>
              </w:rPr>
            </w:pPr>
            <w:r>
              <w:rPr>
                <w:rFonts w:cs="宋体"/>
                <w:b/>
                <w:color w:val="auto"/>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b/>
                <w:color w:val="auto"/>
                <w:sz w:val="16"/>
                <w:szCs w:val="16"/>
              </w:rPr>
            </w:pPr>
            <w:r>
              <w:rPr>
                <w:rFonts w:cs="宋体"/>
                <w:b/>
                <w:color w:val="auto"/>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b/>
                <w:color w:val="auto"/>
                <w:sz w:val="16"/>
                <w:szCs w:val="16"/>
              </w:rPr>
            </w:pPr>
            <w:r>
              <w:rPr>
                <w:rFonts w:cs="宋体"/>
                <w:b/>
                <w:color w:val="auto"/>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b/>
                <w:color w:val="auto"/>
                <w:sz w:val="16"/>
                <w:szCs w:val="16"/>
              </w:rPr>
            </w:pPr>
            <w:r>
              <w:rPr>
                <w:rFonts w:cs="宋体"/>
                <w:b/>
                <w:color w:val="auto"/>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b/>
                <w:color w:val="auto"/>
                <w:sz w:val="16"/>
                <w:szCs w:val="16"/>
              </w:rPr>
            </w:pPr>
            <w:r>
              <w:rPr>
                <w:rFonts w:cs="宋体"/>
                <w:b/>
                <w:color w:val="auto"/>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138.69</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39.04</w:t>
            </w: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39.04</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138.69</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38.18</w:t>
            </w: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38.18</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17.98</w:t>
            </w: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17.98</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 xml:space="preserve">10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20.20</w:t>
            </w: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20.20</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0.86</w:t>
            </w:r>
            <w:r>
              <w:rPr>
                <w:color w:val="auto"/>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0.86</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0.86</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1</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9</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1</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10</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11</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4.49</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4.49</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60</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4.49</w:t>
            </w:r>
            <w:r>
              <w:rPr>
                <w:color w:val="auto"/>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4.49</w:t>
            </w:r>
            <w:r>
              <w:rPr>
                <w:color w:val="auto"/>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1.66</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cs="宋体"/>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rPr>
                <w:rFonts w:hint="default" w:cs="宋体"/>
                <w:color w:val="auto"/>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textAlignment w:val="center"/>
              <w:rPr>
                <w:rFonts w:hint="default" w:cs="宋体"/>
                <w:color w:val="auto"/>
                <w:sz w:val="16"/>
                <w:szCs w:val="16"/>
              </w:rPr>
            </w:pPr>
            <w:r>
              <w:rPr>
                <w:rFonts w:cs="宋体"/>
                <w:color w:val="auto"/>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jc w:val="center"/>
              <w:textAlignment w:val="center"/>
              <w:rPr>
                <w:rFonts w:hint="default" w:cs="宋体"/>
                <w:color w:val="auto"/>
                <w:sz w:val="16"/>
                <w:szCs w:val="16"/>
              </w:rPr>
            </w:pPr>
            <w:r>
              <w:rPr>
                <w:rFonts w:cs="宋体"/>
                <w:color w:val="auto"/>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textAlignment w:val="bottom"/>
              <w:rPr>
                <w:rFonts w:hint="default" w:cs="宋体"/>
                <w:color w:val="auto"/>
                <w:sz w:val="16"/>
                <w:szCs w:val="16"/>
              </w:rPr>
            </w:pPr>
            <w:r>
              <w:rPr>
                <w:rFonts w:cs="宋体"/>
                <w:color w:val="auto"/>
                <w:sz w:val="16"/>
                <w:szCs w:val="16"/>
              </w:rPr>
              <w:t>18.69</w:t>
            </w:r>
            <w:r>
              <w:rPr>
                <w:color w:val="auto"/>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afterAutospacing="0" w:line="200" w:lineRule="exact"/>
              <w:rPr>
                <w:rFonts w:hint="default" w:cs="宋体"/>
                <w:color w:val="auto"/>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beforeAutospacing="0" w:afterAutospacing="0" w:line="200" w:lineRule="exact"/>
              <w:jc w:val="right"/>
              <w:rPr>
                <w:rFonts w:hint="default" w:cs="宋体"/>
                <w:color w:val="auto"/>
                <w:sz w:val="16"/>
                <w:szCs w:val="16"/>
              </w:rPr>
            </w:pPr>
          </w:p>
        </w:tc>
      </w:tr>
    </w:tbl>
    <w:p>
      <w:pPr>
        <w:keepNext w:val="0"/>
        <w:keepLines w:val="0"/>
        <w:pageBreakBefore w:val="0"/>
        <w:kinsoku/>
        <w:overflowPunct/>
        <w:topLinePunct w:val="0"/>
        <w:autoSpaceDN/>
        <w:bidi w:val="0"/>
        <w:adjustRightInd/>
        <w:spacing w:beforeAutospacing="0" w:afterAutospacing="0"/>
        <w:rPr>
          <w:rFonts w:hint="default" w:cs="宋体"/>
          <w:color w:val="auto"/>
          <w:sz w:val="21"/>
          <w:szCs w:val="21"/>
        </w:rPr>
      </w:pPr>
      <w:r>
        <w:rPr>
          <w:rFonts w:cs="宋体"/>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8B3788"/>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5D7A07"/>
    <w:rsid w:val="12C459C5"/>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5C70A6"/>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39061D"/>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847636"/>
    <w:rsid w:val="329C0913"/>
    <w:rsid w:val="32AA0460"/>
    <w:rsid w:val="3337290D"/>
    <w:rsid w:val="33E31118"/>
    <w:rsid w:val="33EF7674"/>
    <w:rsid w:val="342D7BC6"/>
    <w:rsid w:val="352930DB"/>
    <w:rsid w:val="35573069"/>
    <w:rsid w:val="355F6038"/>
    <w:rsid w:val="358C217E"/>
    <w:rsid w:val="36C9128A"/>
    <w:rsid w:val="37841E99"/>
    <w:rsid w:val="37BF1123"/>
    <w:rsid w:val="380540FD"/>
    <w:rsid w:val="383C3F15"/>
    <w:rsid w:val="38BE4696"/>
    <w:rsid w:val="3939115E"/>
    <w:rsid w:val="39B82A39"/>
    <w:rsid w:val="39C42CA8"/>
    <w:rsid w:val="39DC4FD6"/>
    <w:rsid w:val="39F03D7A"/>
    <w:rsid w:val="39F33306"/>
    <w:rsid w:val="3A2C1C67"/>
    <w:rsid w:val="3A797AE2"/>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CDB90B"/>
    <w:rsid w:val="48225EF7"/>
    <w:rsid w:val="488F422B"/>
    <w:rsid w:val="48E36915"/>
    <w:rsid w:val="48EB6572"/>
    <w:rsid w:val="495C4A24"/>
    <w:rsid w:val="497135DF"/>
    <w:rsid w:val="4A263DF2"/>
    <w:rsid w:val="4A6F6675"/>
    <w:rsid w:val="4AF313DD"/>
    <w:rsid w:val="4B135857"/>
    <w:rsid w:val="4B7951CB"/>
    <w:rsid w:val="4B7C315C"/>
    <w:rsid w:val="4DAC4ACA"/>
    <w:rsid w:val="4DBE01D2"/>
    <w:rsid w:val="4EA71839"/>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8C6EF7"/>
    <w:rsid w:val="5A3B59D6"/>
    <w:rsid w:val="5AD134D8"/>
    <w:rsid w:val="5C263CE4"/>
    <w:rsid w:val="5C5D2777"/>
    <w:rsid w:val="5CC035CF"/>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0D4F81"/>
    <w:rsid w:val="750837F0"/>
    <w:rsid w:val="75145CF6"/>
    <w:rsid w:val="754758CF"/>
    <w:rsid w:val="764F62AB"/>
    <w:rsid w:val="765C45EC"/>
    <w:rsid w:val="768A7619"/>
    <w:rsid w:val="76BA76E2"/>
    <w:rsid w:val="772E1EBA"/>
    <w:rsid w:val="781926BC"/>
    <w:rsid w:val="796D60A4"/>
    <w:rsid w:val="79A031D5"/>
    <w:rsid w:val="7A1525F7"/>
    <w:rsid w:val="7B420052"/>
    <w:rsid w:val="7BD06A28"/>
    <w:rsid w:val="7C3A7C0B"/>
    <w:rsid w:val="7C5248E4"/>
    <w:rsid w:val="7C566698"/>
    <w:rsid w:val="7C5866A3"/>
    <w:rsid w:val="7CDE7944"/>
    <w:rsid w:val="7D462A49"/>
    <w:rsid w:val="7D7406BB"/>
    <w:rsid w:val="7DE94331"/>
    <w:rsid w:val="7F446A19"/>
    <w:rsid w:val="7F7452B9"/>
    <w:rsid w:val="B5B13227"/>
    <w:rsid w:val="D5D69FE9"/>
    <w:rsid w:val="EDBB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spacing w:before="0" w:beforeAutospacing="0" w:after="0" w:afterAutospacing="0"/>
      <w:ind w:left="0" w:right="0"/>
      <w:jc w:val="left"/>
    </w:pPr>
    <w:rPr>
      <w:rFonts w:hint="eastAsia" w:ascii="微软雅黑" w:hAnsi="微软雅黑" w:eastAsia="微软雅黑" w:cs="微软雅黑"/>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2024-09-30T01:16:11Z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