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方正小标宋_GBK" w:hAnsi="方正小标宋_GBK" w:eastAsia="方正小标宋_GBK" w:cs="方正小标宋_GBK"/>
          <w:color w:val="auto"/>
          <w:sz w:val="44"/>
          <w:szCs w:val="44"/>
          <w:highlight w:val="none"/>
        </w:rPr>
      </w:pPr>
      <w:r>
        <w:rPr>
          <w:rFonts w:ascii="方正小标宋_GBK" w:hAnsi="方正小标宋_GBK" w:eastAsia="方正小标宋_GBK" w:cs="方正小标宋_GBK"/>
          <w:color w:val="auto"/>
          <w:sz w:val="44"/>
          <w:szCs w:val="44"/>
          <w:highlight w:val="none"/>
        </w:rPr>
        <w:t>重庆市秀山土家族苗族自治县</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方正小标宋_GBK" w:hAnsi="方正小标宋_GBK" w:eastAsia="方正小标宋_GBK" w:cs="方正小标宋_GBK"/>
          <w:color w:val="auto"/>
          <w:sz w:val="44"/>
          <w:szCs w:val="44"/>
          <w:highlight w:val="none"/>
        </w:rPr>
      </w:pPr>
      <w:r>
        <w:rPr>
          <w:rFonts w:ascii="方正小标宋_GBK" w:hAnsi="方正小标宋_GBK" w:eastAsia="方正小标宋_GBK" w:cs="方正小标宋_GBK"/>
          <w:color w:val="auto"/>
          <w:sz w:val="44"/>
          <w:szCs w:val="44"/>
          <w:highlight w:val="none"/>
        </w:rPr>
        <w:t>矫正帮教管理服务中心</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方正小标宋_GBK" w:hAnsi="方正小标宋_GBK" w:eastAsia="方正小标宋_GBK" w:cs="方正小标宋_GBK"/>
          <w:color w:val="auto"/>
          <w:sz w:val="44"/>
          <w:szCs w:val="44"/>
          <w:highlight w:val="none"/>
          <w:shd w:val="clear" w:color="auto" w:fill="FFFFFF"/>
        </w:rPr>
      </w:pPr>
      <w:r>
        <w:rPr>
          <w:rFonts w:ascii="方正小标宋_GBK" w:hAnsi="方正小标宋_GBK" w:eastAsia="方正小标宋_GBK" w:cs="方正小标宋_GBK"/>
          <w:color w:val="auto"/>
          <w:sz w:val="44"/>
          <w:szCs w:val="44"/>
          <w:highlight w:val="none"/>
          <w:shd w:val="clear" w:color="auto" w:fill="FFFFFF"/>
        </w:rPr>
        <w:t>2023年度决算公开说明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9"/>
          <w:rFonts w:hint="default" w:ascii="Times New Roman" w:hAnsi="Times New Roman" w:eastAsia="黑体" w:cs="Times New Roman"/>
          <w:color w:val="auto"/>
          <w:sz w:val="32"/>
          <w:szCs w:val="32"/>
          <w:highlight w:val="none"/>
          <w:shd w:val="clear" w:color="auto" w:fill="FFFFFF"/>
        </w:rPr>
      </w:pP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9"/>
          <w:rFonts w:hint="default" w:ascii="Times New Roman" w:hAnsi="Times New Roman" w:eastAsia="黑体" w:cs="Times New Roman"/>
          <w:color w:val="auto"/>
          <w:sz w:val="32"/>
          <w:szCs w:val="32"/>
          <w:highlight w:val="none"/>
          <w:shd w:val="clear" w:color="auto" w:fill="FFFFFF"/>
        </w:rPr>
      </w:pP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r>
        <w:rPr>
          <w:rStyle w:val="9"/>
          <w:rFonts w:hint="eastAsia" w:ascii="方正黑体_GBK" w:hAnsi="方正黑体_GBK" w:eastAsia="方正黑体_GBK" w:cs="方正黑体_GBK"/>
          <w:b w:val="0"/>
          <w:bCs/>
          <w:color w:val="auto"/>
          <w:sz w:val="32"/>
          <w:szCs w:val="32"/>
          <w:highlight w:val="none"/>
          <w:shd w:val="clear" w:color="auto" w:fill="FFFFFF"/>
        </w:rPr>
        <w:t>一、单位基本情况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eastAsia" w:ascii="方正楷体_GBK" w:hAnsi="方正楷体_GBK" w:eastAsia="方正楷体_GBK" w:cs="方正楷体_GBK"/>
          <w:b w:val="0"/>
          <w:bCs/>
          <w:color w:val="auto"/>
          <w:sz w:val="32"/>
          <w:szCs w:val="32"/>
          <w:highlight w:val="none"/>
          <w:shd w:val="clear" w:color="auto" w:fill="FFFFFF"/>
        </w:rPr>
      </w:pPr>
      <w:r>
        <w:rPr>
          <w:rStyle w:val="9"/>
          <w:rFonts w:hint="eastAsia" w:ascii="方正楷体_GBK" w:hAnsi="方正楷体_GBK" w:eastAsia="方正楷体_GBK" w:cs="方正楷体_GBK"/>
          <w:b w:val="0"/>
          <w:bCs/>
          <w:color w:val="auto"/>
          <w:sz w:val="32"/>
          <w:szCs w:val="32"/>
          <w:highlight w:val="none"/>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依据《中共重庆市委办公厅重庆市人民政府办公厅关于秀山土家族苗族自治县人民政府机构改革方案的通知》（秀山委办发〔</w:t>
      </w:r>
      <w:r>
        <w:rPr>
          <w:rFonts w:hint="default" w:ascii="Times New Roman" w:hAnsi="Times New Roman" w:eastAsia="方正仿宋_GBK" w:cs="Times New Roman"/>
          <w:color w:val="auto"/>
          <w:kern w:val="0"/>
          <w:sz w:val="32"/>
          <w:szCs w:val="32"/>
          <w:highlight w:val="none"/>
          <w:lang w:val="en-US" w:eastAsia="zh-CN" w:bidi="ar"/>
        </w:rPr>
        <w:t>2019〕42</w:t>
      </w:r>
      <w:r>
        <w:rPr>
          <w:rFonts w:hint="default" w:ascii="Times New Roman" w:hAnsi="Times New Roman" w:eastAsia="方正仿宋_GBK" w:cs="Times New Roman"/>
          <w:color w:val="auto"/>
          <w:sz w:val="32"/>
          <w:szCs w:val="32"/>
          <w:highlight w:val="none"/>
        </w:rPr>
        <w:t>号）和《关于县司法局下属事业单位机构编制事项的批复》（秀山委编委〔</w:t>
      </w:r>
      <w:r>
        <w:rPr>
          <w:rFonts w:hint="default" w:ascii="Times New Roman" w:hAnsi="Times New Roman" w:eastAsia="方正仿宋_GBK" w:cs="Times New Roman"/>
          <w:color w:val="auto"/>
          <w:kern w:val="0"/>
          <w:sz w:val="32"/>
          <w:szCs w:val="32"/>
          <w:highlight w:val="none"/>
          <w:lang w:val="en-US" w:eastAsia="zh-CN" w:bidi="ar"/>
        </w:rPr>
        <w:t>2019〕88</w:t>
      </w:r>
      <w:r>
        <w:rPr>
          <w:rFonts w:hint="default" w:ascii="Times New Roman" w:hAnsi="Times New Roman" w:eastAsia="方正仿宋_GBK" w:cs="Times New Roman"/>
          <w:color w:val="auto"/>
          <w:sz w:val="32"/>
          <w:szCs w:val="32"/>
          <w:highlight w:val="none"/>
        </w:rPr>
        <w:t>号）为秀山县政府主管司法行政工作的职能部门。主要职责是：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承担县委全面依法治县委员会办公室日常工作，组织开展全面依法治县重大问题的政策研究，协调督促有关方面落实县委全面依法治县委员会决定事项、工作部署和要求等，协调有关方面拟订全面依法治县中长期规划建设，负责全面依法治县重大决策部署的督察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2、负责协调县级各部门实施法律、法规、规章中的争议和问题；审查县级各部门报送县政府的规范性文件，组织开展全县规范性文件清理工作。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承担统筹推进法治政府建设工作。指导、监督全县依法行政工作；承担推进行政执法体制改革有关工作，负责行政执法协调工作，推进严格、规范、公正、文明执法；承办县政府行政复议、国家赔偿案件，承办县政府有关行政诉讼案件和市政府裁决案件；指导、监督全县国家赔偿、行政应诉和行政裁决工作；指导和协调政府法律顾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4、承担统筹规划法治社会建设工作。拟订法治宣传教育规划，组织实施普法宣传工作；推动人民参与和促进法治建设；指导依法治理和法治创建工作；指导调解工作和人民陪审员、人民监督员选任管理工作。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5、承担社区矫正工作；指导帮教安置工作。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6、拟订全县公共法律服务体系建设规划并组织实施，统筹和布局城乡、区域法律服务资源；指导、监督律师、法律援助、司法鉴定、公证和基层法律服务管理工作。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7、承担国家统一法律职业资格考试政策的宣传咨询工作；负责全县法律职业资格证书持有人备案工作。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8、规划、协调、指导全县法治人才队伍建设相关工作。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9、负责本系统信息化建设和应急处突工作。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10、完成县委、县政府交办的其他任务。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秀山土家族苗族自治县司法局，为秀山土家族苗族自治县人民政府工作部门。内设办公室、法治综合科、行政复议与应诉科、行政执法监督科、普法与依法治理科、人民参与和促进法治科、社区矫正管理科、公共法律服务管理科、律师工作科、政治部共</w:t>
      </w:r>
      <w:r>
        <w:rPr>
          <w:rFonts w:hint="default" w:ascii="Times New Roman" w:hAnsi="Times New Roman" w:eastAsia="方正仿宋_GBK" w:cs="Times New Roman"/>
          <w:color w:val="auto"/>
          <w:kern w:val="0"/>
          <w:sz w:val="32"/>
          <w:szCs w:val="32"/>
          <w:highlight w:val="none"/>
          <w:lang w:val="en-US" w:eastAsia="zh-CN" w:bidi="ar"/>
        </w:rPr>
        <w:t>10个职能科室，下辖27个司法所、3</w:t>
      </w:r>
      <w:r>
        <w:rPr>
          <w:rFonts w:hint="default" w:ascii="Times New Roman" w:hAnsi="Times New Roman" w:eastAsia="方正仿宋_GBK" w:cs="Times New Roman"/>
          <w:color w:val="auto"/>
          <w:sz w:val="32"/>
          <w:szCs w:val="32"/>
          <w:highlight w:val="none"/>
        </w:rPr>
        <w:t>个直属事业单位（县公证处、县法律援助中心、县矫正帮教管理服务中心）。</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r>
        <w:rPr>
          <w:rStyle w:val="9"/>
          <w:rFonts w:hint="eastAsia" w:ascii="方正黑体_GBK" w:hAnsi="方正黑体_GBK" w:eastAsia="方正黑体_GBK" w:cs="方正黑体_GBK"/>
          <w:b w:val="0"/>
          <w:bCs/>
          <w:color w:val="auto"/>
          <w:sz w:val="32"/>
          <w:szCs w:val="32"/>
          <w:highlight w:val="none"/>
          <w:shd w:val="clear" w:color="auto" w:fill="FFFFFF"/>
        </w:rPr>
        <w:t>二、单位决算情况说明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Fonts w:hint="default" w:ascii="Times New Roman" w:hAnsi="Times New Roman" w:eastAsia="方正仿宋_GBK" w:cs="Times New Roman"/>
          <w:color w:val="auto"/>
          <w:sz w:val="32"/>
          <w:szCs w:val="32"/>
          <w:highlight w:val="none"/>
        </w:rPr>
      </w:pPr>
      <w:r>
        <w:rPr>
          <w:rStyle w:val="9"/>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2023年度收入总计71.25万元，支出总计</w:t>
      </w:r>
      <w:r>
        <w:rPr>
          <w:rFonts w:hint="default" w:ascii="Times New Roman" w:hAnsi="Times New Roman" w:eastAsia="方正仿宋_GBK" w:cs="Times New Roman"/>
          <w:color w:val="auto"/>
          <w:sz w:val="32"/>
          <w:szCs w:val="32"/>
          <w:highlight w:val="none"/>
        </w:rPr>
        <w:t>71.25</w:t>
      </w:r>
      <w:r>
        <w:rPr>
          <w:rFonts w:hint="default" w:ascii="Times New Roman" w:hAnsi="Times New Roman" w:eastAsia="方正仿宋_GBK" w:cs="Times New Roman"/>
          <w:color w:val="auto"/>
          <w:sz w:val="32"/>
          <w:szCs w:val="32"/>
          <w:highlight w:val="none"/>
          <w:shd w:val="clear" w:color="auto" w:fill="FFFFFF"/>
        </w:rPr>
        <w:t>万元。收支较上年决算数增加71.25万元，增长100.00%，主要原因是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9"/>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2023年度收入合计71.25万元，较上年决算数增加71.25万元，增长100.00%，主要原因是主要原因是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rPr>
        <w:t>71.25</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100.00</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此外，使用非财政拨款结余和专用结余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万元，年初结转和结余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9"/>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71.25</w:t>
      </w:r>
      <w:r>
        <w:rPr>
          <w:rFonts w:hint="default" w:ascii="Times New Roman" w:hAnsi="Times New Roman" w:eastAsia="方正仿宋_GBK" w:cs="Times New Roman"/>
          <w:color w:val="auto"/>
          <w:sz w:val="32"/>
          <w:szCs w:val="32"/>
          <w:highlight w:val="none"/>
          <w:shd w:val="clear" w:color="auto" w:fill="FFFFFF"/>
        </w:rPr>
        <w:t>万元，较上年决算数增加71.25万元，增长100.00%，主要原因是主要原因是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rPr>
        <w:t>71.25</w:t>
      </w:r>
      <w:r>
        <w:rPr>
          <w:rFonts w:hint="default" w:ascii="Times New Roman" w:hAnsi="Times New Roman" w:eastAsia="方正仿宋_GBK" w:cs="Times New Roman"/>
          <w:color w:val="auto"/>
          <w:sz w:val="32"/>
          <w:szCs w:val="32"/>
          <w:highlight w:val="none"/>
          <w:shd w:val="clear" w:color="auto" w:fill="FFFFFF"/>
        </w:rPr>
        <w:t>万元，占100.00%。此外，结余分配</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Style w:val="9"/>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本单位仅列支人员经费，无结转结余经费。</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2023年度财政拨款收、支总计71.25万元。与2022年相比，财政拨款收、支总计各增加71.25万元，增长100.00%。主要原因是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9"/>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71.25</w:t>
      </w:r>
      <w:r>
        <w:rPr>
          <w:rFonts w:hint="default" w:ascii="Times New Roman" w:hAnsi="Times New Roman" w:eastAsia="方正仿宋_GBK" w:cs="Times New Roman"/>
          <w:color w:val="auto"/>
          <w:sz w:val="32"/>
          <w:szCs w:val="32"/>
          <w:highlight w:val="none"/>
          <w:shd w:val="clear" w:color="auto" w:fill="FFFFFF"/>
        </w:rPr>
        <w:t>万元，较上年决算数增加71.25万元，增长100.00%。主要原因是主要原因是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highlight w:val="none"/>
          <w:shd w:val="clear" w:color="auto" w:fill="FFFFFF"/>
        </w:rPr>
        <w:t>较年初预算数增加15.42万元，增长27.62%。主要原因是</w:t>
      </w:r>
      <w:r>
        <w:rPr>
          <w:rFonts w:hint="default" w:ascii="Times New Roman" w:hAnsi="Times New Roman" w:eastAsia="方正仿宋_GBK" w:cs="Times New Roman"/>
          <w:color w:val="auto"/>
          <w:sz w:val="32"/>
          <w:szCs w:val="32"/>
          <w:highlight w:val="none"/>
          <w:shd w:val="clear" w:color="auto" w:fill="FFFFFF"/>
          <w:lang w:val="en-US" w:eastAsia="zh-CN"/>
        </w:rPr>
        <w:t>人员工资福利以及社保、公积金等缴费支出增长</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9"/>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71.25</w:t>
      </w:r>
      <w:r>
        <w:rPr>
          <w:rFonts w:hint="default" w:ascii="Times New Roman" w:hAnsi="Times New Roman" w:eastAsia="方正仿宋_GBK" w:cs="Times New Roman"/>
          <w:color w:val="auto"/>
          <w:sz w:val="32"/>
          <w:szCs w:val="32"/>
          <w:highlight w:val="none"/>
          <w:shd w:val="clear" w:color="auto" w:fill="FFFFFF"/>
        </w:rPr>
        <w:t>万元，较上年决算数增加71.25万元，增长100.00%。主要原因是主要原因是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highlight w:val="none"/>
          <w:shd w:val="clear" w:color="auto" w:fill="FFFFFF"/>
        </w:rPr>
        <w:t>较年初预算数增加15.42万元，增长27.62%。主要原因是</w:t>
      </w:r>
      <w:r>
        <w:rPr>
          <w:rFonts w:hint="default" w:ascii="Times New Roman" w:hAnsi="Times New Roman" w:eastAsia="方正仿宋_GBK" w:cs="Times New Roman"/>
          <w:color w:val="auto"/>
          <w:sz w:val="32"/>
          <w:szCs w:val="32"/>
          <w:highlight w:val="none"/>
          <w:shd w:val="clear" w:color="auto" w:fill="FFFFFF"/>
          <w:lang w:val="en-US" w:eastAsia="zh-CN"/>
        </w:rPr>
        <w:t>人员工资福利以及社保、公积金等缴费支出增长</w:t>
      </w:r>
      <w:r>
        <w:rPr>
          <w:rFonts w:hint="eastAsia" w:ascii="Times New Roman" w:hAnsi="Times New Roman" w:eastAsia="方正仿宋_GBK" w:cs="Times New Roman"/>
          <w:color w:val="auto"/>
          <w:sz w:val="32"/>
          <w:szCs w:val="32"/>
          <w:highlight w:val="none"/>
          <w:shd w:val="clear" w:color="auto" w:fill="FFFFFF"/>
          <w:lang w:val="en-US"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9"/>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本单位仅列支人员经费，无结转结余经费。</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9"/>
          <w:rFonts w:hint="default" w:ascii="Times New Roman" w:hAnsi="Times New Roman" w:eastAsia="方正仿宋_GBK" w:cs="Times New Roman"/>
          <w:color w:val="auto"/>
          <w:sz w:val="32"/>
          <w:szCs w:val="32"/>
          <w:highlight w:val="none"/>
          <w:shd w:val="clear" w:color="auto" w:fill="FFFFFF"/>
        </w:rPr>
        <w:t xml:space="preserve"> 4.比较情况。</w:t>
      </w:r>
      <w:r>
        <w:rPr>
          <w:rFonts w:hint="default" w:ascii="Times New Roman" w:hAnsi="Times New Roman" w:eastAsia="方正仿宋_GBK" w:cs="Times New Roman"/>
          <w:color w:val="auto"/>
          <w:sz w:val="32"/>
          <w:szCs w:val="32"/>
          <w:highlight w:val="none"/>
          <w:shd w:val="clear" w:color="auto" w:fill="FFFFFF"/>
        </w:rPr>
        <w:t>本单位2023年度一般公共预算财政拨款支出主要用于以下几个方面：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1</w:t>
      </w:r>
      <w:r>
        <w:rPr>
          <w:rFonts w:hint="default" w:ascii="Times New Roman" w:hAnsi="Times New Roman" w:eastAsia="方正仿宋_GBK" w:cs="Times New Roman"/>
          <w:color w:val="auto"/>
          <w:sz w:val="32"/>
          <w:szCs w:val="32"/>
          <w:highlight w:val="none"/>
          <w:shd w:val="clear" w:color="auto" w:fill="FFFFFF"/>
        </w:rPr>
        <w:t>）公共安全支出</w:t>
      </w:r>
      <w:r>
        <w:rPr>
          <w:rFonts w:hint="default" w:ascii="Times New Roman" w:hAnsi="Times New Roman" w:eastAsia="方正仿宋_GBK" w:cs="Times New Roman"/>
          <w:color w:val="auto"/>
          <w:sz w:val="32"/>
          <w:szCs w:val="32"/>
          <w:highlight w:val="none"/>
        </w:rPr>
        <w:t>58.30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81.83</w:t>
      </w:r>
      <w:r>
        <w:rPr>
          <w:rFonts w:hint="default" w:ascii="Times New Roman" w:hAnsi="Times New Roman" w:eastAsia="方正仿宋_GBK" w:cs="Times New Roman"/>
          <w:color w:val="auto"/>
          <w:sz w:val="32"/>
          <w:szCs w:val="32"/>
          <w:highlight w:val="none"/>
          <w:shd w:val="clear" w:color="auto" w:fill="FFFFFF"/>
        </w:rPr>
        <w:t>%，较年初预算数增加15.42万元，增长35.96%，主要原因是</w:t>
      </w:r>
      <w:r>
        <w:rPr>
          <w:rFonts w:hint="default" w:ascii="Times New Roman" w:hAnsi="Times New Roman" w:eastAsia="方正仿宋_GBK" w:cs="Times New Roman"/>
          <w:color w:val="auto"/>
          <w:sz w:val="32"/>
          <w:szCs w:val="32"/>
          <w:highlight w:val="none"/>
          <w:shd w:val="clear" w:color="auto" w:fill="FFFFFF"/>
          <w:lang w:val="en-US" w:eastAsia="zh-CN"/>
        </w:rPr>
        <w:t>人员工资福利的变化。</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6.92</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9.71</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年初预算核算准确</w:t>
      </w:r>
      <w:r>
        <w:rPr>
          <w:rFonts w:hint="default" w:ascii="Times New Roman" w:hAnsi="Times New Roman" w:eastAsia="方正仿宋_GBK" w:cs="Times New Roman"/>
          <w:color w:val="auto"/>
          <w:sz w:val="32"/>
          <w:szCs w:val="32"/>
          <w:highlight w:val="none"/>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1.97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2.77</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年初预算核算准确</w:t>
      </w:r>
      <w:r>
        <w:rPr>
          <w:rFonts w:hint="default" w:ascii="Times New Roman" w:hAnsi="Times New Roman" w:eastAsia="方正仿宋_GBK" w:cs="Times New Roman"/>
          <w:color w:val="auto"/>
          <w:sz w:val="32"/>
          <w:szCs w:val="32"/>
          <w:highlight w:val="none"/>
          <w:shd w:val="clear" w:color="auto" w:fill="FFFFFF"/>
        </w:rPr>
        <w:t>。</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住房保障支出4.06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5.70</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年初预算核算准确</w:t>
      </w:r>
      <w:r>
        <w:rPr>
          <w:rFonts w:hint="default" w:ascii="Times New Roman" w:hAnsi="Times New Roman" w:eastAsia="方正仿宋_GBK" w:cs="Times New Roman"/>
          <w:color w:val="auto"/>
          <w:sz w:val="32"/>
          <w:szCs w:val="32"/>
          <w:highlight w:val="none"/>
          <w:shd w:val="clear" w:color="auto" w:fill="FFFFFF"/>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71.25</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63.18</w:t>
      </w:r>
      <w:r>
        <w:rPr>
          <w:rFonts w:hint="default" w:ascii="Times New Roman" w:hAnsi="Times New Roman" w:eastAsia="方正仿宋_GBK" w:cs="Times New Roman"/>
          <w:color w:val="auto"/>
          <w:sz w:val="32"/>
          <w:szCs w:val="32"/>
          <w:highlight w:val="none"/>
          <w:shd w:val="clear" w:color="auto" w:fill="FFFFFF"/>
        </w:rPr>
        <w:t>万元，较上年决算数增加63.18万元，增长100.00%，主要原因是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kern w:val="0"/>
          <w:sz w:val="32"/>
          <w:szCs w:val="32"/>
          <w:highlight w:val="none"/>
          <w:lang w:val="en-US" w:eastAsia="zh-CN" w:bidi="ar"/>
        </w:rPr>
        <w:t>人员经费用途主要包括基本工资、津贴补贴、奖金、社会保障缴费等。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8.07</w:t>
      </w:r>
      <w:r>
        <w:rPr>
          <w:rFonts w:hint="default" w:ascii="Times New Roman" w:hAnsi="Times New Roman" w:eastAsia="方正仿宋_GBK" w:cs="Times New Roman"/>
          <w:color w:val="auto"/>
          <w:sz w:val="32"/>
          <w:szCs w:val="32"/>
          <w:highlight w:val="none"/>
          <w:shd w:val="clear" w:color="auto" w:fill="FFFFFF"/>
        </w:rPr>
        <w:t>万元，较上年决算数增加8.07万元，增长100.00%，主要原因是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color w:val="auto"/>
          <w:kern w:val="0"/>
          <w:sz w:val="32"/>
          <w:szCs w:val="32"/>
          <w:highlight w:val="none"/>
          <w:lang w:val="en-US" w:eastAsia="zh-CN" w:bidi="ar"/>
        </w:rPr>
        <w:t>办公费、水电费、物管费、差旅费等。</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本单位2023年度无政府性基金预算财政拨款收支。</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本单位2023年度无国有资本经营预算财政拨款支出。</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highlight w:val="none"/>
          <w:shd w:val="clear" w:color="auto" w:fill="FFFFFF"/>
        </w:rPr>
      </w:pPr>
      <w:r>
        <w:rPr>
          <w:rStyle w:val="9"/>
          <w:rFonts w:hint="eastAsia" w:ascii="方正黑体_GBK" w:hAnsi="方正黑体_GBK" w:eastAsia="方正黑体_GBK" w:cs="方正黑体_GBK"/>
          <w:b w:val="0"/>
          <w:bCs/>
          <w:color w:val="auto"/>
          <w:sz w:val="32"/>
          <w:szCs w:val="32"/>
          <w:highlight w:val="none"/>
          <w:shd w:val="clear" w:color="auto" w:fill="FFFFFF"/>
        </w:rPr>
        <w:t>三、“三公”经费情况说明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 xml:space="preserve"> （一）“三公”经费支出总体情况说明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2023年度“三公”经费支出共计</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万元，较年初预算数无增减，较上年支出数无增减，主要原因是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所有支出由司法局本级统一列支。</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2023年度本单位因公出国（境）费用</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费用支出较年初预算数无增减，较上年支出数无增减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公务车购置费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 公务车运行维护费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 公务接待费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2023年度本单位因公出国（境）共计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人。2023年本单位人均接待费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元，车均购置费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highlight w:val="none"/>
          <w:shd w:val="clear" w:color="auto" w:fill="FFFFFF"/>
        </w:rPr>
      </w:pPr>
      <w:r>
        <w:rPr>
          <w:rStyle w:val="9"/>
          <w:rFonts w:hint="eastAsia" w:ascii="方正黑体_GBK" w:hAnsi="方正黑体_GBK" w:eastAsia="方正黑体_GBK" w:cs="方正黑体_GBK"/>
          <w:b w:val="0"/>
          <w:bCs/>
          <w:color w:val="auto"/>
          <w:sz w:val="32"/>
          <w:szCs w:val="32"/>
          <w:highlight w:val="none"/>
          <w:shd w:val="clear" w:color="auto" w:fill="FFFFFF"/>
        </w:rPr>
        <w:t>四、其他需要说明的事项</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  （一）财政拨款会议费和培训费情况说明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  本年度会议费支出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万元，较上年决算数无增减。本年度培训费支出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万元，较上年决算数无变化</w:t>
      </w:r>
      <w:r>
        <w:rPr>
          <w:rFonts w:hint="default" w:ascii="Times New Roman" w:hAnsi="Times New Roman" w:eastAsia="方正仿宋_GBK" w:cs="Times New Roman"/>
          <w:color w:val="auto"/>
          <w:sz w:val="32"/>
          <w:szCs w:val="32"/>
          <w:highlight w:val="none"/>
          <w:shd w:val="clear" w:color="auto" w:fill="FFFFFF"/>
          <w:lang w:eastAsia="zh-CN"/>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2023年度本单位机关运行经费支出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截至2023年12月31日，本单位共有车辆</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辆，其中，副部（省）级及以上领导用车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辆、主要负责人用车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辆、机要通信用车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辆、应急保障用车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辆、执法执勤用车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辆，特种专业技术用车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辆，离退休干部用车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辆。单价100万元（含）以上专用设备</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台（套）。</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highlight w:val="none"/>
          <w:shd w:val="clear" w:color="auto" w:fill="FFFFFF"/>
        </w:rPr>
      </w:pPr>
      <w:r>
        <w:rPr>
          <w:rStyle w:val="9"/>
          <w:rFonts w:hint="eastAsia" w:ascii="方正黑体_GBK" w:hAnsi="方正黑体_GBK" w:eastAsia="方正黑体_GBK" w:cs="方正黑体_GBK"/>
          <w:b w:val="0"/>
          <w:bCs/>
          <w:color w:val="auto"/>
          <w:sz w:val="32"/>
          <w:szCs w:val="32"/>
          <w:highlight w:val="none"/>
          <w:shd w:val="clear" w:color="auto" w:fill="FFFFFF"/>
        </w:rPr>
        <w:t>预算绩效管理情况说明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（一）单位自评情况</w:t>
      </w:r>
      <w:bookmarkStart w:id="0" w:name="_GoBack"/>
      <w:bookmarkEnd w:id="0"/>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我单位无项目经费，因此未组织开展单位自评工作。</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（二）单位绩效评价情况</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我单位未组织开展绩效评价。</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（三）财政绩效评价情况</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县财政局未委托第三方对我单位开展绩效评价。</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highlight w:val="none"/>
          <w:shd w:val="clear" w:color="auto" w:fill="FFFFFF"/>
        </w:rPr>
      </w:pPr>
      <w:r>
        <w:rPr>
          <w:rStyle w:val="9"/>
          <w:rFonts w:hint="eastAsia" w:ascii="方正黑体_GBK" w:hAnsi="方正黑体_GBK" w:eastAsia="方正黑体_GBK" w:cs="方正黑体_GBK"/>
          <w:b w:val="0"/>
          <w:bCs/>
          <w:color w:val="auto"/>
          <w:sz w:val="32"/>
          <w:szCs w:val="32"/>
          <w:highlight w:val="none"/>
          <w:shd w:val="clear" w:color="auto" w:fill="FFFFFF"/>
        </w:rPr>
        <w:t>  六、专业名词解释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rPr>
        <w:t> （一）财政拨款收入：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 （二）事业收入</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 （三）经营收入</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 （四）其他收入</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（五）使用非财政拨款结余</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9"/>
          <w:rFonts w:hint="default" w:ascii="Times New Roman" w:hAnsi="Times New Roman" w:eastAsia="方正仿宋_GBK" w:cs="Times New Roman"/>
          <w:color w:val="auto"/>
          <w:sz w:val="32"/>
          <w:szCs w:val="32"/>
          <w:highlight w:val="none"/>
          <w:shd w:val="clear" w:color="auto" w:fill="FFFFFF"/>
        </w:rPr>
        <w:t> </w:t>
      </w:r>
      <w:r>
        <w:rPr>
          <w:rStyle w:val="9"/>
          <w:rFonts w:hint="eastAsia" w:ascii="方正楷体_GBK" w:hAnsi="方正楷体_GBK" w:eastAsia="方正楷体_GBK" w:cs="方正楷体_GBK"/>
          <w:b w:val="0"/>
          <w:bCs/>
          <w:color w:val="auto"/>
          <w:sz w:val="32"/>
          <w:szCs w:val="32"/>
          <w:highlight w:val="none"/>
          <w:shd w:val="clear" w:color="auto" w:fill="FFFFFF"/>
        </w:rPr>
        <w:t>（六）年初结转和结余</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9"/>
          <w:rFonts w:hint="default" w:ascii="Times New Roman" w:hAnsi="Times New Roman" w:eastAsia="方正仿宋_GBK" w:cs="Times New Roman"/>
          <w:color w:val="auto"/>
          <w:sz w:val="32"/>
          <w:szCs w:val="32"/>
          <w:highlight w:val="none"/>
          <w:shd w:val="clear" w:color="auto" w:fill="FFFFFF"/>
        </w:rPr>
        <w:t> </w:t>
      </w:r>
      <w:r>
        <w:rPr>
          <w:rStyle w:val="9"/>
          <w:rFonts w:hint="eastAsia" w:ascii="方正楷体_GBK" w:hAnsi="方正楷体_GBK" w:eastAsia="方正楷体_GBK" w:cs="方正楷体_GBK"/>
          <w:b w:val="0"/>
          <w:bCs/>
          <w:color w:val="auto"/>
          <w:sz w:val="32"/>
          <w:szCs w:val="32"/>
          <w:highlight w:val="none"/>
          <w:shd w:val="clear" w:color="auto" w:fill="FFFFFF"/>
        </w:rPr>
        <w:t>（七）结余分配</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 （八）年末结转和结余</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9"/>
          <w:rFonts w:hint="default" w:ascii="Times New Roman" w:hAnsi="Times New Roman" w:eastAsia="方正仿宋_GBK" w:cs="Times New Roman"/>
          <w:color w:val="auto"/>
          <w:sz w:val="32"/>
          <w:szCs w:val="32"/>
          <w:highlight w:val="none"/>
          <w:shd w:val="clear" w:color="auto" w:fill="FFFFFF"/>
        </w:rPr>
        <w:t> </w:t>
      </w:r>
      <w:r>
        <w:rPr>
          <w:rStyle w:val="9"/>
          <w:rFonts w:hint="eastAsia" w:ascii="方正楷体_GBK" w:hAnsi="方正楷体_GBK" w:eastAsia="方正楷体_GBK" w:cs="方正楷体_GBK"/>
          <w:b w:val="0"/>
          <w:bCs/>
          <w:color w:val="auto"/>
          <w:sz w:val="32"/>
          <w:szCs w:val="32"/>
          <w:highlight w:val="none"/>
          <w:shd w:val="clear" w:color="auto" w:fill="FFFFFF"/>
        </w:rPr>
        <w:t>（九）基本支出</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 （十）项目支出</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 （十一）经营支出</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 （十二）“三公”经费</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 （十三）机关运行经费</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 （十四）工资福利支出（支出经济分类科目类级）</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 （十五）商品和服务支出（支出经济分类科目类级）</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9"/>
          <w:rFonts w:hint="default" w:ascii="Times New Roman" w:hAnsi="Times New Roman" w:eastAsia="楷体" w:cs="Times New Roman"/>
          <w:color w:val="auto"/>
          <w:sz w:val="32"/>
          <w:szCs w:val="32"/>
          <w:highlight w:val="none"/>
          <w:shd w:val="clear" w:color="auto" w:fill="FFFFFF"/>
        </w:rPr>
        <w:t> </w:t>
      </w:r>
      <w:r>
        <w:rPr>
          <w:rStyle w:val="9"/>
          <w:rFonts w:hint="eastAsia" w:ascii="方正楷体_GBK" w:hAnsi="方正楷体_GBK" w:eastAsia="方正楷体_GBK" w:cs="方正楷体_GBK"/>
          <w:b w:val="0"/>
          <w:bCs/>
          <w:color w:val="auto"/>
          <w:sz w:val="32"/>
          <w:szCs w:val="32"/>
          <w:highlight w:val="none"/>
          <w:shd w:val="clear" w:color="auto" w:fill="FFFFFF"/>
        </w:rPr>
        <w:t>（十六）对个人和家庭的补助（支出经济分类科目类级）</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 （十七）其他资本性支出（支出经济分类科目类级）</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highlight w:val="none"/>
          <w:shd w:val="clear" w:color="auto" w:fill="FFFFFF"/>
        </w:rPr>
      </w:pPr>
      <w:r>
        <w:rPr>
          <w:rStyle w:val="9"/>
          <w:rFonts w:hint="eastAsia" w:ascii="方正黑体_GBK" w:hAnsi="方正黑体_GBK" w:eastAsia="方正黑体_GBK" w:cs="方正黑体_GBK"/>
          <w:b w:val="0"/>
          <w:bCs/>
          <w:color w:val="auto"/>
          <w:sz w:val="32"/>
          <w:szCs w:val="32"/>
          <w:highlight w:val="none"/>
          <w:shd w:val="clear" w:color="auto" w:fill="FFFFFF"/>
        </w:rPr>
        <w:t>  七、决算公开联系方式及信息反馈渠道</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本单位决算公开信息反馈和联系方式：</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highlight w:val="none"/>
          <w:shd w:val="clear" w:color="auto" w:fill="FFFFFF"/>
          <w:lang w:val="en-US" w:eastAsia="zh-CN" w:bidi="ar-SA"/>
        </w:rPr>
        <w:t>田瑶 023-76685987</w:t>
      </w:r>
    </w:p>
    <w:p>
      <w:pPr>
        <w:rPr>
          <w:rFonts w:hint="default" w:cs="宋体"/>
          <w:color w:val="auto"/>
          <w:sz w:val="21"/>
          <w:szCs w:val="21"/>
          <w:highlight w:val="none"/>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highlight w:val="none"/>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highlight w:val="none"/>
              </w:rPr>
            </w:pPr>
            <w:r>
              <w:rPr>
                <w:rFonts w:cs="宋体"/>
                <w:color w:val="auto"/>
                <w:sz w:val="20"/>
                <w:szCs w:val="20"/>
                <w:highlight w:val="none"/>
              </w:rPr>
              <w:t>公开单位：</w:t>
            </w:r>
            <w:r>
              <w:rPr>
                <w:color w:val="auto"/>
                <w:sz w:val="20"/>
                <w:highlight w:val="none"/>
                <w:u w:color="auto"/>
              </w:rPr>
              <w:t>重庆市秀山土家族苗族自治县矫正帮教管理服务中心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71.25</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58.30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6.92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1.97</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71.25</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71.25</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71.25</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71.25</w:t>
            </w:r>
            <w:r>
              <w:rPr>
                <w:rFonts w:hint="default" w:ascii="Times New Roman" w:hAnsi="Times New Roman" w:cs="Times New Roman"/>
                <w:color w:val="auto"/>
                <w:sz w:val="20"/>
                <w:highlight w:val="none"/>
                <w:u w:color="auto"/>
              </w:rPr>
              <w:t xml:space="preserve"> </w:t>
            </w:r>
          </w:p>
        </w:tc>
      </w:tr>
    </w:tbl>
    <w:p>
      <w:pPr>
        <w:spacing w:line="24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重庆市秀山土家族苗族自治县矫正帮教管理服务中心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71.25</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71.25</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司法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2040650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58.30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58.30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1.97</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ind w:left="600" w:hanging="600" w:hangingChars="300"/>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 xml:space="preserve">重庆市秀山土家族苗族自治县矫正帮教管理服务中心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71.25</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71.25</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司法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2040650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58.30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58.30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1.97</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p>
      <w:pPr>
        <w:rPr>
          <w:rFonts w:hint="default" w:ascii="Times New Roman" w:hAnsi="Times New Roman" w:cs="Times New Roman"/>
          <w:color w:val="auto"/>
          <w:sz w:val="21"/>
          <w:szCs w:val="21"/>
          <w:highlight w:val="none"/>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重庆市秀山土家族苗族自治县矫正帮教管理服务中心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71.25</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58.30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58.30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6.92</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6.92</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1.97</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1.97</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4.06</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4.06</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71.25</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71.25</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71.25</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71.25</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71.25</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71.25</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pPr>
        <w:spacing w:line="24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重庆市秀山土家族苗族自治县矫正帮教管理服务中心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71.25</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71.25</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司法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58.30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2040650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58.30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58.30</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6.92</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4.61</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4.61</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2.31</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2.31</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1.97</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1.97</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1.97</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4.06</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4.06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4.06</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ind w:firstLine="630" w:firstLineChars="3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重庆市秀山土家族苗族自治县矫正帮教管理服务中心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63.18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8.07</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15.02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2.62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31.82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4.61</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2.31</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0.94</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1.97</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0.72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7.13</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63.18</w:t>
            </w:r>
            <w:r>
              <w:rPr>
                <w:rFonts w:hint="default" w:ascii="Times New Roman" w:hAnsi="Times New Roman" w:cs="Times New Roman"/>
                <w:color w:val="auto"/>
                <w:sz w:val="18"/>
                <w:highlight w:val="none"/>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8.07</w:t>
            </w:r>
            <w:r>
              <w:rPr>
                <w:rFonts w:hint="default" w:ascii="Times New Roman" w:hAnsi="Times New Roman" w:cs="Times New Roman"/>
                <w:color w:val="auto"/>
                <w:sz w:val="18"/>
                <w:highlight w:val="none"/>
                <w:u w:color="auto"/>
              </w:rPr>
              <w:t xml:space="preserve"> </w:t>
            </w:r>
          </w:p>
        </w:tc>
      </w:tr>
    </w:tbl>
    <w:p>
      <w:pPr>
        <w:spacing w:line="280" w:lineRule="exact"/>
        <w:rPr>
          <w:rFonts w:hint="default" w:cs="宋体"/>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u w:color="auto"/>
              </w:rPr>
              <w:t>重庆市秀山土家族苗族自治县矫正帮教管理服务中心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bl>
    <w:p>
      <w:pPr>
        <w:rPr>
          <w:rFonts w:hint="default" w:cs="宋体"/>
          <w:color w:val="auto"/>
          <w:sz w:val="21"/>
          <w:szCs w:val="21"/>
          <w:highlight w:val="none"/>
        </w:rPr>
      </w:pPr>
      <w:r>
        <w:rPr>
          <w:rFonts w:cs="宋体"/>
          <w:color w:val="auto"/>
          <w:sz w:val="20"/>
          <w:szCs w:val="20"/>
          <w:highlight w:val="none"/>
        </w:rPr>
        <w:t>备注：本表反映单位本年度政府性基金预算财政拨款收入支出及结转和结余情况。本单位无政府性基金收支，故本表无数据。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cs="宋体"/>
          <w:color w:val="auto"/>
          <w:sz w:val="21"/>
          <w:szCs w:val="21"/>
          <w:highlight w:val="none"/>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u w:color="auto"/>
              </w:rPr>
              <w:t>重庆市秀山土家族苗族自治县矫正帮教管理服务中心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auto"/>
                <w:sz w:val="20"/>
                <w:szCs w:val="20"/>
                <w:highlight w:val="none"/>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bl>
    <w:p>
      <w:pPr>
        <w:rPr>
          <w:rFonts w:hint="default" w:cs="宋体"/>
          <w:color w:val="auto"/>
          <w:sz w:val="21"/>
          <w:szCs w:val="21"/>
          <w:highlight w:val="none"/>
        </w:rPr>
      </w:pPr>
      <w:r>
        <w:rPr>
          <w:rFonts w:cs="宋体"/>
          <w:color w:val="auto"/>
          <w:sz w:val="20"/>
          <w:szCs w:val="20"/>
          <w:highlight w:val="none"/>
        </w:rPr>
        <w:t>备注：本表反映单位本年度国有资本经营预算财政拨款支出情况。本单位无国有资本经营收支，故本表无数据。</w:t>
      </w:r>
      <w:r>
        <w:rPr>
          <w:rFonts w:cs="宋体"/>
          <w:color w:val="auto"/>
          <w:sz w:val="20"/>
          <w:szCs w:val="20"/>
          <w:highlight w:val="none"/>
        </w:rPr>
        <w:br w:type="textWrapping"/>
      </w:r>
      <w:r>
        <w:rPr>
          <w:rFonts w:cs="宋体"/>
          <w:color w:val="auto"/>
          <w:sz w:val="20"/>
          <w:szCs w:val="20"/>
          <w:highlight w:val="none"/>
        </w:rPr>
        <w:br w:type="textWrapping"/>
      </w:r>
      <w:r>
        <w:rPr>
          <w:rFonts w:hint="default" w:cs="宋体"/>
          <w:color w:val="auto"/>
          <w:sz w:val="21"/>
          <w:szCs w:val="21"/>
          <w:highlight w:val="none"/>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highlight w:val="none"/>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highlight w:val="none"/>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highlight w:val="none"/>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highlight w:val="none"/>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u w:color="auto"/>
              </w:rPr>
              <w:t>重庆市秀山土家族苗族自治县矫正帮教管理服务中心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highlight w:val="none"/>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highlight w:val="none"/>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auto"/>
                <w:sz w:val="16"/>
                <w:szCs w:val="16"/>
                <w:highlight w:val="none"/>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auto"/>
                <w:sz w:val="16"/>
                <w:szCs w:val="16"/>
                <w:highlight w:val="none"/>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auto"/>
                <w:sz w:val="16"/>
                <w:szCs w:val="16"/>
                <w:highlight w:val="none"/>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auto"/>
                <w:sz w:val="16"/>
                <w:szCs w:val="16"/>
                <w:highlight w:val="none"/>
              </w:rPr>
            </w:pPr>
          </w:p>
        </w:tc>
      </w:tr>
    </w:tbl>
    <w:p>
      <w:pPr>
        <w:rPr>
          <w:rFonts w:hint="default" w:cs="宋体"/>
          <w:color w:val="auto"/>
          <w:sz w:val="21"/>
          <w:szCs w:val="21"/>
          <w:highlight w:val="none"/>
        </w:rPr>
      </w:pPr>
      <w:r>
        <w:rPr>
          <w:rFonts w:cs="宋体"/>
          <w:color w:val="auto"/>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EF3375"/>
    <w:rsid w:val="0D6724A2"/>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747AC1"/>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6652C1"/>
    <w:rsid w:val="4B7951CB"/>
    <w:rsid w:val="4B7C315C"/>
    <w:rsid w:val="4DAC4ACA"/>
    <w:rsid w:val="4DBE01D2"/>
    <w:rsid w:val="4F0C6BA3"/>
    <w:rsid w:val="4F186D58"/>
    <w:rsid w:val="50F06B6E"/>
    <w:rsid w:val="51D21804"/>
    <w:rsid w:val="52234D33"/>
    <w:rsid w:val="522F6E0C"/>
    <w:rsid w:val="52463BA1"/>
    <w:rsid w:val="52AA43BF"/>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CD4B19"/>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2C7BAC"/>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10</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2024-09-13T05:16:48Z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