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N/>
        <w:bidi w:val="0"/>
        <w:adjustRightInd/>
        <w:spacing w:before="0" w:beforeAutospacing="0" w:after="0" w:afterAutospacing="0" w:line="560" w:lineRule="exact"/>
        <w:ind w:left="0" w:left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重庆市秀山土家族苗族自治县医药价格</w:t>
      </w:r>
    </w:p>
    <w:p>
      <w:pPr>
        <w:pStyle w:val="8"/>
        <w:keepNext w:val="0"/>
        <w:keepLines w:val="0"/>
        <w:pageBreakBefore w:val="0"/>
        <w:widowControl w:val="0"/>
        <w:kinsoku/>
        <w:wordWrap/>
        <w:overflowPunct/>
        <w:topLinePunct w:val="0"/>
        <w:autoSpaceDN/>
        <w:bidi w:val="0"/>
        <w:adjustRightInd/>
        <w:spacing w:before="0" w:beforeAutospacing="0" w:after="0" w:afterAutospacing="0" w:line="560" w:lineRule="exact"/>
        <w:ind w:left="0" w:leftChars="0"/>
        <w:jc w:val="center"/>
        <w:textAlignment w:val="auto"/>
        <w:outlineLvl w:val="9"/>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招标采购服务中心</w:t>
      </w:r>
      <w:r>
        <w:rPr>
          <w:rFonts w:hint="default" w:ascii="Times New Roman" w:hAnsi="Times New Roman" w:eastAsia="方正小标宋_GBK" w:cs="Times New Roman"/>
          <w:color w:val="auto"/>
          <w:sz w:val="44"/>
          <w:szCs w:val="44"/>
          <w:shd w:val="clear" w:color="auto" w:fill="FFFFFF"/>
        </w:rPr>
        <w:t>2023年度决算公开说明</w:t>
      </w:r>
    </w:p>
    <w:p>
      <w:pPr>
        <w:pStyle w:val="8"/>
        <w:keepNext w:val="0"/>
        <w:keepLines w:val="0"/>
        <w:pageBreakBefore w:val="0"/>
        <w:widowControl w:val="0"/>
        <w:kinsoku/>
        <w:wordWrap/>
        <w:overflowPunct/>
        <w:topLinePunct w:val="0"/>
        <w:autoSpaceDN/>
        <w:bidi w:val="0"/>
        <w:adjustRightInd/>
        <w:spacing w:before="0" w:beforeAutospacing="0" w:after="0" w:afterAutospacing="0" w:line="560" w:lineRule="exact"/>
        <w:ind w:left="0" w:leftChars="0"/>
        <w:jc w:val="center"/>
        <w:textAlignment w:val="auto"/>
        <w:outlineLvl w:val="9"/>
        <w:rPr>
          <w:rFonts w:hint="default" w:ascii="Times New Roman" w:hAnsi="Times New Roman" w:eastAsia="方正小标宋_GBK" w:cs="Times New Roman"/>
          <w:color w:val="auto"/>
          <w:sz w:val="44"/>
          <w:szCs w:val="44"/>
          <w:shd w:val="clear" w:color="auto" w:fill="FFFFFF"/>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黑体" w:cs="Times New Roman"/>
          <w:b w:val="0"/>
          <w:bCs/>
          <w:color w:val="auto"/>
          <w:sz w:val="32"/>
          <w:szCs w:val="32"/>
        </w:rPr>
      </w:pPr>
      <w:r>
        <w:rPr>
          <w:rStyle w:val="10"/>
          <w:rFonts w:hint="default" w:ascii="Times New Roman" w:hAnsi="Times New Roman" w:eastAsia="方正黑体_GBK" w:cs="Times New Roman"/>
          <w:b w:val="0"/>
          <w:bCs/>
          <w:color w:val="auto"/>
          <w:sz w:val="32"/>
          <w:szCs w:val="32"/>
          <w:shd w:val="clear" w:color="auto" w:fill="FFFFFF"/>
        </w:rPr>
        <w:t>一、单位基本情况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.贯彻执行医药价格及医药招标采购制度规范。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2</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.承担监督、指导医药招标采购的具体事务性工作。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3</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.承担医药成本调查统计、医药价格监测分析、医药价格信息发布、医药价格政策咨询等服务性工作。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4</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.承办主管部门交办的其他工作。</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根据秀山土家族苗族自治县机构编制委员会《关于设立秀山土家族苗族自治县医药价格招标采购服务中心的批复》（秀山委编委〔</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2020</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12</w:t>
      </w:r>
      <w:r>
        <w:rPr>
          <w:rFonts w:hint="default" w:ascii="Times New Roman" w:hAnsi="Times New Roman" w:eastAsia="宋体" w:cs="Times New Roman"/>
          <w:i w:val="0"/>
          <w:iCs w:val="0"/>
          <w:caps w:val="0"/>
          <w:color w:val="auto"/>
          <w:spacing w:val="0"/>
          <w:kern w:val="0"/>
          <w:sz w:val="32"/>
          <w:szCs w:val="32"/>
          <w:u w:val="none"/>
          <w:shd w:val="clear" w:fill="FFFFFF"/>
          <w:lang w:val="en-US" w:eastAsia="zh-CN" w:bidi="ar"/>
        </w:rPr>
        <w:t>号</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）文件，秀山土家族苗族自治县医药价格招标采购服务中心为县医疗保障局管理的副科级公益一类事业单位，核定秀山土家族苗族自治县医药价格招标采购服务中心财政全额拨款事业编制</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6</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名，其中：领导职数</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1</w:t>
      </w:r>
      <w:r>
        <w:rPr>
          <w:rFonts w:hint="default" w:ascii="Times New Roman" w:hAnsi="Times New Roman" w:eastAsia="方正仿宋_GBK" w:cs="Times New Roman"/>
          <w:i w:val="0"/>
          <w:iCs w:val="0"/>
          <w:caps w:val="0"/>
          <w:color w:val="auto"/>
          <w:spacing w:val="0"/>
          <w:kern w:val="0"/>
          <w:sz w:val="32"/>
          <w:szCs w:val="32"/>
          <w:u w:val="none"/>
          <w:shd w:val="clear" w:fill="FFFFFF"/>
          <w:lang w:val="en-US" w:eastAsia="zh-CN" w:bidi="ar"/>
        </w:rPr>
        <w:t>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二、单位决算情况说明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（一）收入支出决算总体情况说明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2023年度收入总计118.24万元，支出总计</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万元。收支较上年决算数增加118.24万元，增长100.00%，主要原因是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2023年度收入合计118.24万元，较上年决算数增加118.24万元，增长100.00%，主要原因是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2023年度支出合计</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万元，较上年决算数增加118.24万元，增长100.00%，主要原因是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2023年度年末结转和结余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（二）财政拨款收入支出决算总体情况说明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2023年度财政拨款收、支总计118.24万元。与2022年相比，财政拨款收、支总计各增加118.24万元，增长100.00%。主要原因是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（三）一般公共预算财政拨款收入支出决算情况说明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2023年度一般公共预算财政拨款收入</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万元，较上年决算数增加118.24万元，增长100.00%。主要原因是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。较年初预算数增加1.30万元，增长1.11%。主要原因是</w:t>
      </w:r>
      <w:r>
        <w:rPr>
          <w:rFonts w:hint="default" w:ascii="Times New Roman" w:hAnsi="Times New Roman" w:eastAsia="方正仿宋_GBK" w:cs="Times New Roman"/>
          <w:color w:val="auto"/>
          <w:sz w:val="32"/>
          <w:szCs w:val="32"/>
          <w:shd w:val="clear" w:color="auto" w:fill="FFFFFF"/>
          <w:lang w:eastAsia="zh-CN"/>
        </w:rPr>
        <w:t>在职人员薪资调整</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2023年度一般公共预算财政拨款支出</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万元，较上年决算数增加118.24万元，增长100.00%。主要原因是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。较年初预算数增加1.30万元，增长1.11%。主要原因是</w:t>
      </w:r>
      <w:r>
        <w:rPr>
          <w:rFonts w:hint="default" w:ascii="Times New Roman" w:hAnsi="Times New Roman" w:eastAsia="方正仿宋_GBK" w:cs="Times New Roman"/>
          <w:color w:val="auto"/>
          <w:sz w:val="32"/>
          <w:szCs w:val="32"/>
          <w:shd w:val="clear" w:color="auto" w:fill="FFFFFF"/>
          <w:lang w:eastAsia="zh-CN"/>
        </w:rPr>
        <w:t>在职人员薪资调整</w:t>
      </w:r>
      <w:r>
        <w:rPr>
          <w:rFonts w:hint="default" w:ascii="Times New Roman" w:hAnsi="Times New Roman" w:eastAsia="方正仿宋_GBK" w:cs="Times New Roman"/>
          <w:color w:val="auto"/>
          <w:sz w:val="32"/>
          <w:szCs w:val="32"/>
          <w:shd w:val="clear" w:color="auto" w:fill="FFFFFF"/>
        </w:rPr>
        <w:t>。</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bCs w:val="0"/>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2023年度年末一般公共预算财政拨款结转和结余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b/>
          <w:bCs w:val="0"/>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本单位2023年度一般公共预算财政拨款支出主要用于以下几个方面：</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rPr>
        <w:t>15.89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13.44</w:t>
      </w:r>
      <w:r>
        <w:rPr>
          <w:rFonts w:hint="default" w:ascii="Times New Roman" w:hAnsi="Times New Roman" w:eastAsia="方正仿宋_GBK" w:cs="Times New Roman"/>
          <w:color w:val="auto"/>
          <w:sz w:val="32"/>
          <w:szCs w:val="32"/>
          <w:shd w:val="clear" w:color="auto" w:fill="FFFFFF"/>
        </w:rPr>
        <w:t>%，较年初预算数无增减。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93.28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78.89</w:t>
      </w:r>
      <w:r>
        <w:rPr>
          <w:rFonts w:hint="default" w:ascii="Times New Roman" w:hAnsi="Times New Roman" w:eastAsia="方正仿宋_GBK" w:cs="Times New Roman"/>
          <w:color w:val="auto"/>
          <w:sz w:val="32"/>
          <w:szCs w:val="32"/>
          <w:shd w:val="clear" w:color="auto" w:fill="FFFFFF"/>
        </w:rPr>
        <w:t>%，较年初预算数增加1.30万元，增长1.41%，主要原因是</w:t>
      </w:r>
      <w:r>
        <w:rPr>
          <w:rFonts w:hint="default" w:ascii="Times New Roman" w:hAnsi="Times New Roman" w:eastAsia="方正仿宋_GBK" w:cs="Times New Roman"/>
          <w:color w:val="auto"/>
          <w:sz w:val="32"/>
          <w:szCs w:val="32"/>
          <w:shd w:val="clear" w:color="auto" w:fill="FFFFFF"/>
          <w:lang w:eastAsia="zh-CN"/>
        </w:rPr>
        <w:t>在职人员薪资调整</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val="0"/>
        <w:kinsoku/>
        <w:wordWrap/>
        <w:overflowPunct/>
        <w:topLinePunct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住房保障支出9.07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7.67</w:t>
      </w:r>
      <w:r>
        <w:rPr>
          <w:rFonts w:hint="default" w:ascii="Times New Roman" w:hAnsi="Times New Roman" w:eastAsia="方正仿宋_GBK" w:cs="Times New Roman"/>
          <w:color w:val="auto"/>
          <w:sz w:val="32"/>
          <w:szCs w:val="32"/>
          <w:shd w:val="clear" w:color="auto" w:fill="FFFFFF"/>
        </w:rPr>
        <w:t>%，较年初预算数无增减。</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（四）一般公共预算财政拨款基本支出决算情况说明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2023年度一般公共财政拨款基本支出</w:t>
      </w:r>
      <w:r>
        <w:rPr>
          <w:rFonts w:hint="default" w:ascii="Times New Roman" w:hAnsi="Times New Roman" w:eastAsia="方正仿宋_GBK" w:cs="Times New Roman"/>
          <w:color w:val="auto"/>
          <w:sz w:val="32"/>
          <w:szCs w:val="32"/>
        </w:rPr>
        <w:t>118.24</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108.96</w:t>
      </w:r>
      <w:r>
        <w:rPr>
          <w:rFonts w:hint="default" w:ascii="Times New Roman" w:hAnsi="Times New Roman" w:eastAsia="方正仿宋_GBK" w:cs="Times New Roman"/>
          <w:color w:val="auto"/>
          <w:sz w:val="32"/>
          <w:szCs w:val="32"/>
          <w:shd w:val="clear" w:color="auto" w:fill="FFFFFF"/>
        </w:rPr>
        <w:t>万元，较上年决算数增加108.96万元，增长100.00%，主要原因是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rPr>
        <w:t>工资、津补贴、奖金、社会保险缴费、住房公积金等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9.27</w:t>
      </w:r>
      <w:r>
        <w:rPr>
          <w:rFonts w:hint="default" w:ascii="Times New Roman" w:hAnsi="Times New Roman" w:eastAsia="方正仿宋_GBK" w:cs="Times New Roman"/>
          <w:color w:val="auto"/>
          <w:sz w:val="32"/>
          <w:szCs w:val="32"/>
          <w:shd w:val="clear" w:color="auto" w:fill="FFFFFF"/>
        </w:rPr>
        <w:t>万元，较上年决算数增加9.27万元，增长100.00%，主要原因是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lang w:bidi="ar-SA"/>
        </w:rPr>
        <w:t>办公费、差旅费、</w:t>
      </w:r>
      <w:r>
        <w:rPr>
          <w:rFonts w:hint="default" w:ascii="Times New Roman" w:hAnsi="Times New Roman" w:eastAsia="方正仿宋_GBK" w:cs="Times New Roman"/>
          <w:color w:val="auto"/>
          <w:kern w:val="0"/>
          <w:sz w:val="32"/>
          <w:szCs w:val="32"/>
          <w:lang w:eastAsia="zh-CN" w:bidi="ar-SA"/>
        </w:rPr>
        <w:t>物业管理费</w:t>
      </w:r>
      <w:r>
        <w:rPr>
          <w:rFonts w:hint="default" w:ascii="Times New Roman" w:hAnsi="Times New Roman" w:eastAsia="方正仿宋_GBK" w:cs="Times New Roman"/>
          <w:color w:val="auto"/>
          <w:kern w:val="0"/>
          <w:sz w:val="32"/>
          <w:szCs w:val="32"/>
          <w:lang w:bidi="ar-SA"/>
        </w:rPr>
        <w:t>、印刷费</w:t>
      </w:r>
      <w:r>
        <w:rPr>
          <w:rFonts w:hint="default" w:ascii="Times New Roman" w:hAnsi="Times New Roman" w:eastAsia="方正仿宋_GBK" w:cs="Times New Roman"/>
          <w:color w:val="auto"/>
          <w:kern w:val="0"/>
          <w:sz w:val="32"/>
          <w:szCs w:val="32"/>
          <w:lang w:eastAsia="zh-CN" w:bidi="ar-SA"/>
        </w:rPr>
        <w:t>、公务接待费</w:t>
      </w:r>
      <w:r>
        <w:rPr>
          <w:rFonts w:hint="default" w:ascii="Times New Roman" w:hAnsi="Times New Roman" w:eastAsia="方正仿宋_GBK" w:cs="Times New Roman"/>
          <w:color w:val="auto"/>
          <w:kern w:val="0"/>
          <w:sz w:val="32"/>
          <w:szCs w:val="32"/>
          <w:lang w:bidi="ar-SA"/>
        </w:rPr>
        <w:t>等</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（五）政府性基金预算收支决算情况说明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本单位2023年度无政府性基金预算财政拨款收支。</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（六）国有资本经营预算财政拨款支出决算情况说明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本单位2023年度无国有资本经营预算财政拨款支出。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三、“三公”经费情况说明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（一）“三公”经费支出总体情况说明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2023年度“三公”经费支出共计</w:t>
      </w:r>
      <w:r>
        <w:rPr>
          <w:rFonts w:hint="default" w:ascii="Times New Roman" w:hAnsi="Times New Roman" w:eastAsia="方正仿宋_GBK" w:cs="Times New Roman"/>
          <w:color w:val="auto"/>
          <w:sz w:val="32"/>
          <w:szCs w:val="32"/>
        </w:rPr>
        <w:t>0.16</w:t>
      </w:r>
      <w:r>
        <w:rPr>
          <w:rFonts w:hint="default" w:ascii="Times New Roman" w:hAnsi="Times New Roman" w:eastAsia="方正仿宋_GBK" w:cs="Times New Roman"/>
          <w:color w:val="auto"/>
          <w:sz w:val="32"/>
          <w:szCs w:val="32"/>
          <w:shd w:val="clear" w:color="auto" w:fill="FFFFFF"/>
        </w:rPr>
        <w:t>万元，较年初预算数减少0.34万元，下降68.00%，主要原因是</w:t>
      </w:r>
      <w:r>
        <w:rPr>
          <w:rFonts w:hint="default" w:ascii="Times New Roman" w:hAnsi="Times New Roman" w:eastAsia="方正仿宋_GBK" w:cs="Times New Roman"/>
          <w:color w:val="auto"/>
          <w:kern w:val="0"/>
          <w:sz w:val="32"/>
          <w:szCs w:val="32"/>
          <w:lang w:val="en-US" w:eastAsia="zh-CN" w:bidi="ar-SA"/>
        </w:rPr>
        <w:t>认真贯彻落实中央八项规定精神，按照只减不增的要求从严控制“三公”经费</w:t>
      </w:r>
      <w:r>
        <w:rPr>
          <w:rFonts w:hint="default" w:ascii="Times New Roman" w:hAnsi="Times New Roman" w:eastAsia="方正仿宋_GBK" w:cs="Times New Roman"/>
          <w:color w:val="auto"/>
          <w:sz w:val="32"/>
          <w:szCs w:val="32"/>
          <w:shd w:val="clear" w:color="auto" w:fill="FFFFFF"/>
        </w:rPr>
        <w:t>。较上年支出数增加0.16万元，增长100.00%，主要原因是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（二）“三公”经费分项支出情况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0.16</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酉阳县医保局与松桃县医保局业务交流学习</w:t>
      </w:r>
      <w:r>
        <w:rPr>
          <w:rFonts w:hint="default" w:ascii="Times New Roman" w:hAnsi="Times New Roman" w:eastAsia="方正仿宋_GBK" w:cs="Times New Roman"/>
          <w:color w:val="auto"/>
          <w:sz w:val="32"/>
          <w:szCs w:val="32"/>
          <w:shd w:val="clear" w:color="auto" w:fill="FFFFFF"/>
        </w:rPr>
        <w:t>。费用支出较年初预算数减少0.34万元，下降68.00%，主要原因是</w:t>
      </w:r>
      <w:r>
        <w:rPr>
          <w:rFonts w:hint="default" w:ascii="Times New Roman" w:hAnsi="Times New Roman" w:eastAsia="方正仿宋_GBK" w:cs="Times New Roman"/>
          <w:color w:val="auto"/>
          <w:sz w:val="32"/>
          <w:szCs w:val="32"/>
          <w:shd w:val="clear" w:color="auto" w:fill="FFFFFF"/>
          <w:lang w:eastAsia="zh-CN"/>
        </w:rPr>
        <w:t>强化公务接待支出管理，严格遵守公务接待开支范围和开支标准</w:t>
      </w:r>
      <w:r>
        <w:rPr>
          <w:rFonts w:hint="default" w:ascii="Times New Roman" w:hAnsi="Times New Roman" w:eastAsia="方正仿宋_GBK" w:cs="Times New Roman"/>
          <w:color w:val="auto"/>
          <w:sz w:val="32"/>
          <w:szCs w:val="32"/>
          <w:shd w:val="clear" w:color="auto" w:fill="FFFFFF"/>
        </w:rPr>
        <w:t>。较上年支出数增加0.16万元，增长100.00%，主要原因是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（三）“三公”经费实物量情况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16</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人。2023年本单位人均接待费</w:t>
      </w:r>
      <w:r>
        <w:rPr>
          <w:rFonts w:hint="default" w:ascii="Times New Roman" w:hAnsi="Times New Roman" w:eastAsia="方正仿宋_GBK" w:cs="Times New Roman"/>
          <w:color w:val="auto"/>
          <w:sz w:val="32"/>
          <w:szCs w:val="32"/>
        </w:rPr>
        <w:t>99.06</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四、其他需要说明的事项</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（一）财政拨款会议费和培训费情况说明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万元，较上年决算数无增减。本年度培训费支出</w:t>
      </w:r>
      <w:r>
        <w:rPr>
          <w:rFonts w:hint="default" w:ascii="Times New Roman" w:hAnsi="Times New Roman" w:eastAsia="方正仿宋_GBK" w:cs="Times New Roman"/>
          <w:color w:val="auto"/>
          <w:sz w:val="32"/>
          <w:szCs w:val="32"/>
        </w:rPr>
        <w:t>0.08</w:t>
      </w:r>
      <w:r>
        <w:rPr>
          <w:rFonts w:hint="default" w:ascii="Times New Roman" w:hAnsi="Times New Roman" w:eastAsia="方正仿宋_GBK" w:cs="Times New Roman"/>
          <w:color w:val="auto"/>
          <w:sz w:val="32"/>
          <w:szCs w:val="32"/>
          <w:shd w:val="clear" w:color="auto" w:fill="FFFFFF"/>
        </w:rPr>
        <w:t>万元，较上年决算数增加0.08万元，增长100.00%，主要原因是</w:t>
      </w:r>
      <w:r>
        <w:rPr>
          <w:rFonts w:hint="default" w:ascii="Times New Roman" w:hAnsi="Times New Roman" w:eastAsia="方正仿宋_GBK" w:cs="Times New Roman"/>
          <w:color w:val="auto"/>
          <w:sz w:val="32"/>
          <w:szCs w:val="32"/>
          <w:shd w:val="clear" w:color="auto" w:fill="FFFFFF"/>
          <w:lang w:eastAsia="zh-CN"/>
        </w:rPr>
        <w:t>本单位上年未独立编制决算</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（二）机关运行经费情况说明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lang w:eastAsia="zh-CN"/>
        </w:rPr>
        <w:t>。</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楷体"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（三）国有资产占用情况说明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截至2023年12月31日，本单位共有车辆</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13"/>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（四）政府采购支出情况说明</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lang w:eastAsia="zh-CN"/>
        </w:rPr>
        <w:t>五、</w:t>
      </w:r>
      <w:r>
        <w:rPr>
          <w:rStyle w:val="10"/>
          <w:rFonts w:hint="default" w:ascii="Times New Roman" w:hAnsi="Times New Roman" w:eastAsia="方正黑体_GBK" w:cs="Times New Roman"/>
          <w:b w:val="0"/>
          <w:bCs/>
          <w:color w:val="auto"/>
          <w:sz w:val="32"/>
          <w:szCs w:val="32"/>
          <w:shd w:val="clear" w:color="auto" w:fill="FFFFFF"/>
        </w:rPr>
        <w:t>预算绩效管理情况说明</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（一）单位自评情况</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本单位隶属秀山土家族苗族自治县医疗保障局，所有项目均在本级实施，故无需开展自评。</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（二）单位绩效评价情况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我单位未组织开展绩效评价。</w:t>
      </w:r>
    </w:p>
    <w:p>
      <w:pPr>
        <w:pStyle w:val="13"/>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outlineLvl w:val="9"/>
        <w:rPr>
          <w:rStyle w:val="10"/>
          <w:rFonts w:hint="default" w:ascii="Times New Roman" w:hAnsi="Times New Roman" w:eastAsia="方正楷体_GBK" w:cs="Times New Roman"/>
          <w:b w:val="0"/>
          <w:bCs/>
          <w:color w:val="auto"/>
          <w:sz w:val="32"/>
          <w:szCs w:val="32"/>
          <w:shd w:val="clear" w:color="auto" w:fill="FFFFFF"/>
          <w:lang w:val="en-US" w:eastAsia="zh-CN" w:bidi="ar-SA"/>
        </w:rPr>
      </w:pPr>
      <w:r>
        <w:rPr>
          <w:rStyle w:val="10"/>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黑体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六、专业名词解释</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指本年度从本级财政部门取得的财政拨款，包括一般公共预算财政拨款和政府性基金预算财政拨款。</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（二）事业收入：</w:t>
      </w:r>
      <w:r>
        <w:rPr>
          <w:rFonts w:hint="default" w:ascii="Times New Roman" w:hAnsi="Times New Roman" w:eastAsia="方正仿宋_GBK" w:cs="Times New Roman"/>
          <w:color w:val="auto"/>
          <w:sz w:val="32"/>
          <w:szCs w:val="32"/>
          <w:shd w:val="clear" w:color="auto"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（三）经营收入：</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指事业单位在专业业务活动及其辅助活动之外开展非独立核算经营活动取得的现金流入。</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楷体" w:cs="Times New Roman"/>
          <w:color w:val="auto"/>
          <w:sz w:val="32"/>
          <w:szCs w:val="32"/>
          <w:shd w:val="clear" w:color="auto" w:fill="FFFFFF"/>
        </w:rPr>
        <w:t>（</w:t>
      </w:r>
      <w:r>
        <w:rPr>
          <w:rStyle w:val="10"/>
          <w:rFonts w:hint="default" w:ascii="Times New Roman" w:hAnsi="Times New Roman" w:eastAsia="方正楷体_GBK" w:cs="Times New Roman"/>
          <w:color w:val="auto"/>
          <w:sz w:val="32"/>
          <w:szCs w:val="32"/>
          <w:shd w:val="clear" w:color="auto" w:fill="FFFFFF"/>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8"/>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楷体_GBK" w:cs="Times New Roman"/>
          <w:color w:val="auto"/>
          <w:sz w:val="32"/>
          <w:szCs w:val="32"/>
          <w:shd w:val="clear" w:color="auto" w:fill="FFFFFF"/>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Style w:val="10"/>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黑体_GBK" w:cs="Times New Roman"/>
          <w:b w:val="0"/>
          <w:bCs/>
          <w:color w:val="auto"/>
          <w:sz w:val="32"/>
          <w:szCs w:val="32"/>
          <w:shd w:val="clear" w:color="auto" w:fill="FFFFFF"/>
        </w:rPr>
        <w:t>七、决算公开联系方式及信息反馈渠道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sectPr>
          <w:headerReference r:id="rId3" w:type="default"/>
          <w:footerReference r:id="rId4" w:type="default"/>
          <w:pgSz w:w="11907" w:h="16839"/>
          <w:pgMar w:top="1440" w:right="1800" w:bottom="1440" w:left="1800" w:header="0" w:footer="283" w:gutter="0"/>
          <w:pgNumType w:fmt="numberInDash"/>
          <w:cols w:space="720" w:num="1"/>
          <w:docGrid w:type="lines" w:linePitch="326" w:charSpace="0"/>
        </w:sect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kern w:val="0"/>
          <w:sz w:val="32"/>
          <w:szCs w:val="32"/>
          <w:lang w:val="en-US" w:eastAsia="zh-CN" w:bidi="ar-SA"/>
        </w:rPr>
        <w:t>蒋晶023-76611860</w:t>
      </w:r>
      <w:r>
        <w:rPr>
          <w:rFonts w:hint="default" w:ascii="Times New Roman" w:hAnsi="Times New Roman" w:eastAsia="方正仿宋_GBK" w:cs="Times New Roman"/>
          <w:color w:val="auto"/>
          <w:sz w:val="32"/>
          <w:szCs w:val="32"/>
          <w:shd w:val="clear" w:color="auto" w:fill="FFFFFF"/>
        </w:rPr>
        <w:t>。</w:t>
      </w:r>
    </w:p>
    <w:p>
      <w:pPr>
        <w:rPr>
          <w:rFonts w:hint="default" w:ascii="Times New Roman" w:hAnsi="Times New Roman" w:cs="Times New Roman"/>
          <w:sz w:val="21"/>
          <w:szCs w:val="21"/>
        </w:rPr>
      </w:pPr>
    </w:p>
    <w:tbl>
      <w:tblPr>
        <w:tblStyle w:val="11"/>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重庆市秀山土家族苗族自治县医药价格招标采购服务中心</w:t>
            </w: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118.24</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93.28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118.24</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118.24</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118.24</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1"/>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重庆市秀山土家族苗族自治县医药价格招标采购服务中心</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重庆市秀山土家族苗族自治县医药价格招标采购服务中心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rPr>
          <w:rFonts w:hint="default" w:ascii="Times New Roman" w:hAnsi="Times New Roman" w:cs="Times New Roman"/>
          <w:sz w:val="21"/>
          <w:szCs w:val="21"/>
        </w:rPr>
      </w:pPr>
      <w:r>
        <w:rPr>
          <w:rFonts w:hint="default" w:ascii="Times New Roman" w:hAnsi="Times New Roman" w:cs="Times New Roman"/>
          <w:sz w:val="20"/>
          <w:szCs w:val="20"/>
        </w:rPr>
        <w:br w:type="page"/>
      </w: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118.24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118.24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93.28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87.58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2101550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87.58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27.22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46.87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108.96</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9.27</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bookmarkStart w:id="0" w:name="_GoBack"/>
            <w:bookmarkEnd w:id="0"/>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重庆市秀山土家族苗族自治县医药价格招标采购服务中心</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23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13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bl>
    <w:p>
      <w:pPr>
        <w:rPr>
          <w:rFonts w:hint="default" w:ascii="Times New Roman" w:hAnsi="Times New Roman" w:eastAsia="方正仿宋_GBK" w:cs="Times New Roman"/>
          <w:color w:val="auto"/>
          <w:sz w:val="32"/>
          <w:szCs w:val="32"/>
          <w:shd w:val="clear" w:color="auto" w:fill="FFFFFF"/>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Gt9ZNEYAgAAFwQAAA4AAAAA&#10;AAAAAQAgAAAAHwEAAGRycy9lMm9Eb2MueG1sUEsFBgAAAAAGAAYAWQEAAKk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CuDJ4pFwIAABY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7EA0"/>
    <w:rsid w:val="03E3214F"/>
    <w:rsid w:val="044C50BA"/>
    <w:rsid w:val="05BC6D49"/>
    <w:rsid w:val="06194FF1"/>
    <w:rsid w:val="06A2550B"/>
    <w:rsid w:val="06F80EE2"/>
    <w:rsid w:val="07001CCA"/>
    <w:rsid w:val="07124611"/>
    <w:rsid w:val="075678DB"/>
    <w:rsid w:val="079D7CC7"/>
    <w:rsid w:val="07DB0975"/>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EF534E"/>
    <w:rsid w:val="13FD55AB"/>
    <w:rsid w:val="141822CD"/>
    <w:rsid w:val="14200702"/>
    <w:rsid w:val="156D02B3"/>
    <w:rsid w:val="163A6CEE"/>
    <w:rsid w:val="173708E3"/>
    <w:rsid w:val="17C374FC"/>
    <w:rsid w:val="182E4AB6"/>
    <w:rsid w:val="183C6A6F"/>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CD39B1"/>
    <w:rsid w:val="315F0B22"/>
    <w:rsid w:val="31D84415"/>
    <w:rsid w:val="32285F6F"/>
    <w:rsid w:val="32770556"/>
    <w:rsid w:val="329C0913"/>
    <w:rsid w:val="32AA0460"/>
    <w:rsid w:val="3337290D"/>
    <w:rsid w:val="33E31118"/>
    <w:rsid w:val="33EF7674"/>
    <w:rsid w:val="342D7BC6"/>
    <w:rsid w:val="352930DB"/>
    <w:rsid w:val="35573069"/>
    <w:rsid w:val="355F6038"/>
    <w:rsid w:val="358C217E"/>
    <w:rsid w:val="36316445"/>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36167"/>
    <w:rsid w:val="3DDF3AB1"/>
    <w:rsid w:val="3E1D0952"/>
    <w:rsid w:val="3E42660A"/>
    <w:rsid w:val="3E7555B1"/>
    <w:rsid w:val="3E787ED9"/>
    <w:rsid w:val="3F032E93"/>
    <w:rsid w:val="3F0527E5"/>
    <w:rsid w:val="3F694D83"/>
    <w:rsid w:val="3F885DCC"/>
    <w:rsid w:val="3FCD675E"/>
    <w:rsid w:val="4004000C"/>
    <w:rsid w:val="406A34D3"/>
    <w:rsid w:val="40B76E41"/>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2248A6"/>
    <w:rsid w:val="4D561DBE"/>
    <w:rsid w:val="4DAC4ACA"/>
    <w:rsid w:val="4DBE01D2"/>
    <w:rsid w:val="4EB0544B"/>
    <w:rsid w:val="4F0C6BA3"/>
    <w:rsid w:val="4F186D58"/>
    <w:rsid w:val="50B86E21"/>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F12F7F"/>
    <w:rsid w:val="5A3B59D6"/>
    <w:rsid w:val="5AD134D8"/>
    <w:rsid w:val="5AEC4CFF"/>
    <w:rsid w:val="5C263CE4"/>
    <w:rsid w:val="5C3457AC"/>
    <w:rsid w:val="5C5D2777"/>
    <w:rsid w:val="5CF66BF3"/>
    <w:rsid w:val="5D290C69"/>
    <w:rsid w:val="5F2D4A41"/>
    <w:rsid w:val="5F7F6F84"/>
    <w:rsid w:val="60C74F6C"/>
    <w:rsid w:val="61025A59"/>
    <w:rsid w:val="613D5BBC"/>
    <w:rsid w:val="61536C39"/>
    <w:rsid w:val="62944DD7"/>
    <w:rsid w:val="62BD6DAD"/>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1A50A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99"/>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2</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2024-09-13T07:55:25Z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