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重庆市秀山土家族苗族自治县医疗保障</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r>
        <w:rPr>
          <w:rFonts w:hint="default" w:ascii="Times New Roman" w:hAnsi="Times New Roman" w:eastAsia="方正小标宋_GBK" w:cs="Times New Roman"/>
          <w:b w:val="0"/>
          <w:bCs w:val="0"/>
          <w:color w:val="auto"/>
          <w:sz w:val="44"/>
          <w:szCs w:val="44"/>
          <w:shd w:val="clear" w:color="auto" w:fill="auto"/>
        </w:rPr>
        <w:t>事务中心2023年度决算公开说明</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60" w:lineRule="exact"/>
        <w:jc w:val="center"/>
        <w:textAlignment w:val="auto"/>
        <w:outlineLvl w:val="9"/>
        <w:rPr>
          <w:rFonts w:hint="default" w:ascii="Times New Roman" w:hAnsi="Times New Roman" w:eastAsia="方正小标宋_GBK" w:cs="Times New Roman"/>
          <w:b w:val="0"/>
          <w:bCs w:val="0"/>
          <w:color w:val="auto"/>
          <w:sz w:val="44"/>
          <w:szCs w:val="44"/>
          <w:shd w:val="clear" w:color="auto" w:fill="auto"/>
        </w:rPr>
      </w:pP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一、单位基本情况</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（一）职能职责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贯彻执行国家和重庆市医疗保障法律、法规、政策、规划和标准，负责医疗保险、生育保险、长期护理保险、医疗救助等业务经办，负责医疗保障政策宣传和业务培训工作，指导乡镇街道医疗保障业务经办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2</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拟定并组织实施医疗保障业务、财务、安全和风险管理制度及年度经办工作计划、实施方案；贯彻执行重庆市医疗保障资金监管有关规定和年度基金预、决算方案，承担辖县医疗保障资金财务核算工作，负责实施医疗保障资金支付方式改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3</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.负责医疗保险、生育保险、长期护理保险等参保对象的参保登记和业务办理、个人权益记录、关系转接、参保人员信息维护、统计等管理工作；按职责做好困难群众（含医疗救助对象）的参保登记和资助工作。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4</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.按职责做好医疗保障扶贫相关工作。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5</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.负责按规定审核支付基本医疗保险、生育保险、长期护理保险、医疗救助待遇工作；负责异地就医管理服务和特殊疾病患者认定管理相关工作；承担医疗机构、药店医保协议管理具体事务。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6</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.负责公务员医疗补助的经办管理，根据授权办理县级财政供养特殊人群医疗费用支付工作。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7</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.负责全县医疗保障信息管理系统建设和运行维护、数据分析运用、信息统计上报和医疗保障各类业务档案管理工作。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8</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.负责医疗保障业务咨询、查询，负责医疗保险稽核工作，受理和处理本机构职责范围内的举报投诉和定点医药机构的申诉。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9</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.负责贯彻执行国市药品、医用耗材、医疗服务项目、医疗服务设施等医保目录和支付标准。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10</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.负责对承办城镇职工大额医疗保险和城乡居民大病医疗保险的机构业务指导和监督管理。</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11</w:t>
      </w: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.承办主管部门交办的其他工作。</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（二）机构设置</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1.综合科。负责中心日常运转、综合协调、公文处理，承担综治、安全、应急、保密、宣传、信访、档案、督查和目标考核、资产管理、政务公开、网络舆情处置和业务大厅日常管理等工作；负责中心内部管理制度、工作计划的拟订并组织实施，牵头承担综合调研、政务信息任务，办理人大代表建议、政协委员提案；负责党的组织建设、纪检监察和工青妇工作，承担人事管理、教育培训、队伍建设等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2.基金财务科。负责经费年度预决算、会计核算、资产核算、政府采购、职工工资管理、津补贴发放等财务工作；负责医疗保险基金的年度预决算工作；负责医疗保险基金收入、支付、转移、退缴、结余等方面的会计核算和管理；负责医疗保险基金财务报表上报和运行分析；负责与基金征收机构、财政、基金开户行的财务核对；负责离退休干部、县级公务员医疗补助等资金的支付工作；负责农村贫困人口健康扶贫医疗基金的拨付工作；负责全县医疗救助及扶贫济困基金的拨付和收回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3.参保管理科。负责医疗保险参保对象信息登记和变更、注销登记，承担参保信息采集、录入、维护等业务；负责核定医疗保险年度缴费基数和月征缴计划，承担参保关系的拆分、转移、中断、接续和重复参保清退工作；负责参保对象个人账户的分摊和清退；负责领取养老待遇人员医疗保险缴费年限的审核确认、费用清算，承担县级公务员医疗补助的人员增减维护、资金注入工作；负责医疗保险、生育保险、长期护理保险等险种的参保扩面工作，承担参保单位和个人缴费、账户等信息查询任务；牵头负责医疗保障扶贫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4.职工医保待遇科。负责职工医疗保险、生育保险、长期护理保险费用的初审和结算管理、参保人员转诊转院和异地就医登记、大额保险经办管理工作，承担定点服务机构职工医保总额控制付费指标编制、运行分析和医疗保险总额控制付费年终清算；负责县级公务员医疗补助费用审核结算，承担财政供给的特殊人群医疗费用支付等工作；负责职工医保特殊疾病资格认定、信息维护和服务机构指导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5.居民医保待遇科。负责居民医疗保险、长期护理保险费用的初审和结算管理、参保人员转诊转院和异地就医登记、大病保险经办管理工作，承担定点服务机构居民医保总额控制付费指标编制、运行分析和医疗保险总额控制付费年终清算；负责居民医保特殊疾病资格认定、信息维护和服务机构指导工作，完成医疗保障扶贫待遇保障相关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6.医疗救助科。负责组织实施医疗救助政策，定期与民政、扶贫、退役军人事务、残联等部门比对医疗救助对象，实时维护更新信息；承担定点服务机构医疗救助资金结算、运行、分析；负责困难群众参加基本医疗保险资助管理；其他相关工作事项。</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7.稽核内审科。承担定点医药机构协议管理具体事务，负责医疗机构、药店医保定点的申请受理、审查、评估等准入和退出管理事务；负责督促、指导定点医药机构履行服务协议，牵头承担医疗保障业务培训、指导工作；配合做好医疗保障资金监督管理违法违规案件查处，承担举报投诉受理、核查、回复等工作，受理定点医药机构对费用审减的复核、申诉；承担医保医师（药师）信息登记、维护工作；负责健全和组织实施医疗保障业务内控制度，负责对中心经办业务实施监督检查和内审工作；负责组织实施医疗保险费缴费情况和待遇支付情况进行核查；负责组织实施医疗保险外包服务及委托第三方审核等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pPr>
      <w:r>
        <w:rPr>
          <w:rFonts w:hint="default" w:ascii="Times New Roman" w:hAnsi="Times New Roman" w:eastAsia="方正仿宋_GBK" w:cs="Times New Roman"/>
          <w:b w:val="0"/>
          <w:bCs w:val="0"/>
          <w:i w:val="0"/>
          <w:iCs w:val="0"/>
          <w:caps w:val="0"/>
          <w:color w:val="auto"/>
          <w:spacing w:val="0"/>
          <w:kern w:val="0"/>
          <w:sz w:val="32"/>
          <w:szCs w:val="32"/>
          <w:u w:val="none"/>
          <w:shd w:val="clear" w:color="auto" w:fill="auto"/>
          <w:lang w:val="en-US" w:eastAsia="zh-CN" w:bidi="ar"/>
        </w:rPr>
        <w:t>8.信息统计科。负责医疗保障网络系统和设备的安全运行维护及管理；负责业务科室工作人员、乡镇街道医保工作人员系统权限分配和管理；负责医疗保险药品目录、医疗服务项目等信息维护工作；负责医疗保障信息化建设，承担大数据管理和医疗保障业务统计、数据分析工作；其他相关工作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二、单位决算情况说明</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（一）收入支出决算总体情况说明</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1.总体情况。</w:t>
      </w:r>
      <w:r>
        <w:rPr>
          <w:rFonts w:hint="default" w:ascii="Times New Roman" w:hAnsi="Times New Roman" w:eastAsia="方正仿宋_GBK" w:cs="Times New Roman"/>
          <w:b w:val="0"/>
          <w:bCs w:val="0"/>
          <w:color w:val="auto"/>
          <w:sz w:val="32"/>
          <w:szCs w:val="32"/>
          <w:shd w:val="clear" w:color="auto" w:fill="auto"/>
        </w:rPr>
        <w:t>2023年度收入总计424.28万元，支出总计424.28万元。收支较上年决算数增加424.28万元，增长100.00%，主要原因是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2.收入情况。</w:t>
      </w:r>
      <w:r>
        <w:rPr>
          <w:rFonts w:hint="default" w:ascii="Times New Roman" w:hAnsi="Times New Roman" w:eastAsia="方正仿宋_GBK" w:cs="Times New Roman"/>
          <w:b w:val="0"/>
          <w:bCs w:val="0"/>
          <w:color w:val="auto"/>
          <w:sz w:val="32"/>
          <w:szCs w:val="32"/>
          <w:shd w:val="clear" w:color="auto" w:fill="auto"/>
        </w:rPr>
        <w:t>2023年度收入合计424.28万元，较上年决算数增加424.28万元，增长100.00%，主要原因是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。其中：财政拨款收入424.28万元，占100.00%；事业收入0.00万元，占0.00%；经营收入0.00万元，占0.00%；其他收入0.00万元，占0.00%。此外，使用非财政拨款结余和专用结余0.00万元，年初结转和结余0.00万元。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3.支出情况。</w:t>
      </w:r>
      <w:r>
        <w:rPr>
          <w:rFonts w:hint="default" w:ascii="Times New Roman" w:hAnsi="Times New Roman" w:eastAsia="方正仿宋_GBK" w:cs="Times New Roman"/>
          <w:b w:val="0"/>
          <w:bCs w:val="0"/>
          <w:color w:val="auto"/>
          <w:sz w:val="32"/>
          <w:szCs w:val="32"/>
          <w:shd w:val="clear" w:color="auto" w:fill="auto"/>
        </w:rPr>
        <w:t>2023年度支出合计424.28万元，较上年决算数增加424.28万元，增长100.00%，主要原因是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。其中：基本支出424.28万元，占100.00%；项目支出0.00万元，占0.00%；经营支出0.00万元，占0.00%。此外，结余分配0.00万元。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4.结转结余情况。</w:t>
      </w:r>
      <w:r>
        <w:rPr>
          <w:rFonts w:hint="default" w:ascii="Times New Roman" w:hAnsi="Times New Roman" w:eastAsia="方正仿宋_GBK" w:cs="Times New Roman"/>
          <w:b w:val="0"/>
          <w:bCs w:val="0"/>
          <w:color w:val="auto"/>
          <w:sz w:val="32"/>
          <w:szCs w:val="32"/>
          <w:shd w:val="clear" w:color="auto" w:fill="auto"/>
        </w:rPr>
        <w:t>2023年度年末结转和结余0.00万元，较上年决算数无增减。</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（二）财政拨款收入支出决算总体情况说明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2023年度财政拨款收、支总计424.28万元。与2022年相比，财政拨款收、支总计各增加424.28万元，增长100.00%。主要原因是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（三）一般公共预算财政拨款收入支出决算情况说明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1.收入情况。</w:t>
      </w:r>
      <w:r>
        <w:rPr>
          <w:rFonts w:hint="default" w:ascii="Times New Roman" w:hAnsi="Times New Roman" w:eastAsia="方正仿宋_GBK" w:cs="Times New Roman"/>
          <w:b w:val="0"/>
          <w:bCs w:val="0"/>
          <w:color w:val="auto"/>
          <w:sz w:val="32"/>
          <w:szCs w:val="32"/>
          <w:shd w:val="clear" w:color="auto" w:fill="auto"/>
        </w:rPr>
        <w:t>2023年度一般公共预算财政拨款收入424.28万元，较上年决算数增加424.28万元，增长100.00%。主要原因是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。较年初预算数增加9.60万元，增长2.32%。主要原因是</w:t>
      </w:r>
      <w:r>
        <w:rPr>
          <w:rFonts w:hint="default" w:ascii="Times New Roman" w:hAnsi="Times New Roman" w:eastAsia="方正仿宋_GBK" w:cs="Times New Roman"/>
          <w:b w:val="0"/>
          <w:bCs w:val="0"/>
          <w:color w:val="auto"/>
          <w:sz w:val="32"/>
          <w:szCs w:val="32"/>
          <w:shd w:val="clear" w:color="auto" w:fill="auto"/>
          <w:lang w:eastAsia="zh-CN"/>
        </w:rPr>
        <w:t>在职人员薪资调整</w:t>
      </w:r>
      <w:r>
        <w:rPr>
          <w:rFonts w:hint="default" w:ascii="Times New Roman" w:hAnsi="Times New Roman" w:eastAsia="方正仿宋_GBK" w:cs="Times New Roman"/>
          <w:b w:val="0"/>
          <w:bCs w:val="0"/>
          <w:color w:val="auto"/>
          <w:sz w:val="32"/>
          <w:szCs w:val="32"/>
          <w:shd w:val="clear" w:color="auto" w:fill="auto"/>
        </w:rPr>
        <w:t>。此外，年初财政拨款结转和结余0.00万元。</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2.支出情况。</w:t>
      </w:r>
      <w:r>
        <w:rPr>
          <w:rFonts w:hint="default" w:ascii="Times New Roman" w:hAnsi="Times New Roman" w:eastAsia="方正仿宋_GBK" w:cs="Times New Roman"/>
          <w:b w:val="0"/>
          <w:bCs w:val="0"/>
          <w:color w:val="auto"/>
          <w:sz w:val="32"/>
          <w:szCs w:val="32"/>
          <w:shd w:val="clear" w:color="auto" w:fill="auto"/>
        </w:rPr>
        <w:t>2023年度一般公共预算财政拨款支出424.28万元，较上年决算数增加424.28万元，增长100.00%。主要原因是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。较年初预算数增加9.60万元，增长2.32%。主要原因是</w:t>
      </w:r>
      <w:r>
        <w:rPr>
          <w:rFonts w:hint="default" w:ascii="Times New Roman" w:hAnsi="Times New Roman" w:eastAsia="方正仿宋_GBK" w:cs="Times New Roman"/>
          <w:b w:val="0"/>
          <w:bCs w:val="0"/>
          <w:color w:val="auto"/>
          <w:sz w:val="32"/>
          <w:szCs w:val="32"/>
          <w:shd w:val="clear" w:color="auto" w:fill="auto"/>
          <w:lang w:eastAsia="zh-CN"/>
        </w:rPr>
        <w:t>在职人员薪资调整</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bCs/>
          <w:color w:val="auto"/>
          <w:sz w:val="32"/>
          <w:szCs w:val="32"/>
          <w:shd w:val="clear" w:color="auto" w:fill="auto"/>
        </w:rPr>
        <w:t>3.结转结余情况。</w:t>
      </w:r>
      <w:r>
        <w:rPr>
          <w:rFonts w:hint="default" w:ascii="Times New Roman" w:hAnsi="Times New Roman" w:eastAsia="方正仿宋_GBK" w:cs="Times New Roman"/>
          <w:b w:val="0"/>
          <w:bCs w:val="0"/>
          <w:color w:val="auto"/>
          <w:sz w:val="32"/>
          <w:szCs w:val="32"/>
          <w:shd w:val="clear" w:color="auto" w:fill="auto"/>
        </w:rPr>
        <w:t>2023年度年末一般公共预算财政拨款结转和结余0.00万元，较上年决算数无增减。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highlight w:val="cyan"/>
          <w:shd w:val="clear" w:color="auto" w:fill="auto"/>
        </w:rPr>
      </w:pPr>
      <w:r>
        <w:rPr>
          <w:rStyle w:val="10"/>
          <w:rFonts w:hint="default" w:ascii="Times New Roman" w:hAnsi="Times New Roman" w:eastAsia="方正仿宋_GBK" w:cs="Times New Roman"/>
          <w:b/>
          <w:bCs/>
          <w:color w:val="auto"/>
          <w:sz w:val="32"/>
          <w:szCs w:val="32"/>
          <w:shd w:val="clear" w:color="auto" w:fill="auto"/>
        </w:rPr>
        <w:t>4.比较情况。</w:t>
      </w:r>
      <w:r>
        <w:rPr>
          <w:rFonts w:hint="default" w:ascii="Times New Roman" w:hAnsi="Times New Roman" w:eastAsia="方正仿宋_GBK" w:cs="Times New Roman"/>
          <w:b w:val="0"/>
          <w:bCs w:val="0"/>
          <w:color w:val="auto"/>
          <w:sz w:val="32"/>
          <w:szCs w:val="32"/>
          <w:shd w:val="clear" w:color="auto" w:fill="auto"/>
        </w:rPr>
        <w:t>本单位2023年度一般公共预算财政拨款支出主要用于以下几个方面：</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（1）社会保障与就业支出58.19万元，占13.71%，较年初预算数无增减。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2</w:t>
      </w:r>
      <w:r>
        <w:rPr>
          <w:rFonts w:hint="default" w:ascii="Times New Roman" w:hAnsi="Times New Roman" w:eastAsia="方正仿宋_GBK" w:cs="Times New Roman"/>
          <w:b w:val="0"/>
          <w:bCs w:val="0"/>
          <w:color w:val="auto"/>
          <w:sz w:val="32"/>
          <w:szCs w:val="32"/>
          <w:shd w:val="clear" w:color="auto" w:fill="auto"/>
        </w:rPr>
        <w:t>）卫生健康支出335.32万元，占79.03%，较年初预算数增加9.60万元，增长2.95%，主要原因是</w:t>
      </w:r>
      <w:r>
        <w:rPr>
          <w:rFonts w:hint="default" w:ascii="Times New Roman" w:hAnsi="Times New Roman" w:eastAsia="方正仿宋_GBK" w:cs="Times New Roman"/>
          <w:b w:val="0"/>
          <w:bCs w:val="0"/>
          <w:color w:val="auto"/>
          <w:sz w:val="32"/>
          <w:szCs w:val="32"/>
          <w:shd w:val="clear" w:color="auto" w:fill="auto"/>
          <w:lang w:eastAsia="zh-CN"/>
        </w:rPr>
        <w:t>在职人员薪资调整</w:t>
      </w:r>
      <w:r>
        <w:rPr>
          <w:rFonts w:hint="default" w:ascii="Times New Roman" w:hAnsi="Times New Roman" w:eastAsia="方正仿宋_GBK" w:cs="Times New Roman"/>
          <w:b w:val="0"/>
          <w:bCs w:val="0"/>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w:t>
      </w:r>
      <w:r>
        <w:rPr>
          <w:rFonts w:hint="default" w:ascii="Times New Roman" w:hAnsi="Times New Roman" w:eastAsia="方正仿宋_GBK" w:cs="Times New Roman"/>
          <w:b w:val="0"/>
          <w:bCs w:val="0"/>
          <w:color w:val="auto"/>
          <w:sz w:val="32"/>
          <w:szCs w:val="32"/>
          <w:shd w:val="clear" w:color="auto" w:fill="auto"/>
          <w:lang w:val="en-US" w:eastAsia="zh-CN"/>
        </w:rPr>
        <w:t>3</w:t>
      </w:r>
      <w:r>
        <w:rPr>
          <w:rFonts w:hint="default" w:ascii="Times New Roman" w:hAnsi="Times New Roman" w:eastAsia="方正仿宋_GBK" w:cs="Times New Roman"/>
          <w:b w:val="0"/>
          <w:bCs w:val="0"/>
          <w:color w:val="auto"/>
          <w:sz w:val="32"/>
          <w:szCs w:val="32"/>
          <w:shd w:val="clear" w:color="auto" w:fill="auto"/>
        </w:rPr>
        <w:t>）住房保障支出30.77万元，占7.25%，较年初预算数无增减。</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（四）一般公共预算财政拨款基本支出决算情况说明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2023年度一般公共财政拨款基本支出424.28万元。其中：人员经费377.35万元，较上年决算数增加377.35万元，增长100.00%，主要原因是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。人员经费用途主要包括</w:t>
      </w:r>
      <w:r>
        <w:rPr>
          <w:rFonts w:hint="default" w:ascii="Times New Roman" w:hAnsi="Times New Roman" w:eastAsia="方正仿宋_GBK" w:cs="Times New Roman"/>
          <w:b w:val="0"/>
          <w:bCs w:val="0"/>
          <w:color w:val="auto"/>
          <w:kern w:val="0"/>
          <w:sz w:val="32"/>
          <w:szCs w:val="32"/>
          <w:shd w:val="clear" w:color="auto" w:fill="auto"/>
          <w:lang w:bidi="ar-SA"/>
        </w:rPr>
        <w:t>工资、津补贴、奖金、社会保险缴费、住房公积金等</w:t>
      </w:r>
      <w:r>
        <w:rPr>
          <w:rFonts w:hint="default" w:ascii="Times New Roman" w:hAnsi="Times New Roman" w:eastAsia="方正仿宋_GBK" w:cs="Times New Roman"/>
          <w:b w:val="0"/>
          <w:bCs w:val="0"/>
          <w:color w:val="auto"/>
          <w:sz w:val="32"/>
          <w:szCs w:val="32"/>
          <w:shd w:val="clear" w:color="auto" w:fill="auto"/>
        </w:rPr>
        <w:t>。公用经费46.93万元，较上年决算数增加46.93万元，增长100.00%，主要原因是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。公用经费用途主要包括</w:t>
      </w:r>
      <w:r>
        <w:rPr>
          <w:rFonts w:hint="default" w:ascii="Times New Roman" w:hAnsi="Times New Roman" w:eastAsia="方正仿宋_GBK" w:cs="Times New Roman"/>
          <w:b w:val="0"/>
          <w:bCs w:val="0"/>
          <w:color w:val="auto"/>
          <w:kern w:val="0"/>
          <w:sz w:val="32"/>
          <w:szCs w:val="32"/>
          <w:shd w:val="clear" w:color="auto" w:fill="auto"/>
          <w:lang w:bidi="ar-SA"/>
        </w:rPr>
        <w:t>办公费、差旅费、邮电费、印刷费</w:t>
      </w:r>
      <w:r>
        <w:rPr>
          <w:rFonts w:hint="default" w:ascii="Times New Roman" w:hAnsi="Times New Roman" w:eastAsia="方正仿宋_GBK" w:cs="Times New Roman"/>
          <w:b w:val="0"/>
          <w:bCs w:val="0"/>
          <w:color w:val="auto"/>
          <w:kern w:val="0"/>
          <w:sz w:val="32"/>
          <w:szCs w:val="32"/>
          <w:shd w:val="clear" w:color="auto" w:fill="auto"/>
          <w:lang w:eastAsia="zh-CN" w:bidi="ar-SA"/>
        </w:rPr>
        <w:t>、物业管理费、公务接待费</w:t>
      </w:r>
      <w:r>
        <w:rPr>
          <w:rFonts w:hint="default" w:ascii="Times New Roman" w:hAnsi="Times New Roman" w:eastAsia="方正仿宋_GBK" w:cs="Times New Roman"/>
          <w:b w:val="0"/>
          <w:bCs w:val="0"/>
          <w:color w:val="auto"/>
          <w:kern w:val="0"/>
          <w:sz w:val="32"/>
          <w:szCs w:val="32"/>
          <w:shd w:val="clear" w:color="auto" w:fill="auto"/>
          <w:lang w:bidi="ar-SA"/>
        </w:rPr>
        <w:t>等</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（五）政府性基金预算收支决算情况说明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val="0"/>
          <w:bCs w:val="0"/>
          <w:color w:val="auto"/>
          <w:sz w:val="32"/>
          <w:szCs w:val="32"/>
          <w:shd w:val="clear" w:color="auto" w:fill="auto"/>
        </w:rPr>
        <w:t>本单位2023年度无政府性基金预算财政拨款收支。</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（六）国有资本经营预算财政拨款支出决算情况说明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仿宋_GBK" w:cs="Times New Roman"/>
          <w:b w:val="0"/>
          <w:bCs w:val="0"/>
          <w:color w:val="auto"/>
          <w:sz w:val="32"/>
          <w:szCs w:val="32"/>
          <w:shd w:val="clear" w:color="auto" w:fill="auto"/>
        </w:rPr>
        <w:t>本单位2023年度无国有资本经营预算财政拨款支出。</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三、“三公”经费情况说明</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（一）“三公”经费支出总体情况说明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2023年度“三公”经费支出共计0.80万元，较年初预算数减少0.20万元，下降20.00%，主要原因是</w:t>
      </w:r>
      <w:r>
        <w:rPr>
          <w:rFonts w:hint="default" w:ascii="Times New Roman" w:hAnsi="Times New Roman" w:eastAsia="方正仿宋_GBK" w:cs="Times New Roman"/>
          <w:b w:val="0"/>
          <w:bCs w:val="0"/>
          <w:color w:val="auto"/>
          <w:kern w:val="0"/>
          <w:sz w:val="32"/>
          <w:szCs w:val="32"/>
          <w:shd w:val="clear" w:color="auto" w:fill="auto"/>
          <w:lang w:val="en-US" w:eastAsia="zh-CN" w:bidi="ar-SA"/>
        </w:rPr>
        <w:t>认真贯彻落实中央八项规定精神，按照只减不增的要求从严控制“三公”经费</w:t>
      </w:r>
      <w:r>
        <w:rPr>
          <w:rFonts w:hint="default" w:ascii="Times New Roman" w:hAnsi="Times New Roman" w:eastAsia="方正仿宋_GBK" w:cs="Times New Roman"/>
          <w:b w:val="0"/>
          <w:bCs w:val="0"/>
          <w:color w:val="auto"/>
          <w:sz w:val="32"/>
          <w:szCs w:val="32"/>
          <w:shd w:val="clear" w:color="auto" w:fill="auto"/>
        </w:rPr>
        <w:t>。较上年支出数增加0.80万元，增长100.00%，主要原因是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（二）“三公”经费分项支出情况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2023年度本单位因公出国（境）费用0.00万元，费用支出较年初预算数无增减，较上年支出数无增减。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公务车购置费0.00万元，费用支出较年初预算数无增减，较上年支出数无增减。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公务车运行维护费0.00万元，费用支出较年初预算数无增减，较上年支出数无增减。</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公务接待费0.80万元，主要用于接待</w:t>
      </w:r>
      <w:r>
        <w:rPr>
          <w:rFonts w:hint="default" w:ascii="Times New Roman" w:hAnsi="Times New Roman" w:eastAsia="方正仿宋_GBK" w:cs="Times New Roman"/>
          <w:b w:val="0"/>
          <w:bCs w:val="0"/>
          <w:color w:val="auto"/>
          <w:sz w:val="32"/>
          <w:szCs w:val="32"/>
          <w:shd w:val="clear" w:color="auto" w:fill="auto"/>
          <w:lang w:eastAsia="zh-CN"/>
        </w:rPr>
        <w:t>开州医保局、酉阳医保局业务交流与飞行检查</w:t>
      </w:r>
      <w:r>
        <w:rPr>
          <w:rFonts w:hint="default" w:ascii="Times New Roman" w:hAnsi="Times New Roman" w:eastAsia="方正仿宋_GBK" w:cs="Times New Roman"/>
          <w:b w:val="0"/>
          <w:bCs w:val="0"/>
          <w:color w:val="auto"/>
          <w:sz w:val="32"/>
          <w:szCs w:val="32"/>
          <w:shd w:val="clear" w:color="auto" w:fill="auto"/>
        </w:rPr>
        <w:t>。费用支出较年初预算数减少0.20万元，下降20.00%，主要原因是</w:t>
      </w:r>
      <w:r>
        <w:rPr>
          <w:rFonts w:hint="default" w:ascii="Times New Roman" w:hAnsi="Times New Roman" w:eastAsia="方正仿宋_GBK" w:cs="Times New Roman"/>
          <w:b w:val="0"/>
          <w:bCs w:val="0"/>
          <w:color w:val="auto"/>
          <w:sz w:val="32"/>
          <w:szCs w:val="32"/>
          <w:shd w:val="clear" w:color="auto" w:fill="auto"/>
          <w:lang w:eastAsia="zh-CN"/>
        </w:rPr>
        <w:t>强化公务接待支出管理，严格遵守公务接待开支范围和开支标准</w:t>
      </w:r>
      <w:r>
        <w:rPr>
          <w:rFonts w:hint="default" w:ascii="Times New Roman" w:hAnsi="Times New Roman" w:eastAsia="方正仿宋_GBK" w:cs="Times New Roman"/>
          <w:b w:val="0"/>
          <w:bCs w:val="0"/>
          <w:color w:val="auto"/>
          <w:sz w:val="32"/>
          <w:szCs w:val="32"/>
          <w:shd w:val="clear" w:color="auto" w:fill="auto"/>
        </w:rPr>
        <w:t>。较上年支出数增加0.80万元，增长100.00%，主要原因是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（三）“三公”经费实物量情况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本单位因公出国（境）共计0个团组，0人；公务用车购置0辆，公务车保有量为0辆；国内公务接待4批次92人，其中：国内外事接待0批次，0人；国（境）外公务接待0批次，0人。2023年本单位人均接待费87.32元，车均购置费0万元，车均维护费0万元。</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四、其他需要说明的事项</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（一）财政拨款会议费和培训费情况说明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本年度会议费支出0.00万元，较上年决算数无增减。本年度培训费支出0.47万元，较上年决算数增加0.47万元，增长100.00%，主要原因是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（二）机关运行经费情况说明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2023年度本单位机关运行经费支出46.93万元，机关运行经费主要用于开支</w:t>
      </w:r>
      <w:r>
        <w:rPr>
          <w:rFonts w:hint="default" w:ascii="Times New Roman" w:hAnsi="Times New Roman" w:eastAsia="方正仿宋_GBK" w:cs="Times New Roman"/>
          <w:b w:val="0"/>
          <w:bCs w:val="0"/>
          <w:color w:val="auto"/>
          <w:kern w:val="0"/>
          <w:sz w:val="32"/>
          <w:szCs w:val="32"/>
          <w:shd w:val="clear" w:color="auto" w:fill="auto"/>
          <w:lang w:eastAsia="zh-CN" w:bidi="ar-SA"/>
        </w:rPr>
        <w:t>办公费、物业管理费、邮电费、维修（护）费、培训费、工会经费、公务接待费等</w:t>
      </w:r>
      <w:r>
        <w:rPr>
          <w:rFonts w:hint="default" w:ascii="Times New Roman" w:hAnsi="Times New Roman" w:eastAsia="方正仿宋_GBK" w:cs="Times New Roman"/>
          <w:b w:val="0"/>
          <w:bCs w:val="0"/>
          <w:color w:val="auto"/>
          <w:kern w:val="0"/>
          <w:sz w:val="32"/>
          <w:szCs w:val="32"/>
          <w:shd w:val="clear" w:color="auto" w:fill="auto"/>
          <w:lang w:bidi="ar-SA"/>
        </w:rPr>
        <w:t>。</w:t>
      </w:r>
      <w:r>
        <w:rPr>
          <w:rFonts w:hint="default" w:ascii="Times New Roman" w:hAnsi="Times New Roman" w:eastAsia="方正仿宋_GBK" w:cs="Times New Roman"/>
          <w:b w:val="0"/>
          <w:bCs w:val="0"/>
          <w:color w:val="auto"/>
          <w:sz w:val="32"/>
          <w:szCs w:val="32"/>
          <w:shd w:val="clear" w:color="auto" w:fill="auto"/>
        </w:rPr>
        <w:t>机关运行经费较上年支出数增加46.93万元，增长100.00%，主要原因是</w:t>
      </w:r>
      <w:r>
        <w:rPr>
          <w:rFonts w:hint="default" w:ascii="Times New Roman" w:hAnsi="Times New Roman" w:eastAsia="方正仿宋_GBK" w:cs="Times New Roman"/>
          <w:b w:val="0"/>
          <w:bCs w:val="0"/>
          <w:color w:val="auto"/>
          <w:sz w:val="32"/>
          <w:szCs w:val="32"/>
          <w:shd w:val="clear" w:color="auto" w:fill="auto"/>
          <w:lang w:eastAsia="zh-CN"/>
        </w:rPr>
        <w:t>本单位上年未独立编制决算</w:t>
      </w:r>
      <w:r>
        <w:rPr>
          <w:rFonts w:hint="default" w:ascii="Times New Roman" w:hAnsi="Times New Roman" w:eastAsia="方正仿宋_GBK" w:cs="Times New Roman"/>
          <w:b w:val="0"/>
          <w:bCs w:val="0"/>
          <w:color w:val="auto"/>
          <w:sz w:val="32"/>
          <w:szCs w:val="32"/>
          <w:shd w:val="clear" w:color="auto" w:fill="auto"/>
        </w:rPr>
        <w:t>。</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（三）国有资产占用情况说明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截至2023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（四）政府采购支出情况说明</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2023年度我单位未发生政府采购事项，无相关经费支出。</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lang w:eastAsia="zh-CN"/>
        </w:rPr>
        <w:t>五、</w:t>
      </w:r>
      <w:r>
        <w:rPr>
          <w:rStyle w:val="10"/>
          <w:rFonts w:hint="default" w:ascii="Times New Roman" w:hAnsi="Times New Roman" w:eastAsia="方正黑体_GBK" w:cs="Times New Roman"/>
          <w:b w:val="0"/>
          <w:bCs w:val="0"/>
          <w:color w:val="auto"/>
          <w:sz w:val="32"/>
          <w:szCs w:val="32"/>
          <w:shd w:val="clear" w:color="auto" w:fill="auto"/>
        </w:rPr>
        <w:t>预算绩效管理情况说明</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（一）单位自评情况</w:t>
      </w:r>
    </w:p>
    <w:p>
      <w:pPr>
        <w:pStyle w:val="8"/>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eastAsia="zh-CN"/>
        </w:rPr>
        <w:t>本单位隶属秀山土家族苗族自治县医疗保障局，所有项目均在本级实施，故无需开展自评。</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（二）单位绩效评价情况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rPr>
        <w:t>我单位未组织开展绩效评价。</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楷体_GBK" w:cs="Times New Roman"/>
          <w:b w:val="0"/>
          <w:bCs w:val="0"/>
          <w:color w:val="auto"/>
          <w:sz w:val="32"/>
          <w:szCs w:val="32"/>
          <w:shd w:val="clear" w:color="auto" w:fill="auto"/>
        </w:rPr>
      </w:pPr>
      <w:r>
        <w:rPr>
          <w:rStyle w:val="10"/>
          <w:rFonts w:hint="default" w:ascii="Times New Roman" w:hAnsi="Times New Roman" w:eastAsia="方正楷体_GBK" w:cs="Times New Roman"/>
          <w:b w:val="0"/>
          <w:bCs w:val="0"/>
          <w:color w:val="auto"/>
          <w:sz w:val="32"/>
          <w:szCs w:val="32"/>
          <w:shd w:val="clear" w:color="auto" w:fill="auto"/>
        </w:rPr>
        <w:t>（三）财政绩效评价情况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eastAsia="方正仿宋_GBK" w:cs="Times New Roman"/>
          <w:b w:val="0"/>
          <w:bCs w:val="0"/>
          <w:color w:val="auto"/>
          <w:sz w:val="32"/>
          <w:szCs w:val="32"/>
          <w:shd w:val="clear" w:color="auto" w:fill="auto"/>
          <w:lang w:eastAsia="zh-CN"/>
        </w:rPr>
        <w:t>县</w:t>
      </w:r>
      <w:r>
        <w:rPr>
          <w:rFonts w:hint="default" w:ascii="Times New Roman" w:hAnsi="Times New Roman" w:eastAsia="方正仿宋_GBK" w:cs="Times New Roman"/>
          <w:b w:val="0"/>
          <w:bCs w:val="0"/>
          <w:color w:val="auto"/>
          <w:sz w:val="32"/>
          <w:szCs w:val="32"/>
          <w:shd w:val="clear" w:color="auto" w:fill="auto"/>
        </w:rPr>
        <w:t>财政局未委托第三方对我单位开展绩效评价。</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六、专业名词解释</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（一）财政拨款收入：</w:t>
      </w:r>
      <w:r>
        <w:rPr>
          <w:rFonts w:hint="default" w:ascii="Times New Roman" w:hAnsi="Times New Roman" w:eastAsia="方正仿宋_GBK" w:cs="Times New Roman"/>
          <w:b w:val="0"/>
          <w:bCs w:val="0"/>
          <w:color w:val="auto"/>
          <w:sz w:val="32"/>
          <w:szCs w:val="32"/>
          <w:shd w:val="clear" w:color="auto" w:fill="auto"/>
        </w:rPr>
        <w:t>指本年度从本级财政部门取得的财政拨款，包括一般公共预算财政拨款和政府性基金预算财政拨款。</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（二）事业收入：</w:t>
      </w:r>
      <w:r>
        <w:rPr>
          <w:rFonts w:hint="default" w:ascii="Times New Roman" w:hAnsi="Times New Roman" w:eastAsia="方正仿宋_GBK" w:cs="Times New Roman"/>
          <w:b w:val="0"/>
          <w:bCs w:val="0"/>
          <w:color w:val="auto"/>
          <w:sz w:val="32"/>
          <w:szCs w:val="32"/>
          <w:shd w:val="clear" w:color="auto" w:fill="auto"/>
        </w:rPr>
        <w:t>指事业单位开展专业业务活动及其辅助活动取得的现金流入；事业单位收到的财政专户实际核拨的教育收费等资金在此反映。</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（三）经营收入：</w:t>
      </w:r>
      <w:r>
        <w:rPr>
          <w:rFonts w:hint="default" w:ascii="Times New Roman" w:hAnsi="Times New Roman" w:eastAsia="方正仿宋_GBK" w:cs="Times New Roman"/>
          <w:b w:val="0"/>
          <w:bCs w:val="0"/>
          <w:color w:val="auto"/>
          <w:sz w:val="32"/>
          <w:szCs w:val="32"/>
          <w:shd w:val="clear" w:color="auto" w:fill="auto"/>
        </w:rPr>
        <w:t>指事业单位在专业业务活动及其辅助活动之外开展非独立核算经营活动取得的现金流入。</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（四）其他收入：</w:t>
      </w:r>
      <w:r>
        <w:rPr>
          <w:rFonts w:hint="default" w:ascii="Times New Roman" w:hAnsi="Times New Roman" w:eastAsia="方正仿宋_GBK" w:cs="Times New Roman"/>
          <w:b w:val="0"/>
          <w:bCs w:val="0"/>
          <w:color w:val="auto"/>
          <w:sz w:val="32"/>
          <w:szCs w:val="32"/>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（五）使用非财政拨款结余：</w:t>
      </w:r>
      <w:r>
        <w:rPr>
          <w:rFonts w:hint="default" w:ascii="Times New Roman" w:hAnsi="Times New Roman" w:eastAsia="方正仿宋_GBK" w:cs="Times New Roman"/>
          <w:b w:val="0"/>
          <w:bCs w:val="0"/>
          <w:color w:val="auto"/>
          <w:sz w:val="32"/>
          <w:szCs w:val="32"/>
          <w:shd w:val="clear" w:color="auto" w:fill="auto"/>
        </w:rPr>
        <w:t>指单位在当年的“财政拨款收入”、“事业收入”、“经营收入”、“其他收入”等不足以安排当年支出的情况下，使用以前年度积累的非财政拨款结余弥补本年度收支缺口的资金。</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（六）年初结转和结余：</w:t>
      </w:r>
      <w:r>
        <w:rPr>
          <w:rFonts w:hint="default" w:ascii="Times New Roman" w:hAnsi="Times New Roman" w:eastAsia="方正仿宋_GBK" w:cs="Times New Roman"/>
          <w:b w:val="0"/>
          <w:bCs w:val="0"/>
          <w:color w:val="auto"/>
          <w:sz w:val="32"/>
          <w:szCs w:val="32"/>
          <w:shd w:val="clear" w:color="auto" w:fill="auto"/>
        </w:rPr>
        <w:t>指单位上年结转本年使用的基本支出结转、项目支出结转和结余、经营结余。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（七）结余分配：</w:t>
      </w:r>
      <w:r>
        <w:rPr>
          <w:rFonts w:hint="default" w:ascii="Times New Roman" w:hAnsi="Times New Roman" w:eastAsia="方正仿宋_GBK" w:cs="Times New Roman"/>
          <w:b w:val="0"/>
          <w:bCs w:val="0"/>
          <w:color w:val="auto"/>
          <w:sz w:val="32"/>
          <w:szCs w:val="32"/>
          <w:shd w:val="clear" w:color="auto" w:fill="auto"/>
        </w:rPr>
        <w:t>指单位按照国家有关规定，缴纳所得税、提取专用基金、转入非财政拨款结余等当年结余的分配情况。</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（八）年末结转和结余：</w:t>
      </w:r>
      <w:r>
        <w:rPr>
          <w:rFonts w:hint="default" w:ascii="Times New Roman" w:hAnsi="Times New Roman" w:eastAsia="方正仿宋_GBK" w:cs="Times New Roman"/>
          <w:b w:val="0"/>
          <w:bCs w:val="0"/>
          <w:color w:val="auto"/>
          <w:sz w:val="32"/>
          <w:szCs w:val="32"/>
          <w:shd w:val="clear" w:color="auto" w:fill="auto"/>
        </w:rPr>
        <w:t>指单位结转下年的基本支出结转、项目支出结转和结余、经营结余。</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（九）基本支出：</w:t>
      </w:r>
      <w:r>
        <w:rPr>
          <w:rFonts w:hint="default" w:ascii="Times New Roman" w:hAnsi="Times New Roman" w:eastAsia="方正仿宋_GBK" w:cs="Times New Roman"/>
          <w:b w:val="0"/>
          <w:bCs w:val="0"/>
          <w:color w:val="auto"/>
          <w:sz w:val="32"/>
          <w:szCs w:val="32"/>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（十）项目支出：</w:t>
      </w:r>
      <w:r>
        <w:rPr>
          <w:rFonts w:hint="default" w:ascii="Times New Roman" w:hAnsi="Times New Roman" w:eastAsia="方正仿宋_GBK" w:cs="Times New Roman"/>
          <w:b w:val="0"/>
          <w:bCs w:val="0"/>
          <w:color w:val="auto"/>
          <w:sz w:val="32"/>
          <w:szCs w:val="32"/>
          <w:shd w:val="clear" w:color="auto" w:fill="auto"/>
        </w:rPr>
        <w:t>指在基本支出之外为完成特定行政任务和事业发展目标所发生的支出。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（十一）经营支出：</w:t>
      </w:r>
      <w:r>
        <w:rPr>
          <w:rFonts w:hint="default" w:ascii="Times New Roman" w:hAnsi="Times New Roman" w:eastAsia="方正仿宋_GBK" w:cs="Times New Roman"/>
          <w:b w:val="0"/>
          <w:bCs w:val="0"/>
          <w:color w:val="auto"/>
          <w:sz w:val="32"/>
          <w:szCs w:val="32"/>
          <w:shd w:val="clear" w:color="auto" w:fill="auto"/>
        </w:rPr>
        <w:t>指事业单位在专业业务活动及其辅助活动之外开展非独立核算经营活动发生的支出。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（十二）“三公”经费：</w:t>
      </w:r>
      <w:r>
        <w:rPr>
          <w:rFonts w:hint="default" w:ascii="Times New Roman" w:hAnsi="Times New Roman" w:eastAsia="方正仿宋_GBK" w:cs="Times New Roman"/>
          <w:b w:val="0"/>
          <w:bCs w:val="0"/>
          <w:color w:val="auto"/>
          <w:sz w:val="32"/>
          <w:szCs w:val="32"/>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（十三）机关运行经费：</w:t>
      </w:r>
      <w:r>
        <w:rPr>
          <w:rFonts w:hint="default" w:ascii="Times New Roman" w:hAnsi="Times New Roman" w:eastAsia="方正仿宋_GBK" w:cs="Times New Roman"/>
          <w:b w:val="0"/>
          <w:bCs w:val="0"/>
          <w:color w:val="auto"/>
          <w:sz w:val="32"/>
          <w:szCs w:val="32"/>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（十四）工资福利支出（支出经济分类科目类级）：</w:t>
      </w:r>
      <w:r>
        <w:rPr>
          <w:rFonts w:hint="default" w:ascii="Times New Roman" w:hAnsi="Times New Roman" w:eastAsia="方正仿宋_GBK" w:cs="Times New Roman"/>
          <w:b w:val="0"/>
          <w:bCs w:val="0"/>
          <w:color w:val="auto"/>
          <w:sz w:val="32"/>
          <w:szCs w:val="32"/>
          <w:shd w:val="clear" w:color="auto" w:fill="auto"/>
        </w:rPr>
        <w:t>反映单位开支的在职职工和编制外长期聘用人员的各类劳动报酬，以及为上述人员缴纳的各项社会保险费等。</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（十五）商品和服务支出（支出经济分类科目类级）：</w:t>
      </w:r>
      <w:r>
        <w:rPr>
          <w:rFonts w:hint="default" w:ascii="Times New Roman" w:hAnsi="Times New Roman" w:eastAsia="方正仿宋_GBK" w:cs="Times New Roman"/>
          <w:b w:val="0"/>
          <w:bCs w:val="0"/>
          <w:color w:val="auto"/>
          <w:sz w:val="32"/>
          <w:szCs w:val="32"/>
          <w:shd w:val="clear" w:color="auto" w:fill="auto"/>
        </w:rPr>
        <w:t>反映单位购买商品和服务的支出（不包括用于购置固定资产的支出、战略性和应急储备支出）。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（十六）对个人和家庭的补助（支出经济分类科目类级）：</w:t>
      </w:r>
      <w:r>
        <w:rPr>
          <w:rFonts w:hint="default" w:ascii="Times New Roman" w:hAnsi="Times New Roman" w:eastAsia="方正仿宋_GBK" w:cs="Times New Roman"/>
          <w:b w:val="0"/>
          <w:bCs w:val="0"/>
          <w:color w:val="auto"/>
          <w:sz w:val="32"/>
          <w:szCs w:val="32"/>
          <w:shd w:val="clear" w:color="auto" w:fill="auto"/>
        </w:rPr>
        <w:t>反映用于对个人和家庭的补助支出。</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3"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pPr>
      <w:r>
        <w:rPr>
          <w:rStyle w:val="10"/>
          <w:rFonts w:hint="default" w:ascii="Times New Roman" w:hAnsi="Times New Roman" w:eastAsia="方正楷体_GBK" w:cs="Times New Roman"/>
          <w:b/>
          <w:bCs/>
          <w:color w:val="auto"/>
          <w:sz w:val="32"/>
          <w:szCs w:val="32"/>
          <w:shd w:val="clear" w:color="auto" w:fill="auto"/>
        </w:rPr>
        <w:t>（十七）其他资本性支出（支出经济分类科目类级）：</w:t>
      </w:r>
      <w:r>
        <w:rPr>
          <w:rFonts w:hint="default" w:ascii="Times New Roman" w:hAnsi="Times New Roman" w:eastAsia="方正仿宋_GBK" w:cs="Times New Roman"/>
          <w:b w:val="0"/>
          <w:bCs w:val="0"/>
          <w:color w:val="auto"/>
          <w:sz w:val="32"/>
          <w:szCs w:val="32"/>
          <w:shd w:val="clear" w:color="auto" w:fill="auto"/>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left="0" w:firstLine="640" w:firstLineChars="200"/>
        <w:jc w:val="both"/>
        <w:textAlignment w:val="auto"/>
        <w:outlineLvl w:val="9"/>
        <w:rPr>
          <w:rStyle w:val="10"/>
          <w:rFonts w:hint="default" w:ascii="Times New Roman" w:hAnsi="Times New Roman" w:eastAsia="方正黑体_GBK" w:cs="Times New Roman"/>
          <w:b w:val="0"/>
          <w:bCs w:val="0"/>
          <w:color w:val="auto"/>
          <w:sz w:val="32"/>
          <w:szCs w:val="32"/>
          <w:shd w:val="clear" w:color="auto" w:fill="auto"/>
        </w:rPr>
      </w:pPr>
      <w:r>
        <w:rPr>
          <w:rStyle w:val="10"/>
          <w:rFonts w:hint="default" w:ascii="Times New Roman" w:hAnsi="Times New Roman" w:eastAsia="方正黑体_GBK" w:cs="Times New Roman"/>
          <w:b w:val="0"/>
          <w:bCs w:val="0"/>
          <w:color w:val="auto"/>
          <w:sz w:val="32"/>
          <w:szCs w:val="32"/>
          <w:shd w:val="clear" w:color="auto" w:fill="auto"/>
        </w:rPr>
        <w:t>七、决算公开联系方式及信息反馈渠道</w:t>
      </w:r>
    </w:p>
    <w:p>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auto"/>
        </w:rPr>
        <w:sectPr>
          <w:headerReference r:id="rId3" w:type="default"/>
          <w:footerReference r:id="rId4" w:type="default"/>
          <w:pgSz w:w="11907" w:h="16839"/>
          <w:pgMar w:top="1440" w:right="1800" w:bottom="1440" w:left="1800" w:header="0" w:footer="283" w:gutter="0"/>
          <w:pgNumType w:fmt="numberInDash"/>
          <w:cols w:space="720" w:num="1"/>
          <w:docGrid w:type="lines" w:linePitch="326" w:charSpace="0"/>
        </w:sectPr>
      </w:pPr>
      <w:r>
        <w:rPr>
          <w:rFonts w:hint="default" w:ascii="Times New Roman" w:hAnsi="Times New Roman" w:eastAsia="方正仿宋_GBK" w:cs="Times New Roman"/>
          <w:b w:val="0"/>
          <w:bCs w:val="0"/>
          <w:color w:val="auto"/>
          <w:sz w:val="32"/>
          <w:szCs w:val="32"/>
          <w:shd w:val="clear" w:color="auto" w:fill="auto"/>
        </w:rPr>
        <w:t>本单位决算公开信息反馈和联系方式：</w:t>
      </w:r>
      <w:r>
        <w:rPr>
          <w:rFonts w:hint="default" w:ascii="Times New Roman" w:hAnsi="Times New Roman" w:eastAsia="方正仿宋_GBK" w:cs="Times New Roman"/>
          <w:b w:val="0"/>
          <w:bCs w:val="0"/>
          <w:color w:val="auto"/>
          <w:kern w:val="0"/>
          <w:sz w:val="32"/>
          <w:szCs w:val="32"/>
          <w:shd w:val="clear" w:color="auto" w:fill="auto"/>
          <w:lang w:val="en-US" w:eastAsia="zh-CN" w:bidi="ar-SA"/>
        </w:rPr>
        <w:t>蒋晶023-76611860</w:t>
      </w:r>
      <w:r>
        <w:rPr>
          <w:rFonts w:hint="default" w:ascii="Times New Roman" w:hAnsi="Times New Roman" w:eastAsia="方正仿宋_GBK" w:cs="Times New Roman"/>
          <w:b w:val="0"/>
          <w:bCs w:val="0"/>
          <w:color w:val="auto"/>
          <w:sz w:val="32"/>
          <w:szCs w:val="32"/>
          <w:shd w:val="clear" w:color="auto" w:fill="auto"/>
        </w:rPr>
        <w:t>。</w:t>
      </w:r>
    </w:p>
    <w:p>
      <w:pPr>
        <w:rPr>
          <w:rFonts w:hint="default" w:ascii="Times New Roman" w:hAnsi="Times New Roman" w:cs="Times New Roman"/>
          <w:sz w:val="21"/>
          <w:szCs w:val="21"/>
        </w:rPr>
      </w:pPr>
    </w:p>
    <w:tbl>
      <w:tblPr>
        <w:tblStyle w:val="11"/>
        <w:tblW w:w="15393" w:type="dxa"/>
        <w:tblInd w:w="0" w:type="dxa"/>
        <w:tblLayout w:type="fixed"/>
        <w:tblCellMar>
          <w:top w:w="0" w:type="dxa"/>
          <w:left w:w="0" w:type="dxa"/>
          <w:bottom w:w="0" w:type="dxa"/>
          <w:right w:w="0" w:type="dxa"/>
        </w:tblCellMar>
      </w:tblPr>
      <w:tblGrid>
        <w:gridCol w:w="5122"/>
        <w:gridCol w:w="2020"/>
        <w:gridCol w:w="4809"/>
        <w:gridCol w:w="3442"/>
      </w:tblGrid>
      <w:tr>
        <w:tblPrEx>
          <w:tblLayout w:type="fixed"/>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重庆市秀山土家族苗族自治县医疗保障事务中心</w:t>
            </w:r>
          </w:p>
        </w:tc>
        <w:tc>
          <w:tcPr>
            <w:tcW w:w="2020"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2"/>
                <w:szCs w:val="22"/>
              </w:rPr>
            </w:pPr>
          </w:p>
        </w:tc>
        <w:tc>
          <w:tcPr>
            <w:tcW w:w="4809"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424.28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335.32</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424.28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424.28</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424.28</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424.28</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Layout w:type="fixed"/>
          <w:tblCellMar>
            <w:top w:w="0" w:type="dxa"/>
            <w:left w:w="0" w:type="dxa"/>
            <w:bottom w:w="0" w:type="dxa"/>
            <w:right w:w="0" w:type="dxa"/>
          </w:tblCellMar>
        </w:tblPrEx>
        <w:trPr>
          <w:trHeight w:val="613" w:hRule="atLeast"/>
        </w:trPr>
        <w:tc>
          <w:tcPr>
            <w:tcW w:w="15378"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4873"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重庆市秀山土家族苗族自治县医疗保障事务中心</w:t>
            </w: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4873"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both"/>
              <w:textAlignment w:val="center"/>
              <w:rPr>
                <w:rFonts w:hint="default" w:ascii="Times New Roman" w:hAnsi="Times New Roman" w:cs="Times New Roman"/>
                <w:b/>
                <w:color w:val="000000"/>
                <w:sz w:val="20"/>
                <w:szCs w:val="20"/>
              </w:rPr>
            </w:pPr>
          </w:p>
        </w:tc>
        <w:tc>
          <w:tcPr>
            <w:tcW w:w="3171"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12"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11"/>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51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重庆市秀山土家族苗族自治县医疗保障事务中心 </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51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11"/>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450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450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58.19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58.19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335.32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30.77</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30.77</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424.28</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5406"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5406"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424.28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58.19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57.73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36.77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18.38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335.32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18.40</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15.36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21015</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医疗保障管理事务</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316.92</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2101501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316.92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30.77</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30.77</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3345" w:type="dxa"/>
            <w:gridSpan w:val="2"/>
            <w:vMerge w:val="restart"/>
            <w:tcBorders>
              <w:top w:val="nil"/>
              <w:left w:val="nil"/>
              <w:right w:val="nil"/>
            </w:tcBorders>
            <w:shd w:val="clear" w:color="auto" w:fill="auto"/>
            <w:tcMar>
              <w:top w:w="15" w:type="dxa"/>
              <w:left w:w="15" w:type="dxa"/>
              <w:right w:w="15" w:type="dxa"/>
            </w:tcMar>
            <w:vAlign w:val="bottom"/>
          </w:tcPr>
          <w:p>
            <w:pPr>
              <w:spacing w:line="24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90" w:hRule="atLeast"/>
        </w:trPr>
        <w:tc>
          <w:tcPr>
            <w:tcW w:w="3345" w:type="dxa"/>
            <w:gridSpan w:val="2"/>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37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374.77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89.21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19.88</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79.69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99.58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6.10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15.36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0.80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0.17</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377.35</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46.93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49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49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7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11"/>
        <w:tblW w:w="15378" w:type="dxa"/>
        <w:tblInd w:w="0" w:type="dxa"/>
        <w:tblLayout w:type="fixed"/>
        <w:tblCellMar>
          <w:top w:w="0" w:type="dxa"/>
          <w:left w:w="0" w:type="dxa"/>
          <w:bottom w:w="0" w:type="dxa"/>
          <w:right w:w="0" w:type="dxa"/>
        </w:tblCellMar>
      </w:tblPr>
      <w:tblGrid>
        <w:gridCol w:w="4167"/>
        <w:gridCol w:w="2236"/>
        <w:gridCol w:w="2184"/>
        <w:gridCol w:w="4660"/>
        <w:gridCol w:w="2131"/>
      </w:tblGrid>
      <w:tr>
        <w:tblPrEx>
          <w:tblLayout w:type="fixed"/>
          <w:tblCellMar>
            <w:top w:w="0" w:type="dxa"/>
            <w:left w:w="0" w:type="dxa"/>
            <w:bottom w:w="0" w:type="dxa"/>
            <w:right w:w="0" w:type="dxa"/>
          </w:tblCellMar>
        </w:tblPrEx>
        <w:trPr>
          <w:trHeight w:val="175" w:hRule="atLeast"/>
        </w:trPr>
        <w:tc>
          <w:tcPr>
            <w:tcW w:w="15378" w:type="dxa"/>
            <w:gridSpan w:val="5"/>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236" w:type="dxa"/>
            <w:tcBorders>
              <w:top w:val="nil"/>
              <w:left w:val="nil"/>
              <w:bottom w:val="nil"/>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Layout w:type="fixed"/>
          <w:tblCellMar>
            <w:top w:w="0" w:type="dxa"/>
            <w:left w:w="0" w:type="dxa"/>
            <w:bottom w:w="0" w:type="dxa"/>
            <w:right w:w="0" w:type="dxa"/>
          </w:tblCellMar>
        </w:tblPrEx>
        <w:trPr>
          <w:trHeight w:val="175" w:hRule="atLeast"/>
        </w:trPr>
        <w:tc>
          <w:tcPr>
            <w:tcW w:w="416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textAlignment w:val="bottom"/>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重庆市秀山土家族苗族自治县医疗保障事务中心</w:t>
            </w:r>
          </w:p>
        </w:tc>
        <w:tc>
          <w:tcPr>
            <w:tcW w:w="223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8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6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3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236"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预算数</w:t>
            </w:r>
          </w:p>
        </w:tc>
        <w:tc>
          <w:tcPr>
            <w:tcW w:w="2184"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  目</w:t>
            </w:r>
          </w:p>
        </w:tc>
        <w:tc>
          <w:tcPr>
            <w:tcW w:w="2131"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18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一、“三公”经费支出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四、机关运行经费</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（一）支出合计</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（一）行政单位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（二）参照公务员法管理事业单位</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46.93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2．公务用车购置及运行维护费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五、资产信息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（1）公务用车购置费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（一）车辆数合计（辆）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（2）公务用车运行维护费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1．副部（省）级及以上领导用车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2．主要领导干部用车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（1）国内接待费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3．机要通信用车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4．应急保障用车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（2）国（境）外接待费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5．执法执勤用车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（二）相关统计数</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6．特种专业技术用车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1．因公出国（境）团组数（个）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7．离退休干部用车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2．因公出国（境）人次数（人）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8．其他用车</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3．公务用车购置数（辆）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（二）单价100万元（含）以上设备（不含车辆）</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4．公务用车保有量（辆）</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六、政府采购支出信息</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5．国内公务接待批次（个）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（一）政府采购支出合计</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1．政府采购货物支出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6．国内公务接待人次（人）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2．政府采购工程支出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其中：外事接待人次（人）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3．政府采购服务支出</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7．国（境）外公务接待批次（个）</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（二）政府采购授予中小企业合同金额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6" w:hRule="atLeast"/>
        </w:trPr>
        <w:tc>
          <w:tcPr>
            <w:tcW w:w="4167" w:type="dxa"/>
            <w:tcBorders>
              <w:top w:val="single" w:color="auto" w:sz="4" w:space="0"/>
              <w:left w:val="single" w:color="auto" w:sz="4" w:space="0"/>
              <w:bottom w:val="single" w:color="auto" w:sz="4" w:space="0"/>
              <w:right w:val="single" w:color="auto" w:sz="4" w:space="0"/>
            </w:tcBorders>
            <w:shd w:val="clear" w:color="FFFFFF" w:fill="BFBFBF"/>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8．国（境）外公务接待人次（人）</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其中：授予小微企业合同金额</w:t>
            </w: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69"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二、会议费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r>
        <w:tblPrEx>
          <w:tblLayout w:type="fixed"/>
          <w:tblCellMar>
            <w:top w:w="0" w:type="dxa"/>
            <w:left w:w="0" w:type="dxa"/>
            <w:bottom w:w="0" w:type="dxa"/>
            <w:right w:w="0" w:type="dxa"/>
          </w:tblCellMar>
        </w:tblPrEx>
        <w:trPr>
          <w:trHeight w:val="244" w:hRule="atLeast"/>
        </w:trPr>
        <w:tc>
          <w:tcPr>
            <w:tcW w:w="4167"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三、培训费</w:t>
            </w:r>
          </w:p>
        </w:tc>
        <w:tc>
          <w:tcPr>
            <w:tcW w:w="22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w:t>
            </w:r>
          </w:p>
        </w:tc>
        <w:tc>
          <w:tcPr>
            <w:tcW w:w="218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0.47</w:t>
            </w:r>
            <w:r>
              <w:rPr>
                <w:rFonts w:hint="default" w:ascii="Times New Roman" w:hAnsi="Times New Roman" w:cs="Times New Roman"/>
                <w:color w:val="000000"/>
                <w:sz w:val="20"/>
                <w:u w:color="auto"/>
              </w:rPr>
              <w:t xml:space="preserve"> </w:t>
            </w:r>
          </w:p>
        </w:tc>
        <w:tc>
          <w:tcPr>
            <w:tcW w:w="4660" w:type="dxa"/>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13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r>
    </w:tbl>
    <w:p>
      <w:pPr>
        <w:rPr>
          <w:rFonts w:hint="default" w:ascii="Times New Roman" w:hAnsi="Times New Roman" w:eastAsia="方正仿宋_GBK" w:cs="Times New Roman"/>
          <w:b w:val="0"/>
          <w:bCs w:val="0"/>
          <w:color w:val="auto"/>
          <w:sz w:val="32"/>
          <w:szCs w:val="32"/>
          <w:shd w:val="clear" w:color="auto" w:fill="auto"/>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bookmarkStart w:id="0" w:name="_GoBack"/>
      <w:bookmarkEnd w:id="0"/>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0lY7tAAAAAFAQAADwAAAAAAAAAB&#10;ACAAAAAiAAAAZHJzL2Rvd25yZXYueG1sUEsBAhQAFAAAAAgAh07iQGt9ZNEYAgAAFwQAAA4AAAAA&#10;AAAAAQAgAAAAHwEAAGRycy9lMm9Eb2MueG1sUEsFBgAAAAAGAAYAWQEAAKkFA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CuDJ4pFwIAABYE&#10;AAAOAAAAAAAAAAEAIAAAACcBAABkcnMvZTJvRG9jLnhtbFBLBQYAAAAABgAGAFkBAACwBQAAA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F73F90"/>
    <w:rsid w:val="01474EBF"/>
    <w:rsid w:val="01624FA0"/>
    <w:rsid w:val="01F3521E"/>
    <w:rsid w:val="03B87EA0"/>
    <w:rsid w:val="03E3214F"/>
    <w:rsid w:val="044C50BA"/>
    <w:rsid w:val="05BC6D49"/>
    <w:rsid w:val="06194FF1"/>
    <w:rsid w:val="06A2550B"/>
    <w:rsid w:val="06F80EE2"/>
    <w:rsid w:val="07001CCA"/>
    <w:rsid w:val="075678DB"/>
    <w:rsid w:val="079D7CC7"/>
    <w:rsid w:val="08051BCA"/>
    <w:rsid w:val="083D4A2A"/>
    <w:rsid w:val="086C12F4"/>
    <w:rsid w:val="086E6AAC"/>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123584"/>
    <w:rsid w:val="0E3A5F83"/>
    <w:rsid w:val="0F836721"/>
    <w:rsid w:val="0FA25D96"/>
    <w:rsid w:val="107B59E5"/>
    <w:rsid w:val="10EC0126"/>
    <w:rsid w:val="10F70B9A"/>
    <w:rsid w:val="111445C7"/>
    <w:rsid w:val="114278C6"/>
    <w:rsid w:val="1158083A"/>
    <w:rsid w:val="11643A4B"/>
    <w:rsid w:val="11ED0F98"/>
    <w:rsid w:val="11F03528"/>
    <w:rsid w:val="12BC7055"/>
    <w:rsid w:val="12C921C4"/>
    <w:rsid w:val="13871C70"/>
    <w:rsid w:val="13A71CB4"/>
    <w:rsid w:val="13AF1D43"/>
    <w:rsid w:val="13B869E3"/>
    <w:rsid w:val="13CE1647"/>
    <w:rsid w:val="13FD55AB"/>
    <w:rsid w:val="14200702"/>
    <w:rsid w:val="163A6CEE"/>
    <w:rsid w:val="173708E3"/>
    <w:rsid w:val="17C374FC"/>
    <w:rsid w:val="182E4AB6"/>
    <w:rsid w:val="189079DC"/>
    <w:rsid w:val="189B0D0B"/>
    <w:rsid w:val="18B43F7C"/>
    <w:rsid w:val="19427A09"/>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EFC36F5"/>
    <w:rsid w:val="1F020D3A"/>
    <w:rsid w:val="1F2C5189"/>
    <w:rsid w:val="1F4B0B02"/>
    <w:rsid w:val="1FBB35CD"/>
    <w:rsid w:val="1FCD26AF"/>
    <w:rsid w:val="20642787"/>
    <w:rsid w:val="21556F04"/>
    <w:rsid w:val="21E829FE"/>
    <w:rsid w:val="22403BD3"/>
    <w:rsid w:val="24B92327"/>
    <w:rsid w:val="24C14514"/>
    <w:rsid w:val="2533755C"/>
    <w:rsid w:val="25791755"/>
    <w:rsid w:val="26396DF4"/>
    <w:rsid w:val="27167136"/>
    <w:rsid w:val="271B442C"/>
    <w:rsid w:val="27B23302"/>
    <w:rsid w:val="29310A5F"/>
    <w:rsid w:val="29B92D52"/>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6F54FF8"/>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BAD0ADC"/>
    <w:rsid w:val="3C566AD6"/>
    <w:rsid w:val="3C594871"/>
    <w:rsid w:val="3C6A5B02"/>
    <w:rsid w:val="3D2757A1"/>
    <w:rsid w:val="3D3D4FC4"/>
    <w:rsid w:val="3DDF3AB1"/>
    <w:rsid w:val="3E1D0952"/>
    <w:rsid w:val="3E42660A"/>
    <w:rsid w:val="3E7555B1"/>
    <w:rsid w:val="3E787ED9"/>
    <w:rsid w:val="3F032E93"/>
    <w:rsid w:val="3F0527E5"/>
    <w:rsid w:val="3F694D83"/>
    <w:rsid w:val="3F7E6977"/>
    <w:rsid w:val="3F885DCC"/>
    <w:rsid w:val="3FCD675E"/>
    <w:rsid w:val="4004000C"/>
    <w:rsid w:val="40BD5482"/>
    <w:rsid w:val="41092DC6"/>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1124F9"/>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AE6B20"/>
    <w:rsid w:val="50F06B6E"/>
    <w:rsid w:val="51D21804"/>
    <w:rsid w:val="52234D33"/>
    <w:rsid w:val="522F6E0C"/>
    <w:rsid w:val="52463BA1"/>
    <w:rsid w:val="52F163D4"/>
    <w:rsid w:val="531A2DB4"/>
    <w:rsid w:val="53C0244D"/>
    <w:rsid w:val="53DD4D4E"/>
    <w:rsid w:val="53E578CE"/>
    <w:rsid w:val="541330F0"/>
    <w:rsid w:val="54272666"/>
    <w:rsid w:val="543B029D"/>
    <w:rsid w:val="54861779"/>
    <w:rsid w:val="551F7ADA"/>
    <w:rsid w:val="552256E1"/>
    <w:rsid w:val="554E5773"/>
    <w:rsid w:val="555A3CBC"/>
    <w:rsid w:val="5582012B"/>
    <w:rsid w:val="558E4E05"/>
    <w:rsid w:val="55A035A2"/>
    <w:rsid w:val="55BE2E85"/>
    <w:rsid w:val="56530F5D"/>
    <w:rsid w:val="567700D3"/>
    <w:rsid w:val="56EA0666"/>
    <w:rsid w:val="56FF7E9E"/>
    <w:rsid w:val="578867FC"/>
    <w:rsid w:val="5842572D"/>
    <w:rsid w:val="5A3B59D6"/>
    <w:rsid w:val="5AD134D8"/>
    <w:rsid w:val="5B835184"/>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3C0B9E"/>
    <w:rsid w:val="6B474EF5"/>
    <w:rsid w:val="6C0A5AC5"/>
    <w:rsid w:val="6C560CAE"/>
    <w:rsid w:val="6C576495"/>
    <w:rsid w:val="6D903FF5"/>
    <w:rsid w:val="6DA955B8"/>
    <w:rsid w:val="6DE346AB"/>
    <w:rsid w:val="6DE5391A"/>
    <w:rsid w:val="6EFD1324"/>
    <w:rsid w:val="6F5A53AC"/>
    <w:rsid w:val="6FAC003D"/>
    <w:rsid w:val="6FE55E12"/>
    <w:rsid w:val="6FFB2E76"/>
    <w:rsid w:val="708F6F7F"/>
    <w:rsid w:val="70B83E0B"/>
    <w:rsid w:val="70D94BD3"/>
    <w:rsid w:val="717D201B"/>
    <w:rsid w:val="71C34D91"/>
    <w:rsid w:val="72007ECF"/>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8B2B5B"/>
    <w:rsid w:val="7BD06A28"/>
    <w:rsid w:val="7C3A7C0B"/>
    <w:rsid w:val="7C5248E4"/>
    <w:rsid w:val="7C566698"/>
    <w:rsid w:val="7C5866A3"/>
    <w:rsid w:val="7D7406BB"/>
    <w:rsid w:val="7DE94331"/>
    <w:rsid w:val="7F446A19"/>
    <w:rsid w:val="7F7452B9"/>
    <w:rsid w:val="7F7A3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Date"/>
    <w:basedOn w:val="1"/>
    <w:next w:val="1"/>
    <w:qFormat/>
    <w:uiPriority w:val="99"/>
    <w:pPr>
      <w:ind w:left="100" w:leftChars="2500"/>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4</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2024-09-13T07:54:33Z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