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outlineLvl w:val="9"/>
        <w:rPr>
          <w:rFonts w:hint="default" w:ascii="Times New Roman" w:hAnsi="Times New Roman" w:eastAsia="方正小标宋_GBK" w:cs="Times New Roman"/>
          <w:color w:val="auto"/>
          <w:sz w:val="44"/>
          <w:szCs w:val="44"/>
          <w:shd w:val="clear" w:color="auto" w:fill="FFFFFF"/>
        </w:rPr>
      </w:pPr>
      <w:r>
        <w:rPr>
          <w:rFonts w:hint="default" w:ascii="Times New Roman" w:hAnsi="Times New Roman" w:eastAsia="方正小标宋_GBK" w:cs="Times New Roman"/>
          <w:color w:val="auto"/>
          <w:sz w:val="44"/>
          <w:szCs w:val="44"/>
        </w:rPr>
        <w:t>重庆市秀山土家族苗族自治县医疗保障局（本级）</w:t>
      </w:r>
      <w:r>
        <w:rPr>
          <w:rFonts w:hint="default" w:ascii="Times New Roman" w:hAnsi="Times New Roman" w:eastAsia="方正小标宋_GBK" w:cs="Times New Roman"/>
          <w:color w:val="auto"/>
          <w:sz w:val="44"/>
          <w:szCs w:val="44"/>
          <w:shd w:val="clear" w:color="auto" w:fill="FFFFFF"/>
        </w:rPr>
        <w:t>2023年度决算公开说明</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outlineLvl w:val="9"/>
        <w:rPr>
          <w:rFonts w:hint="default" w:ascii="Times New Roman" w:hAnsi="Times New Roman" w:eastAsia="方正小标宋_GBK" w:cs="Times New Roman"/>
          <w:color w:val="auto"/>
          <w:sz w:val="44"/>
          <w:szCs w:val="44"/>
          <w:shd w:val="clear" w:color="auto" w:fill="FFFFFF"/>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outlineLvl w:val="9"/>
        <w:rPr>
          <w:rFonts w:hint="default" w:ascii="Times New Roman" w:hAnsi="Times New Roman" w:eastAsia="方正黑体_GBK" w:cs="Times New Roman"/>
          <w:b w:val="0"/>
          <w:bCs/>
          <w:color w:val="auto"/>
          <w:sz w:val="32"/>
          <w:szCs w:val="32"/>
        </w:rPr>
      </w:pPr>
      <w:r>
        <w:rPr>
          <w:rStyle w:val="10"/>
          <w:rFonts w:hint="default" w:ascii="Times New Roman" w:hAnsi="Times New Roman" w:eastAsia="方正黑体_GBK" w:cs="Times New Roman"/>
          <w:b w:val="0"/>
          <w:bCs/>
          <w:color w:val="auto"/>
          <w:sz w:val="32"/>
          <w:szCs w:val="32"/>
          <w:shd w:val="clear" w:color="auto" w:fill="FFFFFF"/>
        </w:rPr>
        <w:t>一、单位基本情况</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outlineLvl w:val="9"/>
        <w:rPr>
          <w:rFonts w:hint="default" w:ascii="Times New Roman" w:hAnsi="Times New Roman" w:eastAsia="方正楷体_GBK" w:cs="Times New Roman"/>
          <w:b w:val="0"/>
          <w:bCs/>
          <w:color w:val="auto"/>
          <w:sz w:val="32"/>
          <w:szCs w:val="32"/>
        </w:rPr>
      </w:pPr>
      <w:r>
        <w:rPr>
          <w:rStyle w:val="10"/>
          <w:rFonts w:hint="default" w:ascii="Times New Roman" w:hAnsi="Times New Roman" w:eastAsia="方正楷体_GBK" w:cs="Times New Roman"/>
          <w:b w:val="0"/>
          <w:bCs/>
          <w:color w:val="auto"/>
          <w:sz w:val="32"/>
          <w:szCs w:val="32"/>
          <w:shd w:val="clear" w:color="auto" w:fill="FFFFFF"/>
        </w:rPr>
        <w:t>（一）职能职责</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u w:val="none"/>
          <w:shd w:val="clear" w:fill="FFFFFF"/>
          <w:lang w:val="en-US" w:eastAsia="zh-CN" w:bidi="ar"/>
        </w:rPr>
        <w:t>1.贯彻执行国家及重庆市医疗保险、生育保险、医疗救助等医疗保障制度的法律法规、政策、规划和标准。</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u w:val="none"/>
          <w:shd w:val="clear" w:fill="FFFFFF"/>
          <w:lang w:val="en-US" w:eastAsia="zh-CN" w:bidi="ar"/>
        </w:rPr>
        <w:t>2.贯彻执行医疗保障筹资和待遇政策。适时实施长期护理保险制度改革。</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u w:val="none"/>
          <w:shd w:val="clear" w:fill="FFFFFF"/>
          <w:lang w:val="en-US" w:eastAsia="zh-CN" w:bidi="ar"/>
        </w:rPr>
        <w:t>3.贯彻执行药品、医用耗材、医疗服务项目、医疗服务设施等医保目录和支付标准。</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u w:val="none"/>
          <w:shd w:val="clear" w:fill="FFFFFF"/>
          <w:lang w:val="en-US" w:eastAsia="zh-CN" w:bidi="ar"/>
        </w:rPr>
        <w:t>4.负责医疗保障经办管理、公共服务体系和信息化建设。落实异地就医管理和费用结算政策。落实医疗保障关系转移接续制度。</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u w:val="none"/>
          <w:shd w:val="clear" w:fill="FFFFFF"/>
          <w:lang w:val="en-US" w:eastAsia="zh-CN" w:bidi="ar"/>
        </w:rPr>
        <w:t>5.贯彻执行药品、医用耗材价格和医疗服务项目、医疗服务设施收费等政策。实施医保支付医药服务价格合理确定和动态调整机制，推动建立市场主导的社会医药服务价格机制、价格信息监测和信息公开制度。</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u w:val="none"/>
          <w:shd w:val="clear" w:fill="FFFFFF"/>
          <w:lang w:val="en-US" w:eastAsia="zh-CN" w:bidi="ar"/>
        </w:rPr>
        <w:t>6.贯彻执行药品、医用耗材的招标采购政策。</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u w:val="none"/>
          <w:shd w:val="clear" w:fill="FFFFFF"/>
          <w:lang w:val="en-US" w:eastAsia="zh-CN" w:bidi="ar"/>
        </w:rPr>
        <w:t>7.负责城乡居民医疗救助工作。经办医疗救助业务，组织开展城乡居民医疗救助政策宣传和相关培训，推进城乡居民医疗救助信息系统建设。</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u w:val="none"/>
          <w:shd w:val="clear" w:fill="FFFFFF"/>
          <w:lang w:val="en-US" w:eastAsia="zh-CN" w:bidi="ar"/>
        </w:rPr>
        <w:t>8.贯彻执行医疗保障基金监督管理办法，建立健全医疗保障基金安全防控机制，实施医疗保障基金支付方式改革。</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u w:val="none"/>
          <w:shd w:val="clear" w:fill="FFFFFF"/>
          <w:lang w:val="en-US" w:eastAsia="zh-CN" w:bidi="ar"/>
        </w:rPr>
        <w:t>9.贯彻执行定点医药机构协议和支付管理办法，建立健全医疗保</w:t>
      </w:r>
      <w:bookmarkStart w:id="0" w:name="_GoBack"/>
      <w:bookmarkEnd w:id="0"/>
      <w:r>
        <w:rPr>
          <w:rFonts w:hint="default" w:ascii="Times New Roman" w:hAnsi="Times New Roman" w:eastAsia="方正仿宋_GBK" w:cs="Times New Roman"/>
          <w:i w:val="0"/>
          <w:iCs w:val="0"/>
          <w:caps w:val="0"/>
          <w:color w:val="auto"/>
          <w:spacing w:val="0"/>
          <w:kern w:val="0"/>
          <w:sz w:val="32"/>
          <w:szCs w:val="32"/>
          <w:u w:val="none"/>
          <w:shd w:val="clear" w:fill="FFFFFF"/>
          <w:lang w:val="en-US" w:eastAsia="zh-CN" w:bidi="ar"/>
        </w:rPr>
        <w:t>障信用评价体系和信息披露制度，监督管理纳入医保范围内的医疗服务行为和医疗费用，依法查处医疗保障领域违法违规行为。</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u w:val="none"/>
          <w:shd w:val="clear" w:fill="FFFFFF"/>
          <w:lang w:val="en-US" w:eastAsia="zh-CN" w:bidi="ar"/>
        </w:rPr>
        <w:t>10.职能转变。秀山土家族苗族自治县医疗保障局要完善统一的城乡居民基本医疗保险制度和大病保险制度，建立健全覆盖全民、城乡统筹的多层次医疗保障体系，不断提高医疗保障水平，确保医保资金合理使用、安全可控，推进医疗、医保、医药“三医联动”改革，更好保障人民群众就医需求、减轻医药费用负担。</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u w:val="none"/>
          <w:shd w:val="clear" w:fill="FFFFFF"/>
          <w:lang w:val="en-US" w:eastAsia="zh-CN" w:bidi="ar"/>
        </w:rPr>
        <w:t>11.与有关部门的职责分工。秀山土家族苗族自治县医疗保障局要建立与县发展和改革委员会、县卫生健康委员会、县市场监督管理局、国家税务总局重庆市秀山土家族苗族自治县税务局等部门的沟通协商机制，加强制度、政策衔接，协同推进改革，提高医疗资源使用效率和医疗保障水平。</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u w:val="none"/>
          <w:shd w:val="clear" w:fill="FFFFFF"/>
          <w:lang w:val="en-US" w:eastAsia="zh-CN" w:bidi="ar"/>
        </w:rPr>
        <w:t>12.完成县委县政府交办的其他任务。</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outlineLvl w:val="9"/>
        <w:rPr>
          <w:rStyle w:val="10"/>
          <w:rFonts w:hint="default" w:ascii="Times New Roman" w:hAnsi="Times New Roman" w:eastAsia="方正楷体_GBK" w:cs="Times New Roman"/>
          <w:b w:val="0"/>
          <w:bCs/>
          <w:color w:val="auto"/>
          <w:sz w:val="32"/>
          <w:szCs w:val="32"/>
          <w:shd w:val="clear" w:color="auto" w:fill="FFFFFF"/>
        </w:rPr>
      </w:pPr>
      <w:r>
        <w:rPr>
          <w:rStyle w:val="10"/>
          <w:rFonts w:hint="default" w:ascii="Times New Roman" w:hAnsi="Times New Roman" w:eastAsia="方正楷体_GBK" w:cs="Times New Roman"/>
          <w:b w:val="0"/>
          <w:bCs/>
          <w:color w:val="auto"/>
          <w:sz w:val="32"/>
          <w:szCs w:val="32"/>
          <w:shd w:val="clear" w:color="auto" w:fill="FFFFFF"/>
        </w:rPr>
        <w:t>（二）机构设置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default" w:ascii="Times New Roman" w:hAnsi="Times New Roman" w:eastAsia="方正仿宋_GBK" w:cs="Times New Roman"/>
          <w:color w:val="auto"/>
          <w:kern w:val="0"/>
          <w:sz w:val="32"/>
          <w:szCs w:val="32"/>
          <w:lang w:bidi="ar-SA"/>
        </w:rPr>
      </w:pPr>
      <w:r>
        <w:rPr>
          <w:rFonts w:hint="default" w:ascii="Times New Roman" w:hAnsi="Times New Roman" w:eastAsia="方正仿宋_GBK" w:cs="Times New Roman"/>
          <w:color w:val="auto"/>
          <w:kern w:val="0"/>
          <w:sz w:val="32"/>
          <w:szCs w:val="32"/>
          <w:lang w:bidi="ar-SA"/>
        </w:rPr>
        <w:t>1.</w:t>
      </w:r>
      <w:r>
        <w:rPr>
          <w:rFonts w:hint="default" w:ascii="Times New Roman" w:hAnsi="Times New Roman" w:eastAsia="方正仿宋_GBK" w:cs="Times New Roman"/>
          <w:color w:val="auto"/>
          <w:kern w:val="0"/>
          <w:sz w:val="32"/>
          <w:szCs w:val="32"/>
          <w:lang w:bidi="ar-SA"/>
        </w:rPr>
        <w:t>办公室。负责机关日常运转管理。承担公文处理、人事管理、机构编制、教育培训、队伍建设、退休人员管理、党群、安全、保密、信访、机要、信息、档案、宣传、政务公开和后勤保障等工作，承担行政复议、行政应诉等相关工作。负责基金财务管理。承担医疗保障基金年度预决算编制、审核，建立健全财务管理制度。承担医疗保障信息化建设和统计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default" w:ascii="Times New Roman" w:hAnsi="Times New Roman" w:eastAsia="方正仿宋_GBK" w:cs="Times New Roman"/>
          <w:color w:val="auto"/>
          <w:kern w:val="0"/>
          <w:sz w:val="32"/>
          <w:szCs w:val="32"/>
          <w:lang w:bidi="ar-SA"/>
        </w:rPr>
      </w:pPr>
      <w:r>
        <w:rPr>
          <w:rFonts w:hint="default" w:ascii="Times New Roman" w:hAnsi="Times New Roman" w:eastAsia="方正仿宋_GBK" w:cs="Times New Roman"/>
          <w:color w:val="auto"/>
          <w:kern w:val="0"/>
          <w:sz w:val="32"/>
          <w:szCs w:val="32"/>
          <w:lang w:bidi="ar-SA"/>
        </w:rPr>
        <w:t>2.</w:t>
      </w:r>
      <w:r>
        <w:rPr>
          <w:rFonts w:hint="default" w:ascii="Times New Roman" w:hAnsi="Times New Roman" w:eastAsia="方正仿宋_GBK" w:cs="Times New Roman"/>
          <w:color w:val="auto"/>
          <w:kern w:val="0"/>
          <w:sz w:val="32"/>
          <w:szCs w:val="32"/>
          <w:lang w:bidi="ar-SA"/>
        </w:rPr>
        <w:t>医疗保障科。负责全县医疗保障事业发展规划的拟定并组织实施。负责医疗待遇保障管理。执行医疗保险、生育保险和长期护理保险参保筹资及待遇政策。承担城乡医疗救助、城乡居民大病保险和其他各项补充保险的管理，建立健全覆盖全民、城乡统筹的多层次医疗保障体系。落实医疗保障关系转移接续制度、城镇职工基本医疗保险视同缴费年限的认定和医疗保障扶贫等工作。负责医药服务管理。执行医保目录和支付标准。执行定点医药机构医保协议和支付管理、异地就医管理办法和结算政策。执行药品、医用耗材价格和医疗服务项目、医疗服务设施收费政策，建立价格信息监测和公开制度。执行药品、医用耗材招标采购政策，实施医保支付方式改革。</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outlineLvl w:val="9"/>
        <w:rPr>
          <w:rFonts w:hint="default" w:ascii="Times New Roman" w:hAnsi="Times New Roman" w:eastAsia="方正仿宋_GBK" w:cs="Times New Roman"/>
          <w:color w:val="auto"/>
          <w:kern w:val="0"/>
          <w:sz w:val="32"/>
          <w:szCs w:val="32"/>
          <w:lang w:bidi="ar-SA"/>
        </w:rPr>
      </w:pPr>
      <w:r>
        <w:rPr>
          <w:rFonts w:hint="default" w:ascii="Times New Roman" w:hAnsi="Times New Roman" w:eastAsia="方正仿宋_GBK" w:cs="Times New Roman"/>
          <w:color w:val="auto"/>
          <w:kern w:val="0"/>
          <w:sz w:val="32"/>
          <w:szCs w:val="32"/>
          <w:lang w:bidi="ar-SA"/>
        </w:rPr>
        <w:t>3.</w:t>
      </w:r>
      <w:r>
        <w:rPr>
          <w:rFonts w:hint="default" w:ascii="Times New Roman" w:hAnsi="Times New Roman" w:eastAsia="方正仿宋_GBK" w:cs="Times New Roman"/>
          <w:color w:val="auto"/>
          <w:kern w:val="0"/>
          <w:sz w:val="32"/>
          <w:szCs w:val="32"/>
          <w:lang w:bidi="ar-SA"/>
        </w:rPr>
        <w:t>基金监管科（挂内审科牌子）。负责医疗保障基金监督管理。承担内控制度建设及监督管理。建立健全医疗保障基金安全防控机制，监督管理纳入医保支付范围的医疗服务行为和医疗费用，规范医保经办业务，负责医疗保障信用评价体系和信息披露制度的执行。承担医疗保障领域违法违规行为查处相关工作。承担机关和所属事业单位预决算、财务核算、资产管理等内部审计工作。</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outlineLvl w:val="9"/>
        <w:rPr>
          <w:rStyle w:val="10"/>
          <w:rFonts w:hint="default" w:ascii="Times New Roman" w:hAnsi="Times New Roman" w:eastAsia="方正黑体_GBK" w:cs="Times New Roman"/>
          <w:b w:val="0"/>
          <w:bCs/>
          <w:color w:val="auto"/>
          <w:sz w:val="32"/>
          <w:szCs w:val="32"/>
          <w:shd w:val="clear" w:color="auto" w:fill="FFFFFF"/>
        </w:rPr>
      </w:pPr>
      <w:r>
        <w:rPr>
          <w:rStyle w:val="10"/>
          <w:rFonts w:hint="default" w:ascii="Times New Roman" w:hAnsi="Times New Roman" w:eastAsia="方正黑体_GBK" w:cs="Times New Roman"/>
          <w:b w:val="0"/>
          <w:bCs/>
          <w:color w:val="auto"/>
          <w:sz w:val="32"/>
          <w:szCs w:val="32"/>
          <w:shd w:val="clear" w:color="auto" w:fill="FFFFFF"/>
        </w:rPr>
        <w:t>二、单位决算情况说明</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outlineLvl w:val="9"/>
        <w:rPr>
          <w:rStyle w:val="10"/>
          <w:rFonts w:hint="default" w:ascii="Times New Roman" w:hAnsi="Times New Roman" w:eastAsia="方正楷体_GBK" w:cs="Times New Roman"/>
          <w:b w:val="0"/>
          <w:bCs/>
          <w:color w:val="auto"/>
          <w:sz w:val="32"/>
          <w:szCs w:val="32"/>
          <w:shd w:val="clear" w:color="auto" w:fill="FFFFFF"/>
        </w:rPr>
      </w:pPr>
      <w:r>
        <w:rPr>
          <w:rStyle w:val="10"/>
          <w:rFonts w:hint="default" w:ascii="Times New Roman" w:hAnsi="Times New Roman" w:eastAsia="方正楷体_GBK" w:cs="Times New Roman"/>
          <w:b w:val="0"/>
          <w:bCs/>
          <w:color w:val="auto"/>
          <w:sz w:val="32"/>
          <w:szCs w:val="32"/>
          <w:shd w:val="clear" w:color="auto" w:fill="FFFFFF"/>
        </w:rPr>
        <w:t>（一）收入支出决算总体情况说明</w:t>
      </w:r>
    </w:p>
    <w:p>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left="0" w:leftChars="0" w:firstLine="643" w:firstLineChars="200"/>
        <w:jc w:val="both"/>
        <w:rPr>
          <w:rFonts w:hint="default" w:ascii="Times New Roman" w:hAnsi="Times New Roman" w:eastAsia="方正仿宋_GBK" w:cs="Times New Roman"/>
          <w:color w:val="auto"/>
          <w:sz w:val="32"/>
          <w:szCs w:val="32"/>
        </w:rPr>
      </w:pPr>
      <w:r>
        <w:rPr>
          <w:rStyle w:val="10"/>
          <w:rFonts w:hint="default" w:ascii="Times New Roman" w:hAnsi="Times New Roman" w:eastAsia="方正仿宋_GBK" w:cs="Times New Roman"/>
          <w:b/>
          <w:bCs w:val="0"/>
          <w:color w:val="auto"/>
          <w:sz w:val="32"/>
          <w:szCs w:val="32"/>
          <w:shd w:val="clear" w:color="auto" w:fill="FFFFFF"/>
        </w:rPr>
        <w:t>1.总体情况。</w:t>
      </w:r>
      <w:r>
        <w:rPr>
          <w:rFonts w:hint="default" w:ascii="Times New Roman" w:hAnsi="Times New Roman" w:eastAsia="方正仿宋_GBK" w:cs="Times New Roman"/>
          <w:color w:val="auto"/>
          <w:sz w:val="32"/>
          <w:szCs w:val="32"/>
          <w:shd w:val="clear" w:color="auto" w:fill="FFFFFF"/>
        </w:rPr>
        <w:t>2023年度收入总计4893.25万元，支出总计</w:t>
      </w:r>
      <w:r>
        <w:rPr>
          <w:rFonts w:hint="default" w:ascii="Times New Roman" w:hAnsi="Times New Roman" w:eastAsia="方正仿宋_GBK" w:cs="Times New Roman"/>
          <w:color w:val="auto"/>
          <w:sz w:val="32"/>
          <w:szCs w:val="32"/>
        </w:rPr>
        <w:t>4893.25</w:t>
      </w:r>
      <w:r>
        <w:rPr>
          <w:rFonts w:hint="default" w:ascii="Times New Roman" w:hAnsi="Times New Roman" w:eastAsia="方正仿宋_GBK" w:cs="Times New Roman"/>
          <w:color w:val="auto"/>
          <w:sz w:val="32"/>
          <w:szCs w:val="32"/>
          <w:shd w:val="clear" w:color="auto" w:fill="FFFFFF"/>
        </w:rPr>
        <w:t>万元。收支较上年决算数减少2540.11万元，下降34.17%，主要原因是</w:t>
      </w:r>
      <w:r>
        <w:rPr>
          <w:rFonts w:hint="default" w:ascii="Times New Roman" w:hAnsi="Times New Roman" w:eastAsia="方正仿宋_GBK" w:cs="Times New Roman"/>
          <w:color w:val="auto"/>
          <w:sz w:val="32"/>
          <w:szCs w:val="32"/>
          <w:shd w:val="clear" w:color="auto" w:fill="FFFFFF"/>
          <w:lang w:eastAsia="zh-CN"/>
        </w:rPr>
        <w:t>公务员医疗补助项目资金与医疗救助项目资金减少</w:t>
      </w:r>
      <w:r>
        <w:rPr>
          <w:rFonts w:hint="default" w:ascii="Times New Roman" w:hAnsi="Times New Roman" w:eastAsia="方正仿宋_GBK" w:cs="Times New Roman"/>
          <w:color w:val="auto"/>
          <w:sz w:val="32"/>
          <w:szCs w:val="32"/>
          <w:shd w:val="clear" w:color="auto" w:fill="FFFFFF"/>
        </w:rPr>
        <w:t>。</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3" w:firstLineChars="200"/>
        <w:jc w:val="both"/>
        <w:rPr>
          <w:rFonts w:hint="default" w:ascii="Times New Roman" w:hAnsi="Times New Roman" w:eastAsia="方正仿宋_GBK" w:cs="Times New Roman"/>
          <w:color w:val="auto"/>
          <w:sz w:val="32"/>
          <w:szCs w:val="32"/>
          <w:shd w:val="clear" w:color="auto" w:fill="FFFFFF"/>
        </w:rPr>
      </w:pPr>
      <w:r>
        <w:rPr>
          <w:rStyle w:val="10"/>
          <w:rFonts w:hint="default" w:ascii="Times New Roman" w:hAnsi="Times New Roman" w:eastAsia="方正仿宋_GBK" w:cs="Times New Roman"/>
          <w:b/>
          <w:bCs w:val="0"/>
          <w:color w:val="auto"/>
          <w:sz w:val="32"/>
          <w:szCs w:val="32"/>
          <w:shd w:val="clear" w:color="auto" w:fill="FFFFFF"/>
        </w:rPr>
        <w:t>2.收入情况。</w:t>
      </w:r>
      <w:r>
        <w:rPr>
          <w:rFonts w:hint="default" w:ascii="Times New Roman" w:hAnsi="Times New Roman" w:eastAsia="方正仿宋_GBK" w:cs="Times New Roman"/>
          <w:color w:val="auto"/>
          <w:sz w:val="32"/>
          <w:szCs w:val="32"/>
          <w:shd w:val="clear" w:color="auto" w:fill="FFFFFF"/>
        </w:rPr>
        <w:t>2023年度收入合计4870.82万元，较上年决算数减少2458.49万元，下降33.54%，主要原因是</w:t>
      </w:r>
      <w:r>
        <w:rPr>
          <w:rFonts w:hint="default" w:ascii="Times New Roman" w:hAnsi="Times New Roman" w:eastAsia="方正仿宋_GBK" w:cs="Times New Roman"/>
          <w:color w:val="auto"/>
          <w:sz w:val="32"/>
          <w:szCs w:val="32"/>
          <w:shd w:val="clear" w:color="auto" w:fill="FFFFFF"/>
          <w:lang w:eastAsia="zh-CN"/>
        </w:rPr>
        <w:t>公务员医疗补助项目资金与医疗救助项目资金减少</w:t>
      </w:r>
      <w:r>
        <w:rPr>
          <w:rFonts w:hint="default" w:ascii="Times New Roman" w:hAnsi="Times New Roman" w:eastAsia="方正仿宋_GBK" w:cs="Times New Roman"/>
          <w:color w:val="auto"/>
          <w:sz w:val="32"/>
          <w:szCs w:val="32"/>
          <w:shd w:val="clear" w:color="auto" w:fill="FFFFFF"/>
        </w:rPr>
        <w:t>。其中：财政拨款收入</w:t>
      </w:r>
      <w:r>
        <w:rPr>
          <w:rFonts w:hint="default" w:ascii="Times New Roman" w:hAnsi="Times New Roman" w:eastAsia="方正仿宋_GBK" w:cs="Times New Roman"/>
          <w:color w:val="auto"/>
          <w:sz w:val="32"/>
          <w:szCs w:val="32"/>
        </w:rPr>
        <w:t>4870.82</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100.00</w:t>
      </w:r>
      <w:r>
        <w:rPr>
          <w:rFonts w:hint="default" w:ascii="Times New Roman" w:hAnsi="Times New Roman" w:eastAsia="方正仿宋_GBK" w:cs="Times New Roman"/>
          <w:color w:val="auto"/>
          <w:sz w:val="32"/>
          <w:szCs w:val="32"/>
          <w:shd w:val="clear" w:color="auto" w:fill="FFFFFF"/>
        </w:rPr>
        <w:t>%；事业收入</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万元，占0.00%；经营收入</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万元，占0.00%；其他收入</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万元，占0.00%。此外，使用非财政拨款结余和专用结余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万元，年初结转和结余</w:t>
      </w:r>
      <w:r>
        <w:rPr>
          <w:rFonts w:hint="default" w:ascii="Times New Roman" w:hAnsi="Times New Roman" w:eastAsia="方正仿宋_GBK" w:cs="Times New Roman"/>
          <w:color w:val="auto"/>
          <w:sz w:val="32"/>
          <w:szCs w:val="32"/>
        </w:rPr>
        <w:t>22.43</w:t>
      </w:r>
      <w:r>
        <w:rPr>
          <w:rFonts w:hint="default" w:ascii="Times New Roman" w:hAnsi="Times New Roman" w:eastAsia="方正仿宋_GBK" w:cs="Times New Roman"/>
          <w:color w:val="auto"/>
          <w:sz w:val="32"/>
          <w:szCs w:val="32"/>
          <w:shd w:val="clear" w:color="auto" w:fill="FFFFFF"/>
        </w:rPr>
        <w:t>万元。</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3" w:firstLineChars="200"/>
        <w:jc w:val="both"/>
        <w:rPr>
          <w:rFonts w:hint="default" w:ascii="Times New Roman" w:hAnsi="Times New Roman" w:eastAsia="方正仿宋_GBK" w:cs="Times New Roman"/>
          <w:color w:val="auto"/>
          <w:sz w:val="32"/>
          <w:szCs w:val="32"/>
          <w:shd w:val="clear" w:color="auto" w:fill="FFFFFF"/>
        </w:rPr>
      </w:pPr>
      <w:r>
        <w:rPr>
          <w:rStyle w:val="10"/>
          <w:rFonts w:hint="default" w:ascii="Times New Roman" w:hAnsi="Times New Roman" w:eastAsia="方正仿宋_GBK" w:cs="Times New Roman"/>
          <w:b/>
          <w:bCs w:val="0"/>
          <w:color w:val="auto"/>
          <w:sz w:val="32"/>
          <w:szCs w:val="32"/>
          <w:shd w:val="clear" w:color="auto" w:fill="FFFFFF"/>
        </w:rPr>
        <w:t>3.支出情况。</w:t>
      </w:r>
      <w:r>
        <w:rPr>
          <w:rFonts w:hint="default" w:ascii="Times New Roman" w:hAnsi="Times New Roman" w:eastAsia="方正仿宋_GBK" w:cs="Times New Roman"/>
          <w:color w:val="auto"/>
          <w:sz w:val="32"/>
          <w:szCs w:val="32"/>
          <w:shd w:val="clear" w:color="auto" w:fill="FFFFFF"/>
        </w:rPr>
        <w:t>2023年度支出合计</w:t>
      </w:r>
      <w:r>
        <w:rPr>
          <w:rFonts w:hint="default" w:ascii="Times New Roman" w:hAnsi="Times New Roman" w:eastAsia="方正仿宋_GBK" w:cs="Times New Roman"/>
          <w:color w:val="auto"/>
          <w:sz w:val="32"/>
          <w:szCs w:val="32"/>
        </w:rPr>
        <w:t>4893.25</w:t>
      </w:r>
      <w:r>
        <w:rPr>
          <w:rFonts w:hint="default" w:ascii="Times New Roman" w:hAnsi="Times New Roman" w:eastAsia="方正仿宋_GBK" w:cs="Times New Roman"/>
          <w:color w:val="auto"/>
          <w:sz w:val="32"/>
          <w:szCs w:val="32"/>
          <w:shd w:val="clear" w:color="auto" w:fill="FFFFFF"/>
        </w:rPr>
        <w:t>万元，较上年决算数减少2540.11万元，下降34.17%，主要原因是</w:t>
      </w:r>
      <w:r>
        <w:rPr>
          <w:rFonts w:hint="default" w:ascii="Times New Roman" w:hAnsi="Times New Roman" w:eastAsia="方正仿宋_GBK" w:cs="Times New Roman"/>
          <w:color w:val="auto"/>
          <w:sz w:val="32"/>
          <w:szCs w:val="32"/>
          <w:shd w:val="clear" w:color="auto" w:fill="FFFFFF"/>
          <w:lang w:eastAsia="zh-CN"/>
        </w:rPr>
        <w:t>公务员医疗补助项目资金与医疗救助项目资金减少</w:t>
      </w:r>
      <w:r>
        <w:rPr>
          <w:rFonts w:hint="default" w:ascii="Times New Roman" w:hAnsi="Times New Roman" w:eastAsia="方正仿宋_GBK" w:cs="Times New Roman"/>
          <w:color w:val="auto"/>
          <w:sz w:val="32"/>
          <w:szCs w:val="32"/>
          <w:shd w:val="clear" w:color="auto" w:fill="FFFFFF"/>
        </w:rPr>
        <w:t>。其中：基本支出</w:t>
      </w:r>
      <w:r>
        <w:rPr>
          <w:rFonts w:hint="default" w:ascii="Times New Roman" w:hAnsi="Times New Roman" w:eastAsia="方正仿宋_GBK" w:cs="Times New Roman"/>
          <w:color w:val="auto"/>
          <w:sz w:val="32"/>
          <w:szCs w:val="32"/>
        </w:rPr>
        <w:t>1147.89</w:t>
      </w:r>
      <w:r>
        <w:rPr>
          <w:rFonts w:hint="default" w:ascii="Times New Roman" w:hAnsi="Times New Roman" w:eastAsia="方正仿宋_GBK" w:cs="Times New Roman"/>
          <w:color w:val="auto"/>
          <w:sz w:val="32"/>
          <w:szCs w:val="32"/>
          <w:shd w:val="clear" w:color="auto" w:fill="FFFFFF"/>
        </w:rPr>
        <w:t>万元，占23.46%；项目支出</w:t>
      </w:r>
      <w:r>
        <w:rPr>
          <w:rFonts w:hint="default" w:ascii="Times New Roman" w:hAnsi="Times New Roman" w:eastAsia="方正仿宋_GBK" w:cs="Times New Roman"/>
          <w:color w:val="auto"/>
          <w:sz w:val="32"/>
          <w:szCs w:val="32"/>
        </w:rPr>
        <w:t>3745.37</w:t>
      </w:r>
      <w:r>
        <w:rPr>
          <w:rFonts w:hint="default" w:ascii="Times New Roman" w:hAnsi="Times New Roman" w:eastAsia="方正仿宋_GBK" w:cs="Times New Roman"/>
          <w:color w:val="auto"/>
          <w:sz w:val="32"/>
          <w:szCs w:val="32"/>
          <w:shd w:val="clear" w:color="auto" w:fill="FFFFFF"/>
        </w:rPr>
        <w:t>万元，占76.54%；经营支出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万元，占0.00%。此外，结余分配</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3" w:firstLineChars="200"/>
        <w:jc w:val="both"/>
        <w:rPr>
          <w:rFonts w:hint="default" w:ascii="Times New Roman" w:hAnsi="Times New Roman" w:eastAsia="方正仿宋_GBK" w:cs="Times New Roman"/>
          <w:color w:val="auto"/>
          <w:sz w:val="32"/>
          <w:szCs w:val="32"/>
        </w:rPr>
      </w:pPr>
      <w:r>
        <w:rPr>
          <w:rStyle w:val="10"/>
          <w:rFonts w:hint="default" w:ascii="Times New Roman" w:hAnsi="Times New Roman" w:eastAsia="方正仿宋_GBK" w:cs="Times New Roman"/>
          <w:b/>
          <w:bCs w:val="0"/>
          <w:color w:val="auto"/>
          <w:sz w:val="32"/>
          <w:szCs w:val="32"/>
          <w:shd w:val="clear" w:color="auto" w:fill="FFFFFF"/>
        </w:rPr>
        <w:t>4.结转结余情况。</w:t>
      </w:r>
      <w:r>
        <w:rPr>
          <w:rFonts w:hint="default" w:ascii="Times New Roman" w:hAnsi="Times New Roman" w:eastAsia="方正仿宋_GBK" w:cs="Times New Roman"/>
          <w:color w:val="auto"/>
          <w:sz w:val="32"/>
          <w:szCs w:val="32"/>
          <w:shd w:val="clear" w:color="auto" w:fill="FFFFFF"/>
        </w:rPr>
        <w:t>2023年度年末结转和结余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万元，较上年决算数无增减。</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outlineLvl w:val="9"/>
        <w:rPr>
          <w:rStyle w:val="10"/>
          <w:rFonts w:hint="default" w:ascii="Times New Roman" w:hAnsi="Times New Roman" w:eastAsia="方正楷体_GBK" w:cs="Times New Roman"/>
          <w:b w:val="0"/>
          <w:bCs/>
          <w:color w:val="auto"/>
          <w:sz w:val="32"/>
          <w:szCs w:val="32"/>
          <w:shd w:val="clear" w:color="auto" w:fill="FFFFFF"/>
        </w:rPr>
      </w:pPr>
      <w:r>
        <w:rPr>
          <w:rStyle w:val="10"/>
          <w:rFonts w:hint="default" w:ascii="Times New Roman" w:hAnsi="Times New Roman" w:eastAsia="方正楷体_GBK" w:cs="Times New Roman"/>
          <w:b w:val="0"/>
          <w:bCs/>
          <w:color w:val="auto"/>
          <w:sz w:val="32"/>
          <w:szCs w:val="32"/>
          <w:shd w:val="clear" w:color="auto" w:fill="FFFFFF"/>
        </w:rPr>
        <w:t>（二）财政拨款收入支出决算总体情况说明</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2023年度财政拨款收、支总计4893.25万元。与2022年相比，财政拨款收、支总计各减少2436.06万元，下降33.24%。主要原因是</w:t>
      </w:r>
      <w:r>
        <w:rPr>
          <w:rFonts w:hint="default" w:ascii="Times New Roman" w:hAnsi="Times New Roman" w:eastAsia="方正仿宋_GBK" w:cs="Times New Roman"/>
          <w:color w:val="auto"/>
          <w:sz w:val="32"/>
          <w:szCs w:val="32"/>
          <w:shd w:val="clear" w:color="auto" w:fill="FFFFFF"/>
          <w:lang w:eastAsia="zh-CN"/>
        </w:rPr>
        <w:t>公务员医疗补助项目资金与医疗救助项目资金减少</w:t>
      </w:r>
      <w:r>
        <w:rPr>
          <w:rFonts w:hint="default" w:ascii="Times New Roman" w:hAnsi="Times New Roman" w:eastAsia="方正仿宋_GBK" w:cs="Times New Roman"/>
          <w:color w:val="auto"/>
          <w:sz w:val="32"/>
          <w:szCs w:val="32"/>
          <w:shd w:val="clear" w:color="auto" w:fill="FFFFFF"/>
        </w:rPr>
        <w:t>。</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outlineLvl w:val="9"/>
        <w:rPr>
          <w:rStyle w:val="10"/>
          <w:rFonts w:hint="default" w:ascii="Times New Roman" w:hAnsi="Times New Roman" w:eastAsia="方正楷体_GBK" w:cs="Times New Roman"/>
          <w:b w:val="0"/>
          <w:bCs/>
          <w:color w:val="auto"/>
          <w:sz w:val="32"/>
          <w:szCs w:val="32"/>
          <w:shd w:val="clear" w:color="auto" w:fill="FFFFFF"/>
        </w:rPr>
      </w:pPr>
      <w:r>
        <w:rPr>
          <w:rStyle w:val="10"/>
          <w:rFonts w:hint="default" w:ascii="Times New Roman" w:hAnsi="Times New Roman" w:eastAsia="方正楷体_GBK" w:cs="Times New Roman"/>
          <w:b w:val="0"/>
          <w:bCs/>
          <w:color w:val="auto"/>
          <w:sz w:val="32"/>
          <w:szCs w:val="32"/>
          <w:shd w:val="clear" w:color="auto" w:fill="FFFFFF"/>
        </w:rPr>
        <w:t>（三）一般公共预算财政拨款收入支出决算情况说明</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3" w:firstLineChars="200"/>
        <w:jc w:val="both"/>
        <w:rPr>
          <w:rFonts w:hint="default" w:ascii="Times New Roman" w:hAnsi="Times New Roman" w:eastAsia="方正仿宋_GBK" w:cs="Times New Roman"/>
          <w:color w:val="auto"/>
          <w:sz w:val="32"/>
          <w:szCs w:val="32"/>
        </w:rPr>
      </w:pPr>
      <w:r>
        <w:rPr>
          <w:rStyle w:val="10"/>
          <w:rFonts w:hint="default" w:ascii="Times New Roman" w:hAnsi="Times New Roman" w:eastAsia="方正仿宋_GBK" w:cs="Times New Roman"/>
          <w:b/>
          <w:bCs w:val="0"/>
          <w:color w:val="auto"/>
          <w:sz w:val="32"/>
          <w:szCs w:val="32"/>
          <w:shd w:val="clear" w:color="auto" w:fill="FFFFFF"/>
        </w:rPr>
        <w:t>1.收入情况。</w:t>
      </w:r>
      <w:r>
        <w:rPr>
          <w:rFonts w:hint="default" w:ascii="Times New Roman" w:hAnsi="Times New Roman" w:eastAsia="方正仿宋_GBK" w:cs="Times New Roman"/>
          <w:color w:val="auto"/>
          <w:sz w:val="32"/>
          <w:szCs w:val="32"/>
          <w:shd w:val="clear" w:color="auto" w:fill="FFFFFF"/>
        </w:rPr>
        <w:t>2023年度一般公共预算财政拨款收入</w:t>
      </w:r>
      <w:r>
        <w:rPr>
          <w:rFonts w:hint="default" w:ascii="Times New Roman" w:hAnsi="Times New Roman" w:eastAsia="方正仿宋_GBK" w:cs="Times New Roman"/>
          <w:color w:val="auto"/>
          <w:sz w:val="32"/>
          <w:szCs w:val="32"/>
        </w:rPr>
        <w:t>4870.82</w:t>
      </w:r>
      <w:r>
        <w:rPr>
          <w:rFonts w:hint="default" w:ascii="Times New Roman" w:hAnsi="Times New Roman" w:eastAsia="方正仿宋_GBK" w:cs="Times New Roman"/>
          <w:color w:val="auto"/>
          <w:sz w:val="32"/>
          <w:szCs w:val="32"/>
          <w:shd w:val="clear" w:color="auto" w:fill="FFFFFF"/>
        </w:rPr>
        <w:t>万元，较上年决算数减少2286.49万元，下降31.95%。主要原因是</w:t>
      </w:r>
      <w:r>
        <w:rPr>
          <w:rFonts w:hint="default" w:ascii="Times New Roman" w:hAnsi="Times New Roman" w:eastAsia="方正仿宋_GBK" w:cs="Times New Roman"/>
          <w:color w:val="auto"/>
          <w:sz w:val="32"/>
          <w:szCs w:val="32"/>
          <w:shd w:val="clear" w:color="auto" w:fill="FFFFFF"/>
          <w:lang w:eastAsia="zh-CN"/>
        </w:rPr>
        <w:t>公务员医疗补助项目资金与医疗救助项目资金减少</w:t>
      </w:r>
      <w:r>
        <w:rPr>
          <w:rFonts w:hint="default" w:ascii="Times New Roman" w:hAnsi="Times New Roman" w:eastAsia="方正仿宋_GBK" w:cs="Times New Roman"/>
          <w:color w:val="auto"/>
          <w:sz w:val="32"/>
          <w:szCs w:val="32"/>
          <w:shd w:val="clear" w:color="auto" w:fill="FFFFFF"/>
        </w:rPr>
        <w:t>。较年初预算数增加334.92万元，增长7.38%。主要原因是</w:t>
      </w:r>
      <w:r>
        <w:rPr>
          <w:rFonts w:hint="default" w:ascii="Times New Roman" w:hAnsi="Times New Roman" w:eastAsia="方正仿宋_GBK" w:cs="Times New Roman"/>
          <w:color w:val="auto"/>
          <w:sz w:val="32"/>
          <w:szCs w:val="32"/>
          <w:shd w:val="clear" w:color="auto" w:fill="FFFFFF"/>
          <w:lang w:eastAsia="zh-CN"/>
        </w:rPr>
        <w:t>年中新增</w:t>
      </w:r>
      <w:r>
        <w:rPr>
          <w:rFonts w:hint="default" w:ascii="Times New Roman" w:hAnsi="Times New Roman" w:eastAsia="方正仿宋_GBK" w:cs="Times New Roman"/>
          <w:color w:val="auto"/>
          <w:sz w:val="32"/>
          <w:szCs w:val="32"/>
          <w:shd w:val="clear" w:color="auto" w:fill="FFFFFF"/>
          <w:lang w:val="en-US" w:eastAsia="zh-CN"/>
        </w:rPr>
        <w:t>2023年</w:t>
      </w:r>
      <w:r>
        <w:rPr>
          <w:rFonts w:hint="default" w:ascii="Times New Roman" w:hAnsi="Times New Roman" w:eastAsia="方正仿宋_GBK" w:cs="Times New Roman"/>
          <w:color w:val="auto"/>
          <w:kern w:val="0"/>
          <w:sz w:val="32"/>
          <w:szCs w:val="32"/>
          <w:lang w:val="en-US" w:eastAsia="zh-CN" w:bidi="ar-SA"/>
        </w:rPr>
        <w:t>脱贫人口城乡居民医疗保险参保补贴项目</w:t>
      </w:r>
      <w:r>
        <w:rPr>
          <w:rFonts w:hint="default" w:ascii="Times New Roman" w:hAnsi="Times New Roman" w:eastAsia="方正仿宋_GBK" w:cs="Times New Roman"/>
          <w:color w:val="auto"/>
          <w:kern w:val="0"/>
          <w:sz w:val="32"/>
          <w:szCs w:val="32"/>
          <w:lang w:val="en-US" w:eastAsia="zh-CN" w:bidi="ar-SA"/>
        </w:rPr>
        <w:t>与医疗救助（一事一议）项目</w:t>
      </w:r>
      <w:r>
        <w:rPr>
          <w:rFonts w:hint="default" w:ascii="Times New Roman" w:hAnsi="Times New Roman" w:eastAsia="方正仿宋_GBK" w:cs="Times New Roman"/>
          <w:color w:val="auto"/>
          <w:sz w:val="32"/>
          <w:szCs w:val="32"/>
          <w:shd w:val="clear" w:color="auto" w:fill="FFFFFF"/>
        </w:rPr>
        <w:t>。此外，年初财政拨款结转和结余</w:t>
      </w:r>
      <w:r>
        <w:rPr>
          <w:rFonts w:hint="default" w:ascii="Times New Roman" w:hAnsi="Times New Roman" w:eastAsia="方正仿宋_GBK" w:cs="Times New Roman"/>
          <w:color w:val="auto"/>
          <w:sz w:val="32"/>
          <w:szCs w:val="32"/>
        </w:rPr>
        <w:t>22.43</w:t>
      </w:r>
      <w:r>
        <w:rPr>
          <w:rFonts w:hint="default" w:ascii="Times New Roman" w:hAnsi="Times New Roman" w:eastAsia="方正仿宋_GBK" w:cs="Times New Roman"/>
          <w:color w:val="auto"/>
          <w:sz w:val="32"/>
          <w:szCs w:val="32"/>
          <w:shd w:val="clear" w:color="auto" w:fill="FFFFFF"/>
        </w:rPr>
        <w:t>万元。</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3" w:firstLineChars="200"/>
        <w:jc w:val="both"/>
        <w:rPr>
          <w:rFonts w:hint="default" w:ascii="Times New Roman" w:hAnsi="Times New Roman" w:eastAsia="方正仿宋_GBK" w:cs="Times New Roman"/>
          <w:color w:val="auto"/>
          <w:sz w:val="32"/>
          <w:szCs w:val="32"/>
        </w:rPr>
      </w:pPr>
      <w:r>
        <w:rPr>
          <w:rStyle w:val="10"/>
          <w:rFonts w:hint="default" w:ascii="Times New Roman" w:hAnsi="Times New Roman" w:eastAsia="方正仿宋_GBK" w:cs="Times New Roman"/>
          <w:b/>
          <w:bCs w:val="0"/>
          <w:color w:val="auto"/>
          <w:sz w:val="32"/>
          <w:szCs w:val="32"/>
          <w:shd w:val="clear" w:color="auto" w:fill="FFFFFF"/>
        </w:rPr>
        <w:t>2.支出情况。</w:t>
      </w:r>
      <w:r>
        <w:rPr>
          <w:rFonts w:hint="default" w:ascii="Times New Roman" w:hAnsi="Times New Roman" w:eastAsia="方正仿宋_GBK" w:cs="Times New Roman"/>
          <w:color w:val="auto"/>
          <w:sz w:val="32"/>
          <w:szCs w:val="32"/>
          <w:shd w:val="clear" w:color="auto" w:fill="FFFFFF"/>
        </w:rPr>
        <w:t>2023年度一般公共预算财政拨款支出</w:t>
      </w:r>
      <w:r>
        <w:rPr>
          <w:rFonts w:hint="default" w:ascii="Times New Roman" w:hAnsi="Times New Roman" w:eastAsia="方正仿宋_GBK" w:cs="Times New Roman"/>
          <w:color w:val="auto"/>
          <w:sz w:val="32"/>
          <w:szCs w:val="32"/>
        </w:rPr>
        <w:t>4893.25</w:t>
      </w:r>
      <w:r>
        <w:rPr>
          <w:rFonts w:hint="default" w:ascii="Times New Roman" w:hAnsi="Times New Roman" w:eastAsia="方正仿宋_GBK" w:cs="Times New Roman"/>
          <w:color w:val="auto"/>
          <w:sz w:val="32"/>
          <w:szCs w:val="32"/>
          <w:shd w:val="clear" w:color="auto" w:fill="FFFFFF"/>
        </w:rPr>
        <w:t>万元，较上年决算数减少2264.06万元，下降31.63%。主要原因是</w:t>
      </w:r>
      <w:r>
        <w:rPr>
          <w:rFonts w:hint="default" w:ascii="Times New Roman" w:hAnsi="Times New Roman" w:eastAsia="方正仿宋_GBK" w:cs="Times New Roman"/>
          <w:color w:val="auto"/>
          <w:sz w:val="32"/>
          <w:szCs w:val="32"/>
          <w:shd w:val="clear" w:color="auto" w:fill="FFFFFF"/>
          <w:lang w:eastAsia="zh-CN"/>
        </w:rPr>
        <w:t>公务员医疗补助项目资金与医疗救助项目资金减少</w:t>
      </w:r>
      <w:r>
        <w:rPr>
          <w:rFonts w:hint="default" w:ascii="Times New Roman" w:hAnsi="Times New Roman" w:eastAsia="方正仿宋_GBK" w:cs="Times New Roman"/>
          <w:color w:val="auto"/>
          <w:sz w:val="32"/>
          <w:szCs w:val="32"/>
          <w:shd w:val="clear" w:color="auto" w:fill="FFFFFF"/>
        </w:rPr>
        <w:t>。较年初预算数增加357.35万元，增长7.88%。主要原因是</w:t>
      </w:r>
      <w:r>
        <w:rPr>
          <w:rFonts w:hint="default" w:ascii="Times New Roman" w:hAnsi="Times New Roman" w:eastAsia="方正仿宋_GBK" w:cs="Times New Roman"/>
          <w:color w:val="auto"/>
          <w:sz w:val="32"/>
          <w:szCs w:val="32"/>
          <w:shd w:val="clear" w:color="auto" w:fill="FFFFFF"/>
          <w:lang w:eastAsia="zh-CN"/>
        </w:rPr>
        <w:t>年中新增</w:t>
      </w:r>
      <w:r>
        <w:rPr>
          <w:rFonts w:hint="default" w:ascii="Times New Roman" w:hAnsi="Times New Roman" w:eastAsia="方正仿宋_GBK" w:cs="Times New Roman"/>
          <w:color w:val="auto"/>
          <w:sz w:val="32"/>
          <w:szCs w:val="32"/>
          <w:shd w:val="clear" w:color="auto" w:fill="FFFFFF"/>
          <w:lang w:val="en-US" w:eastAsia="zh-CN"/>
        </w:rPr>
        <w:t>2023年</w:t>
      </w:r>
      <w:r>
        <w:rPr>
          <w:rFonts w:hint="default" w:ascii="Times New Roman" w:hAnsi="Times New Roman" w:eastAsia="方正仿宋_GBK" w:cs="Times New Roman"/>
          <w:color w:val="auto"/>
          <w:kern w:val="0"/>
          <w:sz w:val="32"/>
          <w:szCs w:val="32"/>
          <w:lang w:val="en-US" w:eastAsia="zh-CN" w:bidi="ar-SA"/>
        </w:rPr>
        <w:t>脱贫人口城乡居民医疗保险参保补贴项目</w:t>
      </w:r>
      <w:r>
        <w:rPr>
          <w:rFonts w:hint="default" w:ascii="Times New Roman" w:hAnsi="Times New Roman" w:eastAsia="方正仿宋_GBK" w:cs="Times New Roman"/>
          <w:color w:val="auto"/>
          <w:kern w:val="0"/>
          <w:sz w:val="32"/>
          <w:szCs w:val="32"/>
          <w:lang w:val="en-US" w:eastAsia="zh-CN" w:bidi="ar-SA"/>
        </w:rPr>
        <w:t>与医疗救助（一事一议）项目</w:t>
      </w:r>
      <w:r>
        <w:rPr>
          <w:rFonts w:hint="default" w:ascii="Times New Roman" w:hAnsi="Times New Roman" w:eastAsia="方正仿宋_GBK" w:cs="Times New Roman"/>
          <w:color w:val="auto"/>
          <w:sz w:val="32"/>
          <w:szCs w:val="32"/>
          <w:shd w:val="clear" w:color="auto" w:fill="FFFFFF"/>
        </w:rPr>
        <w:t>。</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3" w:firstLineChars="200"/>
        <w:jc w:val="both"/>
        <w:rPr>
          <w:rFonts w:hint="default" w:ascii="Times New Roman" w:hAnsi="Times New Roman" w:eastAsia="方正仿宋_GBK" w:cs="Times New Roman"/>
          <w:color w:val="auto"/>
          <w:sz w:val="32"/>
          <w:szCs w:val="32"/>
        </w:rPr>
      </w:pPr>
      <w:r>
        <w:rPr>
          <w:rStyle w:val="10"/>
          <w:rFonts w:hint="default" w:ascii="Times New Roman" w:hAnsi="Times New Roman" w:eastAsia="方正仿宋_GBK" w:cs="Times New Roman"/>
          <w:b/>
          <w:bCs w:val="0"/>
          <w:color w:val="auto"/>
          <w:sz w:val="32"/>
          <w:szCs w:val="32"/>
          <w:shd w:val="clear" w:color="auto" w:fill="FFFFFF"/>
        </w:rPr>
        <w:t>3.结转结余情况。</w:t>
      </w:r>
      <w:r>
        <w:rPr>
          <w:rFonts w:hint="default" w:ascii="Times New Roman" w:hAnsi="Times New Roman" w:eastAsia="方正仿宋_GBK" w:cs="Times New Roman"/>
          <w:color w:val="auto"/>
          <w:sz w:val="32"/>
          <w:szCs w:val="32"/>
          <w:shd w:val="clear" w:color="auto" w:fill="FFFFFF"/>
        </w:rPr>
        <w:t>2023年度年末一般公共预算财政拨款结转和结余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万元，较上年决算数无增减。</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3" w:firstLineChars="200"/>
        <w:jc w:val="both"/>
        <w:rPr>
          <w:rFonts w:hint="default" w:ascii="Times New Roman" w:hAnsi="Times New Roman" w:eastAsia="方正仿宋_GBK" w:cs="Times New Roman"/>
          <w:color w:val="auto"/>
          <w:sz w:val="32"/>
          <w:szCs w:val="32"/>
          <w:highlight w:val="cyan"/>
          <w:shd w:val="clear" w:color="auto" w:fill="FFFFFF"/>
        </w:rPr>
      </w:pPr>
      <w:r>
        <w:rPr>
          <w:rStyle w:val="10"/>
          <w:rFonts w:hint="default" w:ascii="Times New Roman" w:hAnsi="Times New Roman" w:eastAsia="方正仿宋_GBK" w:cs="Times New Roman"/>
          <w:b/>
          <w:bCs w:val="0"/>
          <w:color w:val="auto"/>
          <w:sz w:val="32"/>
          <w:szCs w:val="32"/>
          <w:shd w:val="clear" w:color="auto" w:fill="FFFFFF"/>
        </w:rPr>
        <w:t>4.比较情况。</w:t>
      </w:r>
      <w:r>
        <w:rPr>
          <w:rFonts w:hint="default" w:ascii="Times New Roman" w:hAnsi="Times New Roman" w:eastAsia="方正仿宋_GBK" w:cs="Times New Roman"/>
          <w:color w:val="auto"/>
          <w:sz w:val="32"/>
          <w:szCs w:val="32"/>
          <w:shd w:val="clear" w:color="auto" w:fill="FFFFFF"/>
        </w:rPr>
        <w:t>本单位2023年度一般公共预算财政拨款支出主要用于以下几个方面：</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（1）社会保障与就业支出</w:t>
      </w:r>
      <w:r>
        <w:rPr>
          <w:rFonts w:hint="default" w:ascii="Times New Roman" w:hAnsi="Times New Roman" w:eastAsia="方正仿宋_GBK" w:cs="Times New Roman"/>
          <w:color w:val="auto"/>
          <w:sz w:val="32"/>
          <w:szCs w:val="32"/>
        </w:rPr>
        <w:t>19.21</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0.39</w:t>
      </w:r>
      <w:r>
        <w:rPr>
          <w:rFonts w:hint="default" w:ascii="Times New Roman" w:hAnsi="Times New Roman" w:eastAsia="方正仿宋_GBK" w:cs="Times New Roman"/>
          <w:color w:val="auto"/>
          <w:sz w:val="32"/>
          <w:szCs w:val="32"/>
          <w:shd w:val="clear" w:color="auto" w:fill="FFFFFF"/>
        </w:rPr>
        <w:t>%，较年初预算数无增减。</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rPr>
        <w:t>）卫生健康支出</w:t>
      </w:r>
      <w:r>
        <w:rPr>
          <w:rFonts w:hint="default" w:ascii="Times New Roman" w:hAnsi="Times New Roman" w:eastAsia="方正仿宋_GBK" w:cs="Times New Roman"/>
          <w:color w:val="auto"/>
          <w:sz w:val="32"/>
          <w:szCs w:val="32"/>
        </w:rPr>
        <w:t>4394.10</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89.80</w:t>
      </w:r>
      <w:r>
        <w:rPr>
          <w:rFonts w:hint="default" w:ascii="Times New Roman" w:hAnsi="Times New Roman" w:eastAsia="方正仿宋_GBK" w:cs="Times New Roman"/>
          <w:color w:val="auto"/>
          <w:sz w:val="32"/>
          <w:szCs w:val="32"/>
          <w:shd w:val="clear" w:color="auto" w:fill="FFFFFF"/>
        </w:rPr>
        <w:t>%，较年初预算数减少111.96万元，下降2.48%，主要原因是</w:t>
      </w:r>
      <w:r>
        <w:rPr>
          <w:rFonts w:hint="default" w:ascii="Times New Roman" w:hAnsi="Times New Roman" w:eastAsia="方正仿宋_GBK" w:cs="Times New Roman"/>
          <w:color w:val="auto"/>
          <w:sz w:val="32"/>
          <w:szCs w:val="32"/>
          <w:shd w:val="clear" w:color="auto" w:fill="FFFFFF"/>
          <w:lang w:eastAsia="zh-CN"/>
        </w:rPr>
        <w:t>医疗救助项目资金减少</w:t>
      </w:r>
      <w:r>
        <w:rPr>
          <w:rFonts w:hint="default" w:ascii="Times New Roman" w:hAnsi="Times New Roman" w:eastAsia="方正仿宋_GBK" w:cs="Times New Roman"/>
          <w:color w:val="auto"/>
          <w:sz w:val="32"/>
          <w:szCs w:val="32"/>
          <w:shd w:val="clear" w:color="auto" w:fill="FFFFFF"/>
        </w:rPr>
        <w:t>。</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）农林水支出</w:t>
      </w:r>
      <w:r>
        <w:rPr>
          <w:rFonts w:hint="default" w:ascii="Times New Roman" w:hAnsi="Times New Roman" w:eastAsia="方正仿宋_GBK" w:cs="Times New Roman"/>
          <w:color w:val="auto"/>
          <w:sz w:val="32"/>
          <w:szCs w:val="32"/>
        </w:rPr>
        <w:t>466.82</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9.54</w:t>
      </w:r>
      <w:r>
        <w:rPr>
          <w:rFonts w:hint="default" w:ascii="Times New Roman" w:hAnsi="Times New Roman" w:eastAsia="方正仿宋_GBK" w:cs="Times New Roman"/>
          <w:color w:val="auto"/>
          <w:sz w:val="32"/>
          <w:szCs w:val="32"/>
          <w:shd w:val="clear" w:color="auto" w:fill="FFFFFF"/>
        </w:rPr>
        <w:t>%，较年初预算数增加466.82万元，增长100.00%，主要原因是</w:t>
      </w:r>
      <w:r>
        <w:rPr>
          <w:rFonts w:hint="default" w:ascii="Times New Roman" w:hAnsi="Times New Roman" w:eastAsia="方正仿宋_GBK" w:cs="Times New Roman"/>
          <w:color w:val="auto"/>
          <w:sz w:val="32"/>
          <w:szCs w:val="32"/>
          <w:shd w:val="clear" w:color="auto" w:fill="FFFFFF"/>
          <w:lang w:eastAsia="zh-CN"/>
        </w:rPr>
        <w:t>年中新增</w:t>
      </w:r>
      <w:r>
        <w:rPr>
          <w:rFonts w:hint="default" w:ascii="Times New Roman" w:hAnsi="Times New Roman" w:eastAsia="方正仿宋_GBK" w:cs="Times New Roman"/>
          <w:color w:val="auto"/>
          <w:sz w:val="32"/>
          <w:szCs w:val="32"/>
          <w:shd w:val="clear" w:color="auto" w:fill="FFFFFF"/>
          <w:lang w:val="en-US" w:eastAsia="zh-CN"/>
        </w:rPr>
        <w:t>2023年</w:t>
      </w:r>
      <w:r>
        <w:rPr>
          <w:rFonts w:hint="default" w:ascii="Times New Roman" w:hAnsi="Times New Roman" w:eastAsia="方正仿宋_GBK" w:cs="Times New Roman"/>
          <w:color w:val="auto"/>
          <w:kern w:val="0"/>
          <w:sz w:val="32"/>
          <w:szCs w:val="32"/>
          <w:lang w:val="en-US" w:eastAsia="zh-CN" w:bidi="ar-SA"/>
        </w:rPr>
        <w:t>脱贫人口城乡居民医疗保险参保补贴项目</w:t>
      </w:r>
      <w:r>
        <w:rPr>
          <w:rFonts w:hint="default" w:ascii="Times New Roman" w:hAnsi="Times New Roman" w:eastAsia="方正仿宋_GBK" w:cs="Times New Roman"/>
          <w:color w:val="auto"/>
          <w:kern w:val="0"/>
          <w:sz w:val="32"/>
          <w:szCs w:val="32"/>
          <w:lang w:val="en-US" w:eastAsia="zh-CN" w:bidi="ar-SA"/>
        </w:rPr>
        <w:t>与医疗救助（一事一议）项目</w:t>
      </w:r>
      <w:r>
        <w:rPr>
          <w:rFonts w:hint="default" w:ascii="Times New Roman" w:hAnsi="Times New Roman" w:eastAsia="方正仿宋_GBK" w:cs="Times New Roman"/>
          <w:color w:val="auto"/>
          <w:sz w:val="32"/>
          <w:szCs w:val="32"/>
          <w:shd w:val="clear" w:color="auto" w:fill="FFFFFF"/>
        </w:rPr>
        <w:t>。</w:t>
      </w:r>
    </w:p>
    <w:p>
      <w:pPr>
        <w:keepNext w:val="0"/>
        <w:keepLines w:val="0"/>
        <w:pageBreakBefore w:val="0"/>
        <w:widowControl w:val="0"/>
        <w:kinsoku/>
        <w:wordWrap/>
        <w:overflowPunct/>
        <w:topLinePunct w:val="0"/>
        <w:autoSpaceDN/>
        <w:bidi w:val="0"/>
        <w:adjustRightInd/>
        <w:spacing w:beforeAutospacing="0" w:afterAutospacing="0" w:line="560" w:lineRule="exact"/>
        <w:ind w:left="0" w:leftChars="0"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rPr>
        <w:t>住房保障支出13.11</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0.27</w:t>
      </w:r>
      <w:r>
        <w:rPr>
          <w:rFonts w:hint="default" w:ascii="Times New Roman" w:hAnsi="Times New Roman" w:eastAsia="方正仿宋_GBK" w:cs="Times New Roman"/>
          <w:color w:val="auto"/>
          <w:sz w:val="32"/>
          <w:szCs w:val="32"/>
          <w:shd w:val="clear" w:color="auto" w:fill="FFFFFF"/>
        </w:rPr>
        <w:t>%，较年初预算数增加2.49万元，增长23.45%，主要原因是</w:t>
      </w:r>
      <w:r>
        <w:rPr>
          <w:rFonts w:hint="default" w:ascii="Times New Roman" w:hAnsi="Times New Roman" w:eastAsia="方正仿宋_GBK" w:cs="Times New Roman"/>
          <w:color w:val="auto"/>
          <w:sz w:val="32"/>
          <w:szCs w:val="32"/>
          <w:shd w:val="clear" w:color="auto" w:fill="FFFFFF"/>
          <w:lang w:eastAsia="zh-CN"/>
        </w:rPr>
        <w:t>本年度新招录一名在编人员以及公积金基数上调</w:t>
      </w:r>
      <w:r>
        <w:rPr>
          <w:rFonts w:hint="default" w:ascii="Times New Roman" w:hAnsi="Times New Roman" w:eastAsia="方正仿宋_GBK" w:cs="Times New Roman"/>
          <w:color w:val="auto"/>
          <w:sz w:val="32"/>
          <w:szCs w:val="32"/>
          <w:shd w:val="clear" w:color="auto" w:fill="FFFFFF"/>
        </w:rPr>
        <w:t>。</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outlineLvl w:val="9"/>
        <w:rPr>
          <w:rStyle w:val="10"/>
          <w:rFonts w:hint="default" w:ascii="Times New Roman" w:hAnsi="Times New Roman" w:eastAsia="方正楷体_GBK" w:cs="Times New Roman"/>
          <w:b w:val="0"/>
          <w:bCs/>
          <w:color w:val="auto"/>
          <w:sz w:val="32"/>
          <w:szCs w:val="32"/>
          <w:shd w:val="clear" w:color="auto" w:fill="FFFFFF"/>
        </w:rPr>
      </w:pPr>
      <w:r>
        <w:rPr>
          <w:rStyle w:val="10"/>
          <w:rFonts w:hint="default" w:ascii="Times New Roman" w:hAnsi="Times New Roman" w:eastAsia="方正楷体_GBK" w:cs="Times New Roman"/>
          <w:b w:val="0"/>
          <w:bCs/>
          <w:color w:val="auto"/>
          <w:sz w:val="32"/>
          <w:szCs w:val="32"/>
          <w:shd w:val="clear" w:color="auto" w:fill="FFFFFF"/>
        </w:rPr>
        <w:t>（四）一般公共预算财政拨款基本支出决算情况说明</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2023年度一般公共财政拨款基本支出</w:t>
      </w:r>
      <w:r>
        <w:rPr>
          <w:rFonts w:hint="default" w:ascii="Times New Roman" w:hAnsi="Times New Roman" w:eastAsia="方正仿宋_GBK" w:cs="Times New Roman"/>
          <w:color w:val="auto"/>
          <w:sz w:val="32"/>
          <w:szCs w:val="32"/>
        </w:rPr>
        <w:t>1147.89</w:t>
      </w:r>
      <w:r>
        <w:rPr>
          <w:rFonts w:hint="default" w:ascii="Times New Roman" w:hAnsi="Times New Roman" w:eastAsia="方正仿宋_GBK" w:cs="Times New Roman"/>
          <w:color w:val="auto"/>
          <w:sz w:val="32"/>
          <w:szCs w:val="32"/>
          <w:shd w:val="clear" w:color="auto" w:fill="FFFFFF"/>
        </w:rPr>
        <w:t>万元。其中：人员经费</w:t>
      </w:r>
      <w:r>
        <w:rPr>
          <w:rFonts w:hint="default" w:ascii="Times New Roman" w:hAnsi="Times New Roman" w:eastAsia="方正仿宋_GBK" w:cs="Times New Roman"/>
          <w:color w:val="auto"/>
          <w:sz w:val="32"/>
          <w:szCs w:val="32"/>
        </w:rPr>
        <w:t>1131.45</w:t>
      </w:r>
      <w:r>
        <w:rPr>
          <w:rFonts w:hint="default" w:ascii="Times New Roman" w:hAnsi="Times New Roman" w:eastAsia="方正仿宋_GBK" w:cs="Times New Roman"/>
          <w:color w:val="auto"/>
          <w:sz w:val="32"/>
          <w:szCs w:val="32"/>
          <w:shd w:val="clear" w:color="auto" w:fill="FFFFFF"/>
        </w:rPr>
        <w:t>万元，较上年决算数增加508.70万元，增长81.69%，主要原因</w:t>
      </w:r>
      <w:r>
        <w:rPr>
          <w:rFonts w:hint="default" w:ascii="Times New Roman" w:hAnsi="Times New Roman" w:eastAsia="方正仿宋_GBK" w:cs="Times New Roman"/>
          <w:color w:val="auto"/>
          <w:sz w:val="32"/>
          <w:szCs w:val="32"/>
          <w:shd w:val="clear" w:color="auto" w:fill="FFFFFF"/>
          <w:lang w:eastAsia="zh-CN"/>
        </w:rPr>
        <w:t>一</w:t>
      </w:r>
      <w:r>
        <w:rPr>
          <w:rFonts w:hint="default" w:ascii="Times New Roman" w:hAnsi="Times New Roman" w:eastAsia="方正仿宋_GBK" w:cs="Times New Roman"/>
          <w:color w:val="auto"/>
          <w:sz w:val="32"/>
          <w:szCs w:val="32"/>
          <w:shd w:val="clear" w:color="auto" w:fill="FFFFFF"/>
        </w:rPr>
        <w:t>是</w:t>
      </w:r>
      <w:r>
        <w:rPr>
          <w:rFonts w:hint="default" w:ascii="Times New Roman" w:hAnsi="Times New Roman" w:eastAsia="方正仿宋_GBK" w:cs="Times New Roman"/>
          <w:color w:val="auto"/>
          <w:sz w:val="32"/>
          <w:szCs w:val="32"/>
          <w:shd w:val="clear" w:color="auto" w:fill="FFFFFF"/>
          <w:lang w:eastAsia="zh-CN"/>
        </w:rPr>
        <w:t>公务员医疗补助项目</w:t>
      </w:r>
      <w:r>
        <w:rPr>
          <w:rFonts w:hint="default" w:ascii="Times New Roman" w:hAnsi="Times New Roman" w:eastAsia="方正仿宋_GBK" w:cs="Times New Roman"/>
          <w:color w:val="auto"/>
          <w:sz w:val="32"/>
          <w:szCs w:val="32"/>
          <w:shd w:val="clear" w:color="auto" w:fill="FFFFFF"/>
          <w:lang w:val="en-US" w:eastAsia="zh-CN"/>
        </w:rPr>
        <w:t>1000.00万元</w:t>
      </w:r>
      <w:r>
        <w:rPr>
          <w:rFonts w:hint="default" w:ascii="Times New Roman" w:hAnsi="Times New Roman" w:eastAsia="方正仿宋_GBK" w:cs="Times New Roman"/>
          <w:color w:val="auto"/>
          <w:sz w:val="32"/>
          <w:szCs w:val="32"/>
          <w:shd w:val="clear" w:color="auto" w:fill="FFFFFF"/>
          <w:lang w:eastAsia="zh-CN"/>
        </w:rPr>
        <w:t>由项目经费调整为人员经费，二是下属单位秀山土家族苗族自治县医疗保障事务中心、秀山土家族苗族自治县医药价格招标采购服务中心在本年度独立编制决算</w:t>
      </w:r>
      <w:r>
        <w:rPr>
          <w:rFonts w:hint="default" w:ascii="Times New Roman" w:hAnsi="Times New Roman" w:eastAsia="方正仿宋_GBK" w:cs="Times New Roman"/>
          <w:color w:val="auto"/>
          <w:sz w:val="32"/>
          <w:szCs w:val="32"/>
          <w:shd w:val="clear" w:color="auto" w:fill="FFFFFF"/>
        </w:rPr>
        <w:t>。人员经费用途主要包括</w:t>
      </w:r>
      <w:r>
        <w:rPr>
          <w:rFonts w:hint="default" w:ascii="Times New Roman" w:hAnsi="Times New Roman" w:eastAsia="方正仿宋_GBK" w:cs="Times New Roman"/>
          <w:color w:val="auto"/>
          <w:kern w:val="0"/>
          <w:sz w:val="32"/>
          <w:szCs w:val="32"/>
          <w:lang w:val="en-US" w:eastAsia="zh-CN" w:bidi="ar-SA"/>
        </w:rPr>
        <w:t>工资、津补贴、奖金、社会保险缴费、住房公积金、公务员医疗补助等</w:t>
      </w:r>
      <w:r>
        <w:rPr>
          <w:rFonts w:hint="default" w:ascii="Times New Roman" w:hAnsi="Times New Roman" w:eastAsia="方正仿宋_GBK" w:cs="Times New Roman"/>
          <w:color w:val="auto"/>
          <w:sz w:val="32"/>
          <w:szCs w:val="32"/>
          <w:shd w:val="clear" w:color="auto" w:fill="FFFFFF"/>
        </w:rPr>
        <w:t>。公用经费</w:t>
      </w:r>
      <w:r>
        <w:rPr>
          <w:rFonts w:hint="default" w:ascii="Times New Roman" w:hAnsi="Times New Roman" w:eastAsia="方正仿宋_GBK" w:cs="Times New Roman"/>
          <w:color w:val="auto"/>
          <w:sz w:val="32"/>
          <w:szCs w:val="32"/>
        </w:rPr>
        <w:t>16.43</w:t>
      </w:r>
      <w:r>
        <w:rPr>
          <w:rFonts w:hint="default" w:ascii="Times New Roman" w:hAnsi="Times New Roman" w:eastAsia="方正仿宋_GBK" w:cs="Times New Roman"/>
          <w:color w:val="auto"/>
          <w:sz w:val="32"/>
          <w:szCs w:val="32"/>
          <w:shd w:val="clear" w:color="auto" w:fill="FFFFFF"/>
        </w:rPr>
        <w:t>万元，较上年决算数减少21.72万元，下降56.93%，主要原因是</w:t>
      </w:r>
      <w:r>
        <w:rPr>
          <w:rFonts w:hint="default" w:ascii="Times New Roman" w:hAnsi="Times New Roman" w:eastAsia="方正仿宋_GBK" w:cs="Times New Roman"/>
          <w:color w:val="auto"/>
          <w:sz w:val="32"/>
          <w:szCs w:val="32"/>
          <w:shd w:val="clear" w:color="auto" w:fill="FFFFFF"/>
          <w:lang w:eastAsia="zh-CN"/>
        </w:rPr>
        <w:t>下属单位秀山土家族苗族自治县医疗保障事务中心在本年度独立编制决算</w:t>
      </w:r>
      <w:r>
        <w:rPr>
          <w:rFonts w:hint="default" w:ascii="Times New Roman" w:hAnsi="Times New Roman" w:eastAsia="方正仿宋_GBK" w:cs="Times New Roman"/>
          <w:color w:val="auto"/>
          <w:sz w:val="32"/>
          <w:szCs w:val="32"/>
          <w:shd w:val="clear" w:color="auto" w:fill="FFFFFF"/>
        </w:rPr>
        <w:t>。公用经费用途主要包括</w:t>
      </w:r>
      <w:r>
        <w:rPr>
          <w:rFonts w:hint="default" w:ascii="Times New Roman" w:hAnsi="Times New Roman" w:eastAsia="方正仿宋_GBK" w:cs="Times New Roman"/>
          <w:color w:val="auto"/>
          <w:kern w:val="0"/>
          <w:sz w:val="32"/>
          <w:szCs w:val="32"/>
          <w:lang w:val="en-US" w:eastAsia="zh-CN" w:bidi="ar-SA"/>
        </w:rPr>
        <w:t>办公费、差旅费、水费、电费、邮电费、公务接待费、公务用车运行维护费等</w:t>
      </w:r>
      <w:r>
        <w:rPr>
          <w:rFonts w:hint="default" w:ascii="Times New Roman" w:hAnsi="Times New Roman" w:eastAsia="方正仿宋_GBK" w:cs="Times New Roman"/>
          <w:color w:val="auto"/>
          <w:sz w:val="32"/>
          <w:szCs w:val="32"/>
          <w:shd w:val="clear" w:color="auto" w:fill="FFFFFF"/>
        </w:rPr>
        <w:t>。</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outlineLvl w:val="9"/>
        <w:rPr>
          <w:rStyle w:val="10"/>
          <w:rFonts w:hint="default" w:ascii="Times New Roman" w:hAnsi="Times New Roman" w:eastAsia="方正楷体_GBK" w:cs="Times New Roman"/>
          <w:b w:val="0"/>
          <w:bCs/>
          <w:color w:val="auto"/>
          <w:sz w:val="32"/>
          <w:szCs w:val="32"/>
          <w:shd w:val="clear" w:color="auto" w:fill="FFFFFF"/>
        </w:rPr>
      </w:pPr>
      <w:r>
        <w:rPr>
          <w:rStyle w:val="10"/>
          <w:rFonts w:hint="default" w:ascii="Times New Roman" w:hAnsi="Times New Roman" w:eastAsia="方正楷体_GBK" w:cs="Times New Roman"/>
          <w:b w:val="0"/>
          <w:bCs/>
          <w:color w:val="auto"/>
          <w:sz w:val="32"/>
          <w:szCs w:val="32"/>
          <w:shd w:val="clear" w:color="auto" w:fill="FFFFFF"/>
        </w:rPr>
        <w:t>（五）政府性基金预算收支决算情况说明</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本单位2023年度无政府性基金预算财政拨款收支。</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outlineLvl w:val="9"/>
        <w:rPr>
          <w:rStyle w:val="10"/>
          <w:rFonts w:hint="default" w:ascii="Times New Roman" w:hAnsi="Times New Roman" w:eastAsia="方正楷体_GBK" w:cs="Times New Roman"/>
          <w:b w:val="0"/>
          <w:bCs/>
          <w:color w:val="auto"/>
          <w:sz w:val="32"/>
          <w:szCs w:val="32"/>
          <w:shd w:val="clear" w:color="auto" w:fill="FFFFFF"/>
        </w:rPr>
      </w:pPr>
      <w:r>
        <w:rPr>
          <w:rStyle w:val="10"/>
          <w:rFonts w:hint="default" w:ascii="Times New Roman" w:hAnsi="Times New Roman" w:eastAsia="方正楷体_GBK" w:cs="Times New Roman"/>
          <w:b w:val="0"/>
          <w:bCs/>
          <w:color w:val="auto"/>
          <w:sz w:val="32"/>
          <w:szCs w:val="32"/>
          <w:shd w:val="clear" w:color="auto" w:fill="FFFFFF"/>
        </w:rPr>
        <w:t>（六）国有资本经营预算财政拨款支出决算情况说明</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本单位2023年度无国有资本经营预算财政拨款支出。</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outlineLvl w:val="9"/>
        <w:rPr>
          <w:rStyle w:val="10"/>
          <w:rFonts w:hint="default" w:ascii="Times New Roman" w:hAnsi="Times New Roman" w:eastAsia="方正黑体_GBK" w:cs="Times New Roman"/>
          <w:b w:val="0"/>
          <w:bCs/>
          <w:color w:val="auto"/>
          <w:sz w:val="32"/>
          <w:szCs w:val="32"/>
          <w:shd w:val="clear" w:color="auto" w:fill="FFFFFF"/>
        </w:rPr>
      </w:pPr>
      <w:r>
        <w:rPr>
          <w:rStyle w:val="10"/>
          <w:rFonts w:hint="default" w:ascii="Times New Roman" w:hAnsi="Times New Roman" w:eastAsia="方正黑体_GBK" w:cs="Times New Roman"/>
          <w:b w:val="0"/>
          <w:bCs/>
          <w:color w:val="auto"/>
          <w:sz w:val="32"/>
          <w:szCs w:val="32"/>
          <w:shd w:val="clear" w:color="auto" w:fill="FFFFFF"/>
        </w:rPr>
        <w:t>三、“三公”经费情况说明</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outlineLvl w:val="9"/>
        <w:rPr>
          <w:rStyle w:val="10"/>
          <w:rFonts w:hint="default" w:ascii="Times New Roman" w:hAnsi="Times New Roman" w:eastAsia="方正楷体_GBK" w:cs="Times New Roman"/>
          <w:b w:val="0"/>
          <w:bCs/>
          <w:color w:val="auto"/>
          <w:sz w:val="32"/>
          <w:szCs w:val="32"/>
          <w:shd w:val="clear" w:color="auto" w:fill="FFFFFF"/>
        </w:rPr>
      </w:pPr>
      <w:r>
        <w:rPr>
          <w:rStyle w:val="10"/>
          <w:rFonts w:hint="default" w:ascii="Times New Roman" w:hAnsi="Times New Roman" w:eastAsia="方正楷体_GBK" w:cs="Times New Roman"/>
          <w:b w:val="0"/>
          <w:bCs/>
          <w:color w:val="auto"/>
          <w:sz w:val="32"/>
          <w:szCs w:val="32"/>
          <w:shd w:val="clear" w:color="auto" w:fill="FFFFFF"/>
        </w:rPr>
        <w:t>（一）“三公”经费支出总体情况说明</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2023年度“三公”经费支出共计</w:t>
      </w:r>
      <w:r>
        <w:rPr>
          <w:rFonts w:hint="default" w:ascii="Times New Roman" w:hAnsi="Times New Roman" w:eastAsia="方正仿宋_GBK" w:cs="Times New Roman"/>
          <w:color w:val="auto"/>
          <w:sz w:val="32"/>
          <w:szCs w:val="32"/>
        </w:rPr>
        <w:t>1.94</w:t>
      </w:r>
      <w:r>
        <w:rPr>
          <w:rFonts w:hint="default" w:ascii="Times New Roman" w:hAnsi="Times New Roman" w:eastAsia="方正仿宋_GBK" w:cs="Times New Roman"/>
          <w:color w:val="auto"/>
          <w:sz w:val="32"/>
          <w:szCs w:val="32"/>
          <w:shd w:val="clear" w:color="auto" w:fill="FFFFFF"/>
        </w:rPr>
        <w:t>万元，较年初预算数减少3.56万元，下降64.73%，主要原因是</w:t>
      </w:r>
      <w:r>
        <w:rPr>
          <w:rFonts w:hint="default" w:ascii="Times New Roman" w:hAnsi="Times New Roman" w:eastAsia="方正仿宋_GBK" w:cs="Times New Roman"/>
          <w:color w:val="auto"/>
          <w:sz w:val="32"/>
          <w:szCs w:val="32"/>
          <w:shd w:val="clear" w:color="auto" w:fill="FFFFFF"/>
          <w:lang w:val="en-US" w:eastAsia="zh-CN"/>
        </w:rPr>
        <w:t>认真贯彻落实中央八项规定精神，按照只减不增的要求从严控制“三公”经费</w:t>
      </w:r>
      <w:r>
        <w:rPr>
          <w:rFonts w:hint="default" w:ascii="Times New Roman" w:hAnsi="Times New Roman" w:eastAsia="方正仿宋_GBK" w:cs="Times New Roman"/>
          <w:color w:val="auto"/>
          <w:sz w:val="32"/>
          <w:szCs w:val="32"/>
          <w:shd w:val="clear" w:color="auto" w:fill="FFFFFF"/>
        </w:rPr>
        <w:t>。较上年支出数增加0.33万元，增长20.50%，主要原因是</w:t>
      </w:r>
      <w:r>
        <w:rPr>
          <w:rFonts w:hint="default" w:ascii="Times New Roman" w:hAnsi="Times New Roman" w:eastAsia="方正仿宋_GBK" w:cs="Times New Roman"/>
          <w:color w:val="auto"/>
          <w:sz w:val="32"/>
          <w:szCs w:val="32"/>
          <w:shd w:val="clear" w:color="auto" w:fill="FFFFFF"/>
          <w:lang w:eastAsia="zh-CN"/>
        </w:rPr>
        <w:t>本年度因工作需要，各区县医保局积极组织交流学习</w:t>
      </w:r>
      <w:r>
        <w:rPr>
          <w:rFonts w:hint="default" w:ascii="Times New Roman" w:hAnsi="Times New Roman" w:eastAsia="方正仿宋_GBK" w:cs="Times New Roman"/>
          <w:color w:val="auto"/>
          <w:sz w:val="32"/>
          <w:szCs w:val="32"/>
          <w:shd w:val="clear" w:color="auto" w:fill="FFFFFF"/>
        </w:rPr>
        <w:t>。</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outlineLvl w:val="9"/>
        <w:rPr>
          <w:rStyle w:val="10"/>
          <w:rFonts w:hint="default" w:ascii="Times New Roman" w:hAnsi="Times New Roman" w:eastAsia="方正楷体_GBK" w:cs="Times New Roman"/>
          <w:b w:val="0"/>
          <w:bCs/>
          <w:color w:val="auto"/>
          <w:sz w:val="32"/>
          <w:szCs w:val="32"/>
          <w:shd w:val="clear" w:color="auto" w:fill="FFFFFF"/>
        </w:rPr>
      </w:pPr>
      <w:r>
        <w:rPr>
          <w:rStyle w:val="10"/>
          <w:rFonts w:hint="default" w:ascii="Times New Roman" w:hAnsi="Times New Roman" w:eastAsia="方正楷体_GBK" w:cs="Times New Roman"/>
          <w:b w:val="0"/>
          <w:bCs/>
          <w:color w:val="auto"/>
          <w:sz w:val="32"/>
          <w:szCs w:val="32"/>
          <w:shd w:val="clear" w:color="auto" w:fill="FFFFFF"/>
        </w:rPr>
        <w:t>（二）“三公”经费分项支出情况</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2023年度本单位因公出国（境）费用</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万元，费用支出较年初预算数无增减，较上年支出数无增减。</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公务车购置费</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万元，费用支出较年初预算数无增减，较上年支出数无增减。</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公务车运行维护费</w:t>
      </w:r>
      <w:r>
        <w:rPr>
          <w:rFonts w:hint="default" w:ascii="Times New Roman" w:hAnsi="Times New Roman" w:eastAsia="方正仿宋_GBK" w:cs="Times New Roman"/>
          <w:color w:val="auto"/>
          <w:sz w:val="32"/>
          <w:szCs w:val="32"/>
        </w:rPr>
        <w:t>1.54</w:t>
      </w:r>
      <w:r>
        <w:rPr>
          <w:rFonts w:hint="default" w:ascii="Times New Roman" w:hAnsi="Times New Roman" w:eastAsia="方正仿宋_GBK" w:cs="Times New Roman"/>
          <w:color w:val="auto"/>
          <w:sz w:val="32"/>
          <w:szCs w:val="32"/>
          <w:shd w:val="clear" w:color="auto" w:fill="FFFFFF"/>
        </w:rPr>
        <w:t>万元，主要用于</w:t>
      </w:r>
      <w:r>
        <w:rPr>
          <w:rFonts w:hint="default" w:ascii="Times New Roman" w:hAnsi="Times New Roman" w:eastAsia="方正仿宋_GBK" w:cs="Times New Roman"/>
          <w:color w:val="auto"/>
          <w:kern w:val="0"/>
          <w:sz w:val="32"/>
          <w:szCs w:val="32"/>
          <w:lang w:val="en-US" w:eastAsia="zh-CN" w:bidi="ar-SA"/>
        </w:rPr>
        <w:t>基金监管、信息化建设等工作所需车辆的过桥过路费、保险费、燃油费及车辆维护费等</w:t>
      </w:r>
      <w:r>
        <w:rPr>
          <w:rFonts w:hint="default" w:ascii="Times New Roman" w:hAnsi="Times New Roman" w:eastAsia="方正仿宋_GBK" w:cs="Times New Roman"/>
          <w:color w:val="auto"/>
          <w:sz w:val="32"/>
          <w:szCs w:val="32"/>
          <w:shd w:val="clear" w:color="auto" w:fill="FFFFFF"/>
        </w:rPr>
        <w:t>。费用支出较年初预算数减少3.46万元，下降69.20%，主要原因是</w:t>
      </w:r>
      <w:r>
        <w:rPr>
          <w:rFonts w:hint="default" w:ascii="Times New Roman" w:hAnsi="Times New Roman" w:eastAsia="方正仿宋_GBK" w:cs="Times New Roman"/>
          <w:color w:val="auto"/>
          <w:sz w:val="32"/>
          <w:szCs w:val="32"/>
          <w:shd w:val="clear" w:color="auto" w:fill="FFFFFF"/>
          <w:lang w:eastAsia="zh-CN"/>
        </w:rPr>
        <w:t>落实公车使用规定，严控公务车的使用</w:t>
      </w:r>
      <w:r>
        <w:rPr>
          <w:rFonts w:hint="default" w:ascii="Times New Roman" w:hAnsi="Times New Roman" w:eastAsia="方正仿宋_GBK" w:cs="Times New Roman"/>
          <w:color w:val="auto"/>
          <w:sz w:val="32"/>
          <w:szCs w:val="32"/>
          <w:shd w:val="clear" w:color="auto" w:fill="FFFFFF"/>
        </w:rPr>
        <w:t>。较上年支出数无增减。</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公务接待费</w:t>
      </w:r>
      <w:r>
        <w:rPr>
          <w:rFonts w:hint="default" w:ascii="Times New Roman" w:hAnsi="Times New Roman" w:eastAsia="方正仿宋_GBK" w:cs="Times New Roman"/>
          <w:color w:val="auto"/>
          <w:sz w:val="32"/>
          <w:szCs w:val="32"/>
        </w:rPr>
        <w:t>0.40</w:t>
      </w:r>
      <w:r>
        <w:rPr>
          <w:rFonts w:hint="default" w:ascii="Times New Roman" w:hAnsi="Times New Roman" w:eastAsia="方正仿宋_GBK" w:cs="Times New Roman"/>
          <w:color w:val="auto"/>
          <w:sz w:val="32"/>
          <w:szCs w:val="32"/>
          <w:shd w:val="clear" w:color="auto" w:fill="FFFFFF"/>
        </w:rPr>
        <w:t>万元，主要用于接待</w:t>
      </w:r>
      <w:r>
        <w:rPr>
          <w:rFonts w:hint="default" w:ascii="Times New Roman" w:hAnsi="Times New Roman" w:eastAsia="方正仿宋_GBK" w:cs="Times New Roman"/>
          <w:color w:val="auto"/>
          <w:sz w:val="32"/>
          <w:szCs w:val="32"/>
          <w:shd w:val="clear" w:color="auto" w:fill="FFFFFF"/>
          <w:lang w:eastAsia="zh-CN"/>
        </w:rPr>
        <w:t>市级部门工作检查，各区县医保局工作交流</w:t>
      </w:r>
      <w:r>
        <w:rPr>
          <w:rFonts w:hint="default" w:ascii="Times New Roman" w:hAnsi="Times New Roman" w:eastAsia="方正仿宋_GBK" w:cs="Times New Roman"/>
          <w:color w:val="auto"/>
          <w:sz w:val="32"/>
          <w:szCs w:val="32"/>
          <w:shd w:val="clear" w:color="auto" w:fill="FFFFFF"/>
        </w:rPr>
        <w:t>。费用支出较年初预算数减少0.10万元，下降20.00%，主要原因是</w:t>
      </w:r>
      <w:r>
        <w:rPr>
          <w:rFonts w:hint="default" w:ascii="Times New Roman" w:hAnsi="Times New Roman" w:eastAsia="方正仿宋_GBK" w:cs="Times New Roman"/>
          <w:color w:val="auto"/>
          <w:kern w:val="0"/>
          <w:sz w:val="32"/>
          <w:szCs w:val="32"/>
          <w:lang w:val="en-US" w:eastAsia="zh-CN" w:bidi="ar-SA"/>
        </w:rPr>
        <w:t>强化公务接待支出管理，严格遵守公务接待开支范围和开支标准</w:t>
      </w:r>
      <w:r>
        <w:rPr>
          <w:rFonts w:hint="default" w:ascii="Times New Roman" w:hAnsi="Times New Roman" w:eastAsia="方正仿宋_GBK" w:cs="Times New Roman"/>
          <w:color w:val="auto"/>
          <w:sz w:val="32"/>
          <w:szCs w:val="32"/>
          <w:shd w:val="clear" w:color="auto" w:fill="FFFFFF"/>
        </w:rPr>
        <w:t>。较上年支出数增加0.33万元，增长471.43%，主要原因是</w:t>
      </w:r>
      <w:r>
        <w:rPr>
          <w:rFonts w:hint="default" w:ascii="Times New Roman" w:hAnsi="Times New Roman" w:eastAsia="方正仿宋_GBK" w:cs="Times New Roman"/>
          <w:color w:val="auto"/>
          <w:sz w:val="32"/>
          <w:szCs w:val="32"/>
          <w:shd w:val="clear" w:color="auto" w:fill="FFFFFF"/>
          <w:lang w:eastAsia="zh-CN"/>
        </w:rPr>
        <w:t>本年度因工作需要，各区县医保局积极组织交流学习</w:t>
      </w:r>
      <w:r>
        <w:rPr>
          <w:rFonts w:hint="default" w:ascii="Times New Roman" w:hAnsi="Times New Roman" w:eastAsia="方正仿宋_GBK" w:cs="Times New Roman"/>
          <w:color w:val="auto"/>
          <w:sz w:val="32"/>
          <w:szCs w:val="32"/>
          <w:shd w:val="clear" w:color="auto" w:fill="FFFFFF"/>
        </w:rPr>
        <w:t>。</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outlineLvl w:val="9"/>
        <w:rPr>
          <w:rStyle w:val="10"/>
          <w:rFonts w:hint="default" w:ascii="Times New Roman" w:hAnsi="Times New Roman" w:eastAsia="方正楷体_GBK" w:cs="Times New Roman"/>
          <w:b w:val="0"/>
          <w:bCs/>
          <w:color w:val="auto"/>
          <w:sz w:val="32"/>
          <w:szCs w:val="32"/>
          <w:shd w:val="clear" w:color="auto" w:fill="FFFFFF"/>
        </w:rPr>
      </w:pPr>
      <w:r>
        <w:rPr>
          <w:rStyle w:val="10"/>
          <w:rFonts w:hint="default" w:ascii="Times New Roman" w:hAnsi="Times New Roman" w:eastAsia="方正楷体_GBK" w:cs="Times New Roman"/>
          <w:b w:val="0"/>
          <w:bCs/>
          <w:color w:val="auto"/>
          <w:sz w:val="32"/>
          <w:szCs w:val="32"/>
          <w:shd w:val="clear" w:color="auto" w:fill="FFFFFF"/>
        </w:rPr>
        <w:t>（三）“三公”经费实物量情况</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2023年度本单位因公出国（境）共计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个团组，</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人；公务用车购置</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辆，公务车保有量为</w:t>
      </w: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shd w:val="clear" w:color="auto" w:fill="FFFFFF"/>
        </w:rPr>
        <w:t>辆；国内公务接待</w:t>
      </w:r>
      <w:r>
        <w:rPr>
          <w:rFonts w:hint="default" w:ascii="Times New Roman" w:hAnsi="Times New Roman" w:eastAsia="方正仿宋_GBK" w:cs="Times New Roman"/>
          <w:color w:val="auto"/>
          <w:sz w:val="32"/>
          <w:szCs w:val="32"/>
        </w:rPr>
        <w:t>6</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44</w:t>
      </w:r>
      <w:r>
        <w:rPr>
          <w:rFonts w:hint="default" w:ascii="Times New Roman" w:hAnsi="Times New Roman" w:eastAsia="方正仿宋_GBK" w:cs="Times New Roman"/>
          <w:color w:val="auto"/>
          <w:sz w:val="32"/>
          <w:szCs w:val="32"/>
          <w:shd w:val="clear" w:color="auto" w:fill="FFFFFF"/>
        </w:rPr>
        <w:t>人，其中：国内外事接待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人；国（境）外公务接待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人。2023年本单位人均接待费</w:t>
      </w:r>
      <w:r>
        <w:rPr>
          <w:rFonts w:hint="default" w:ascii="Times New Roman" w:hAnsi="Times New Roman" w:eastAsia="方正仿宋_GBK" w:cs="Times New Roman"/>
          <w:color w:val="auto"/>
          <w:sz w:val="32"/>
          <w:szCs w:val="32"/>
        </w:rPr>
        <w:t>92.02</w:t>
      </w:r>
      <w:r>
        <w:rPr>
          <w:rFonts w:hint="default" w:ascii="Times New Roman" w:hAnsi="Times New Roman" w:eastAsia="方正仿宋_GBK" w:cs="Times New Roman"/>
          <w:color w:val="auto"/>
          <w:sz w:val="32"/>
          <w:szCs w:val="32"/>
          <w:shd w:val="clear" w:color="auto" w:fill="FFFFFF"/>
        </w:rPr>
        <w:t>元，车均购置费</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万元，车均维护费</w:t>
      </w:r>
      <w:r>
        <w:rPr>
          <w:rFonts w:hint="default" w:ascii="Times New Roman" w:hAnsi="Times New Roman" w:eastAsia="方正仿宋_GBK" w:cs="Times New Roman"/>
          <w:color w:val="auto"/>
          <w:sz w:val="32"/>
          <w:szCs w:val="32"/>
        </w:rPr>
        <w:t>1.54</w:t>
      </w:r>
      <w:r>
        <w:rPr>
          <w:rFonts w:hint="default" w:ascii="Times New Roman" w:hAnsi="Times New Roman" w:eastAsia="方正仿宋_GBK" w:cs="Times New Roman"/>
          <w:color w:val="auto"/>
          <w:sz w:val="32"/>
          <w:szCs w:val="32"/>
          <w:shd w:val="clear" w:color="auto" w:fill="FFFFFF"/>
        </w:rPr>
        <w:t>万元。</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outlineLvl w:val="9"/>
        <w:rPr>
          <w:rStyle w:val="10"/>
          <w:rFonts w:hint="default" w:ascii="Times New Roman" w:hAnsi="Times New Roman" w:eastAsia="方正黑体_GBK" w:cs="Times New Roman"/>
          <w:b w:val="0"/>
          <w:bCs/>
          <w:color w:val="auto"/>
          <w:sz w:val="32"/>
          <w:szCs w:val="32"/>
          <w:shd w:val="clear" w:color="auto" w:fill="FFFFFF"/>
        </w:rPr>
      </w:pPr>
      <w:r>
        <w:rPr>
          <w:rStyle w:val="10"/>
          <w:rFonts w:hint="default" w:ascii="Times New Roman" w:hAnsi="Times New Roman" w:eastAsia="方正黑体_GBK" w:cs="Times New Roman"/>
          <w:b w:val="0"/>
          <w:bCs/>
          <w:color w:val="auto"/>
          <w:sz w:val="32"/>
          <w:szCs w:val="32"/>
          <w:shd w:val="clear" w:color="auto" w:fill="FFFFFF"/>
        </w:rPr>
        <w:t>四、其他需要说明的事项</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outlineLvl w:val="9"/>
        <w:rPr>
          <w:rStyle w:val="10"/>
          <w:rFonts w:hint="default" w:ascii="Times New Roman" w:hAnsi="Times New Roman" w:eastAsia="方正楷体_GBK" w:cs="Times New Roman"/>
          <w:b w:val="0"/>
          <w:bCs/>
          <w:color w:val="auto"/>
          <w:sz w:val="32"/>
          <w:szCs w:val="32"/>
          <w:shd w:val="clear" w:color="auto" w:fill="FFFFFF"/>
        </w:rPr>
      </w:pPr>
      <w:r>
        <w:rPr>
          <w:rStyle w:val="10"/>
          <w:rFonts w:hint="default" w:ascii="Times New Roman" w:hAnsi="Times New Roman" w:eastAsia="方正楷体_GBK" w:cs="Times New Roman"/>
          <w:b w:val="0"/>
          <w:bCs/>
          <w:color w:val="auto"/>
          <w:sz w:val="32"/>
          <w:szCs w:val="32"/>
          <w:shd w:val="clear" w:color="auto" w:fill="FFFFFF"/>
        </w:rPr>
        <w:t>（一）财政拨款会议费和培训费情况说明</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本年度会议费支出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万元，较上年决算数减少0.16万元，下降100.00%，主要原因是</w:t>
      </w:r>
      <w:r>
        <w:rPr>
          <w:rFonts w:hint="default" w:ascii="Times New Roman" w:hAnsi="Times New Roman" w:eastAsia="方正仿宋_GBK" w:cs="Times New Roman"/>
          <w:color w:val="auto"/>
          <w:sz w:val="32"/>
          <w:szCs w:val="32"/>
          <w:shd w:val="clear" w:color="auto" w:fill="FFFFFF"/>
          <w:lang w:eastAsia="zh-CN"/>
        </w:rPr>
        <w:t>本年度会议多为线上会议，未产生费用</w:t>
      </w:r>
      <w:r>
        <w:rPr>
          <w:rFonts w:hint="default" w:ascii="Times New Roman" w:hAnsi="Times New Roman" w:eastAsia="方正仿宋_GBK" w:cs="Times New Roman"/>
          <w:color w:val="auto"/>
          <w:sz w:val="32"/>
          <w:szCs w:val="32"/>
          <w:shd w:val="clear" w:color="auto" w:fill="FFFFFF"/>
        </w:rPr>
        <w:t>。本年度培训费支出</w:t>
      </w:r>
      <w:r>
        <w:rPr>
          <w:rFonts w:hint="default" w:ascii="Times New Roman" w:hAnsi="Times New Roman" w:eastAsia="方正仿宋_GBK" w:cs="Times New Roman"/>
          <w:color w:val="auto"/>
          <w:sz w:val="32"/>
          <w:szCs w:val="32"/>
        </w:rPr>
        <w:t>38.87</w:t>
      </w:r>
      <w:r>
        <w:rPr>
          <w:rFonts w:hint="default" w:ascii="Times New Roman" w:hAnsi="Times New Roman" w:eastAsia="方正仿宋_GBK" w:cs="Times New Roman"/>
          <w:color w:val="auto"/>
          <w:sz w:val="32"/>
          <w:szCs w:val="32"/>
          <w:shd w:val="clear" w:color="auto" w:fill="FFFFFF"/>
        </w:rPr>
        <w:t>万元，较上年决算数增加36.73万元，增长1716.36%，主要原因是</w:t>
      </w:r>
      <w:r>
        <w:rPr>
          <w:rFonts w:hint="default" w:ascii="Times New Roman" w:hAnsi="Times New Roman" w:eastAsia="仿宋_GB2312" w:cs="Times New Roman"/>
          <w:color w:val="auto"/>
          <w:sz w:val="32"/>
          <w:szCs w:val="32"/>
          <w:lang w:val="en-US" w:eastAsia="zh-CN"/>
        </w:rPr>
        <w:t>为提高干部职工业务能力，本年度举办两期医疗保障系统干部能力提升培训</w:t>
      </w:r>
      <w:r>
        <w:rPr>
          <w:rFonts w:hint="default" w:ascii="Times New Roman" w:hAnsi="Times New Roman" w:eastAsia="方正仿宋_GBK" w:cs="Times New Roman"/>
          <w:color w:val="auto"/>
          <w:sz w:val="32"/>
          <w:szCs w:val="32"/>
          <w:shd w:val="clear" w:color="auto" w:fill="FFFFFF"/>
        </w:rPr>
        <w:t>。</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outlineLvl w:val="9"/>
        <w:rPr>
          <w:rStyle w:val="10"/>
          <w:rFonts w:hint="default" w:ascii="Times New Roman" w:hAnsi="Times New Roman" w:eastAsia="方正楷体_GBK" w:cs="Times New Roman"/>
          <w:b w:val="0"/>
          <w:bCs/>
          <w:color w:val="auto"/>
          <w:sz w:val="32"/>
          <w:szCs w:val="32"/>
          <w:shd w:val="clear" w:color="auto" w:fill="FFFFFF"/>
        </w:rPr>
      </w:pPr>
      <w:r>
        <w:rPr>
          <w:rStyle w:val="10"/>
          <w:rFonts w:hint="default" w:ascii="Times New Roman" w:hAnsi="Times New Roman" w:eastAsia="方正楷体_GBK" w:cs="Times New Roman"/>
          <w:b w:val="0"/>
          <w:bCs/>
          <w:color w:val="auto"/>
          <w:sz w:val="32"/>
          <w:szCs w:val="32"/>
          <w:shd w:val="clear" w:color="auto" w:fill="FFFFFF"/>
        </w:rPr>
        <w:t>（二）机关运行经费情况说明</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2023年度本单位机关运行经费支出</w:t>
      </w:r>
      <w:r>
        <w:rPr>
          <w:rFonts w:hint="default" w:ascii="Times New Roman" w:hAnsi="Times New Roman" w:eastAsia="方正仿宋_GBK" w:cs="Times New Roman"/>
          <w:color w:val="auto"/>
          <w:sz w:val="32"/>
          <w:szCs w:val="32"/>
        </w:rPr>
        <w:t>16.43</w:t>
      </w:r>
      <w:r>
        <w:rPr>
          <w:rFonts w:hint="default" w:ascii="Times New Roman" w:hAnsi="Times New Roman" w:eastAsia="方正仿宋_GBK" w:cs="Times New Roman"/>
          <w:color w:val="auto"/>
          <w:sz w:val="32"/>
          <w:szCs w:val="32"/>
          <w:shd w:val="clear" w:color="auto" w:fill="FFFFFF"/>
        </w:rPr>
        <w:t>万元，机关运行经费主要用于开支</w:t>
      </w:r>
      <w:r>
        <w:rPr>
          <w:rFonts w:hint="default" w:ascii="Times New Roman" w:hAnsi="Times New Roman" w:eastAsia="方正仿宋_GBK" w:cs="Times New Roman"/>
          <w:color w:val="auto"/>
          <w:sz w:val="32"/>
          <w:szCs w:val="32"/>
          <w:shd w:val="clear" w:color="auto" w:fill="FFFFFF"/>
          <w:lang w:eastAsia="zh-CN"/>
        </w:rPr>
        <w:t>办公费、印刷费、水费、电费、邮电费、物业管理费、差旅费、维修费、公务接待费、公务用车运行维护费等</w:t>
      </w:r>
      <w:r>
        <w:rPr>
          <w:rFonts w:hint="default" w:ascii="Times New Roman" w:hAnsi="Times New Roman" w:eastAsia="方正仿宋_GBK" w:cs="Times New Roman"/>
          <w:color w:val="auto"/>
          <w:sz w:val="32"/>
          <w:szCs w:val="32"/>
          <w:shd w:val="clear" w:color="auto" w:fill="FFFFFF"/>
        </w:rPr>
        <w:t>。机关运行经费较上年支出数减少21.72万元，下降56.93%，主要原因是</w:t>
      </w:r>
      <w:r>
        <w:rPr>
          <w:rFonts w:hint="default" w:ascii="Times New Roman" w:hAnsi="Times New Roman" w:eastAsia="方正仿宋_GBK" w:cs="Times New Roman"/>
          <w:color w:val="auto"/>
          <w:sz w:val="32"/>
          <w:szCs w:val="32"/>
          <w:shd w:val="clear" w:color="auto" w:fill="FFFFFF"/>
          <w:lang w:eastAsia="zh-CN"/>
        </w:rPr>
        <w:t>下属单位秀山土家族苗族自治县医疗保障事务中心在本年度独立编制决算</w:t>
      </w:r>
      <w:r>
        <w:rPr>
          <w:rFonts w:hint="default" w:ascii="Times New Roman" w:hAnsi="Times New Roman" w:eastAsia="方正仿宋_GBK" w:cs="Times New Roman"/>
          <w:color w:val="auto"/>
          <w:sz w:val="32"/>
          <w:szCs w:val="32"/>
          <w:shd w:val="clear" w:color="auto" w:fill="FFFFFF"/>
        </w:rPr>
        <w:t>。</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outlineLvl w:val="9"/>
        <w:rPr>
          <w:rStyle w:val="10"/>
          <w:rFonts w:hint="default" w:ascii="Times New Roman" w:hAnsi="Times New Roman" w:eastAsia="方正楷体_GBK" w:cs="Times New Roman"/>
          <w:b w:val="0"/>
          <w:bCs/>
          <w:color w:val="auto"/>
          <w:sz w:val="32"/>
          <w:szCs w:val="32"/>
          <w:shd w:val="clear" w:color="auto" w:fill="FFFFFF"/>
        </w:rPr>
      </w:pPr>
      <w:r>
        <w:rPr>
          <w:rStyle w:val="10"/>
          <w:rFonts w:hint="default" w:ascii="Times New Roman" w:hAnsi="Times New Roman" w:eastAsia="方正楷体_GBK" w:cs="Times New Roman"/>
          <w:b w:val="0"/>
          <w:bCs/>
          <w:color w:val="auto"/>
          <w:sz w:val="32"/>
          <w:szCs w:val="32"/>
          <w:shd w:val="clear" w:color="auto" w:fill="FFFFFF"/>
        </w:rPr>
        <w:t>（三）国有资产占用情况说明</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截至2023年12月31日，本单位共有车辆</w:t>
      </w: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shd w:val="clear" w:color="auto" w:fill="FFFFFF"/>
        </w:rPr>
        <w:t>辆，其中，副部（省）级及以上领导用车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辆、主要负责人用车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辆、机要通信用车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辆、应急保障用车</w:t>
      </w: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shd w:val="clear" w:color="auto" w:fill="FFFFFF"/>
        </w:rPr>
        <w:t>辆、执法执勤用车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辆，特种专业技术用车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辆，离退休干部用车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辆。单价100万元（含）以上专用设备</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台（套）。</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outlineLvl w:val="9"/>
        <w:rPr>
          <w:rStyle w:val="10"/>
          <w:rFonts w:hint="default" w:ascii="Times New Roman" w:hAnsi="Times New Roman" w:eastAsia="方正楷体_GBK" w:cs="Times New Roman"/>
          <w:b w:val="0"/>
          <w:bCs/>
          <w:color w:val="auto"/>
          <w:sz w:val="32"/>
          <w:szCs w:val="32"/>
          <w:shd w:val="clear" w:color="auto" w:fill="FFFFFF"/>
        </w:rPr>
      </w:pPr>
      <w:r>
        <w:rPr>
          <w:rStyle w:val="10"/>
          <w:rFonts w:hint="default" w:ascii="Times New Roman" w:hAnsi="Times New Roman" w:eastAsia="方正楷体_GBK" w:cs="Times New Roman"/>
          <w:b w:val="0"/>
          <w:bCs/>
          <w:color w:val="auto"/>
          <w:sz w:val="32"/>
          <w:szCs w:val="32"/>
          <w:shd w:val="clear" w:color="auto" w:fill="FFFFFF"/>
        </w:rPr>
        <w:t>（四）政府采购支出情况说明</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2023年度本单位政府采购支出总额</w:t>
      </w:r>
      <w:r>
        <w:rPr>
          <w:rFonts w:hint="default" w:ascii="Times New Roman" w:hAnsi="Times New Roman" w:eastAsia="方正仿宋_GBK" w:cs="Times New Roman"/>
          <w:color w:val="auto"/>
          <w:sz w:val="32"/>
          <w:szCs w:val="32"/>
        </w:rPr>
        <w:t>2.39</w:t>
      </w:r>
      <w:r>
        <w:rPr>
          <w:rFonts w:hint="default" w:ascii="Times New Roman" w:hAnsi="Times New Roman" w:eastAsia="方正仿宋_GBK" w:cs="Times New Roman"/>
          <w:color w:val="auto"/>
          <w:sz w:val="32"/>
          <w:szCs w:val="32"/>
          <w:shd w:val="clear" w:color="auto" w:fill="FFFFFF"/>
        </w:rPr>
        <w:t>万元，其中：政府采购货物支出</w:t>
      </w:r>
      <w:r>
        <w:rPr>
          <w:rFonts w:hint="default" w:ascii="Times New Roman" w:hAnsi="Times New Roman" w:eastAsia="方正仿宋_GBK" w:cs="Times New Roman"/>
          <w:color w:val="auto"/>
          <w:sz w:val="32"/>
          <w:szCs w:val="32"/>
        </w:rPr>
        <w:t>2.39</w:t>
      </w:r>
      <w:r>
        <w:rPr>
          <w:rFonts w:hint="default" w:ascii="Times New Roman" w:hAnsi="Times New Roman" w:eastAsia="方正仿宋_GBK" w:cs="Times New Roman"/>
          <w:color w:val="auto"/>
          <w:sz w:val="32"/>
          <w:szCs w:val="32"/>
          <w:shd w:val="clear" w:color="auto" w:fill="FFFFFF"/>
        </w:rPr>
        <w:t>万元、政府采购工程支出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万元、政府采购服务支出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万元。授予中小企业合同金额</w:t>
      </w:r>
      <w:r>
        <w:rPr>
          <w:rFonts w:hint="default" w:ascii="Times New Roman" w:hAnsi="Times New Roman" w:eastAsia="方正仿宋_GBK" w:cs="Times New Roman"/>
          <w:color w:val="auto"/>
          <w:sz w:val="32"/>
          <w:szCs w:val="32"/>
        </w:rPr>
        <w:t>2.39万</w:t>
      </w:r>
      <w:r>
        <w:rPr>
          <w:rFonts w:hint="default" w:ascii="Times New Roman" w:hAnsi="Times New Roman" w:eastAsia="方正仿宋_GBK" w:cs="Times New Roman"/>
          <w:color w:val="auto"/>
          <w:sz w:val="32"/>
          <w:szCs w:val="32"/>
          <w:shd w:val="clear" w:color="auto" w:fill="FFFFFF"/>
        </w:rPr>
        <w:t>元，占政府采购支出总额的</w:t>
      </w:r>
      <w:r>
        <w:rPr>
          <w:rFonts w:hint="default" w:ascii="Times New Roman" w:hAnsi="Times New Roman" w:eastAsia="方正仿宋_GBK" w:cs="Times New Roman"/>
          <w:color w:val="auto"/>
          <w:sz w:val="32"/>
          <w:szCs w:val="32"/>
        </w:rPr>
        <w:t>100.00</w:t>
      </w:r>
      <w:r>
        <w:rPr>
          <w:rFonts w:hint="default" w:ascii="Times New Roman" w:hAnsi="Times New Roman" w:eastAsia="方正仿宋_GBK" w:cs="Times New Roman"/>
          <w:color w:val="auto"/>
          <w:sz w:val="32"/>
          <w:szCs w:val="32"/>
          <w:shd w:val="clear" w:color="auto" w:fill="FFFFFF"/>
        </w:rPr>
        <w:t>%，其中：授予小微企业合同金额</w:t>
      </w:r>
      <w:r>
        <w:rPr>
          <w:rFonts w:hint="default" w:ascii="Times New Roman" w:hAnsi="Times New Roman" w:eastAsia="方正仿宋_GBK" w:cs="Times New Roman"/>
          <w:color w:val="auto"/>
          <w:sz w:val="32"/>
          <w:szCs w:val="32"/>
        </w:rPr>
        <w:t>2.39</w:t>
      </w:r>
      <w:r>
        <w:rPr>
          <w:rFonts w:hint="default" w:ascii="Times New Roman" w:hAnsi="Times New Roman" w:eastAsia="方正仿宋_GBK" w:cs="Times New Roman"/>
          <w:color w:val="auto"/>
          <w:sz w:val="32"/>
          <w:szCs w:val="32"/>
          <w:shd w:val="clear" w:color="auto" w:fill="FFFFFF"/>
        </w:rPr>
        <w:t>万元，占政府采购支出总额的</w:t>
      </w:r>
      <w:r>
        <w:rPr>
          <w:rFonts w:hint="default" w:ascii="Times New Roman" w:hAnsi="Times New Roman" w:eastAsia="方正仿宋_GBK" w:cs="Times New Roman"/>
          <w:color w:val="auto"/>
          <w:sz w:val="32"/>
          <w:szCs w:val="32"/>
        </w:rPr>
        <w:t>100.00</w:t>
      </w:r>
      <w:r>
        <w:rPr>
          <w:rFonts w:hint="default" w:ascii="Times New Roman" w:hAnsi="Times New Roman" w:eastAsia="方正仿宋_GBK" w:cs="Times New Roman"/>
          <w:color w:val="auto"/>
          <w:sz w:val="32"/>
          <w:szCs w:val="32"/>
          <w:shd w:val="clear" w:color="auto" w:fill="FFFFFF"/>
        </w:rPr>
        <w:t>%。主要用于采购</w:t>
      </w:r>
      <w:r>
        <w:rPr>
          <w:rFonts w:hint="default" w:ascii="Times New Roman" w:hAnsi="Times New Roman" w:eastAsia="方正仿宋_GBK" w:cs="Times New Roman"/>
          <w:color w:val="auto"/>
          <w:sz w:val="32"/>
          <w:szCs w:val="32"/>
          <w:shd w:val="clear" w:color="auto" w:fill="FFFFFF"/>
          <w:lang w:eastAsia="zh-CN"/>
        </w:rPr>
        <w:t>办公电脑台式</w:t>
      </w:r>
      <w:r>
        <w:rPr>
          <w:rFonts w:hint="default" w:ascii="Times New Roman" w:hAnsi="Times New Roman" w:eastAsia="方正仿宋_GBK" w:cs="Times New Roman"/>
          <w:color w:val="auto"/>
          <w:sz w:val="32"/>
          <w:szCs w:val="32"/>
          <w:shd w:val="clear" w:color="auto" w:fill="FFFFFF"/>
          <w:lang w:val="en-US" w:eastAsia="zh-CN"/>
        </w:rPr>
        <w:t>4台，笔记本电脑1台</w:t>
      </w:r>
      <w:r>
        <w:rPr>
          <w:rFonts w:hint="default" w:ascii="Times New Roman" w:hAnsi="Times New Roman" w:eastAsia="方正仿宋_GBK" w:cs="Times New Roman"/>
          <w:color w:val="auto"/>
          <w:sz w:val="32"/>
          <w:szCs w:val="32"/>
          <w:shd w:val="clear" w:color="auto" w:fill="FFFFFF"/>
        </w:rPr>
        <w:t>。</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outlineLvl w:val="9"/>
        <w:rPr>
          <w:rStyle w:val="10"/>
          <w:rFonts w:hint="default" w:ascii="Times New Roman" w:hAnsi="Times New Roman" w:eastAsia="方正黑体_GBK" w:cs="Times New Roman"/>
          <w:b w:val="0"/>
          <w:bCs/>
          <w:color w:val="auto"/>
          <w:sz w:val="32"/>
          <w:szCs w:val="32"/>
          <w:shd w:val="clear" w:color="auto" w:fill="FFFFFF"/>
        </w:rPr>
      </w:pPr>
      <w:r>
        <w:rPr>
          <w:rStyle w:val="10"/>
          <w:rFonts w:hint="default" w:ascii="Times New Roman" w:hAnsi="Times New Roman" w:eastAsia="方正黑体_GBK" w:cs="Times New Roman"/>
          <w:b w:val="0"/>
          <w:bCs/>
          <w:color w:val="auto"/>
          <w:sz w:val="32"/>
          <w:szCs w:val="32"/>
          <w:shd w:val="clear" w:color="auto" w:fill="FFFFFF"/>
          <w:lang w:eastAsia="zh-CN"/>
        </w:rPr>
        <w:t>五、</w:t>
      </w:r>
      <w:r>
        <w:rPr>
          <w:rStyle w:val="10"/>
          <w:rFonts w:hint="default" w:ascii="Times New Roman" w:hAnsi="Times New Roman" w:eastAsia="方正黑体_GBK" w:cs="Times New Roman"/>
          <w:b w:val="0"/>
          <w:bCs/>
          <w:color w:val="auto"/>
          <w:sz w:val="32"/>
          <w:szCs w:val="32"/>
          <w:shd w:val="clear" w:color="auto" w:fill="FFFFFF"/>
        </w:rPr>
        <w:t>预算绩效管理情况说明</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outlineLvl w:val="9"/>
        <w:rPr>
          <w:rStyle w:val="10"/>
          <w:rFonts w:hint="default" w:ascii="Times New Roman" w:hAnsi="Times New Roman" w:eastAsia="方正楷体_GBK" w:cs="Times New Roman"/>
          <w:b w:val="0"/>
          <w:bCs/>
          <w:color w:val="auto"/>
          <w:sz w:val="32"/>
          <w:szCs w:val="32"/>
          <w:shd w:val="clear" w:color="auto" w:fill="FFFFFF"/>
        </w:rPr>
      </w:pPr>
      <w:r>
        <w:rPr>
          <w:rStyle w:val="10"/>
          <w:rFonts w:hint="default" w:ascii="Times New Roman" w:hAnsi="Times New Roman" w:eastAsia="方正楷体_GBK" w:cs="Times New Roman"/>
          <w:b w:val="0"/>
          <w:bCs/>
          <w:color w:val="auto"/>
          <w:sz w:val="32"/>
          <w:szCs w:val="32"/>
          <w:shd w:val="clear" w:color="auto" w:fill="FFFFFF"/>
        </w:rPr>
        <w:t>（一）单位自评情况</w:t>
      </w:r>
    </w:p>
    <w:p>
      <w:pPr>
        <w:pStyle w:val="14"/>
        <w:keepNext w:val="0"/>
        <w:keepLines w:val="0"/>
        <w:pageBreakBefore w:val="0"/>
        <w:widowControl w:val="0"/>
        <w:kinsoku/>
        <w:wordWrap/>
        <w:overflowPunct/>
        <w:topLinePunct w:val="0"/>
        <w:autoSpaceDE w:val="0"/>
        <w:autoSpaceDN/>
        <w:bidi w:val="0"/>
        <w:adjustRightInd/>
        <w:spacing w:before="0" w:beforeAutospacing="0" w:after="0" w:afterAutospacing="0" w:line="560" w:lineRule="exact"/>
        <w:ind w:left="0" w:leftChars="0" w:firstLine="640" w:firstLineChars="200"/>
        <w:jc w:val="both"/>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shd w:val="clear" w:color="auto" w:fill="FFFFFF"/>
        </w:rPr>
        <w:t>根据预算绩效管理要求，我单位对</w:t>
      </w:r>
      <w:r>
        <w:rPr>
          <w:rFonts w:hint="default" w:ascii="Times New Roman" w:hAnsi="Times New Roman" w:eastAsia="方正仿宋_GBK" w:cs="Times New Roman"/>
          <w:color w:val="auto"/>
          <w:sz w:val="32"/>
          <w:szCs w:val="32"/>
          <w:shd w:val="clear" w:color="auto" w:fill="FFFFFF"/>
          <w:lang w:val="en-US" w:eastAsia="zh-CN"/>
        </w:rPr>
        <w:t>17</w:t>
      </w:r>
      <w:r>
        <w:rPr>
          <w:rFonts w:hint="default" w:ascii="Times New Roman" w:hAnsi="Times New Roman" w:eastAsia="方正仿宋_GBK" w:cs="Times New Roman"/>
          <w:color w:val="auto"/>
          <w:sz w:val="32"/>
          <w:szCs w:val="32"/>
          <w:shd w:val="clear" w:color="auto" w:fill="FFFFFF"/>
        </w:rPr>
        <w:t>个二级项目开展了绩效自评，涉及财政拨款项目支出资金</w:t>
      </w:r>
      <w:r>
        <w:rPr>
          <w:rFonts w:hint="default" w:ascii="Times New Roman" w:hAnsi="Times New Roman" w:eastAsia="方正仿宋_GBK" w:cs="Times New Roman"/>
          <w:color w:val="auto"/>
          <w:sz w:val="32"/>
          <w:szCs w:val="32"/>
          <w:shd w:val="clear" w:color="auto" w:fill="FFFFFF"/>
          <w:lang w:val="en-US" w:eastAsia="zh-CN"/>
        </w:rPr>
        <w:t>3747.37</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kern w:val="0"/>
          <w:sz w:val="32"/>
          <w:szCs w:val="32"/>
          <w:lang w:val="en-US" w:eastAsia="zh-CN" w:bidi="ar-SA"/>
        </w:rPr>
        <w:t>以委托第三方出具报告的方式开展绩效评价</w:t>
      </w:r>
      <w:r>
        <w:rPr>
          <w:rFonts w:hint="default" w:ascii="Times New Roman" w:hAnsi="Times New Roman" w:eastAsia="方正仿宋_GBK" w:cs="Times New Roman"/>
          <w:color w:val="auto"/>
          <w:kern w:val="0"/>
          <w:sz w:val="32"/>
          <w:szCs w:val="32"/>
          <w:lang w:val="en-US" w:eastAsia="zh-CN" w:bidi="ar-SA"/>
        </w:rPr>
        <w:t>0</w:t>
      </w:r>
      <w:r>
        <w:rPr>
          <w:rFonts w:hint="default" w:ascii="Times New Roman" w:hAnsi="Times New Roman" w:eastAsia="方正仿宋_GBK" w:cs="Times New Roman"/>
          <w:color w:val="auto"/>
          <w:kern w:val="0"/>
          <w:sz w:val="32"/>
          <w:szCs w:val="32"/>
          <w:lang w:val="en-US" w:eastAsia="zh-CN" w:bidi="ar-SA"/>
        </w:rPr>
        <w:t>项，涉及资金</w:t>
      </w:r>
      <w:r>
        <w:rPr>
          <w:rFonts w:hint="default" w:ascii="Times New Roman" w:hAnsi="Times New Roman" w:eastAsia="方正仿宋_GBK" w:cs="Times New Roman"/>
          <w:color w:val="auto"/>
          <w:kern w:val="0"/>
          <w:sz w:val="32"/>
          <w:szCs w:val="32"/>
          <w:lang w:val="en-US" w:eastAsia="zh-CN" w:bidi="ar-SA"/>
        </w:rPr>
        <w:t>0</w:t>
      </w:r>
      <w:r>
        <w:rPr>
          <w:rFonts w:hint="default" w:ascii="Times New Roman" w:hAnsi="Times New Roman" w:eastAsia="方正仿宋_GBK" w:cs="Times New Roman"/>
          <w:color w:val="auto"/>
          <w:kern w:val="0"/>
          <w:sz w:val="32"/>
          <w:szCs w:val="32"/>
          <w:lang w:val="en-US" w:eastAsia="zh-CN" w:bidi="ar-SA"/>
        </w:rPr>
        <w:t>万元。</w:t>
      </w:r>
      <w:r>
        <w:rPr>
          <w:rFonts w:hint="default" w:ascii="Times New Roman" w:hAnsi="Times New Roman" w:eastAsia="方正仿宋_GBK" w:cs="Times New Roman"/>
          <w:color w:val="auto"/>
          <w:kern w:val="0"/>
          <w:sz w:val="32"/>
          <w:szCs w:val="32"/>
          <w:lang w:val="en-US" w:eastAsia="zh-CN" w:bidi="ar-SA"/>
        </w:rPr>
        <w:t>从评价情况看，项目立项规范，绩效目标设定明确，专款专用，切实推进项目实施进度，有力保障了各项工作开展，达到了预期效果。</w:t>
      </w:r>
    </w:p>
    <w:tbl>
      <w:tblPr>
        <w:tblStyle w:val="11"/>
        <w:tblW w:w="8284" w:type="dxa"/>
        <w:jc w:val="center"/>
        <w:tblInd w:w="225" w:type="dxa"/>
        <w:shd w:val="clear" w:color="auto" w:fill="auto"/>
        <w:tblLayout w:type="fixed"/>
        <w:tblCellMar>
          <w:top w:w="0" w:type="dxa"/>
          <w:left w:w="0" w:type="dxa"/>
          <w:bottom w:w="0" w:type="dxa"/>
          <w:right w:w="0" w:type="dxa"/>
        </w:tblCellMar>
      </w:tblPr>
      <w:tblGrid>
        <w:gridCol w:w="440"/>
        <w:gridCol w:w="992"/>
        <w:gridCol w:w="2591"/>
        <w:gridCol w:w="470"/>
        <w:gridCol w:w="764"/>
        <w:gridCol w:w="504"/>
        <w:gridCol w:w="478"/>
        <w:gridCol w:w="763"/>
        <w:gridCol w:w="491"/>
        <w:gridCol w:w="300"/>
        <w:gridCol w:w="491"/>
      </w:tblGrid>
      <w:tr>
        <w:tblPrEx>
          <w:shd w:val="clear" w:color="auto" w:fill="auto"/>
          <w:tblLayout w:type="fixed"/>
          <w:tblCellMar>
            <w:top w:w="0" w:type="dxa"/>
            <w:left w:w="0" w:type="dxa"/>
            <w:bottom w:w="0" w:type="dxa"/>
            <w:right w:w="0" w:type="dxa"/>
          </w:tblCellMar>
        </w:tblPrEx>
        <w:trPr>
          <w:trHeight w:val="480" w:hRule="atLeast"/>
          <w:jc w:val="center"/>
        </w:trPr>
        <w:tc>
          <w:tcPr>
            <w:tcW w:w="8284" w:type="dxa"/>
            <w:gridSpan w:val="11"/>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小标宋_GBK" w:cs="Times New Roman"/>
                <w:i w:val="0"/>
                <w:color w:val="000000"/>
                <w:sz w:val="36"/>
                <w:szCs w:val="36"/>
                <w:u w:val="none"/>
              </w:rPr>
            </w:pPr>
            <w:r>
              <w:rPr>
                <w:rFonts w:hint="default" w:ascii="Times New Roman" w:hAnsi="Times New Roman" w:eastAsia="方正小标宋_GBK" w:cs="Times New Roman"/>
                <w:i w:val="0"/>
                <w:color w:val="000000"/>
                <w:kern w:val="0"/>
                <w:sz w:val="36"/>
                <w:szCs w:val="36"/>
                <w:u w:val="none"/>
                <w:lang w:val="en-US" w:eastAsia="zh-CN" w:bidi="ar"/>
              </w:rPr>
              <w:t>秀山土家族苗族自治县医疗保障局（本级）</w:t>
            </w:r>
          </w:p>
        </w:tc>
      </w:tr>
      <w:tr>
        <w:tblPrEx>
          <w:tblLayout w:type="fixed"/>
          <w:tblCellMar>
            <w:top w:w="0" w:type="dxa"/>
            <w:left w:w="0" w:type="dxa"/>
            <w:bottom w:w="0" w:type="dxa"/>
            <w:right w:w="0" w:type="dxa"/>
          </w:tblCellMar>
        </w:tblPrEx>
        <w:trPr>
          <w:trHeight w:val="510" w:hRule="atLeast"/>
          <w:jc w:val="center"/>
        </w:trPr>
        <w:tc>
          <w:tcPr>
            <w:tcW w:w="8284" w:type="dxa"/>
            <w:gridSpan w:val="11"/>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小标宋_GBK" w:cs="Times New Roman"/>
                <w:i w:val="0"/>
                <w:color w:val="000000"/>
                <w:sz w:val="36"/>
                <w:szCs w:val="36"/>
                <w:u w:val="none"/>
              </w:rPr>
            </w:pPr>
            <w:r>
              <w:rPr>
                <w:rFonts w:hint="default" w:ascii="Times New Roman" w:hAnsi="Times New Roman" w:eastAsia="方正小标宋_GBK" w:cs="Times New Roman"/>
                <w:i w:val="0"/>
                <w:color w:val="000000"/>
                <w:kern w:val="0"/>
                <w:sz w:val="36"/>
                <w:szCs w:val="36"/>
                <w:u w:val="none"/>
                <w:lang w:val="en-US" w:eastAsia="zh-CN" w:bidi="ar"/>
              </w:rPr>
              <w:t>2023年度项目支出绩效自评情况表（二级项目）</w:t>
            </w:r>
          </w:p>
        </w:tc>
      </w:tr>
      <w:tr>
        <w:tblPrEx>
          <w:tblLayout w:type="fixed"/>
          <w:tblCellMar>
            <w:top w:w="0" w:type="dxa"/>
            <w:left w:w="0" w:type="dxa"/>
            <w:bottom w:w="0" w:type="dxa"/>
            <w:right w:w="0" w:type="dxa"/>
          </w:tblCellMar>
        </w:tblPrEx>
        <w:trPr>
          <w:trHeight w:val="585" w:hRule="atLeast"/>
          <w:jc w:val="center"/>
        </w:trPr>
        <w:tc>
          <w:tcPr>
            <w:tcW w:w="4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序号</w:t>
            </w:r>
          </w:p>
        </w:tc>
        <w:tc>
          <w:tcPr>
            <w:tcW w:w="99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项目名称</w:t>
            </w:r>
          </w:p>
        </w:tc>
        <w:tc>
          <w:tcPr>
            <w:tcW w:w="25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指标名称</w:t>
            </w:r>
          </w:p>
        </w:tc>
        <w:tc>
          <w:tcPr>
            <w:tcW w:w="47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指标性质</w:t>
            </w:r>
          </w:p>
        </w:tc>
        <w:tc>
          <w:tcPr>
            <w:tcW w:w="764"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指标值</w:t>
            </w:r>
          </w:p>
        </w:tc>
        <w:tc>
          <w:tcPr>
            <w:tcW w:w="504"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计量单位</w:t>
            </w:r>
          </w:p>
        </w:tc>
        <w:tc>
          <w:tcPr>
            <w:tcW w:w="47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指标权重</w:t>
            </w:r>
          </w:p>
        </w:tc>
        <w:tc>
          <w:tcPr>
            <w:tcW w:w="76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全年完成值</w:t>
            </w:r>
          </w:p>
        </w:tc>
        <w:tc>
          <w:tcPr>
            <w:tcW w:w="4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指标得分</w:t>
            </w:r>
          </w:p>
        </w:tc>
        <w:tc>
          <w:tcPr>
            <w:tcW w:w="3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说明</w:t>
            </w:r>
          </w:p>
        </w:tc>
        <w:tc>
          <w:tcPr>
            <w:tcW w:w="4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自评得分</w:t>
            </w:r>
          </w:p>
        </w:tc>
      </w:tr>
      <w:tr>
        <w:tblPrEx>
          <w:tblLayout w:type="fixed"/>
          <w:tblCellMar>
            <w:top w:w="0" w:type="dxa"/>
            <w:left w:w="0" w:type="dxa"/>
            <w:bottom w:w="0" w:type="dxa"/>
            <w:right w:w="0" w:type="dxa"/>
          </w:tblCellMar>
        </w:tblPrEx>
        <w:trPr>
          <w:trHeight w:val="300" w:hRule="atLeast"/>
          <w:jc w:val="center"/>
        </w:trPr>
        <w:tc>
          <w:tcPr>
            <w:tcW w:w="440"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9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医疗救助中央补助资金（城乡医疗救助）</w:t>
            </w: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到定点救治医疗机构就诊率</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90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90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方正仿宋_GBK" w:cs="Times New Roman"/>
                <w:i w:val="0"/>
                <w:color w:val="000000"/>
                <w:sz w:val="18"/>
                <w:szCs w:val="18"/>
                <w:u w:val="none"/>
              </w:rPr>
            </w:pPr>
          </w:p>
        </w:tc>
        <w:tc>
          <w:tcPr>
            <w:tcW w:w="49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r>
      <w:tr>
        <w:tblPrEx>
          <w:tblLayout w:type="fixed"/>
          <w:tblCellMar>
            <w:top w:w="0" w:type="dxa"/>
            <w:left w:w="0" w:type="dxa"/>
            <w:bottom w:w="0" w:type="dxa"/>
            <w:right w:w="0" w:type="dxa"/>
          </w:tblCellMar>
        </w:tblPrEx>
        <w:trPr>
          <w:trHeight w:val="600" w:hRule="atLeas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重点救助对象自负费用年度限额内住院救助比例</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70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70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宋体" w:cs="Times New Roman"/>
                <w:i w:val="0"/>
                <w:color w:val="000000"/>
                <w:sz w:val="18"/>
                <w:szCs w:val="18"/>
                <w:u w:val="none"/>
              </w:rPr>
            </w:pPr>
          </w:p>
        </w:tc>
      </w:tr>
      <w:tr>
        <w:tblPrEx>
          <w:tblLayout w:type="fixed"/>
          <w:tblCellMar>
            <w:top w:w="0" w:type="dxa"/>
            <w:left w:w="0" w:type="dxa"/>
            <w:bottom w:w="0" w:type="dxa"/>
            <w:right w:w="0" w:type="dxa"/>
          </w:tblCellMar>
        </w:tblPrEx>
        <w:trPr>
          <w:trHeight w:val="600" w:hRule="atLeas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重特大疾病医疗救助人次占直接救助人次比例</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28</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28</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宋体" w:cs="Times New Roman"/>
                <w:i w:val="0"/>
                <w:color w:val="000000"/>
                <w:sz w:val="18"/>
                <w:szCs w:val="18"/>
                <w:u w:val="none"/>
              </w:rPr>
            </w:pPr>
          </w:p>
        </w:tc>
      </w:tr>
      <w:tr>
        <w:tblPrEx>
          <w:tblLayout w:type="fixed"/>
          <w:tblCellMar>
            <w:top w:w="0" w:type="dxa"/>
            <w:left w:w="0" w:type="dxa"/>
            <w:bottom w:w="0" w:type="dxa"/>
            <w:right w:w="0" w:type="dxa"/>
          </w:tblCellMar>
        </w:tblPrEx>
        <w:trPr>
          <w:trHeight w:val="300" w:hRule="atLeas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政策知晓率</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宋体" w:cs="Times New Roman"/>
                <w:i w:val="0"/>
                <w:color w:val="000000"/>
                <w:sz w:val="18"/>
                <w:szCs w:val="18"/>
                <w:u w:val="none"/>
              </w:rPr>
            </w:pPr>
          </w:p>
        </w:tc>
      </w:tr>
      <w:tr>
        <w:tblPrEx>
          <w:tblLayout w:type="fixed"/>
          <w:tblCellMar>
            <w:top w:w="0" w:type="dxa"/>
            <w:left w:w="0" w:type="dxa"/>
            <w:bottom w:w="0" w:type="dxa"/>
            <w:right w:w="0" w:type="dxa"/>
          </w:tblCellMar>
        </w:tblPrEx>
        <w:trPr>
          <w:trHeight w:val="300" w:hRule="atLeas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资金到位率</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宋体" w:cs="Times New Roman"/>
                <w:i w:val="0"/>
                <w:color w:val="000000"/>
                <w:sz w:val="18"/>
                <w:szCs w:val="18"/>
                <w:u w:val="none"/>
              </w:rPr>
            </w:pPr>
          </w:p>
        </w:tc>
      </w:tr>
      <w:tr>
        <w:tblPrEx>
          <w:tblLayout w:type="fixed"/>
          <w:tblCellMar>
            <w:top w:w="0" w:type="dxa"/>
            <w:left w:w="0" w:type="dxa"/>
            <w:bottom w:w="0" w:type="dxa"/>
            <w:right w:w="0" w:type="dxa"/>
          </w:tblCellMar>
        </w:tblPrEx>
        <w:trPr>
          <w:trHeight w:val="300" w:hRule="atLeas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减轻医疗负担</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1000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万元</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2933</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宋体" w:cs="Times New Roman"/>
                <w:i w:val="0"/>
                <w:color w:val="000000"/>
                <w:sz w:val="18"/>
                <w:szCs w:val="18"/>
                <w:u w:val="none"/>
              </w:rPr>
            </w:pPr>
          </w:p>
        </w:tc>
      </w:tr>
      <w:tr>
        <w:tblPrEx>
          <w:tblLayout w:type="fixed"/>
          <w:tblCellMar>
            <w:top w:w="0" w:type="dxa"/>
            <w:left w:w="0" w:type="dxa"/>
            <w:bottom w:w="0" w:type="dxa"/>
            <w:right w:w="0" w:type="dxa"/>
          </w:tblCellMar>
        </w:tblPrEx>
        <w:trPr>
          <w:trHeight w:val="300" w:hRule="atLeas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农村贫困患者对保障政策满意度</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90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90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宋体" w:cs="Times New Roman"/>
                <w:i w:val="0"/>
                <w:color w:val="000000"/>
                <w:sz w:val="18"/>
                <w:szCs w:val="18"/>
                <w:u w:val="none"/>
              </w:rPr>
            </w:pPr>
          </w:p>
        </w:tc>
      </w:tr>
      <w:tr>
        <w:tblPrEx>
          <w:tblLayout w:type="fixed"/>
          <w:tblCellMar>
            <w:top w:w="0" w:type="dxa"/>
            <w:left w:w="0" w:type="dxa"/>
            <w:bottom w:w="0" w:type="dxa"/>
            <w:right w:w="0" w:type="dxa"/>
          </w:tblCellMar>
        </w:tblPrEx>
        <w:trPr>
          <w:trHeight w:val="300" w:hRule="atLeast"/>
          <w:jc w:val="center"/>
        </w:trPr>
        <w:tc>
          <w:tcPr>
            <w:tcW w:w="440"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9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2023年脱贫人口城乡居民医疗保险参保补贴项目</w:t>
            </w: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脱贫人口参保率</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30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30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方正仿宋_GBK" w:cs="Times New Roman"/>
                <w:i w:val="0"/>
                <w:color w:val="000000"/>
                <w:sz w:val="18"/>
                <w:szCs w:val="18"/>
                <w:u w:val="none"/>
              </w:rPr>
            </w:pPr>
          </w:p>
        </w:tc>
        <w:tc>
          <w:tcPr>
            <w:tcW w:w="49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r>
      <w:tr>
        <w:tblPrEx>
          <w:tblLayout w:type="fixed"/>
          <w:tblCellMar>
            <w:top w:w="0" w:type="dxa"/>
            <w:left w:w="0" w:type="dxa"/>
            <w:bottom w:w="0" w:type="dxa"/>
            <w:right w:w="0" w:type="dxa"/>
          </w:tblCellMar>
        </w:tblPrEx>
        <w:trPr>
          <w:trHeight w:val="300" w:hRule="atLeas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补贴率</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30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30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宋体" w:cs="Times New Roman"/>
                <w:i w:val="0"/>
                <w:color w:val="000000"/>
                <w:sz w:val="18"/>
                <w:szCs w:val="18"/>
                <w:u w:val="none"/>
              </w:rPr>
            </w:pPr>
          </w:p>
        </w:tc>
      </w:tr>
      <w:tr>
        <w:tblPrEx>
          <w:tblLayout w:type="fixed"/>
          <w:tblCellMar>
            <w:top w:w="0" w:type="dxa"/>
            <w:left w:w="0" w:type="dxa"/>
            <w:bottom w:w="0" w:type="dxa"/>
            <w:right w:w="0" w:type="dxa"/>
          </w:tblCellMar>
        </w:tblPrEx>
        <w:trPr>
          <w:trHeight w:val="300" w:hRule="atLeas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减轻脱贫人口参保费用负担</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定性</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有效减轻</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有效减轻</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宋体" w:cs="Times New Roman"/>
                <w:i w:val="0"/>
                <w:color w:val="000000"/>
                <w:sz w:val="18"/>
                <w:szCs w:val="18"/>
                <w:u w:val="none"/>
              </w:rPr>
            </w:pPr>
          </w:p>
        </w:tc>
      </w:tr>
      <w:tr>
        <w:tblPrEx>
          <w:tblLayout w:type="fixed"/>
          <w:tblCellMar>
            <w:top w:w="0" w:type="dxa"/>
            <w:left w:w="0" w:type="dxa"/>
            <w:bottom w:w="0" w:type="dxa"/>
            <w:right w:w="0" w:type="dxa"/>
          </w:tblCellMar>
        </w:tblPrEx>
        <w:trPr>
          <w:trHeight w:val="300" w:hRule="atLeas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政策知晓率</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宋体" w:cs="Times New Roman"/>
                <w:i w:val="0"/>
                <w:color w:val="000000"/>
                <w:sz w:val="18"/>
                <w:szCs w:val="18"/>
                <w:u w:val="none"/>
              </w:rPr>
            </w:pPr>
          </w:p>
        </w:tc>
      </w:tr>
      <w:tr>
        <w:tblPrEx>
          <w:tblLayout w:type="fixed"/>
          <w:tblCellMar>
            <w:top w:w="0" w:type="dxa"/>
            <w:left w:w="0" w:type="dxa"/>
            <w:bottom w:w="0" w:type="dxa"/>
            <w:right w:w="0" w:type="dxa"/>
          </w:tblCellMar>
        </w:tblPrEx>
        <w:trPr>
          <w:trHeight w:val="300" w:hRule="atLeast"/>
          <w:jc w:val="center"/>
        </w:trPr>
        <w:tc>
          <w:tcPr>
            <w:tcW w:w="440" w:type="dxa"/>
            <w:vMerge w:val="restart"/>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9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企业离退干部、老干部、伤残军人医疗补助</w:t>
            </w: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支付人次</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93</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人次</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93</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方正仿宋_GBK" w:cs="Times New Roman"/>
                <w:i w:val="0"/>
                <w:color w:val="000000"/>
                <w:sz w:val="18"/>
                <w:szCs w:val="18"/>
                <w:u w:val="none"/>
              </w:rPr>
            </w:pPr>
          </w:p>
        </w:tc>
        <w:tc>
          <w:tcPr>
            <w:tcW w:w="49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r>
      <w:tr>
        <w:tblPrEx>
          <w:tblLayout w:type="fixed"/>
          <w:tblCellMar>
            <w:top w:w="0" w:type="dxa"/>
            <w:left w:w="0" w:type="dxa"/>
            <w:bottom w:w="0" w:type="dxa"/>
            <w:right w:w="0" w:type="dxa"/>
          </w:tblCellMar>
        </w:tblPrEx>
        <w:trPr>
          <w:trHeight w:val="300" w:hRule="atLeast"/>
          <w:jc w:val="center"/>
        </w:trPr>
        <w:tc>
          <w:tcPr>
            <w:tcW w:w="440"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实时办结</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24</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小时</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24</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宋体" w:cs="Times New Roman"/>
                <w:i w:val="0"/>
                <w:color w:val="000000"/>
                <w:sz w:val="22"/>
                <w:szCs w:val="22"/>
                <w:u w:val="none"/>
              </w:rPr>
            </w:pPr>
          </w:p>
        </w:tc>
      </w:tr>
      <w:tr>
        <w:tblPrEx>
          <w:tblLayout w:type="fixed"/>
          <w:tblCellMar>
            <w:top w:w="0" w:type="dxa"/>
            <w:left w:w="0" w:type="dxa"/>
            <w:bottom w:w="0" w:type="dxa"/>
            <w:right w:w="0" w:type="dxa"/>
          </w:tblCellMar>
        </w:tblPrEx>
        <w:trPr>
          <w:trHeight w:val="300" w:hRule="atLeast"/>
          <w:jc w:val="center"/>
        </w:trPr>
        <w:tc>
          <w:tcPr>
            <w:tcW w:w="440"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实时拨付</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24</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小时</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24</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宋体" w:cs="Times New Roman"/>
                <w:i w:val="0"/>
                <w:color w:val="000000"/>
                <w:sz w:val="22"/>
                <w:szCs w:val="22"/>
                <w:u w:val="none"/>
              </w:rPr>
            </w:pPr>
          </w:p>
        </w:tc>
      </w:tr>
      <w:tr>
        <w:tblPrEx>
          <w:tblLayout w:type="fixed"/>
          <w:tblCellMar>
            <w:top w:w="0" w:type="dxa"/>
            <w:left w:w="0" w:type="dxa"/>
            <w:bottom w:w="0" w:type="dxa"/>
            <w:right w:w="0" w:type="dxa"/>
          </w:tblCellMar>
        </w:tblPrEx>
        <w:trPr>
          <w:trHeight w:val="300" w:hRule="atLeast"/>
          <w:jc w:val="center"/>
        </w:trPr>
        <w:tc>
          <w:tcPr>
            <w:tcW w:w="440"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减轻医疗负担</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180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万元</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200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宋体" w:cs="Times New Roman"/>
                <w:i w:val="0"/>
                <w:color w:val="000000"/>
                <w:sz w:val="22"/>
                <w:szCs w:val="22"/>
                <w:u w:val="none"/>
              </w:rPr>
            </w:pPr>
          </w:p>
        </w:tc>
      </w:tr>
      <w:tr>
        <w:tblPrEx>
          <w:tblLayout w:type="fixed"/>
          <w:tblCellMar>
            <w:top w:w="0" w:type="dxa"/>
            <w:left w:w="0" w:type="dxa"/>
            <w:bottom w:w="0" w:type="dxa"/>
            <w:right w:w="0" w:type="dxa"/>
          </w:tblCellMar>
        </w:tblPrEx>
        <w:trPr>
          <w:trHeight w:val="300" w:hRule="atLeast"/>
          <w:jc w:val="center"/>
        </w:trPr>
        <w:tc>
          <w:tcPr>
            <w:tcW w:w="440"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服务对象满意度</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宋体" w:cs="Times New Roman"/>
                <w:i w:val="0"/>
                <w:color w:val="000000"/>
                <w:sz w:val="22"/>
                <w:szCs w:val="22"/>
                <w:u w:val="none"/>
              </w:rPr>
            </w:pPr>
          </w:p>
        </w:tc>
      </w:tr>
      <w:tr>
        <w:tblPrEx>
          <w:tblLayout w:type="fixed"/>
          <w:tblCellMar>
            <w:top w:w="0" w:type="dxa"/>
            <w:left w:w="0" w:type="dxa"/>
            <w:bottom w:w="0" w:type="dxa"/>
            <w:right w:w="0" w:type="dxa"/>
          </w:tblCellMar>
        </w:tblPrEx>
        <w:trPr>
          <w:trHeight w:val="300" w:hRule="atLeast"/>
          <w:jc w:val="center"/>
        </w:trPr>
        <w:tc>
          <w:tcPr>
            <w:tcW w:w="44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9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医疗服务与保障能力提升补助资金（医疗保障服务能力提升部分）</w:t>
            </w: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定点医药机构监督检查覆盖率</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90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方正仿宋_GBK" w:cs="Times New Roman"/>
                <w:i w:val="0"/>
                <w:color w:val="000000"/>
                <w:sz w:val="18"/>
                <w:szCs w:val="18"/>
                <w:u w:val="none"/>
              </w:rPr>
            </w:pPr>
          </w:p>
        </w:tc>
        <w:tc>
          <w:tcPr>
            <w:tcW w:w="49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r>
      <w:tr>
        <w:tblPrEx>
          <w:tblLayout w:type="fixed"/>
          <w:tblCellMar>
            <w:top w:w="0" w:type="dxa"/>
            <w:left w:w="0" w:type="dxa"/>
            <w:bottom w:w="0" w:type="dxa"/>
            <w:right w:w="0" w:type="dxa"/>
          </w:tblCellMar>
        </w:tblPrEx>
        <w:trPr>
          <w:trHeight w:val="300" w:hRule="atLeast"/>
          <w:jc w:val="center"/>
        </w:trPr>
        <w:tc>
          <w:tcPr>
            <w:tcW w:w="4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长期护理险试点</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5</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5</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宋体" w:cs="Times New Roman"/>
                <w:i w:val="0"/>
                <w:color w:val="000000"/>
                <w:sz w:val="22"/>
                <w:szCs w:val="22"/>
                <w:u w:val="none"/>
              </w:rPr>
            </w:pPr>
          </w:p>
        </w:tc>
      </w:tr>
      <w:tr>
        <w:tblPrEx>
          <w:tblLayout w:type="fixed"/>
          <w:tblCellMar>
            <w:top w:w="0" w:type="dxa"/>
            <w:left w:w="0" w:type="dxa"/>
            <w:bottom w:w="0" w:type="dxa"/>
            <w:right w:w="0" w:type="dxa"/>
          </w:tblCellMar>
        </w:tblPrEx>
        <w:trPr>
          <w:trHeight w:val="300" w:hRule="atLeast"/>
          <w:jc w:val="center"/>
        </w:trPr>
        <w:tc>
          <w:tcPr>
            <w:tcW w:w="4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集中采购落实情况</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宋体" w:cs="Times New Roman"/>
                <w:i w:val="0"/>
                <w:color w:val="000000"/>
                <w:sz w:val="22"/>
                <w:szCs w:val="22"/>
                <w:u w:val="none"/>
              </w:rPr>
            </w:pPr>
          </w:p>
        </w:tc>
      </w:tr>
      <w:tr>
        <w:tblPrEx>
          <w:tblLayout w:type="fixed"/>
          <w:tblCellMar>
            <w:top w:w="0" w:type="dxa"/>
            <w:left w:w="0" w:type="dxa"/>
            <w:bottom w:w="0" w:type="dxa"/>
            <w:right w:w="0" w:type="dxa"/>
          </w:tblCellMar>
        </w:tblPrEx>
        <w:trPr>
          <w:trHeight w:val="300" w:hRule="atLeast"/>
          <w:jc w:val="center"/>
        </w:trPr>
        <w:tc>
          <w:tcPr>
            <w:tcW w:w="4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开展打击欺诈骗保治理</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5</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5</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宋体" w:cs="Times New Roman"/>
                <w:i w:val="0"/>
                <w:color w:val="000000"/>
                <w:sz w:val="22"/>
                <w:szCs w:val="22"/>
                <w:u w:val="none"/>
              </w:rPr>
            </w:pPr>
          </w:p>
        </w:tc>
      </w:tr>
      <w:tr>
        <w:tblPrEx>
          <w:tblLayout w:type="fixed"/>
          <w:tblCellMar>
            <w:top w:w="0" w:type="dxa"/>
            <w:left w:w="0" w:type="dxa"/>
            <w:bottom w:w="0" w:type="dxa"/>
            <w:right w:w="0" w:type="dxa"/>
          </w:tblCellMar>
        </w:tblPrEx>
        <w:trPr>
          <w:trHeight w:val="300" w:hRule="atLeast"/>
          <w:jc w:val="center"/>
        </w:trPr>
        <w:tc>
          <w:tcPr>
            <w:tcW w:w="4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提高医保经办服务能力</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5</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5</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宋体" w:cs="Times New Roman"/>
                <w:i w:val="0"/>
                <w:color w:val="000000"/>
                <w:sz w:val="22"/>
                <w:szCs w:val="22"/>
                <w:u w:val="none"/>
              </w:rPr>
            </w:pPr>
          </w:p>
        </w:tc>
      </w:tr>
      <w:tr>
        <w:tblPrEx>
          <w:tblLayout w:type="fixed"/>
          <w:tblCellMar>
            <w:top w:w="0" w:type="dxa"/>
            <w:left w:w="0" w:type="dxa"/>
            <w:bottom w:w="0" w:type="dxa"/>
            <w:right w:w="0" w:type="dxa"/>
          </w:tblCellMar>
        </w:tblPrEx>
        <w:trPr>
          <w:trHeight w:val="300" w:hRule="atLeast"/>
          <w:jc w:val="center"/>
        </w:trPr>
        <w:tc>
          <w:tcPr>
            <w:tcW w:w="4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提高医保综合监管能力</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5</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5</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宋体" w:cs="Times New Roman"/>
                <w:i w:val="0"/>
                <w:color w:val="000000"/>
                <w:sz w:val="22"/>
                <w:szCs w:val="22"/>
                <w:u w:val="none"/>
              </w:rPr>
            </w:pPr>
          </w:p>
        </w:tc>
      </w:tr>
      <w:tr>
        <w:tblPrEx>
          <w:tblLayout w:type="fixed"/>
          <w:tblCellMar>
            <w:top w:w="0" w:type="dxa"/>
            <w:left w:w="0" w:type="dxa"/>
            <w:bottom w:w="0" w:type="dxa"/>
            <w:right w:w="0" w:type="dxa"/>
          </w:tblCellMar>
        </w:tblPrEx>
        <w:trPr>
          <w:trHeight w:val="300" w:hRule="atLeast"/>
          <w:jc w:val="center"/>
        </w:trPr>
        <w:tc>
          <w:tcPr>
            <w:tcW w:w="4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信息化建设</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5</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5</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宋体" w:cs="Times New Roman"/>
                <w:i w:val="0"/>
                <w:color w:val="000000"/>
                <w:sz w:val="22"/>
                <w:szCs w:val="22"/>
                <w:u w:val="none"/>
              </w:rPr>
            </w:pPr>
          </w:p>
        </w:tc>
      </w:tr>
      <w:tr>
        <w:tblPrEx>
          <w:tblLayout w:type="fixed"/>
          <w:tblCellMar>
            <w:top w:w="0" w:type="dxa"/>
            <w:left w:w="0" w:type="dxa"/>
            <w:bottom w:w="0" w:type="dxa"/>
            <w:right w:w="0" w:type="dxa"/>
          </w:tblCellMar>
        </w:tblPrEx>
        <w:trPr>
          <w:trHeight w:val="300" w:hRule="atLeast"/>
          <w:jc w:val="center"/>
        </w:trPr>
        <w:tc>
          <w:tcPr>
            <w:tcW w:w="4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医保标准化建设</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5</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5</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宋体" w:cs="Times New Roman"/>
                <w:i w:val="0"/>
                <w:color w:val="000000"/>
                <w:sz w:val="22"/>
                <w:szCs w:val="22"/>
                <w:u w:val="none"/>
              </w:rPr>
            </w:pPr>
          </w:p>
        </w:tc>
      </w:tr>
      <w:tr>
        <w:tblPrEx>
          <w:tblLayout w:type="fixed"/>
          <w:tblCellMar>
            <w:top w:w="0" w:type="dxa"/>
            <w:left w:w="0" w:type="dxa"/>
            <w:bottom w:w="0" w:type="dxa"/>
            <w:right w:w="0" w:type="dxa"/>
          </w:tblCellMar>
        </w:tblPrEx>
        <w:trPr>
          <w:trHeight w:val="300" w:hRule="atLeast"/>
          <w:jc w:val="center"/>
        </w:trPr>
        <w:tc>
          <w:tcPr>
            <w:tcW w:w="4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医保法治建设能力</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5</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5</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宋体" w:cs="Times New Roman"/>
                <w:i w:val="0"/>
                <w:color w:val="000000"/>
                <w:sz w:val="22"/>
                <w:szCs w:val="22"/>
                <w:u w:val="none"/>
              </w:rPr>
            </w:pPr>
          </w:p>
        </w:tc>
      </w:tr>
      <w:tr>
        <w:tblPrEx>
          <w:tblLayout w:type="fixed"/>
          <w:tblCellMar>
            <w:top w:w="0" w:type="dxa"/>
            <w:left w:w="0" w:type="dxa"/>
            <w:bottom w:w="0" w:type="dxa"/>
            <w:right w:w="0" w:type="dxa"/>
          </w:tblCellMar>
        </w:tblPrEx>
        <w:trPr>
          <w:trHeight w:val="300" w:hRule="atLeast"/>
          <w:jc w:val="center"/>
        </w:trPr>
        <w:tc>
          <w:tcPr>
            <w:tcW w:w="4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医保宣传能力</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5</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5</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宋体" w:cs="Times New Roman"/>
                <w:i w:val="0"/>
                <w:color w:val="000000"/>
                <w:sz w:val="22"/>
                <w:szCs w:val="22"/>
                <w:u w:val="none"/>
              </w:rPr>
            </w:pPr>
          </w:p>
        </w:tc>
      </w:tr>
      <w:tr>
        <w:tblPrEx>
          <w:tblLayout w:type="fixed"/>
          <w:tblCellMar>
            <w:top w:w="0" w:type="dxa"/>
            <w:left w:w="0" w:type="dxa"/>
            <w:bottom w:w="0" w:type="dxa"/>
            <w:right w:w="0" w:type="dxa"/>
          </w:tblCellMar>
        </w:tblPrEx>
        <w:trPr>
          <w:trHeight w:val="600" w:hRule="atLeast"/>
          <w:jc w:val="center"/>
        </w:trPr>
        <w:tc>
          <w:tcPr>
            <w:tcW w:w="4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医药服务价格动态调整与深化医疗服务价格改革试点执行情况</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5</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5</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宋体" w:cs="Times New Roman"/>
                <w:i w:val="0"/>
                <w:color w:val="000000"/>
                <w:sz w:val="22"/>
                <w:szCs w:val="22"/>
                <w:u w:val="none"/>
              </w:rPr>
            </w:pPr>
          </w:p>
        </w:tc>
      </w:tr>
      <w:tr>
        <w:tblPrEx>
          <w:tblLayout w:type="fixed"/>
          <w:tblCellMar>
            <w:top w:w="0" w:type="dxa"/>
            <w:left w:w="0" w:type="dxa"/>
            <w:bottom w:w="0" w:type="dxa"/>
            <w:right w:w="0" w:type="dxa"/>
          </w:tblCellMar>
        </w:tblPrEx>
        <w:trPr>
          <w:trHeight w:val="600" w:hRule="atLeast"/>
          <w:jc w:val="center"/>
        </w:trPr>
        <w:tc>
          <w:tcPr>
            <w:tcW w:w="4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医药价格和招采信用评价制度建立和实施情况</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5</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5</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宋体" w:cs="Times New Roman"/>
                <w:i w:val="0"/>
                <w:color w:val="000000"/>
                <w:sz w:val="22"/>
                <w:szCs w:val="22"/>
                <w:u w:val="none"/>
              </w:rPr>
            </w:pPr>
          </w:p>
        </w:tc>
      </w:tr>
      <w:tr>
        <w:tblPrEx>
          <w:tblLayout w:type="fixed"/>
          <w:tblCellMar>
            <w:top w:w="0" w:type="dxa"/>
            <w:left w:w="0" w:type="dxa"/>
            <w:bottom w:w="0" w:type="dxa"/>
            <w:right w:w="0" w:type="dxa"/>
          </w:tblCellMar>
        </w:tblPrEx>
        <w:trPr>
          <w:trHeight w:val="300" w:hRule="atLeast"/>
          <w:jc w:val="center"/>
        </w:trPr>
        <w:tc>
          <w:tcPr>
            <w:tcW w:w="4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追回医保基金及罚没收入</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200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万元</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481</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宋体" w:cs="Times New Roman"/>
                <w:i w:val="0"/>
                <w:color w:val="000000"/>
                <w:sz w:val="22"/>
                <w:szCs w:val="22"/>
                <w:u w:val="none"/>
              </w:rPr>
            </w:pPr>
          </w:p>
        </w:tc>
      </w:tr>
      <w:tr>
        <w:tblPrEx>
          <w:tblLayout w:type="fixed"/>
          <w:tblCellMar>
            <w:top w:w="0" w:type="dxa"/>
            <w:left w:w="0" w:type="dxa"/>
            <w:bottom w:w="0" w:type="dxa"/>
            <w:right w:w="0" w:type="dxa"/>
          </w:tblCellMar>
        </w:tblPrEx>
        <w:trPr>
          <w:trHeight w:val="300" w:hRule="atLeast"/>
          <w:jc w:val="center"/>
        </w:trPr>
        <w:tc>
          <w:tcPr>
            <w:tcW w:w="4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参保人员对医保服务的满意度</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70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85</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jc w:val="center"/>
              <w:rPr>
                <w:rFonts w:hint="default" w:ascii="Times New Roman" w:hAnsi="Times New Roman" w:eastAsia="宋体" w:cs="Times New Roman"/>
                <w:i w:val="0"/>
                <w:color w:val="000000"/>
                <w:sz w:val="22"/>
                <w:szCs w:val="22"/>
                <w:u w:val="none"/>
              </w:rPr>
            </w:pPr>
          </w:p>
        </w:tc>
      </w:tr>
    </w:tbl>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outlineLvl w:val="9"/>
        <w:rPr>
          <w:rStyle w:val="10"/>
          <w:rFonts w:hint="default" w:ascii="Times New Roman" w:hAnsi="Times New Roman" w:eastAsia="方正楷体_GBK" w:cs="Times New Roman"/>
          <w:b w:val="0"/>
          <w:bCs/>
          <w:color w:val="auto"/>
          <w:sz w:val="32"/>
          <w:szCs w:val="32"/>
          <w:shd w:val="clear" w:color="auto" w:fill="FFFFFF"/>
        </w:rPr>
      </w:pPr>
      <w:r>
        <w:rPr>
          <w:rStyle w:val="10"/>
          <w:rFonts w:hint="default" w:ascii="Times New Roman" w:hAnsi="Times New Roman" w:eastAsia="方正楷体_GBK" w:cs="Times New Roman"/>
          <w:b w:val="0"/>
          <w:bCs/>
          <w:color w:val="auto"/>
          <w:sz w:val="32"/>
          <w:szCs w:val="32"/>
          <w:shd w:val="clear" w:color="auto" w:fill="FFFFFF"/>
        </w:rPr>
        <w:t>（二）单位绩效评价情况</w:t>
      </w:r>
    </w:p>
    <w:p>
      <w:pPr>
        <w:pStyle w:val="16"/>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我单位对新冠患者救治费用中央和市级补助资金</w:t>
      </w:r>
      <w:r>
        <w:rPr>
          <w:rFonts w:hint="default" w:ascii="Times New Roman" w:hAnsi="Times New Roman" w:eastAsia="方正仿宋_GBK" w:cs="Times New Roman"/>
          <w:color w:val="auto"/>
          <w:sz w:val="32"/>
          <w:szCs w:val="32"/>
          <w:shd w:val="clear" w:color="auto" w:fill="FFFFFF"/>
          <w:lang w:eastAsia="zh-CN"/>
        </w:rPr>
        <w:t>项目</w:t>
      </w:r>
      <w:r>
        <w:rPr>
          <w:rFonts w:hint="default" w:ascii="Times New Roman" w:hAnsi="Times New Roman" w:eastAsia="方正仿宋_GBK" w:cs="Times New Roman"/>
          <w:color w:val="auto"/>
          <w:sz w:val="32"/>
          <w:szCs w:val="32"/>
          <w:shd w:val="clear" w:color="auto" w:fill="FFFFFF"/>
        </w:rPr>
        <w:t>开展了绩效评价，涉及财政拨款项目资金</w:t>
      </w:r>
      <w:r>
        <w:rPr>
          <w:rFonts w:hint="default" w:ascii="Times New Roman" w:hAnsi="Times New Roman" w:eastAsia="方正仿宋_GBK" w:cs="Times New Roman"/>
          <w:color w:val="auto"/>
          <w:sz w:val="32"/>
          <w:szCs w:val="32"/>
          <w:shd w:val="clear" w:color="auto" w:fill="FFFFFF"/>
          <w:lang w:val="en-US" w:eastAsia="zh-CN"/>
        </w:rPr>
        <w:t>4.99</w:t>
      </w:r>
      <w:r>
        <w:rPr>
          <w:rFonts w:hint="default" w:ascii="Times New Roman" w:hAnsi="Times New Roman" w:eastAsia="方正仿宋_GBK" w:cs="Times New Roman"/>
          <w:color w:val="auto"/>
          <w:sz w:val="32"/>
          <w:szCs w:val="32"/>
          <w:shd w:val="clear" w:color="auto" w:fill="FFFFFF"/>
        </w:rPr>
        <w:t>万元，评价得分</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分，评价等次为</w:t>
      </w:r>
      <w:r>
        <w:rPr>
          <w:rFonts w:hint="default" w:ascii="Times New Roman" w:hAnsi="Times New Roman" w:eastAsia="方正仿宋_GBK" w:cs="Times New Roman"/>
          <w:color w:val="auto"/>
          <w:sz w:val="32"/>
          <w:szCs w:val="32"/>
          <w:shd w:val="clear" w:color="auto" w:fill="FFFFFF"/>
          <w:lang w:eastAsia="zh-CN"/>
        </w:rPr>
        <w:t>优；</w:t>
      </w:r>
      <w:r>
        <w:rPr>
          <w:rFonts w:hint="default" w:ascii="Times New Roman" w:hAnsi="Times New Roman" w:eastAsia="方正仿宋_GBK" w:cs="Times New Roman"/>
          <w:color w:val="auto"/>
          <w:sz w:val="32"/>
          <w:szCs w:val="32"/>
          <w:shd w:val="clear" w:color="auto" w:fill="FFFFFF"/>
        </w:rPr>
        <w:t>对医疗救助（县级）</w:t>
      </w:r>
      <w:r>
        <w:rPr>
          <w:rFonts w:hint="default" w:ascii="Times New Roman" w:hAnsi="Times New Roman" w:eastAsia="方正仿宋_GBK" w:cs="Times New Roman"/>
          <w:color w:val="auto"/>
          <w:sz w:val="32"/>
          <w:szCs w:val="32"/>
          <w:shd w:val="clear" w:color="auto" w:fill="FFFFFF"/>
          <w:lang w:eastAsia="zh-CN"/>
        </w:rPr>
        <w:t>项目</w:t>
      </w:r>
      <w:r>
        <w:rPr>
          <w:rFonts w:hint="default" w:ascii="Times New Roman" w:hAnsi="Times New Roman" w:eastAsia="方正仿宋_GBK" w:cs="Times New Roman"/>
          <w:color w:val="auto"/>
          <w:sz w:val="32"/>
          <w:szCs w:val="32"/>
          <w:shd w:val="clear" w:color="auto" w:fill="FFFFFF"/>
        </w:rPr>
        <w:t>开展了绩效评价，涉及财政拨款项目资金</w:t>
      </w:r>
      <w:r>
        <w:rPr>
          <w:rFonts w:hint="default" w:ascii="Times New Roman" w:hAnsi="Times New Roman" w:eastAsia="方正仿宋_GBK" w:cs="Times New Roman"/>
          <w:color w:val="auto"/>
          <w:sz w:val="32"/>
          <w:szCs w:val="32"/>
          <w:shd w:val="clear" w:color="auto" w:fill="FFFFFF"/>
          <w:lang w:val="en-US" w:eastAsia="zh-CN"/>
        </w:rPr>
        <w:t>180.00</w:t>
      </w:r>
      <w:r>
        <w:rPr>
          <w:rFonts w:hint="default" w:ascii="Times New Roman" w:hAnsi="Times New Roman" w:eastAsia="方正仿宋_GBK" w:cs="Times New Roman"/>
          <w:color w:val="auto"/>
          <w:sz w:val="32"/>
          <w:szCs w:val="32"/>
          <w:shd w:val="clear" w:color="auto" w:fill="FFFFFF"/>
        </w:rPr>
        <w:t>万元，评价得分</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分，评价等次为</w:t>
      </w:r>
      <w:r>
        <w:rPr>
          <w:rFonts w:hint="default" w:ascii="Times New Roman" w:hAnsi="Times New Roman" w:eastAsia="方正仿宋_GBK" w:cs="Times New Roman"/>
          <w:color w:val="auto"/>
          <w:sz w:val="32"/>
          <w:szCs w:val="32"/>
          <w:shd w:val="clear" w:color="auto" w:fill="FFFFFF"/>
          <w:lang w:eastAsia="zh-CN"/>
        </w:rPr>
        <w:t>优；</w:t>
      </w:r>
      <w:r>
        <w:rPr>
          <w:rFonts w:hint="default" w:ascii="Times New Roman" w:hAnsi="Times New Roman" w:eastAsia="方正仿宋_GBK" w:cs="Times New Roman"/>
          <w:color w:val="auto"/>
          <w:sz w:val="32"/>
          <w:szCs w:val="32"/>
          <w:shd w:val="clear" w:color="auto" w:fill="FFFFFF"/>
        </w:rPr>
        <w:t>对医疗救助中央补助资金（城乡医疗救助）</w:t>
      </w:r>
      <w:r>
        <w:rPr>
          <w:rFonts w:hint="default" w:ascii="Times New Roman" w:hAnsi="Times New Roman" w:eastAsia="方正仿宋_GBK" w:cs="Times New Roman"/>
          <w:color w:val="auto"/>
          <w:sz w:val="32"/>
          <w:szCs w:val="32"/>
          <w:shd w:val="clear" w:color="auto" w:fill="FFFFFF"/>
          <w:lang w:eastAsia="zh-CN"/>
        </w:rPr>
        <w:t>项目</w:t>
      </w:r>
      <w:r>
        <w:rPr>
          <w:rFonts w:hint="default" w:ascii="Times New Roman" w:hAnsi="Times New Roman" w:eastAsia="方正仿宋_GBK" w:cs="Times New Roman"/>
          <w:color w:val="auto"/>
          <w:sz w:val="32"/>
          <w:szCs w:val="32"/>
          <w:shd w:val="clear" w:color="auto" w:fill="FFFFFF"/>
        </w:rPr>
        <w:t>开展了绩效评价，涉及财政拨款项目资金</w:t>
      </w:r>
      <w:r>
        <w:rPr>
          <w:rFonts w:hint="default" w:ascii="Times New Roman" w:hAnsi="Times New Roman" w:eastAsia="方正仿宋_GBK" w:cs="Times New Roman"/>
          <w:color w:val="auto"/>
          <w:sz w:val="32"/>
          <w:szCs w:val="32"/>
          <w:shd w:val="clear" w:color="auto" w:fill="FFFFFF"/>
          <w:lang w:val="en-US" w:eastAsia="zh-CN"/>
        </w:rPr>
        <w:t>1292.00</w:t>
      </w:r>
      <w:r>
        <w:rPr>
          <w:rFonts w:hint="default" w:ascii="Times New Roman" w:hAnsi="Times New Roman" w:eastAsia="方正仿宋_GBK" w:cs="Times New Roman"/>
          <w:color w:val="auto"/>
          <w:sz w:val="32"/>
          <w:szCs w:val="32"/>
          <w:shd w:val="clear" w:color="auto" w:fill="FFFFFF"/>
        </w:rPr>
        <w:t>万元，评价得分</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分，评价等次为</w:t>
      </w:r>
      <w:r>
        <w:rPr>
          <w:rFonts w:hint="default" w:ascii="Times New Roman" w:hAnsi="Times New Roman" w:eastAsia="方正仿宋_GBK" w:cs="Times New Roman"/>
          <w:color w:val="auto"/>
          <w:sz w:val="32"/>
          <w:szCs w:val="32"/>
          <w:shd w:val="clear" w:color="auto" w:fill="FFFFFF"/>
          <w:lang w:eastAsia="zh-CN"/>
        </w:rPr>
        <w:t>优；</w:t>
      </w:r>
      <w:r>
        <w:rPr>
          <w:rFonts w:hint="default" w:ascii="Times New Roman" w:hAnsi="Times New Roman" w:eastAsia="方正仿宋_GBK" w:cs="Times New Roman"/>
          <w:color w:val="auto"/>
          <w:sz w:val="32"/>
          <w:szCs w:val="32"/>
          <w:shd w:val="clear" w:color="auto" w:fill="FFFFFF"/>
        </w:rPr>
        <w:t>对</w:t>
      </w:r>
      <w:r>
        <w:rPr>
          <w:rFonts w:hint="default" w:ascii="Times New Roman" w:hAnsi="Times New Roman" w:eastAsia="方正仿宋_GBK" w:cs="Times New Roman"/>
          <w:color w:val="auto"/>
          <w:sz w:val="32"/>
          <w:szCs w:val="32"/>
          <w:shd w:val="clear" w:color="auto" w:fill="FFFFFF"/>
          <w:lang w:eastAsia="zh-CN"/>
        </w:rPr>
        <w:t>医疗救助（市级）项目</w:t>
      </w:r>
      <w:r>
        <w:rPr>
          <w:rFonts w:hint="default" w:ascii="Times New Roman" w:hAnsi="Times New Roman" w:eastAsia="方正仿宋_GBK" w:cs="Times New Roman"/>
          <w:color w:val="auto"/>
          <w:sz w:val="32"/>
          <w:szCs w:val="32"/>
          <w:shd w:val="clear" w:color="auto" w:fill="FFFFFF"/>
        </w:rPr>
        <w:t>开展了绩效评价，涉及财政拨款项目资金</w:t>
      </w:r>
      <w:r>
        <w:rPr>
          <w:rFonts w:hint="default" w:ascii="Times New Roman" w:hAnsi="Times New Roman" w:eastAsia="方正仿宋_GBK" w:cs="Times New Roman"/>
          <w:color w:val="auto"/>
          <w:sz w:val="32"/>
          <w:szCs w:val="32"/>
          <w:shd w:val="clear" w:color="auto" w:fill="FFFFFF"/>
          <w:lang w:val="en-US" w:eastAsia="zh-CN"/>
        </w:rPr>
        <w:t>1370.49</w:t>
      </w:r>
      <w:r>
        <w:rPr>
          <w:rFonts w:hint="default" w:ascii="Times New Roman" w:hAnsi="Times New Roman" w:eastAsia="方正仿宋_GBK" w:cs="Times New Roman"/>
          <w:color w:val="auto"/>
          <w:sz w:val="32"/>
          <w:szCs w:val="32"/>
          <w:shd w:val="clear" w:color="auto" w:fill="FFFFFF"/>
        </w:rPr>
        <w:t>万元，评价得分</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分，评价等次为</w:t>
      </w:r>
      <w:r>
        <w:rPr>
          <w:rFonts w:hint="default" w:ascii="Times New Roman" w:hAnsi="Times New Roman" w:eastAsia="方正仿宋_GBK" w:cs="Times New Roman"/>
          <w:color w:val="auto"/>
          <w:sz w:val="32"/>
          <w:szCs w:val="32"/>
          <w:shd w:val="clear" w:color="auto" w:fill="FFFFFF"/>
          <w:lang w:eastAsia="zh-CN"/>
        </w:rPr>
        <w:t>优；</w:t>
      </w:r>
      <w:r>
        <w:rPr>
          <w:rFonts w:hint="default" w:ascii="Times New Roman" w:hAnsi="Times New Roman" w:eastAsia="方正仿宋_GBK" w:cs="Times New Roman"/>
          <w:color w:val="auto"/>
          <w:sz w:val="32"/>
          <w:szCs w:val="32"/>
          <w:shd w:val="clear" w:color="auto" w:fill="FFFFFF"/>
        </w:rPr>
        <w:t>对国企单双解等人员参加职工医保财政补助项目开展了绩效评价，涉及财政拨款项目资金</w:t>
      </w:r>
      <w:r>
        <w:rPr>
          <w:rFonts w:hint="default" w:ascii="Times New Roman" w:hAnsi="Times New Roman" w:eastAsia="方正仿宋_GBK" w:cs="Times New Roman"/>
          <w:color w:val="auto"/>
          <w:sz w:val="32"/>
          <w:szCs w:val="32"/>
          <w:shd w:val="clear" w:color="auto" w:fill="FFFFFF"/>
          <w:lang w:val="en-US" w:eastAsia="zh-CN"/>
        </w:rPr>
        <w:t>18.00</w:t>
      </w:r>
      <w:r>
        <w:rPr>
          <w:rFonts w:hint="default" w:ascii="Times New Roman" w:hAnsi="Times New Roman" w:eastAsia="方正仿宋_GBK" w:cs="Times New Roman"/>
          <w:color w:val="auto"/>
          <w:sz w:val="32"/>
          <w:szCs w:val="32"/>
          <w:shd w:val="clear" w:color="auto" w:fill="FFFFFF"/>
        </w:rPr>
        <w:t>万元，评价得分</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分，评价等次为</w:t>
      </w:r>
      <w:r>
        <w:rPr>
          <w:rFonts w:hint="default" w:ascii="Times New Roman" w:hAnsi="Times New Roman" w:eastAsia="方正仿宋_GBK" w:cs="Times New Roman"/>
          <w:color w:val="auto"/>
          <w:sz w:val="32"/>
          <w:szCs w:val="32"/>
          <w:shd w:val="clear" w:color="auto" w:fill="FFFFFF"/>
          <w:lang w:eastAsia="zh-CN"/>
        </w:rPr>
        <w:t>优；</w:t>
      </w:r>
      <w:r>
        <w:rPr>
          <w:rFonts w:hint="default" w:ascii="Times New Roman" w:hAnsi="Times New Roman" w:eastAsia="方正仿宋_GBK" w:cs="Times New Roman"/>
          <w:color w:val="auto"/>
          <w:sz w:val="32"/>
          <w:szCs w:val="32"/>
          <w:shd w:val="clear" w:color="auto" w:fill="FFFFFF"/>
        </w:rPr>
        <w:t>对秀山县2022年医疗救助项目（东西部协作退回资金）</w:t>
      </w:r>
      <w:r>
        <w:rPr>
          <w:rFonts w:hint="default" w:ascii="Times New Roman" w:hAnsi="Times New Roman" w:eastAsia="方正仿宋_GBK" w:cs="Times New Roman"/>
          <w:color w:val="auto"/>
          <w:sz w:val="32"/>
          <w:szCs w:val="32"/>
          <w:shd w:val="clear" w:color="auto" w:fill="FFFFFF"/>
          <w:lang w:eastAsia="zh-CN"/>
        </w:rPr>
        <w:t>项目</w:t>
      </w:r>
      <w:r>
        <w:rPr>
          <w:rFonts w:hint="default" w:ascii="Times New Roman" w:hAnsi="Times New Roman" w:eastAsia="方正仿宋_GBK" w:cs="Times New Roman"/>
          <w:color w:val="auto"/>
          <w:sz w:val="32"/>
          <w:szCs w:val="32"/>
          <w:shd w:val="clear" w:color="auto" w:fill="FFFFFF"/>
        </w:rPr>
        <w:t>开展了绩效评价，涉及财政拨款项目资金</w:t>
      </w:r>
      <w:r>
        <w:rPr>
          <w:rFonts w:hint="default" w:ascii="Times New Roman" w:hAnsi="Times New Roman" w:eastAsia="方正仿宋_GBK" w:cs="Times New Roman"/>
          <w:color w:val="auto"/>
          <w:sz w:val="32"/>
          <w:szCs w:val="32"/>
          <w:shd w:val="clear" w:color="auto" w:fill="FFFFFF"/>
          <w:lang w:val="en-US" w:eastAsia="zh-CN"/>
        </w:rPr>
        <w:t>1.08</w:t>
      </w:r>
      <w:r>
        <w:rPr>
          <w:rFonts w:hint="default" w:ascii="Times New Roman" w:hAnsi="Times New Roman" w:eastAsia="方正仿宋_GBK" w:cs="Times New Roman"/>
          <w:color w:val="auto"/>
          <w:sz w:val="32"/>
          <w:szCs w:val="32"/>
          <w:shd w:val="clear" w:color="auto" w:fill="FFFFFF"/>
        </w:rPr>
        <w:t>万元，评价得分</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分，评价等次为</w:t>
      </w:r>
      <w:r>
        <w:rPr>
          <w:rFonts w:hint="default" w:ascii="Times New Roman" w:hAnsi="Times New Roman" w:eastAsia="方正仿宋_GBK" w:cs="Times New Roman"/>
          <w:color w:val="auto"/>
          <w:sz w:val="32"/>
          <w:szCs w:val="32"/>
          <w:shd w:val="clear" w:color="auto" w:fill="FFFFFF"/>
          <w:lang w:eastAsia="zh-CN"/>
        </w:rPr>
        <w:t>优；</w:t>
      </w:r>
      <w:r>
        <w:rPr>
          <w:rFonts w:hint="default" w:ascii="Times New Roman" w:hAnsi="Times New Roman" w:eastAsia="方正仿宋_GBK" w:cs="Times New Roman"/>
          <w:color w:val="auto"/>
          <w:sz w:val="32"/>
          <w:szCs w:val="32"/>
          <w:shd w:val="clear" w:color="auto" w:fill="FFFFFF"/>
        </w:rPr>
        <w:t>对国企单双解等人员参加职工医保市级补助</w:t>
      </w:r>
      <w:r>
        <w:rPr>
          <w:rFonts w:hint="default" w:ascii="Times New Roman" w:hAnsi="Times New Roman" w:eastAsia="方正仿宋_GBK" w:cs="Times New Roman"/>
          <w:color w:val="auto"/>
          <w:sz w:val="32"/>
          <w:szCs w:val="32"/>
          <w:shd w:val="clear" w:color="auto" w:fill="FFFFFF"/>
          <w:lang w:eastAsia="zh-CN"/>
        </w:rPr>
        <w:t>项目</w:t>
      </w:r>
      <w:r>
        <w:rPr>
          <w:rFonts w:hint="default" w:ascii="Times New Roman" w:hAnsi="Times New Roman" w:eastAsia="方正仿宋_GBK" w:cs="Times New Roman"/>
          <w:color w:val="auto"/>
          <w:sz w:val="32"/>
          <w:szCs w:val="32"/>
          <w:shd w:val="clear" w:color="auto" w:fill="FFFFFF"/>
        </w:rPr>
        <w:t>开展了绩效评价，涉及财政拨款项目资金</w:t>
      </w:r>
      <w:r>
        <w:rPr>
          <w:rFonts w:hint="default" w:ascii="Times New Roman" w:hAnsi="Times New Roman" w:eastAsia="方正仿宋_GBK" w:cs="Times New Roman"/>
          <w:color w:val="auto"/>
          <w:sz w:val="32"/>
          <w:szCs w:val="32"/>
          <w:shd w:val="clear" w:color="auto" w:fill="FFFFFF"/>
          <w:lang w:val="en-US" w:eastAsia="zh-CN"/>
        </w:rPr>
        <w:t>18.00</w:t>
      </w:r>
      <w:r>
        <w:rPr>
          <w:rFonts w:hint="default" w:ascii="Times New Roman" w:hAnsi="Times New Roman" w:eastAsia="方正仿宋_GBK" w:cs="Times New Roman"/>
          <w:color w:val="auto"/>
          <w:sz w:val="32"/>
          <w:szCs w:val="32"/>
          <w:shd w:val="clear" w:color="auto" w:fill="FFFFFF"/>
        </w:rPr>
        <w:t>万元，评价得分</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分，评价等次为</w:t>
      </w:r>
      <w:r>
        <w:rPr>
          <w:rFonts w:hint="default" w:ascii="Times New Roman" w:hAnsi="Times New Roman" w:eastAsia="方正仿宋_GBK" w:cs="Times New Roman"/>
          <w:color w:val="auto"/>
          <w:sz w:val="32"/>
          <w:szCs w:val="32"/>
          <w:shd w:val="clear" w:color="auto" w:fill="FFFFFF"/>
          <w:lang w:eastAsia="zh-CN"/>
        </w:rPr>
        <w:t>优；</w:t>
      </w:r>
      <w:r>
        <w:rPr>
          <w:rFonts w:hint="default" w:ascii="Times New Roman" w:hAnsi="Times New Roman" w:eastAsia="方正仿宋_GBK" w:cs="Times New Roman"/>
          <w:color w:val="auto"/>
          <w:sz w:val="32"/>
          <w:szCs w:val="32"/>
          <w:shd w:val="clear" w:color="auto" w:fill="FFFFFF"/>
        </w:rPr>
        <w:t>对2022年度立项争资以奖代补资金</w:t>
      </w:r>
      <w:r>
        <w:rPr>
          <w:rFonts w:hint="default" w:ascii="Times New Roman" w:hAnsi="Times New Roman" w:eastAsia="方正仿宋_GBK" w:cs="Times New Roman"/>
          <w:color w:val="auto"/>
          <w:sz w:val="32"/>
          <w:szCs w:val="32"/>
          <w:shd w:val="clear" w:color="auto" w:fill="FFFFFF"/>
          <w:lang w:eastAsia="zh-CN"/>
        </w:rPr>
        <w:t>项目</w:t>
      </w:r>
      <w:r>
        <w:rPr>
          <w:rFonts w:hint="default" w:ascii="Times New Roman" w:hAnsi="Times New Roman" w:eastAsia="方正仿宋_GBK" w:cs="Times New Roman"/>
          <w:color w:val="auto"/>
          <w:sz w:val="32"/>
          <w:szCs w:val="32"/>
          <w:shd w:val="clear" w:color="auto" w:fill="FFFFFF"/>
        </w:rPr>
        <w:t>开展了绩效评价，涉及财政拨款项目资金</w:t>
      </w:r>
      <w:r>
        <w:rPr>
          <w:rFonts w:hint="default" w:ascii="Times New Roman" w:hAnsi="Times New Roman" w:eastAsia="方正仿宋_GBK" w:cs="Times New Roman"/>
          <w:color w:val="auto"/>
          <w:sz w:val="32"/>
          <w:szCs w:val="32"/>
          <w:shd w:val="clear" w:color="auto" w:fill="FFFFFF"/>
          <w:lang w:val="en-US" w:eastAsia="zh-CN"/>
        </w:rPr>
        <w:t>12.10</w:t>
      </w:r>
      <w:r>
        <w:rPr>
          <w:rFonts w:hint="default" w:ascii="Times New Roman" w:hAnsi="Times New Roman" w:eastAsia="方正仿宋_GBK" w:cs="Times New Roman"/>
          <w:color w:val="auto"/>
          <w:sz w:val="32"/>
          <w:szCs w:val="32"/>
          <w:shd w:val="clear" w:color="auto" w:fill="FFFFFF"/>
        </w:rPr>
        <w:t>万元，评价得分</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分，评价等次为</w:t>
      </w:r>
      <w:r>
        <w:rPr>
          <w:rFonts w:hint="default" w:ascii="Times New Roman" w:hAnsi="Times New Roman" w:eastAsia="方正仿宋_GBK" w:cs="Times New Roman"/>
          <w:color w:val="auto"/>
          <w:sz w:val="32"/>
          <w:szCs w:val="32"/>
          <w:shd w:val="clear" w:color="auto" w:fill="FFFFFF"/>
          <w:lang w:eastAsia="zh-CN"/>
        </w:rPr>
        <w:t>优；</w:t>
      </w:r>
      <w:r>
        <w:rPr>
          <w:rFonts w:hint="default" w:ascii="Times New Roman" w:hAnsi="Times New Roman" w:eastAsia="方正仿宋_GBK" w:cs="Times New Roman"/>
          <w:color w:val="auto"/>
          <w:sz w:val="32"/>
          <w:szCs w:val="32"/>
          <w:shd w:val="clear" w:color="auto" w:fill="FFFFFF"/>
        </w:rPr>
        <w:t>对医疗服务与保障能力提升补助资金（医疗保障服务能力提升部分）</w:t>
      </w:r>
      <w:r>
        <w:rPr>
          <w:rFonts w:hint="default" w:ascii="Times New Roman" w:hAnsi="Times New Roman" w:eastAsia="方正仿宋_GBK" w:cs="Times New Roman"/>
          <w:color w:val="auto"/>
          <w:sz w:val="32"/>
          <w:szCs w:val="32"/>
          <w:shd w:val="clear" w:color="auto" w:fill="FFFFFF"/>
          <w:lang w:eastAsia="zh-CN"/>
        </w:rPr>
        <w:t>项目</w:t>
      </w:r>
      <w:r>
        <w:rPr>
          <w:rFonts w:hint="default" w:ascii="Times New Roman" w:hAnsi="Times New Roman" w:eastAsia="方正仿宋_GBK" w:cs="Times New Roman"/>
          <w:color w:val="auto"/>
          <w:sz w:val="32"/>
          <w:szCs w:val="32"/>
          <w:shd w:val="clear" w:color="auto" w:fill="FFFFFF"/>
        </w:rPr>
        <w:t>开展了绩效评价，涉及财政拨款项目资金</w:t>
      </w:r>
      <w:r>
        <w:rPr>
          <w:rFonts w:hint="default" w:ascii="Times New Roman" w:hAnsi="Times New Roman" w:eastAsia="方正仿宋_GBK" w:cs="Times New Roman"/>
          <w:color w:val="auto"/>
          <w:sz w:val="32"/>
          <w:szCs w:val="32"/>
          <w:shd w:val="clear" w:color="auto" w:fill="FFFFFF"/>
          <w:lang w:val="en-US" w:eastAsia="zh-CN"/>
        </w:rPr>
        <w:t>147.88</w:t>
      </w:r>
      <w:r>
        <w:rPr>
          <w:rFonts w:hint="default" w:ascii="Times New Roman" w:hAnsi="Times New Roman" w:eastAsia="方正仿宋_GBK" w:cs="Times New Roman"/>
          <w:color w:val="auto"/>
          <w:sz w:val="32"/>
          <w:szCs w:val="32"/>
          <w:shd w:val="clear" w:color="auto" w:fill="FFFFFF"/>
        </w:rPr>
        <w:t>万元，评价得分</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分，评价等次为</w:t>
      </w:r>
      <w:r>
        <w:rPr>
          <w:rFonts w:hint="default" w:ascii="Times New Roman" w:hAnsi="Times New Roman" w:eastAsia="方正仿宋_GBK" w:cs="Times New Roman"/>
          <w:color w:val="auto"/>
          <w:sz w:val="32"/>
          <w:szCs w:val="32"/>
          <w:shd w:val="clear" w:color="auto" w:fill="FFFFFF"/>
          <w:lang w:eastAsia="zh-CN"/>
        </w:rPr>
        <w:t>优；</w:t>
      </w:r>
      <w:r>
        <w:rPr>
          <w:rFonts w:hint="default" w:ascii="Times New Roman" w:hAnsi="Times New Roman" w:eastAsia="方正仿宋_GBK" w:cs="Times New Roman"/>
          <w:color w:val="auto"/>
          <w:sz w:val="32"/>
          <w:szCs w:val="32"/>
          <w:shd w:val="clear" w:color="auto" w:fill="FFFFFF"/>
        </w:rPr>
        <w:t>对2022年医疗服务与保障能力提升（医疗保障能力建设部分）中央补助资金</w:t>
      </w:r>
      <w:r>
        <w:rPr>
          <w:rFonts w:hint="default" w:ascii="Times New Roman" w:hAnsi="Times New Roman" w:eastAsia="方正仿宋_GBK" w:cs="Times New Roman"/>
          <w:color w:val="auto"/>
          <w:sz w:val="32"/>
          <w:szCs w:val="32"/>
          <w:shd w:val="clear" w:color="auto" w:fill="FFFFFF"/>
          <w:lang w:eastAsia="zh-CN"/>
        </w:rPr>
        <w:t>项目</w:t>
      </w:r>
      <w:r>
        <w:rPr>
          <w:rFonts w:hint="default" w:ascii="Times New Roman" w:hAnsi="Times New Roman" w:eastAsia="方正仿宋_GBK" w:cs="Times New Roman"/>
          <w:color w:val="auto"/>
          <w:sz w:val="32"/>
          <w:szCs w:val="32"/>
          <w:shd w:val="clear" w:color="auto" w:fill="FFFFFF"/>
        </w:rPr>
        <w:t>开展了绩效评价，涉及财政拨款项目资金</w:t>
      </w:r>
      <w:r>
        <w:rPr>
          <w:rFonts w:hint="default" w:ascii="Times New Roman" w:hAnsi="Times New Roman" w:eastAsia="方正仿宋_GBK" w:cs="Times New Roman"/>
          <w:color w:val="auto"/>
          <w:sz w:val="32"/>
          <w:szCs w:val="32"/>
          <w:shd w:val="clear" w:color="auto" w:fill="FFFFFF"/>
          <w:lang w:val="en-US" w:eastAsia="zh-CN"/>
        </w:rPr>
        <w:t>6.00</w:t>
      </w:r>
      <w:r>
        <w:rPr>
          <w:rFonts w:hint="default" w:ascii="Times New Roman" w:hAnsi="Times New Roman" w:eastAsia="方正仿宋_GBK" w:cs="Times New Roman"/>
          <w:color w:val="auto"/>
          <w:sz w:val="32"/>
          <w:szCs w:val="32"/>
          <w:shd w:val="clear" w:color="auto" w:fill="FFFFFF"/>
        </w:rPr>
        <w:t>万元，评价得分</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分，评价等次为</w:t>
      </w:r>
      <w:r>
        <w:rPr>
          <w:rFonts w:hint="default" w:ascii="Times New Roman" w:hAnsi="Times New Roman" w:eastAsia="方正仿宋_GBK" w:cs="Times New Roman"/>
          <w:color w:val="auto"/>
          <w:sz w:val="32"/>
          <w:szCs w:val="32"/>
          <w:shd w:val="clear" w:color="auto" w:fill="FFFFFF"/>
          <w:lang w:eastAsia="zh-CN"/>
        </w:rPr>
        <w:t>优；</w:t>
      </w:r>
      <w:r>
        <w:rPr>
          <w:rFonts w:hint="default" w:ascii="Times New Roman" w:hAnsi="Times New Roman" w:eastAsia="方正仿宋_GBK" w:cs="Times New Roman"/>
          <w:color w:val="auto"/>
          <w:sz w:val="32"/>
          <w:szCs w:val="32"/>
          <w:shd w:val="clear" w:color="auto" w:fill="FFFFFF"/>
        </w:rPr>
        <w:t>对</w:t>
      </w:r>
      <w:r>
        <w:rPr>
          <w:rFonts w:hint="default" w:ascii="Times New Roman" w:hAnsi="Times New Roman" w:eastAsia="方正仿宋_GBK" w:cs="Times New Roman"/>
          <w:color w:val="auto"/>
          <w:sz w:val="32"/>
          <w:szCs w:val="32"/>
          <w:shd w:val="clear" w:color="auto" w:fill="FFFFFF"/>
          <w:lang w:eastAsia="zh-CN"/>
        </w:rPr>
        <w:t>城乡居民基本医疗保险工作项目</w:t>
      </w:r>
      <w:r>
        <w:rPr>
          <w:rFonts w:hint="default" w:ascii="Times New Roman" w:hAnsi="Times New Roman" w:eastAsia="方正仿宋_GBK" w:cs="Times New Roman"/>
          <w:color w:val="auto"/>
          <w:sz w:val="32"/>
          <w:szCs w:val="32"/>
          <w:shd w:val="clear" w:color="auto" w:fill="FFFFFF"/>
        </w:rPr>
        <w:t>开展了绩效评价，涉及财政拨款项目资金</w:t>
      </w:r>
      <w:r>
        <w:rPr>
          <w:rFonts w:hint="default" w:ascii="Times New Roman" w:hAnsi="Times New Roman" w:eastAsia="方正仿宋_GBK" w:cs="Times New Roman"/>
          <w:color w:val="auto"/>
          <w:sz w:val="32"/>
          <w:szCs w:val="32"/>
          <w:shd w:val="clear" w:color="auto" w:fill="FFFFFF"/>
          <w:lang w:val="en-US" w:eastAsia="zh-CN"/>
        </w:rPr>
        <w:t>28.00</w:t>
      </w:r>
      <w:r>
        <w:rPr>
          <w:rFonts w:hint="default" w:ascii="Times New Roman" w:hAnsi="Times New Roman" w:eastAsia="方正仿宋_GBK" w:cs="Times New Roman"/>
          <w:color w:val="auto"/>
          <w:sz w:val="32"/>
          <w:szCs w:val="32"/>
          <w:shd w:val="clear" w:color="auto" w:fill="FFFFFF"/>
        </w:rPr>
        <w:t>万元，评价得分</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分，评价等次为</w:t>
      </w:r>
      <w:r>
        <w:rPr>
          <w:rFonts w:hint="default" w:ascii="Times New Roman" w:hAnsi="Times New Roman" w:eastAsia="方正仿宋_GBK" w:cs="Times New Roman"/>
          <w:color w:val="auto"/>
          <w:sz w:val="32"/>
          <w:szCs w:val="32"/>
          <w:shd w:val="clear" w:color="auto" w:fill="FFFFFF"/>
          <w:lang w:eastAsia="zh-CN"/>
        </w:rPr>
        <w:t>优；对企业离退干部老干部伤残军人医疗补助项目</w:t>
      </w:r>
      <w:r>
        <w:rPr>
          <w:rFonts w:hint="default" w:ascii="Times New Roman" w:hAnsi="Times New Roman" w:eastAsia="方正仿宋_GBK" w:cs="Times New Roman"/>
          <w:color w:val="auto"/>
          <w:sz w:val="32"/>
          <w:szCs w:val="32"/>
          <w:shd w:val="clear" w:color="auto" w:fill="FFFFFF"/>
        </w:rPr>
        <w:t>开展了绩效评价，涉及财政拨款项目资金</w:t>
      </w:r>
      <w:r>
        <w:rPr>
          <w:rFonts w:hint="default" w:ascii="Times New Roman" w:hAnsi="Times New Roman" w:eastAsia="方正仿宋_GBK" w:cs="Times New Roman"/>
          <w:color w:val="auto"/>
          <w:sz w:val="32"/>
          <w:szCs w:val="32"/>
          <w:shd w:val="clear" w:color="auto" w:fill="FFFFFF"/>
          <w:lang w:val="en-US" w:eastAsia="zh-CN"/>
        </w:rPr>
        <w:t>200.00</w:t>
      </w:r>
      <w:r>
        <w:rPr>
          <w:rFonts w:hint="default" w:ascii="Times New Roman" w:hAnsi="Times New Roman" w:eastAsia="方正仿宋_GBK" w:cs="Times New Roman"/>
          <w:color w:val="auto"/>
          <w:sz w:val="32"/>
          <w:szCs w:val="32"/>
          <w:shd w:val="clear" w:color="auto" w:fill="FFFFFF"/>
        </w:rPr>
        <w:t>万元，评价得分</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分，评价等次为</w:t>
      </w:r>
      <w:r>
        <w:rPr>
          <w:rFonts w:hint="default" w:ascii="Times New Roman" w:hAnsi="Times New Roman" w:eastAsia="方正仿宋_GBK" w:cs="Times New Roman"/>
          <w:color w:val="auto"/>
          <w:sz w:val="32"/>
          <w:szCs w:val="32"/>
          <w:shd w:val="clear" w:color="auto" w:fill="FFFFFF"/>
          <w:lang w:eastAsia="zh-CN"/>
        </w:rPr>
        <w:t>优；对医疗救助基金项目（2021年中国农业银行第一批）项目</w:t>
      </w:r>
      <w:r>
        <w:rPr>
          <w:rFonts w:hint="default" w:ascii="Times New Roman" w:hAnsi="Times New Roman" w:eastAsia="方正仿宋_GBK" w:cs="Times New Roman"/>
          <w:color w:val="auto"/>
          <w:sz w:val="32"/>
          <w:szCs w:val="32"/>
          <w:shd w:val="clear" w:color="auto" w:fill="FFFFFF"/>
        </w:rPr>
        <w:t>开展了绩效评价，涉及财政拨款项目资金</w:t>
      </w:r>
      <w:r>
        <w:rPr>
          <w:rFonts w:hint="default" w:ascii="Times New Roman" w:hAnsi="Times New Roman" w:eastAsia="方正仿宋_GBK" w:cs="Times New Roman"/>
          <w:color w:val="auto"/>
          <w:sz w:val="32"/>
          <w:szCs w:val="32"/>
          <w:shd w:val="clear" w:color="auto" w:fill="FFFFFF"/>
          <w:lang w:val="en-US" w:eastAsia="zh-CN"/>
        </w:rPr>
        <w:t>22.43</w:t>
      </w:r>
      <w:r>
        <w:rPr>
          <w:rFonts w:hint="default" w:ascii="Times New Roman" w:hAnsi="Times New Roman" w:eastAsia="方正仿宋_GBK" w:cs="Times New Roman"/>
          <w:color w:val="auto"/>
          <w:sz w:val="32"/>
          <w:szCs w:val="32"/>
          <w:shd w:val="clear" w:color="auto" w:fill="FFFFFF"/>
        </w:rPr>
        <w:t>万元，评价得分</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分，评价等次为</w:t>
      </w:r>
      <w:r>
        <w:rPr>
          <w:rFonts w:hint="default" w:ascii="Times New Roman" w:hAnsi="Times New Roman" w:eastAsia="方正仿宋_GBK" w:cs="Times New Roman"/>
          <w:color w:val="auto"/>
          <w:sz w:val="32"/>
          <w:szCs w:val="32"/>
          <w:shd w:val="clear" w:color="auto" w:fill="FFFFFF"/>
          <w:lang w:eastAsia="zh-CN"/>
        </w:rPr>
        <w:t>优；对秀山县2022年医疗救助项目（2022年中国农业银行第二批）项目</w:t>
      </w:r>
      <w:r>
        <w:rPr>
          <w:rFonts w:hint="default" w:ascii="Times New Roman" w:hAnsi="Times New Roman" w:eastAsia="方正仿宋_GBK" w:cs="Times New Roman"/>
          <w:color w:val="auto"/>
          <w:sz w:val="32"/>
          <w:szCs w:val="32"/>
          <w:shd w:val="clear" w:color="auto" w:fill="FFFFFF"/>
        </w:rPr>
        <w:t>开展了绩效评价，涉及财政拨款项目资金</w:t>
      </w:r>
      <w:r>
        <w:rPr>
          <w:rFonts w:hint="default" w:ascii="Times New Roman" w:hAnsi="Times New Roman" w:eastAsia="方正仿宋_GBK" w:cs="Times New Roman"/>
          <w:color w:val="auto"/>
          <w:sz w:val="32"/>
          <w:szCs w:val="32"/>
          <w:shd w:val="clear" w:color="auto" w:fill="FFFFFF"/>
          <w:lang w:val="en-US" w:eastAsia="zh-CN"/>
        </w:rPr>
        <w:t>100.00</w:t>
      </w:r>
      <w:r>
        <w:rPr>
          <w:rFonts w:hint="default" w:ascii="Times New Roman" w:hAnsi="Times New Roman" w:eastAsia="方正仿宋_GBK" w:cs="Times New Roman"/>
          <w:color w:val="auto"/>
          <w:sz w:val="32"/>
          <w:szCs w:val="32"/>
          <w:shd w:val="clear" w:color="auto" w:fill="FFFFFF"/>
        </w:rPr>
        <w:t>万元，评价得分</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分，评价等次为</w:t>
      </w:r>
      <w:r>
        <w:rPr>
          <w:rFonts w:hint="default" w:ascii="Times New Roman" w:hAnsi="Times New Roman" w:eastAsia="方正仿宋_GBK" w:cs="Times New Roman"/>
          <w:color w:val="auto"/>
          <w:sz w:val="32"/>
          <w:szCs w:val="32"/>
          <w:shd w:val="clear" w:color="auto" w:fill="FFFFFF"/>
          <w:lang w:eastAsia="zh-CN"/>
        </w:rPr>
        <w:t>优；对2023年医疗救助项目（2023年德州帮扶）项目</w:t>
      </w:r>
      <w:r>
        <w:rPr>
          <w:rFonts w:hint="default" w:ascii="Times New Roman" w:hAnsi="Times New Roman" w:eastAsia="方正仿宋_GBK" w:cs="Times New Roman"/>
          <w:color w:val="auto"/>
          <w:sz w:val="32"/>
          <w:szCs w:val="32"/>
          <w:shd w:val="clear" w:color="auto" w:fill="FFFFFF"/>
        </w:rPr>
        <w:t>开展了绩效评价，涉及财政拨款项目资金</w:t>
      </w:r>
      <w:r>
        <w:rPr>
          <w:rFonts w:hint="default" w:ascii="Times New Roman" w:hAnsi="Times New Roman" w:eastAsia="方正仿宋_GBK" w:cs="Times New Roman"/>
          <w:color w:val="auto"/>
          <w:sz w:val="32"/>
          <w:szCs w:val="32"/>
          <w:shd w:val="clear" w:color="auto" w:fill="FFFFFF"/>
          <w:lang w:val="en-US" w:eastAsia="zh-CN"/>
        </w:rPr>
        <w:t>90.00</w:t>
      </w:r>
      <w:r>
        <w:rPr>
          <w:rFonts w:hint="default" w:ascii="Times New Roman" w:hAnsi="Times New Roman" w:eastAsia="方正仿宋_GBK" w:cs="Times New Roman"/>
          <w:color w:val="auto"/>
          <w:sz w:val="32"/>
          <w:szCs w:val="32"/>
          <w:shd w:val="clear" w:color="auto" w:fill="FFFFFF"/>
        </w:rPr>
        <w:t>万元，评价得分</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分，评价等次为</w:t>
      </w:r>
      <w:r>
        <w:rPr>
          <w:rFonts w:hint="default" w:ascii="Times New Roman" w:hAnsi="Times New Roman" w:eastAsia="方正仿宋_GBK" w:cs="Times New Roman"/>
          <w:color w:val="auto"/>
          <w:sz w:val="32"/>
          <w:szCs w:val="32"/>
          <w:shd w:val="clear" w:color="auto" w:fill="FFFFFF"/>
          <w:lang w:eastAsia="zh-CN"/>
        </w:rPr>
        <w:t>优；对2023年脱贫人口城乡居民医疗保险参保补贴项目</w:t>
      </w:r>
      <w:r>
        <w:rPr>
          <w:rFonts w:hint="default" w:ascii="Times New Roman" w:hAnsi="Times New Roman" w:eastAsia="方正仿宋_GBK" w:cs="Times New Roman"/>
          <w:color w:val="auto"/>
          <w:sz w:val="32"/>
          <w:szCs w:val="32"/>
          <w:shd w:val="clear" w:color="auto" w:fill="FFFFFF"/>
        </w:rPr>
        <w:t>开展了绩效评价，涉及财政拨款项目资金</w:t>
      </w:r>
      <w:r>
        <w:rPr>
          <w:rFonts w:hint="default" w:ascii="Times New Roman" w:hAnsi="Times New Roman" w:eastAsia="方正仿宋_GBK" w:cs="Times New Roman"/>
          <w:color w:val="auto"/>
          <w:sz w:val="32"/>
          <w:szCs w:val="32"/>
          <w:shd w:val="clear" w:color="auto" w:fill="FFFFFF"/>
          <w:lang w:val="en-US" w:eastAsia="zh-CN"/>
        </w:rPr>
        <w:t>252.99</w:t>
      </w:r>
      <w:r>
        <w:rPr>
          <w:rFonts w:hint="default" w:ascii="Times New Roman" w:hAnsi="Times New Roman" w:eastAsia="方正仿宋_GBK" w:cs="Times New Roman"/>
          <w:color w:val="auto"/>
          <w:sz w:val="32"/>
          <w:szCs w:val="32"/>
          <w:shd w:val="clear" w:color="auto" w:fill="FFFFFF"/>
        </w:rPr>
        <w:t>万元，评价得分</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分，评价等次为</w:t>
      </w:r>
      <w:r>
        <w:rPr>
          <w:rFonts w:hint="default" w:ascii="Times New Roman" w:hAnsi="Times New Roman" w:eastAsia="方正仿宋_GBK" w:cs="Times New Roman"/>
          <w:color w:val="auto"/>
          <w:sz w:val="32"/>
          <w:szCs w:val="32"/>
          <w:shd w:val="clear" w:color="auto" w:fill="FFFFFF"/>
          <w:lang w:eastAsia="zh-CN"/>
        </w:rPr>
        <w:t>优；对秀山县2023年医疗救助基金项目（2023年中国农业银行第一批）项目</w:t>
      </w:r>
      <w:r>
        <w:rPr>
          <w:rFonts w:hint="default" w:ascii="Times New Roman" w:hAnsi="Times New Roman" w:eastAsia="方正仿宋_GBK" w:cs="Times New Roman"/>
          <w:color w:val="auto"/>
          <w:sz w:val="32"/>
          <w:szCs w:val="32"/>
          <w:shd w:val="clear" w:color="auto" w:fill="FFFFFF"/>
        </w:rPr>
        <w:t>开展了绩效评价，涉及财政拨款项目资金</w:t>
      </w:r>
      <w:r>
        <w:rPr>
          <w:rFonts w:hint="default" w:ascii="Times New Roman" w:hAnsi="Times New Roman" w:eastAsia="方正仿宋_GBK" w:cs="Times New Roman"/>
          <w:color w:val="auto"/>
          <w:sz w:val="32"/>
          <w:szCs w:val="32"/>
          <w:shd w:val="clear" w:color="auto" w:fill="FFFFFF"/>
          <w:lang w:val="en-US" w:eastAsia="zh-CN"/>
        </w:rPr>
        <w:t>1.41</w:t>
      </w:r>
      <w:r>
        <w:rPr>
          <w:rFonts w:hint="default" w:ascii="Times New Roman" w:hAnsi="Times New Roman" w:eastAsia="方正仿宋_GBK" w:cs="Times New Roman"/>
          <w:color w:val="auto"/>
          <w:sz w:val="32"/>
          <w:szCs w:val="32"/>
          <w:shd w:val="clear" w:color="auto" w:fill="FFFFFF"/>
        </w:rPr>
        <w:t>万元，评价得分</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分，评价等次为</w:t>
      </w:r>
      <w:r>
        <w:rPr>
          <w:rFonts w:hint="default" w:ascii="Times New Roman" w:hAnsi="Times New Roman" w:eastAsia="方正仿宋_GBK" w:cs="Times New Roman"/>
          <w:color w:val="auto"/>
          <w:sz w:val="32"/>
          <w:szCs w:val="32"/>
          <w:shd w:val="clear" w:color="auto" w:fill="FFFFFF"/>
          <w:lang w:eastAsia="zh-CN"/>
        </w:rPr>
        <w:t>优；</w:t>
      </w:r>
      <w:r>
        <w:rPr>
          <w:rFonts w:hint="default" w:ascii="Times New Roman" w:hAnsi="Times New Roman" w:eastAsia="方正仿宋_GBK" w:cs="Times New Roman"/>
          <w:color w:val="auto"/>
          <w:sz w:val="32"/>
          <w:szCs w:val="32"/>
          <w:shd w:val="clear" w:color="auto" w:fill="FFFFFF"/>
        </w:rPr>
        <w:t>下一步</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zh-CN" w:eastAsia="zh-CN"/>
        </w:rPr>
        <w:t>我单位将持续推进项目实施，充分考虑专项资金支出平均性，加强预算执行管理，根据工作开展情况合理调整支出进度，加强业务培训，多层次、多类别组织开展经办业务、执法能力提升培训，切实保障我县医保服务能力迈上新台阶。</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outlineLvl w:val="9"/>
        <w:rPr>
          <w:rStyle w:val="10"/>
          <w:rFonts w:hint="default" w:ascii="Times New Roman" w:hAnsi="Times New Roman" w:eastAsia="方正楷体_GBK" w:cs="Times New Roman"/>
          <w:b w:val="0"/>
          <w:bCs/>
          <w:color w:val="auto"/>
          <w:sz w:val="32"/>
          <w:szCs w:val="32"/>
          <w:shd w:val="clear" w:color="auto" w:fill="FFFFFF"/>
        </w:rPr>
      </w:pPr>
      <w:r>
        <w:rPr>
          <w:rStyle w:val="10"/>
          <w:rFonts w:hint="default" w:ascii="Times New Roman" w:hAnsi="Times New Roman" w:eastAsia="方正楷体_GBK" w:cs="Times New Roman"/>
          <w:b w:val="0"/>
          <w:bCs/>
          <w:color w:val="auto"/>
          <w:sz w:val="32"/>
          <w:szCs w:val="32"/>
          <w:shd w:val="clear" w:color="auto" w:fill="FFFFFF"/>
        </w:rPr>
        <w:t>（三）财政绩效评价情况</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lang w:eastAsia="zh-CN"/>
        </w:rPr>
        <w:t>县</w:t>
      </w:r>
      <w:r>
        <w:rPr>
          <w:rFonts w:hint="default" w:ascii="Times New Roman" w:hAnsi="Times New Roman" w:eastAsia="方正仿宋_GBK" w:cs="Times New Roman"/>
          <w:color w:val="auto"/>
          <w:sz w:val="32"/>
          <w:szCs w:val="32"/>
          <w:shd w:val="clear" w:color="auto" w:fill="FFFFFF"/>
        </w:rPr>
        <w:t>财政局未委托第三方对我单位开展绩效评价。</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outlineLvl w:val="9"/>
        <w:rPr>
          <w:rStyle w:val="10"/>
          <w:rFonts w:hint="default" w:ascii="Times New Roman" w:hAnsi="Times New Roman" w:eastAsia="方正黑体_GBK" w:cs="Times New Roman"/>
          <w:b w:val="0"/>
          <w:bCs/>
          <w:color w:val="auto"/>
          <w:sz w:val="32"/>
          <w:szCs w:val="32"/>
          <w:shd w:val="clear" w:color="auto" w:fill="FFFFFF"/>
        </w:rPr>
      </w:pPr>
      <w:r>
        <w:rPr>
          <w:rStyle w:val="10"/>
          <w:rFonts w:hint="default" w:ascii="Times New Roman" w:hAnsi="Times New Roman" w:eastAsia="方正黑体_GBK" w:cs="Times New Roman"/>
          <w:b w:val="0"/>
          <w:bCs/>
          <w:color w:val="auto"/>
          <w:sz w:val="32"/>
          <w:szCs w:val="32"/>
          <w:shd w:val="clear" w:color="auto" w:fill="FFFFFF"/>
        </w:rPr>
        <w:t>六、专业名词解释</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3" w:firstLineChars="200"/>
        <w:jc w:val="both"/>
        <w:rPr>
          <w:rFonts w:hint="default" w:ascii="Times New Roman" w:hAnsi="Times New Roman" w:eastAsia="方正仿宋_GBK" w:cs="Times New Roman"/>
          <w:color w:val="auto"/>
          <w:sz w:val="32"/>
          <w:szCs w:val="32"/>
        </w:rPr>
      </w:pPr>
      <w:r>
        <w:rPr>
          <w:rStyle w:val="10"/>
          <w:rFonts w:hint="default" w:ascii="Times New Roman" w:hAnsi="Times New Roman" w:eastAsia="方正楷体_GBK" w:cs="Times New Roman"/>
          <w:color w:val="auto"/>
          <w:sz w:val="32"/>
          <w:szCs w:val="32"/>
          <w:shd w:val="clear" w:color="auto" w:fill="FFFFFF"/>
        </w:rPr>
        <w:t>（一）财政拨款收入：</w:t>
      </w:r>
      <w:r>
        <w:rPr>
          <w:rFonts w:hint="default" w:ascii="Times New Roman" w:hAnsi="Times New Roman" w:eastAsia="方正仿宋_GBK" w:cs="Times New Roman"/>
          <w:color w:val="auto"/>
          <w:sz w:val="32"/>
          <w:szCs w:val="32"/>
          <w:shd w:val="clear" w:color="auto" w:fill="FFFFFF"/>
        </w:rPr>
        <w:t>指本年度从本级财政部门取得的财政拨款，包括一般公共预算财政拨款和政府性基金预算财政拨款。</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3" w:firstLineChars="200"/>
        <w:jc w:val="both"/>
        <w:rPr>
          <w:rFonts w:hint="default" w:ascii="Times New Roman" w:hAnsi="Times New Roman" w:eastAsia="方正仿宋_GBK" w:cs="Times New Roman"/>
          <w:color w:val="auto"/>
          <w:sz w:val="32"/>
          <w:szCs w:val="32"/>
        </w:rPr>
      </w:pPr>
      <w:r>
        <w:rPr>
          <w:rStyle w:val="10"/>
          <w:rFonts w:hint="default" w:ascii="Times New Roman" w:hAnsi="Times New Roman" w:eastAsia="方正楷体_GBK" w:cs="Times New Roman"/>
          <w:color w:val="auto"/>
          <w:sz w:val="32"/>
          <w:szCs w:val="32"/>
          <w:shd w:val="clear" w:color="auto" w:fill="FFFFFF"/>
        </w:rPr>
        <w:t>（二）事业收入：</w:t>
      </w:r>
      <w:r>
        <w:rPr>
          <w:rFonts w:hint="default" w:ascii="Times New Roman" w:hAnsi="Times New Roman" w:eastAsia="方正仿宋_GBK" w:cs="Times New Roman"/>
          <w:color w:val="auto"/>
          <w:sz w:val="32"/>
          <w:szCs w:val="32"/>
          <w:shd w:val="clear" w:color="auto" w:fill="FFFFFF"/>
        </w:rPr>
        <w:t>指事业单位开展专业业务活动及其辅助活动取得的现金流入；事业单位收到的财政专户实际核拨的教育收费等资金在此反映。</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3" w:firstLineChars="200"/>
        <w:jc w:val="both"/>
        <w:rPr>
          <w:rFonts w:hint="default" w:ascii="Times New Roman" w:hAnsi="Times New Roman" w:eastAsia="方正仿宋_GBK" w:cs="Times New Roman"/>
          <w:color w:val="auto"/>
          <w:sz w:val="32"/>
          <w:szCs w:val="32"/>
        </w:rPr>
      </w:pPr>
      <w:r>
        <w:rPr>
          <w:rStyle w:val="10"/>
          <w:rFonts w:hint="default" w:ascii="Times New Roman" w:hAnsi="Times New Roman" w:eastAsia="方正楷体_GBK" w:cs="Times New Roman"/>
          <w:color w:val="auto"/>
          <w:sz w:val="32"/>
          <w:szCs w:val="32"/>
          <w:shd w:val="clear" w:color="auto" w:fill="FFFFFF"/>
        </w:rPr>
        <w:t>（三）经营收入：</w:t>
      </w:r>
      <w:r>
        <w:rPr>
          <w:rFonts w:hint="default" w:ascii="Times New Roman" w:hAnsi="Times New Roman" w:eastAsia="方正仿宋_GBK" w:cs="Times New Roman"/>
          <w:color w:val="auto"/>
          <w:sz w:val="32"/>
          <w:szCs w:val="32"/>
          <w:shd w:val="clear" w:color="auto" w:fill="FFFFFF"/>
        </w:rPr>
        <w:t>指事业单位在专业业务活动及其辅助活动之外开展非独立核算经营活动取得的现金流入。</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3" w:firstLineChars="200"/>
        <w:jc w:val="both"/>
        <w:rPr>
          <w:rFonts w:hint="default" w:ascii="Times New Roman" w:hAnsi="Times New Roman" w:eastAsia="方正仿宋_GBK" w:cs="Times New Roman"/>
          <w:color w:val="auto"/>
          <w:sz w:val="32"/>
          <w:szCs w:val="32"/>
        </w:rPr>
      </w:pPr>
      <w:r>
        <w:rPr>
          <w:rStyle w:val="10"/>
          <w:rFonts w:hint="default" w:ascii="Times New Roman" w:hAnsi="Times New Roman" w:eastAsia="方正楷体_GBK" w:cs="Times New Roman"/>
          <w:color w:val="auto"/>
          <w:sz w:val="32"/>
          <w:szCs w:val="32"/>
          <w:shd w:val="clear" w:color="auto" w:fill="FFFFFF"/>
        </w:rPr>
        <w:t>（四）其他收入：</w:t>
      </w:r>
      <w:r>
        <w:rPr>
          <w:rFonts w:hint="default" w:ascii="Times New Roman" w:hAnsi="Times New Roman" w:eastAsia="方正仿宋_GBK" w:cs="Times New Roman"/>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3" w:firstLineChars="200"/>
        <w:jc w:val="both"/>
        <w:rPr>
          <w:rFonts w:hint="default" w:ascii="Times New Roman" w:hAnsi="Times New Roman" w:eastAsia="方正仿宋_GBK" w:cs="Times New Roman"/>
          <w:color w:val="auto"/>
          <w:sz w:val="32"/>
          <w:szCs w:val="32"/>
        </w:rPr>
      </w:pPr>
      <w:r>
        <w:rPr>
          <w:rStyle w:val="10"/>
          <w:rFonts w:hint="default" w:ascii="Times New Roman" w:hAnsi="Times New Roman" w:eastAsia="方正楷体_GBK" w:cs="Times New Roman"/>
          <w:color w:val="auto"/>
          <w:sz w:val="32"/>
          <w:szCs w:val="32"/>
          <w:shd w:val="clear" w:color="auto" w:fill="FFFFFF"/>
        </w:rPr>
        <w:t>（五）使用非财政拨款结余：</w:t>
      </w:r>
      <w:r>
        <w:rPr>
          <w:rFonts w:hint="default" w:ascii="Times New Roman" w:hAnsi="Times New Roman" w:eastAsia="方正仿宋_GBK" w:cs="Times New Roman"/>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3" w:firstLineChars="200"/>
        <w:jc w:val="both"/>
        <w:rPr>
          <w:rFonts w:hint="default" w:ascii="Times New Roman" w:hAnsi="Times New Roman" w:eastAsia="方正仿宋_GBK" w:cs="Times New Roman"/>
          <w:color w:val="auto"/>
          <w:sz w:val="32"/>
          <w:szCs w:val="32"/>
        </w:rPr>
      </w:pPr>
      <w:r>
        <w:rPr>
          <w:rStyle w:val="10"/>
          <w:rFonts w:hint="default" w:ascii="Times New Roman" w:hAnsi="Times New Roman" w:eastAsia="方正楷体_GBK" w:cs="Times New Roman"/>
          <w:color w:val="auto"/>
          <w:sz w:val="32"/>
          <w:szCs w:val="32"/>
          <w:shd w:val="clear" w:color="auto" w:fill="FFFFFF"/>
        </w:rPr>
        <w:t>（六）年初结转和结余：</w:t>
      </w:r>
      <w:r>
        <w:rPr>
          <w:rFonts w:hint="default" w:ascii="Times New Roman" w:hAnsi="Times New Roman" w:eastAsia="方正仿宋_GBK" w:cs="Times New Roman"/>
          <w:color w:val="auto"/>
          <w:sz w:val="32"/>
          <w:szCs w:val="32"/>
          <w:shd w:val="clear" w:color="auto" w:fill="FFFFFF"/>
        </w:rPr>
        <w:t>指单位上年结转本年使用的基本支出结转、项目支出结转和结余、经营结余。</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3" w:firstLineChars="200"/>
        <w:jc w:val="both"/>
        <w:rPr>
          <w:rFonts w:hint="default" w:ascii="Times New Roman" w:hAnsi="Times New Roman" w:eastAsia="方正仿宋_GBK" w:cs="Times New Roman"/>
          <w:color w:val="auto"/>
          <w:sz w:val="32"/>
          <w:szCs w:val="32"/>
        </w:rPr>
      </w:pPr>
      <w:r>
        <w:rPr>
          <w:rStyle w:val="10"/>
          <w:rFonts w:hint="default" w:ascii="Times New Roman" w:hAnsi="Times New Roman" w:eastAsia="方正楷体_GBK" w:cs="Times New Roman"/>
          <w:color w:val="auto"/>
          <w:sz w:val="32"/>
          <w:szCs w:val="32"/>
          <w:shd w:val="clear" w:color="auto" w:fill="FFFFFF"/>
        </w:rPr>
        <w:t>（七）结余分配：</w:t>
      </w:r>
      <w:r>
        <w:rPr>
          <w:rFonts w:hint="default" w:ascii="Times New Roman" w:hAnsi="Times New Roman" w:eastAsia="方正仿宋_GBK" w:cs="Times New Roman"/>
          <w:color w:val="auto"/>
          <w:sz w:val="32"/>
          <w:szCs w:val="32"/>
          <w:shd w:val="clear" w:color="auto" w:fill="FFFFFF"/>
        </w:rPr>
        <w:t>指单位按照国家有关规定，缴纳所得税、提取专用基金、转入非财政拨款结余等当年结余的分配情况。</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3" w:firstLineChars="200"/>
        <w:jc w:val="both"/>
        <w:rPr>
          <w:rFonts w:hint="default" w:ascii="Times New Roman" w:hAnsi="Times New Roman" w:eastAsia="方正仿宋_GBK" w:cs="Times New Roman"/>
          <w:color w:val="auto"/>
          <w:sz w:val="32"/>
          <w:szCs w:val="32"/>
        </w:rPr>
      </w:pPr>
      <w:r>
        <w:rPr>
          <w:rStyle w:val="10"/>
          <w:rFonts w:hint="default" w:ascii="Times New Roman" w:hAnsi="Times New Roman" w:eastAsia="方正楷体_GBK" w:cs="Times New Roman"/>
          <w:color w:val="auto"/>
          <w:sz w:val="32"/>
          <w:szCs w:val="32"/>
          <w:shd w:val="clear" w:color="auto" w:fill="FFFFFF"/>
        </w:rPr>
        <w:t>（八）年末结转和结余：</w:t>
      </w:r>
      <w:r>
        <w:rPr>
          <w:rFonts w:hint="default" w:ascii="Times New Roman" w:hAnsi="Times New Roman" w:eastAsia="方正仿宋_GBK" w:cs="Times New Roman"/>
          <w:color w:val="auto"/>
          <w:sz w:val="32"/>
          <w:szCs w:val="32"/>
          <w:shd w:val="clear" w:color="auto" w:fill="FFFFFF"/>
        </w:rPr>
        <w:t>指单位结转下年的基本支出结转、项目支出结转和结余、经营结余。</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3" w:firstLineChars="200"/>
        <w:jc w:val="both"/>
        <w:rPr>
          <w:rFonts w:hint="default" w:ascii="Times New Roman" w:hAnsi="Times New Roman" w:eastAsia="方正仿宋_GBK" w:cs="Times New Roman"/>
          <w:color w:val="auto"/>
          <w:sz w:val="32"/>
          <w:szCs w:val="32"/>
        </w:rPr>
      </w:pPr>
      <w:r>
        <w:rPr>
          <w:rStyle w:val="10"/>
          <w:rFonts w:hint="default" w:ascii="Times New Roman" w:hAnsi="Times New Roman" w:eastAsia="方正楷体_GBK" w:cs="Times New Roman"/>
          <w:color w:val="auto"/>
          <w:sz w:val="32"/>
          <w:szCs w:val="32"/>
          <w:shd w:val="clear" w:color="auto" w:fill="FFFFFF"/>
        </w:rPr>
        <w:t>（九）基本支出：</w:t>
      </w:r>
      <w:r>
        <w:rPr>
          <w:rFonts w:hint="default" w:ascii="Times New Roman" w:hAnsi="Times New Roman" w:eastAsia="方正仿宋_GBK" w:cs="Times New Roman"/>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3" w:firstLineChars="200"/>
        <w:jc w:val="both"/>
        <w:rPr>
          <w:rFonts w:hint="default" w:ascii="Times New Roman" w:hAnsi="Times New Roman" w:eastAsia="方正仿宋_GBK" w:cs="Times New Roman"/>
          <w:color w:val="auto"/>
          <w:sz w:val="32"/>
          <w:szCs w:val="32"/>
        </w:rPr>
      </w:pPr>
      <w:r>
        <w:rPr>
          <w:rStyle w:val="10"/>
          <w:rFonts w:hint="default" w:ascii="Times New Roman" w:hAnsi="Times New Roman" w:eastAsia="方正楷体_GBK" w:cs="Times New Roman"/>
          <w:color w:val="auto"/>
          <w:sz w:val="32"/>
          <w:szCs w:val="32"/>
          <w:shd w:val="clear" w:color="auto" w:fill="FFFFFF"/>
        </w:rPr>
        <w:t>（十）项目支出：</w:t>
      </w:r>
      <w:r>
        <w:rPr>
          <w:rFonts w:hint="default" w:ascii="Times New Roman" w:hAnsi="Times New Roman" w:eastAsia="方正仿宋_GBK" w:cs="Times New Roman"/>
          <w:color w:val="auto"/>
          <w:sz w:val="32"/>
          <w:szCs w:val="32"/>
          <w:shd w:val="clear" w:color="auto" w:fill="FFFFFF"/>
        </w:rPr>
        <w:t>指在基本支出之外为完成特定行政任务和事业发展目标所发生的支出。</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3" w:firstLineChars="200"/>
        <w:jc w:val="both"/>
        <w:rPr>
          <w:rFonts w:hint="default" w:ascii="Times New Roman" w:hAnsi="Times New Roman" w:eastAsia="方正仿宋_GBK" w:cs="Times New Roman"/>
          <w:color w:val="auto"/>
          <w:sz w:val="32"/>
          <w:szCs w:val="32"/>
        </w:rPr>
      </w:pPr>
      <w:r>
        <w:rPr>
          <w:rStyle w:val="10"/>
          <w:rFonts w:hint="default" w:ascii="Times New Roman" w:hAnsi="Times New Roman" w:eastAsia="方正楷体_GBK" w:cs="Times New Roman"/>
          <w:color w:val="auto"/>
          <w:sz w:val="32"/>
          <w:szCs w:val="32"/>
          <w:shd w:val="clear" w:color="auto" w:fill="FFFFFF"/>
        </w:rPr>
        <w:t>（十一）经营支出：</w:t>
      </w:r>
      <w:r>
        <w:rPr>
          <w:rFonts w:hint="default" w:ascii="Times New Roman" w:hAnsi="Times New Roman" w:eastAsia="方正仿宋_GBK" w:cs="Times New Roman"/>
          <w:color w:val="auto"/>
          <w:sz w:val="32"/>
          <w:szCs w:val="32"/>
          <w:shd w:val="clear" w:color="auto" w:fill="FFFFFF"/>
        </w:rPr>
        <w:t>指事业单位在专业业务活动及其辅助活动之外开展非独立核算经营活动发生的支出。</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3" w:firstLineChars="200"/>
        <w:jc w:val="both"/>
        <w:rPr>
          <w:rFonts w:hint="default" w:ascii="Times New Roman" w:hAnsi="Times New Roman" w:eastAsia="方正仿宋_GBK" w:cs="Times New Roman"/>
          <w:color w:val="auto"/>
          <w:sz w:val="32"/>
          <w:szCs w:val="32"/>
        </w:rPr>
      </w:pPr>
      <w:r>
        <w:rPr>
          <w:rStyle w:val="10"/>
          <w:rFonts w:hint="default" w:ascii="Times New Roman" w:hAnsi="Times New Roman" w:eastAsia="方正楷体_GBK" w:cs="Times New Roman"/>
          <w:color w:val="auto"/>
          <w:sz w:val="32"/>
          <w:szCs w:val="32"/>
          <w:shd w:val="clear" w:color="auto" w:fill="FFFFFF"/>
        </w:rPr>
        <w:t>（十二）“三公”经费：</w:t>
      </w:r>
      <w:r>
        <w:rPr>
          <w:rFonts w:hint="default" w:ascii="Times New Roman" w:hAnsi="Times New Roman" w:eastAsia="方正仿宋_GBK" w:cs="Times New Roman"/>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3" w:firstLineChars="200"/>
        <w:jc w:val="both"/>
        <w:rPr>
          <w:rFonts w:hint="default" w:ascii="Times New Roman" w:hAnsi="Times New Roman" w:eastAsia="方正仿宋_GBK" w:cs="Times New Roman"/>
          <w:color w:val="auto"/>
          <w:sz w:val="32"/>
          <w:szCs w:val="32"/>
        </w:rPr>
      </w:pPr>
      <w:r>
        <w:rPr>
          <w:rStyle w:val="10"/>
          <w:rFonts w:hint="default" w:ascii="Times New Roman" w:hAnsi="Times New Roman" w:eastAsia="方正楷体_GBK" w:cs="Times New Roman"/>
          <w:color w:val="auto"/>
          <w:sz w:val="32"/>
          <w:szCs w:val="32"/>
          <w:shd w:val="clear" w:color="auto" w:fill="FFFFFF"/>
        </w:rPr>
        <w:t>（十三）机关运行经费：</w:t>
      </w:r>
      <w:r>
        <w:rPr>
          <w:rFonts w:hint="default" w:ascii="Times New Roman" w:hAnsi="Times New Roman" w:eastAsia="方正仿宋_GBK" w:cs="Times New Roman"/>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3" w:firstLineChars="200"/>
        <w:jc w:val="both"/>
        <w:rPr>
          <w:rFonts w:hint="default" w:ascii="Times New Roman" w:hAnsi="Times New Roman" w:eastAsia="方正仿宋_GBK" w:cs="Times New Roman"/>
          <w:color w:val="auto"/>
          <w:sz w:val="32"/>
          <w:szCs w:val="32"/>
        </w:rPr>
      </w:pPr>
      <w:r>
        <w:rPr>
          <w:rStyle w:val="10"/>
          <w:rFonts w:hint="default" w:ascii="Times New Roman" w:hAnsi="Times New Roman" w:eastAsia="方正楷体_GBK" w:cs="Times New Roman"/>
          <w:color w:val="auto"/>
          <w:sz w:val="32"/>
          <w:szCs w:val="32"/>
          <w:shd w:val="clear" w:color="auto" w:fill="FFFFFF"/>
        </w:rPr>
        <w:t>（十四）工资福利支出（支出经济分类科目类级）：</w:t>
      </w:r>
      <w:r>
        <w:rPr>
          <w:rFonts w:hint="default" w:ascii="Times New Roman" w:hAnsi="Times New Roman" w:eastAsia="方正仿宋_GBK" w:cs="Times New Roman"/>
          <w:color w:val="auto"/>
          <w:sz w:val="32"/>
          <w:szCs w:val="32"/>
          <w:shd w:val="clear" w:color="auto" w:fill="FFFFFF"/>
        </w:rPr>
        <w:t>反映单位开支的在职职工和编制外长期聘用人员的各类劳动报酬，以及为上述人员缴纳的各项社会保险费等。</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3" w:firstLineChars="200"/>
        <w:jc w:val="both"/>
        <w:rPr>
          <w:rFonts w:hint="default" w:ascii="Times New Roman" w:hAnsi="Times New Roman" w:eastAsia="方正仿宋_GBK" w:cs="Times New Roman"/>
          <w:color w:val="auto"/>
          <w:sz w:val="32"/>
          <w:szCs w:val="32"/>
        </w:rPr>
      </w:pPr>
      <w:r>
        <w:rPr>
          <w:rStyle w:val="10"/>
          <w:rFonts w:hint="default" w:ascii="Times New Roman" w:hAnsi="Times New Roman" w:eastAsia="方正楷体_GBK" w:cs="Times New Roman"/>
          <w:color w:val="auto"/>
          <w:sz w:val="32"/>
          <w:szCs w:val="32"/>
          <w:shd w:val="clear" w:color="auto" w:fill="FFFFFF"/>
        </w:rPr>
        <w:t>（十五）商品和服务支出（支出经济分类科目类级）：</w:t>
      </w:r>
      <w:r>
        <w:rPr>
          <w:rFonts w:hint="default" w:ascii="Times New Roman" w:hAnsi="Times New Roman" w:eastAsia="方正仿宋_GBK" w:cs="Times New Roman"/>
          <w:color w:val="auto"/>
          <w:sz w:val="32"/>
          <w:szCs w:val="32"/>
          <w:shd w:val="clear" w:color="auto" w:fill="FFFFFF"/>
        </w:rPr>
        <w:t>反映单位购买商品和服务的支出（不包括用于购置固定资产的支出、战略性和应急储备支出）。</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3" w:firstLineChars="200"/>
        <w:jc w:val="both"/>
        <w:rPr>
          <w:rFonts w:hint="default" w:ascii="Times New Roman" w:hAnsi="Times New Roman" w:eastAsia="方正仿宋_GBK" w:cs="Times New Roman"/>
          <w:color w:val="auto"/>
          <w:sz w:val="32"/>
          <w:szCs w:val="32"/>
        </w:rPr>
      </w:pPr>
      <w:r>
        <w:rPr>
          <w:rStyle w:val="10"/>
          <w:rFonts w:hint="default" w:ascii="Times New Roman" w:hAnsi="Times New Roman" w:eastAsia="方正楷体_GBK" w:cs="Times New Roman"/>
          <w:color w:val="auto"/>
          <w:sz w:val="32"/>
          <w:szCs w:val="32"/>
          <w:shd w:val="clear" w:color="auto" w:fill="FFFFFF"/>
        </w:rPr>
        <w:t>（十六）对个人和家庭的补助（支出经济分类科目类级）：</w:t>
      </w:r>
      <w:r>
        <w:rPr>
          <w:rFonts w:hint="default" w:ascii="Times New Roman" w:hAnsi="Times New Roman" w:eastAsia="方正仿宋_GBK" w:cs="Times New Roman"/>
          <w:color w:val="auto"/>
          <w:sz w:val="32"/>
          <w:szCs w:val="32"/>
          <w:shd w:val="clear" w:color="auto" w:fill="FFFFFF"/>
        </w:rPr>
        <w:t>反映用于对个人和家庭的补助支出。</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3" w:firstLineChars="200"/>
        <w:jc w:val="both"/>
        <w:rPr>
          <w:rFonts w:hint="default" w:ascii="Times New Roman" w:hAnsi="Times New Roman" w:eastAsia="方正仿宋_GBK" w:cs="Times New Roman"/>
          <w:color w:val="auto"/>
          <w:sz w:val="32"/>
          <w:szCs w:val="32"/>
        </w:rPr>
      </w:pPr>
      <w:r>
        <w:rPr>
          <w:rStyle w:val="10"/>
          <w:rFonts w:hint="default" w:ascii="Times New Roman" w:hAnsi="Times New Roman" w:eastAsia="方正楷体_GBK" w:cs="Times New Roman"/>
          <w:color w:val="auto"/>
          <w:sz w:val="32"/>
          <w:szCs w:val="32"/>
          <w:shd w:val="clear" w:color="auto" w:fill="FFFFFF"/>
        </w:rPr>
        <w:t>（十七）其他资本性支出（支出经济分类科目类级）：</w:t>
      </w:r>
      <w:r>
        <w:rPr>
          <w:rFonts w:hint="default" w:ascii="Times New Roman" w:hAnsi="Times New Roman" w:eastAsia="方正仿宋_GBK" w:cs="Times New Roman"/>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outlineLvl w:val="9"/>
        <w:rPr>
          <w:rStyle w:val="10"/>
          <w:rFonts w:hint="default" w:ascii="Times New Roman" w:hAnsi="Times New Roman" w:eastAsia="方正黑体_GBK" w:cs="Times New Roman"/>
          <w:b w:val="0"/>
          <w:bCs/>
          <w:color w:val="auto"/>
          <w:sz w:val="32"/>
          <w:szCs w:val="32"/>
          <w:shd w:val="clear" w:color="auto" w:fill="FFFFFF"/>
        </w:rPr>
      </w:pPr>
      <w:r>
        <w:rPr>
          <w:rStyle w:val="10"/>
          <w:rFonts w:hint="default" w:ascii="Times New Roman" w:hAnsi="Times New Roman" w:eastAsia="方正黑体_GBK" w:cs="Times New Roman"/>
          <w:b w:val="0"/>
          <w:bCs/>
          <w:color w:val="auto"/>
          <w:sz w:val="32"/>
          <w:szCs w:val="32"/>
          <w:shd w:val="clear" w:color="auto" w:fill="FFFFFF"/>
        </w:rPr>
        <w:t>七、决算公开联系方式及信息反馈渠道</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0" w:firstLineChars="200"/>
        <w:jc w:val="both"/>
        <w:rPr>
          <w:rFonts w:hint="default" w:ascii="Times New Roman" w:hAnsi="Times New Roman" w:eastAsia="方正仿宋_GBK" w:cs="Times New Roman"/>
          <w:color w:val="auto"/>
          <w:sz w:val="32"/>
          <w:szCs w:val="32"/>
          <w:shd w:val="clear" w:color="auto" w:fill="FFFFFF"/>
          <w:lang w:val="en-US" w:eastAsia="zh-CN"/>
        </w:rPr>
        <w:sectPr>
          <w:headerReference r:id="rId3" w:type="default"/>
          <w:footerReference r:id="rId4" w:type="default"/>
          <w:pgSz w:w="11907" w:h="16839"/>
          <w:pgMar w:top="1440" w:right="1800" w:bottom="1440" w:left="1800" w:header="0" w:footer="283" w:gutter="0"/>
          <w:pgNumType w:fmt="numberInDash"/>
          <w:cols w:space="720" w:num="1"/>
          <w:docGrid w:type="lines" w:linePitch="326" w:charSpace="0"/>
        </w:sectPr>
      </w:pPr>
      <w:r>
        <w:rPr>
          <w:rFonts w:hint="default" w:ascii="Times New Roman" w:hAnsi="Times New Roman" w:eastAsia="方正仿宋_GBK" w:cs="Times New Roman"/>
          <w:color w:val="auto"/>
          <w:sz w:val="32"/>
          <w:szCs w:val="32"/>
          <w:shd w:val="clear" w:color="auto" w:fill="FFFFFF"/>
        </w:rPr>
        <w:t>本单位决算公开信息反馈和联系方式：</w:t>
      </w:r>
      <w:r>
        <w:rPr>
          <w:rFonts w:hint="default" w:ascii="Times New Roman" w:hAnsi="Times New Roman" w:eastAsia="方正仿宋_GBK" w:cs="Times New Roman"/>
          <w:color w:val="auto"/>
          <w:sz w:val="32"/>
          <w:szCs w:val="32"/>
          <w:shd w:val="clear" w:color="auto" w:fill="FFFFFF"/>
          <w:lang w:eastAsia="zh-CN"/>
        </w:rPr>
        <w:t>蒋晶</w:t>
      </w:r>
      <w:r>
        <w:rPr>
          <w:rFonts w:hint="default" w:ascii="Times New Roman" w:hAnsi="Times New Roman" w:eastAsia="方正仿宋_GBK" w:cs="Times New Roman"/>
          <w:color w:val="auto"/>
          <w:sz w:val="32"/>
          <w:szCs w:val="32"/>
          <w:shd w:val="clear" w:color="auto" w:fill="FFFFFF"/>
          <w:lang w:val="en-US" w:eastAsia="zh-CN"/>
        </w:rPr>
        <w:t>023-76611860。</w:t>
      </w:r>
    </w:p>
    <w:p>
      <w:pPr>
        <w:rPr>
          <w:rFonts w:hint="default" w:ascii="Times New Roman" w:hAnsi="Times New Roman" w:cs="Times New Roman"/>
          <w:sz w:val="21"/>
          <w:szCs w:val="21"/>
        </w:rPr>
      </w:pPr>
    </w:p>
    <w:tbl>
      <w:tblPr>
        <w:tblStyle w:val="11"/>
        <w:tblW w:w="15393" w:type="dxa"/>
        <w:tblInd w:w="0" w:type="dxa"/>
        <w:tblLayout w:type="fixed"/>
        <w:tblCellMar>
          <w:top w:w="0" w:type="dxa"/>
          <w:left w:w="0" w:type="dxa"/>
          <w:bottom w:w="0" w:type="dxa"/>
          <w:right w:w="0" w:type="dxa"/>
        </w:tblCellMar>
      </w:tblPr>
      <w:tblGrid>
        <w:gridCol w:w="5122"/>
        <w:gridCol w:w="2020"/>
        <w:gridCol w:w="4809"/>
        <w:gridCol w:w="3442"/>
      </w:tblGrid>
      <w:tr>
        <w:tblPrEx>
          <w:tblLayout w:type="fixed"/>
          <w:tblCellMar>
            <w:top w:w="0" w:type="dxa"/>
            <w:left w:w="0" w:type="dxa"/>
            <w:bottom w:w="0" w:type="dxa"/>
            <w:right w:w="0" w:type="dxa"/>
          </w:tblCellMar>
        </w:tblPrEx>
        <w:trPr>
          <w:trHeight w:val="232" w:hRule="atLeast"/>
        </w:trPr>
        <w:tc>
          <w:tcPr>
            <w:tcW w:w="15393"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5122"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2020"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Times New Roman" w:hAnsi="Times New Roman" w:cs="Times New Roman"/>
                <w:color w:val="000000"/>
                <w:sz w:val="20"/>
                <w:szCs w:val="20"/>
              </w:rPr>
            </w:pPr>
          </w:p>
        </w:tc>
        <w:tc>
          <w:tcPr>
            <w:tcW w:w="480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344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tblPrEx>
          <w:tblLayout w:type="fixed"/>
          <w:tblCellMar>
            <w:top w:w="0" w:type="dxa"/>
            <w:left w:w="0" w:type="dxa"/>
            <w:bottom w:w="0" w:type="dxa"/>
            <w:right w:w="0" w:type="dxa"/>
          </w:tblCellMar>
        </w:tblPrEx>
        <w:trPr>
          <w:trHeight w:val="232" w:hRule="atLeast"/>
        </w:trPr>
        <w:tc>
          <w:tcPr>
            <w:tcW w:w="5122" w:type="dxa"/>
            <w:tcBorders>
              <w:top w:val="nil"/>
              <w:left w:val="nil"/>
              <w:bottom w:val="nil"/>
              <w:right w:val="nil"/>
            </w:tcBorders>
            <w:shd w:val="clear" w:color="auto" w:fill="auto"/>
            <w:tcMar>
              <w:top w:w="15" w:type="dxa"/>
              <w:left w:w="15" w:type="dxa"/>
              <w:right w:w="15" w:type="dxa"/>
            </w:tcMar>
            <w:vAlign w:val="bottom"/>
          </w:tcPr>
          <w:p>
            <w:pPr>
              <w:spacing w:line="280" w:lineRule="exact"/>
              <w:textAlignment w:val="bottom"/>
              <w:rPr>
                <w:rFonts w:hint="default" w:ascii="Times New Roman" w:hAnsi="Times New Roman" w:cs="Times New Roman"/>
                <w:color w:val="000000"/>
                <w:sz w:val="20"/>
                <w:szCs w:val="20"/>
              </w:rPr>
            </w:pPr>
            <w:r>
              <w:rPr>
                <w:rFonts w:hint="default" w:ascii="Times New Roman" w:hAnsi="Times New Roman" w:cs="Times New Roman"/>
                <w:sz w:val="20"/>
                <w:szCs w:val="20"/>
              </w:rPr>
              <w:t>公开单位：</w:t>
            </w:r>
            <w:r>
              <w:rPr>
                <w:rFonts w:hint="default" w:ascii="Times New Roman" w:hAnsi="Times New Roman" w:cs="Times New Roman"/>
                <w:sz w:val="20"/>
                <w:u w:color="auto"/>
              </w:rPr>
              <w:t>重庆市秀山土家族苗族自治县医疗保障局（本级）</w:t>
            </w:r>
          </w:p>
        </w:tc>
        <w:tc>
          <w:tcPr>
            <w:tcW w:w="2020"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Times New Roman" w:hAnsi="Times New Roman" w:cs="Times New Roman"/>
                <w:color w:val="000000"/>
                <w:sz w:val="22"/>
                <w:szCs w:val="22"/>
              </w:rPr>
            </w:pPr>
          </w:p>
        </w:tc>
        <w:tc>
          <w:tcPr>
            <w:tcW w:w="480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22"/>
                <w:szCs w:val="22"/>
              </w:rPr>
            </w:pPr>
          </w:p>
        </w:tc>
        <w:tc>
          <w:tcPr>
            <w:tcW w:w="344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243" w:hRule="atLeast"/>
        </w:trPr>
        <w:tc>
          <w:tcPr>
            <w:tcW w:w="71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8251"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202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344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一、一般公共预算财政拨款收入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4,870.82</w:t>
            </w: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一、一般公共服务支出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二、政府性基金预算财政拨款收入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二、外交支出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三、国有资本经营预算财政拨款收入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三、国防支出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四、上级补助收入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四、公共安全支出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五、事业收入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五、教育支出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六、经营收入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六、科学技术支出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七、附属单位上缴收入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七、文化旅游体育与传媒支出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八、其他收入</w:t>
            </w:r>
          </w:p>
        </w:tc>
        <w:tc>
          <w:tcPr>
            <w:tcW w:w="2020" w:type="dxa"/>
            <w:tcBorders>
              <w:top w:val="nil"/>
              <w:left w:val="nil"/>
              <w:bottom w:val="nil"/>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八、社会保障和就业支出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19.21</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九、卫生健康支出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4,394.10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十、节能环保支出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十一、城乡社区支出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十二、农林水支出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466.82</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十三、交通运输支出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十四、资源勘探工业信息等支出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十五、商业服务业等支出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十六、金融支出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十七、援助其他地区支出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十八、自然资源海洋气象等支出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十九、住房保障支出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13.11</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二十、粮油物资储备支出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二十一、国有资本经营预算支出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二十二、灾害防治及应急管理支出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二十三、其他支出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rPr>
                <w:rFonts w:hint="default" w:ascii="Times New Roman" w:hAnsi="Times New Roman" w:cs="Times New Roman"/>
                <w:b/>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二十四、债务还本支出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二十五、债务付息支出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二十六、抗疫特别国债安排的支出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4,870.82</w:t>
            </w: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4,893.25</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使用非财政拨款结余和专用结余</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结余分配</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年初结转和结余</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22.43</w:t>
            </w: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年末结转和结余</w:t>
            </w:r>
          </w:p>
        </w:tc>
        <w:tc>
          <w:tcPr>
            <w:tcW w:w="344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4,893.25</w:t>
            </w: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auto"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34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4,893.25</w:t>
            </w:r>
            <w:r>
              <w:rPr>
                <w:rFonts w:hint="default" w:ascii="Times New Roman" w:hAnsi="Times New Roman" w:cs="Times New Roman"/>
                <w:color w:val="000000"/>
                <w:sz w:val="20"/>
                <w:u w:color="auto"/>
              </w:rPr>
              <w:t xml:space="preserve"> </w:t>
            </w:r>
          </w:p>
        </w:tc>
      </w:tr>
    </w:tbl>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11"/>
        <w:tblW w:w="15378" w:type="dxa"/>
        <w:tblInd w:w="0" w:type="dxa"/>
        <w:tblLayout w:type="fixed"/>
        <w:tblCellMar>
          <w:top w:w="0" w:type="dxa"/>
          <w:left w:w="0" w:type="dxa"/>
          <w:bottom w:w="0" w:type="dxa"/>
          <w:right w:w="0" w:type="dxa"/>
        </w:tblCellMar>
      </w:tblPr>
      <w:tblGrid>
        <w:gridCol w:w="1702"/>
        <w:gridCol w:w="3171"/>
        <w:gridCol w:w="1233"/>
        <w:gridCol w:w="1233"/>
        <w:gridCol w:w="1233"/>
        <w:gridCol w:w="1233"/>
        <w:gridCol w:w="1366"/>
        <w:gridCol w:w="1307"/>
        <w:gridCol w:w="1439"/>
        <w:gridCol w:w="1461"/>
      </w:tblGrid>
      <w:tr>
        <w:tblPrEx>
          <w:tblLayout w:type="fixed"/>
          <w:tblCellMar>
            <w:top w:w="0" w:type="dxa"/>
            <w:left w:w="0" w:type="dxa"/>
            <w:bottom w:w="0" w:type="dxa"/>
            <w:right w:w="0" w:type="dxa"/>
          </w:tblCellMar>
        </w:tblPrEx>
        <w:trPr>
          <w:trHeight w:val="641" w:hRule="atLeast"/>
        </w:trPr>
        <w:tc>
          <w:tcPr>
            <w:tcW w:w="15378"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4873"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公开单位：</w:t>
            </w:r>
            <w:r>
              <w:rPr>
                <w:rFonts w:hint="default" w:ascii="Times New Roman" w:hAnsi="Times New Roman" w:cs="Times New Roman"/>
                <w:sz w:val="20"/>
                <w:u w:color="auto"/>
              </w:rPr>
              <w:t>重庆市秀山土家族苗族自治县医疗保障局（本级）</w:t>
            </w:r>
          </w:p>
        </w:tc>
        <w:tc>
          <w:tcPr>
            <w:tcW w:w="1233"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36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30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43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46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tblPrEx>
          <w:tblLayout w:type="fixed"/>
          <w:tblCellMar>
            <w:top w:w="0" w:type="dxa"/>
            <w:left w:w="0" w:type="dxa"/>
            <w:bottom w:w="0" w:type="dxa"/>
            <w:right w:w="0" w:type="dxa"/>
          </w:tblCellMar>
        </w:tblPrEx>
        <w:trPr>
          <w:trHeight w:val="328" w:hRule="atLeast"/>
        </w:trPr>
        <w:tc>
          <w:tcPr>
            <w:tcW w:w="4873"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36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30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43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46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431" w:hRule="atLeast"/>
        </w:trPr>
        <w:tc>
          <w:tcPr>
            <w:tcW w:w="4873" w:type="dxa"/>
            <w:gridSpan w:val="2"/>
            <w:tcBorders>
              <w:top w:val="single" w:color="000000" w:sz="4" w:space="0"/>
              <w:left w:val="single" w:color="000000" w:sz="4" w:space="0"/>
              <w:bottom w:val="single" w:color="000000" w:sz="4" w:space="0"/>
              <w:right w:val="nil"/>
            </w:tcBorders>
            <w:shd w:val="clear" w:color="auto" w:fill="D0CECE"/>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2599"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130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146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70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171"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36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171"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171"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171"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4873"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4,870.82</w:t>
            </w:r>
            <w:r>
              <w:rPr>
                <w:rFonts w:hint="default" w:ascii="Times New Roman" w:hAnsi="Times New Roman" w:cs="Times New Roman"/>
                <w:b/>
                <w:color w:val="000000"/>
                <w:sz w:val="20"/>
                <w:u w:color="auto"/>
              </w:rPr>
              <w:t xml:space="preserve"> </w:t>
            </w:r>
          </w:p>
        </w:tc>
        <w:tc>
          <w:tcPr>
            <w:tcW w:w="1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4,870.82</w:t>
            </w:r>
            <w:r>
              <w:rPr>
                <w:rFonts w:hint="default" w:ascii="Times New Roman" w:hAnsi="Times New Roman" w:cs="Times New Roman"/>
                <w:b/>
                <w:color w:val="000000"/>
                <w:sz w:val="20"/>
                <w:u w:color="auto"/>
              </w:rPr>
              <w:t xml:space="preserve"> </w:t>
            </w:r>
          </w:p>
        </w:tc>
        <w:tc>
          <w:tcPr>
            <w:tcW w:w="1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3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3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4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19.21</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19.21</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19.06</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19.06</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12.70</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12.70</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6.35</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6.35</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20899</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其他社会保障和就业支出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0.16</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0.16</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2089999</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其他社会保障和就业支出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0.16</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0.16</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4,394.10</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4,394.10</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21004</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公共卫生</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4.99</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4.99</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2100410</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突发公共卫生事件应急处理</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4.99</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4.99</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1,006.27</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1,006.27</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5.31</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5.31</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2101103</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公务员医疗补助</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1,000.00</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1,000.00</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0.96</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0.96</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21013</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医疗救助</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2,879.57</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2,879.57</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2101301</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城乡医疗救助</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2,842.49</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2,842.49</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2101399</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其他医疗救助支出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37.08</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37.08</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21015</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医疗保障管理事务</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503.27</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503.27</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2101501</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109.29</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109.29</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2101502</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12.10</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12.10</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2101505</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医疗保障政策管理</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153.88</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153.88</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2101506</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医疗保障经办事务</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28.00</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28.00</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2101599</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其他医疗保障管理事务支出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200.00</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200.00</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444.39</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444.39</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巩固脱贫攻坚成果衔接乡村振兴</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444.39</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444.39</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其他巩固脱贫攻坚成果衔接乡村振兴支出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444.39</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444.39</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13.11</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13.11</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13.11</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13.11</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13.11</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13.11</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bl>
    <w:p>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11"/>
        <w:tblW w:w="15378" w:type="dxa"/>
        <w:tblInd w:w="0" w:type="dxa"/>
        <w:tblLayout w:type="fixed"/>
        <w:tblCellMar>
          <w:top w:w="0" w:type="dxa"/>
          <w:left w:w="0" w:type="dxa"/>
          <w:bottom w:w="0" w:type="dxa"/>
          <w:right w:w="0" w:type="dxa"/>
        </w:tblCellMar>
      </w:tblPr>
      <w:tblGrid>
        <w:gridCol w:w="1803"/>
        <w:gridCol w:w="3355"/>
        <w:gridCol w:w="1701"/>
        <w:gridCol w:w="1701"/>
        <w:gridCol w:w="1701"/>
        <w:gridCol w:w="1685"/>
        <w:gridCol w:w="1685"/>
        <w:gridCol w:w="1747"/>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5158"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 xml:space="preserve">重庆市秀山土家族苗族自治县医疗保障局（本级） </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8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8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47"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tblPrEx>
          <w:tblLayout w:type="fixed"/>
          <w:tblCellMar>
            <w:top w:w="0" w:type="dxa"/>
            <w:left w:w="0" w:type="dxa"/>
            <w:bottom w:w="0" w:type="dxa"/>
            <w:right w:w="0" w:type="dxa"/>
          </w:tblCellMar>
        </w:tblPrEx>
        <w:trPr>
          <w:trHeight w:val="342" w:hRule="atLeast"/>
        </w:trPr>
        <w:tc>
          <w:tcPr>
            <w:tcW w:w="5158"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8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8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47"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62" w:hRule="atLeast"/>
        </w:trPr>
        <w:tc>
          <w:tcPr>
            <w:tcW w:w="5158"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68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168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74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803"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355"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80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55"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80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55"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80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55"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62" w:hRule="atLeast"/>
        </w:trPr>
        <w:tc>
          <w:tcPr>
            <w:tcW w:w="5158"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4,893.25</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1,147.89</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3,745.37</w:t>
            </w:r>
            <w:r>
              <w:rPr>
                <w:rFonts w:hint="default" w:ascii="Times New Roman" w:hAnsi="Times New Roman" w:cs="Times New Roman"/>
                <w:b/>
                <w:color w:val="000000"/>
                <w:sz w:val="20"/>
                <w:u w:color="auto"/>
              </w:rPr>
              <w:t xml:space="preserve"> </w:t>
            </w:r>
          </w:p>
        </w:tc>
        <w:tc>
          <w:tcPr>
            <w:tcW w:w="16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6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74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19.21</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19.21</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19.06</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19.06</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12.70</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12.70</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6.35</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6.35</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20899</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其他社会保障和就业支出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0.16</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0.16</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2089999</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其他社会保障和就业支出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0.16</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0.16</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4,394.10</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1,115.56</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3,278.54</w:t>
            </w:r>
            <w:r>
              <w:rPr>
                <w:rFonts w:hint="default" w:ascii="Times New Roman" w:hAnsi="Times New Roman" w:cs="Times New Roman"/>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21004</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公共卫生</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4.99</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4.99</w:t>
            </w:r>
            <w:r>
              <w:rPr>
                <w:rFonts w:hint="default" w:ascii="Times New Roman" w:hAnsi="Times New Roman" w:cs="Times New Roman"/>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2100410</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突发公共卫生事件应急处理</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4.99</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4.99</w:t>
            </w: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1,006.27</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1,006.27</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5.31</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5.31</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2101103</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公务员医疗补助</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1,000.00</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1,000.00</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0.96</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0.96</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21013</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医疗救助</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2,879.57</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2,879.57</w:t>
            </w:r>
            <w:r>
              <w:rPr>
                <w:rFonts w:hint="default" w:ascii="Times New Roman" w:hAnsi="Times New Roman" w:cs="Times New Roman"/>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2101301</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城乡医疗救助</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2,842.49</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2,842.49</w:t>
            </w: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2101399</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其他医疗救助支出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37.08</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37.08</w:t>
            </w: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21015</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医疗保障管理事务</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503.27</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109.29</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393.98</w:t>
            </w:r>
            <w:r>
              <w:rPr>
                <w:rFonts w:hint="default" w:ascii="Times New Roman" w:hAnsi="Times New Roman" w:cs="Times New Roman"/>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2101501</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109.29</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109.29</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2101502</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12.10</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12.10</w:t>
            </w: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2101505</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医疗保障政策管理</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153.88</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153.88</w:t>
            </w: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2101506</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医疗保障经办事务</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28.00</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28.00</w:t>
            </w: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2101599</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其他医疗保障管理事务支出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200.00</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200.00</w:t>
            </w: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466.82</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466.82</w:t>
            </w:r>
            <w:r>
              <w:rPr>
                <w:rFonts w:hint="default" w:ascii="Times New Roman" w:hAnsi="Times New Roman" w:cs="Times New Roman"/>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巩固脱贫攻坚成果衔接乡村振兴</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466.82</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466.82</w:t>
            </w:r>
            <w:r>
              <w:rPr>
                <w:rFonts w:hint="default" w:ascii="Times New Roman" w:hAnsi="Times New Roman" w:cs="Times New Roman"/>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其他巩固脱贫攻坚成果衔接乡村振兴支出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466.82</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466.82</w:t>
            </w: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13.11</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13.11</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13.11</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13.11</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13.11</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13.11</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p>
      <w:pPr>
        <w:rPr>
          <w:rFonts w:hint="default" w:ascii="Times New Roman" w:hAnsi="Times New Roman" w:cs="Times New Roman"/>
          <w:sz w:val="21"/>
          <w:szCs w:val="21"/>
        </w:rPr>
      </w:pPr>
    </w:p>
    <w:tbl>
      <w:tblPr>
        <w:tblStyle w:val="11"/>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4505" w:type="dxa"/>
            <w:gridSpan w:val="2"/>
            <w:vMerge w:val="restart"/>
            <w:tcBorders>
              <w:top w:val="nil"/>
              <w:left w:val="nil"/>
              <w:right w:val="nil"/>
            </w:tcBorders>
            <w:shd w:val="clear" w:color="auto" w:fill="auto"/>
            <w:tcMar>
              <w:top w:w="15" w:type="dxa"/>
              <w:left w:w="15" w:type="dxa"/>
              <w:right w:w="15" w:type="dxa"/>
            </w:tcMar>
            <w:vAlign w:val="bottom"/>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重庆市秀山土家族苗族自治县医疗保障局（本级）</w:t>
            </w:r>
          </w:p>
        </w:tc>
        <w:tc>
          <w:tcPr>
            <w:tcW w:w="319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tblPrEx>
          <w:tblLayout w:type="fixed"/>
          <w:tblCellMar>
            <w:top w:w="0" w:type="dxa"/>
            <w:left w:w="0" w:type="dxa"/>
            <w:bottom w:w="0" w:type="dxa"/>
            <w:right w:w="0" w:type="dxa"/>
          </w:tblCellMar>
        </w:tblPrEx>
        <w:trPr>
          <w:trHeight w:val="90" w:hRule="atLeast"/>
        </w:trPr>
        <w:tc>
          <w:tcPr>
            <w:tcW w:w="4505" w:type="dxa"/>
            <w:gridSpan w:val="2"/>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9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3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4,870.82</w:t>
            </w: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19.21</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19.21</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4,394.10</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4,394.10</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466.82</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466.82</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13.11</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13.11</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4,870.82</w:t>
            </w: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4,893.25</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4,893.25</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22.43</w:t>
            </w: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22.43</w:t>
            </w: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4,893.25</w:t>
            </w: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4,893.25</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4,893.25</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1"/>
        <w:tblW w:w="15378" w:type="dxa"/>
        <w:tblInd w:w="0" w:type="dxa"/>
        <w:tblLayout w:type="fixed"/>
        <w:tblCellMar>
          <w:top w:w="0" w:type="dxa"/>
          <w:left w:w="0" w:type="dxa"/>
          <w:bottom w:w="0" w:type="dxa"/>
          <w:right w:w="0" w:type="dxa"/>
        </w:tblCellMar>
      </w:tblPr>
      <w:tblGrid>
        <w:gridCol w:w="1857"/>
        <w:gridCol w:w="3549"/>
        <w:gridCol w:w="3319"/>
        <w:gridCol w:w="3319"/>
        <w:gridCol w:w="3334"/>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5406"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重庆市秀山土家族苗族自治县医疗保障局（本级）</w:t>
            </w:r>
          </w:p>
        </w:tc>
        <w:tc>
          <w:tcPr>
            <w:tcW w:w="331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31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tblPrEx>
          <w:tblLayout w:type="fixed"/>
          <w:tblCellMar>
            <w:top w:w="0" w:type="dxa"/>
            <w:left w:w="0" w:type="dxa"/>
            <w:bottom w:w="0" w:type="dxa"/>
            <w:right w:w="0" w:type="dxa"/>
          </w:tblCellMar>
        </w:tblPrEx>
        <w:trPr>
          <w:trHeight w:val="285" w:hRule="atLeast"/>
        </w:trPr>
        <w:tc>
          <w:tcPr>
            <w:tcW w:w="5406"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31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31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08" w:hRule="atLeast"/>
        </w:trPr>
        <w:tc>
          <w:tcPr>
            <w:tcW w:w="5406"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972"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857"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54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1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857"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5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3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15" w:hRule="atLeast"/>
        </w:trPr>
        <w:tc>
          <w:tcPr>
            <w:tcW w:w="1857"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5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3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08" w:hRule="atLeast"/>
        </w:trPr>
        <w:tc>
          <w:tcPr>
            <w:tcW w:w="5406"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4,893.25</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1,147.89</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3,745.37</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19.21</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19.21</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19.06</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19.06</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12.70</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12.70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6.35</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6.35</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20899</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其他社会保障和就业支出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0.16</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0.16</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2089999</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其他社会保障和就业支出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0.16</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0.16</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4,394.10</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1,115.56</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3,278.54</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21004</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公共卫生</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4.99</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4.99</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2100410</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突发公共卫生事件应急处理</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4.99</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4.99</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1,006.27</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1,006.27</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5.31</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5.31</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2101103</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公务员医疗补助</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1,000.00</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1,000.00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0.96</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0.96</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21013</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医疗救助</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2,879.57</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2,879.57</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2101301</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城乡医疗救助</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2,842.49</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2,842.49</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2101399</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其他医疗救助支出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37.08</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37.08</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21015</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医疗保障管理事务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503.27</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109.29</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393.98</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2101501</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109.29</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109.29</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2101502</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12.10</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12.10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2101505</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医疗保障政策管理</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153.88</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153.88</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2101506</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医疗保障经办事务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28.00</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2101599</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其他医疗保障管理事务支出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200.00</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466.82</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466.82</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巩固脱贫攻坚成果衔接乡村振兴</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466.82</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466.82</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其他巩固脱贫攻坚成果衔接乡村振兴支出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466.82</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466.82</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13.11</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13.11</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13.11</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13.11</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13.11</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13.11</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1"/>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3345" w:type="dxa"/>
            <w:gridSpan w:val="2"/>
            <w:vMerge w:val="restart"/>
            <w:tcBorders>
              <w:top w:val="nil"/>
              <w:left w:val="nil"/>
              <w:right w:val="nil"/>
            </w:tcBorders>
            <w:shd w:val="clear" w:color="auto" w:fill="auto"/>
            <w:tcMar>
              <w:top w:w="15" w:type="dxa"/>
              <w:left w:w="15" w:type="dxa"/>
              <w:right w:w="15" w:type="dxa"/>
            </w:tcMar>
            <w:vAlign w:val="bottom"/>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重庆市秀山土家族苗族自治县医疗保障局（本级）</w:t>
            </w:r>
          </w:p>
        </w:tc>
        <w:tc>
          <w:tcPr>
            <w:tcW w:w="1376"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6"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56"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tblPrEx>
          <w:tblLayout w:type="fixed"/>
          <w:tblCellMar>
            <w:top w:w="0" w:type="dxa"/>
            <w:left w:w="0" w:type="dxa"/>
            <w:bottom w:w="0" w:type="dxa"/>
            <w:right w:w="0" w:type="dxa"/>
          </w:tblCellMar>
        </w:tblPrEx>
        <w:trPr>
          <w:trHeight w:val="90" w:hRule="atLeast"/>
        </w:trPr>
        <w:tc>
          <w:tcPr>
            <w:tcW w:w="3345" w:type="dxa"/>
            <w:gridSpan w:val="2"/>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376"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6"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56"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274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37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9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5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352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88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1,131.45</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16.43</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28.24</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5.44</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22.77</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0.01</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41.36</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0.10</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12.70</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0.10</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6.35</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1.89</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5.31</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1,000.00</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0.33</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0.16</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0.20</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13.11</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1.44</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0.06</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0.34</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0.34</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0.91</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1.54</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5.18</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33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1,131.45</w:t>
            </w:r>
            <w:r>
              <w:rPr>
                <w:rFonts w:hint="default" w:ascii="Times New Roman" w:hAnsi="Times New Roman" w:cs="Times New Roman"/>
                <w:color w:val="000000"/>
                <w:sz w:val="18"/>
                <w:u w:color="auto"/>
              </w:rPr>
              <w:t xml:space="preserve"> </w:t>
            </w:r>
          </w:p>
        </w:tc>
        <w:tc>
          <w:tcPr>
            <w:tcW w:w="8750" w:type="dxa"/>
            <w:gridSpan w:val="5"/>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16.43</w:t>
            </w:r>
            <w:r>
              <w:rPr>
                <w:rFonts w:hint="default" w:ascii="Times New Roman" w:hAnsi="Times New Roman" w:cs="Times New Roman"/>
                <w:color w:val="000000"/>
                <w:sz w:val="18"/>
                <w:u w:color="auto"/>
              </w:rPr>
              <w:t xml:space="preserve"> </w:t>
            </w:r>
          </w:p>
        </w:tc>
      </w:tr>
    </w:tbl>
    <w:p>
      <w:pPr>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1"/>
        <w:tblW w:w="15378" w:type="dxa"/>
        <w:tblInd w:w="0" w:type="dxa"/>
        <w:tblLayout w:type="fixed"/>
        <w:tblCellMar>
          <w:top w:w="0" w:type="dxa"/>
          <w:left w:w="0" w:type="dxa"/>
          <w:bottom w:w="0" w:type="dxa"/>
          <w:right w:w="0" w:type="dxa"/>
        </w:tblCellMar>
      </w:tblPr>
      <w:tblGrid>
        <w:gridCol w:w="1854"/>
        <w:gridCol w:w="3088"/>
        <w:gridCol w:w="1707"/>
        <w:gridCol w:w="1707"/>
        <w:gridCol w:w="1707"/>
        <w:gridCol w:w="1707"/>
        <w:gridCol w:w="1772"/>
        <w:gridCol w:w="1836"/>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4942"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重庆市秀山土家族苗族自治县医疗保障局（本级）</w:t>
            </w: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8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tblPrEx>
          <w:tblLayout w:type="fixed"/>
          <w:tblCellMar>
            <w:top w:w="0" w:type="dxa"/>
            <w:left w:w="0" w:type="dxa"/>
            <w:bottom w:w="0" w:type="dxa"/>
            <w:right w:w="0" w:type="dxa"/>
          </w:tblCellMar>
        </w:tblPrEx>
        <w:trPr>
          <w:trHeight w:val="329" w:hRule="atLeast"/>
        </w:trPr>
        <w:tc>
          <w:tcPr>
            <w:tcW w:w="4942"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8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39"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8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85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08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5" w:hRule="atLeast"/>
        </w:trPr>
        <w:tc>
          <w:tcPr>
            <w:tcW w:w="185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0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7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45" w:hRule="atLeast"/>
        </w:trPr>
        <w:tc>
          <w:tcPr>
            <w:tcW w:w="185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0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7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9" w:hRule="atLeast"/>
        </w:trPr>
        <w:tc>
          <w:tcPr>
            <w:tcW w:w="4942"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8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1"/>
        <w:tblW w:w="15378" w:type="dxa"/>
        <w:tblInd w:w="0" w:type="dxa"/>
        <w:tblLayout w:type="fixed"/>
        <w:tblCellMar>
          <w:top w:w="0" w:type="dxa"/>
          <w:left w:w="0" w:type="dxa"/>
          <w:bottom w:w="0" w:type="dxa"/>
          <w:right w:w="0" w:type="dxa"/>
        </w:tblCellMar>
      </w:tblPr>
      <w:tblGrid>
        <w:gridCol w:w="1882"/>
        <w:gridCol w:w="3060"/>
        <w:gridCol w:w="3276"/>
        <w:gridCol w:w="200"/>
        <w:gridCol w:w="3475"/>
        <w:gridCol w:w="77"/>
        <w:gridCol w:w="3408"/>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4942"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重庆市秀山土家族苗族自治县医疗保障局（本级）</w:t>
            </w:r>
          </w:p>
        </w:tc>
        <w:tc>
          <w:tcPr>
            <w:tcW w:w="327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752" w:type="dxa"/>
            <w:gridSpan w:val="3"/>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40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tblPrEx>
          <w:tblLayout w:type="fixed"/>
          <w:tblCellMar>
            <w:top w:w="0" w:type="dxa"/>
            <w:left w:w="0" w:type="dxa"/>
            <w:bottom w:w="0" w:type="dxa"/>
            <w:right w:w="0" w:type="dxa"/>
          </w:tblCellMar>
        </w:tblPrEx>
        <w:trPr>
          <w:trHeight w:val="332" w:hRule="atLeast"/>
        </w:trPr>
        <w:tc>
          <w:tcPr>
            <w:tcW w:w="4942"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27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752" w:type="dxa"/>
            <w:gridSpan w:val="3"/>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40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422"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0436" w:type="dxa"/>
            <w:gridSpan w:val="5"/>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88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06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485" w:type="dxa"/>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9"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26"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11"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34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b/>
                <w:color w:val="000000"/>
                <w:sz w:val="20"/>
                <w:szCs w:val="20"/>
              </w:rPr>
            </w:pPr>
          </w:p>
        </w:tc>
        <w:tc>
          <w:tcPr>
            <w:tcW w:w="348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1"/>
        <w:tblW w:w="15378" w:type="dxa"/>
        <w:tblInd w:w="0" w:type="dxa"/>
        <w:tblLayout w:type="fixed"/>
        <w:tblCellMar>
          <w:top w:w="0" w:type="dxa"/>
          <w:left w:w="0" w:type="dxa"/>
          <w:bottom w:w="0" w:type="dxa"/>
          <w:right w:w="0" w:type="dxa"/>
        </w:tblCellMar>
      </w:tblPr>
      <w:tblGrid>
        <w:gridCol w:w="4167"/>
        <w:gridCol w:w="2236"/>
        <w:gridCol w:w="2184"/>
        <w:gridCol w:w="4660"/>
        <w:gridCol w:w="2131"/>
      </w:tblGrid>
      <w:tr>
        <w:tblPrEx>
          <w:tblLayout w:type="fixed"/>
          <w:tblCellMar>
            <w:top w:w="0" w:type="dxa"/>
            <w:left w:w="0" w:type="dxa"/>
            <w:bottom w:w="0" w:type="dxa"/>
            <w:right w:w="0" w:type="dxa"/>
          </w:tblCellMar>
        </w:tblPrEx>
        <w:trPr>
          <w:trHeight w:val="175" w:hRule="atLeast"/>
        </w:trPr>
        <w:tc>
          <w:tcPr>
            <w:tcW w:w="15378" w:type="dxa"/>
            <w:gridSpan w:val="5"/>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机构运行信息表</w:t>
            </w:r>
          </w:p>
        </w:tc>
      </w:tr>
      <w:tr>
        <w:tblPrEx>
          <w:tblLayout w:type="fixed"/>
          <w:tblCellMar>
            <w:top w:w="0" w:type="dxa"/>
            <w:left w:w="0" w:type="dxa"/>
            <w:bottom w:w="0" w:type="dxa"/>
            <w:right w:w="0" w:type="dxa"/>
          </w:tblCellMar>
        </w:tblPrEx>
        <w:trPr>
          <w:trHeight w:val="175" w:hRule="atLeast"/>
        </w:trPr>
        <w:tc>
          <w:tcPr>
            <w:tcW w:w="4167" w:type="dxa"/>
            <w:tcBorders>
              <w:top w:val="nil"/>
              <w:left w:val="nil"/>
              <w:bottom w:val="nil"/>
              <w:right w:val="nil"/>
            </w:tcBorders>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sz w:val="20"/>
                <w:szCs w:val="20"/>
              </w:rPr>
            </w:pPr>
          </w:p>
        </w:tc>
        <w:tc>
          <w:tcPr>
            <w:tcW w:w="2236" w:type="dxa"/>
            <w:tcBorders>
              <w:top w:val="nil"/>
              <w:left w:val="nil"/>
              <w:bottom w:val="nil"/>
              <w:right w:val="nil"/>
            </w:tcBorders>
            <w:shd w:val="clear" w:color="auto" w:fill="auto"/>
            <w:tcMar>
              <w:top w:w="15" w:type="dxa"/>
              <w:left w:w="15" w:type="dxa"/>
              <w:right w:w="15" w:type="dxa"/>
            </w:tcMar>
            <w:vAlign w:val="bottom"/>
          </w:tcPr>
          <w:p>
            <w:pPr>
              <w:spacing w:line="280" w:lineRule="exact"/>
              <w:jc w:val="center"/>
              <w:rPr>
                <w:rFonts w:hint="default" w:ascii="Times New Roman" w:hAnsi="Times New Roman" w:cs="Times New Roman"/>
                <w:color w:val="000000"/>
                <w:sz w:val="20"/>
                <w:szCs w:val="20"/>
              </w:rPr>
            </w:pPr>
          </w:p>
        </w:tc>
        <w:tc>
          <w:tcPr>
            <w:tcW w:w="2184"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rPr>
                <w:rFonts w:hint="default" w:ascii="Times New Roman" w:hAnsi="Times New Roman" w:cs="Times New Roman"/>
                <w:color w:val="000000"/>
                <w:sz w:val="20"/>
                <w:szCs w:val="20"/>
              </w:rPr>
            </w:pPr>
          </w:p>
        </w:tc>
        <w:tc>
          <w:tcPr>
            <w:tcW w:w="4660" w:type="dxa"/>
            <w:tcBorders>
              <w:top w:val="nil"/>
              <w:left w:val="nil"/>
              <w:bottom w:val="nil"/>
              <w:right w:val="nil"/>
            </w:tcBorders>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sz w:val="20"/>
                <w:szCs w:val="20"/>
              </w:rPr>
            </w:pPr>
          </w:p>
        </w:tc>
        <w:tc>
          <w:tcPr>
            <w:tcW w:w="213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公开09表</w:t>
            </w:r>
          </w:p>
        </w:tc>
      </w:tr>
      <w:tr>
        <w:tblPrEx>
          <w:tblLayout w:type="fixed"/>
          <w:tblCellMar>
            <w:top w:w="0" w:type="dxa"/>
            <w:left w:w="0" w:type="dxa"/>
            <w:bottom w:w="0" w:type="dxa"/>
            <w:right w:w="0" w:type="dxa"/>
          </w:tblCellMar>
        </w:tblPrEx>
        <w:trPr>
          <w:trHeight w:val="175" w:hRule="atLeast"/>
        </w:trPr>
        <w:tc>
          <w:tcPr>
            <w:tcW w:w="416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textAlignment w:val="bottom"/>
              <w:rPr>
                <w:rFonts w:hint="default" w:ascii="Times New Roman" w:hAnsi="Times New Roman" w:cs="Times New Roman"/>
                <w:color w:val="000000"/>
                <w:sz w:val="20"/>
                <w:szCs w:val="20"/>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重庆市秀山土家族苗族自治县医疗保障局（本级）</w:t>
            </w:r>
          </w:p>
        </w:tc>
        <w:tc>
          <w:tcPr>
            <w:tcW w:w="2236"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center"/>
              <w:rPr>
                <w:rFonts w:hint="default" w:ascii="Times New Roman" w:hAnsi="Times New Roman" w:cs="Times New Roman"/>
                <w:color w:val="000000"/>
                <w:sz w:val="20"/>
                <w:szCs w:val="20"/>
              </w:rPr>
            </w:pPr>
          </w:p>
        </w:tc>
        <w:tc>
          <w:tcPr>
            <w:tcW w:w="218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ascii="Times New Roman" w:hAnsi="Times New Roman" w:cs="Times New Roman"/>
                <w:color w:val="000000"/>
                <w:sz w:val="20"/>
                <w:szCs w:val="20"/>
              </w:rPr>
            </w:pPr>
          </w:p>
        </w:tc>
        <w:tc>
          <w:tcPr>
            <w:tcW w:w="466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sz w:val="20"/>
                <w:szCs w:val="20"/>
              </w:rPr>
            </w:pPr>
          </w:p>
        </w:tc>
        <w:tc>
          <w:tcPr>
            <w:tcW w:w="2131"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184"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  目</w:t>
            </w:r>
          </w:p>
        </w:tc>
        <w:tc>
          <w:tcPr>
            <w:tcW w:w="2236"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预算数</w:t>
            </w:r>
          </w:p>
        </w:tc>
        <w:tc>
          <w:tcPr>
            <w:tcW w:w="218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  目</w:t>
            </w:r>
          </w:p>
        </w:tc>
        <w:tc>
          <w:tcPr>
            <w:tcW w:w="213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tblPrEx>
          <w:tblLayout w:type="fixed"/>
          <w:tblCellMar>
            <w:top w:w="0" w:type="dxa"/>
            <w:left w:w="0" w:type="dxa"/>
            <w:bottom w:w="0" w:type="dxa"/>
            <w:right w:w="0" w:type="dxa"/>
          </w:tblCellMar>
        </w:tblPrEx>
        <w:trPr>
          <w:trHeight w:val="184"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一、“三公”经费支出</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四、机关运行经费</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16.43</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（一）支出合计</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1.94</w:t>
            </w:r>
            <w:r>
              <w:rPr>
                <w:rFonts w:hint="default" w:ascii="Times New Roman" w:hAnsi="Times New Roman" w:cs="Times New Roman"/>
                <w:color w:val="000000"/>
                <w:sz w:val="20"/>
                <w:u w:color="auto"/>
              </w:rPr>
              <w:t xml:space="preserve"> </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1.94</w:t>
            </w: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（一）行政单位</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16.43</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1．因公出国（境）费</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（二）参照公务员法管理事业单位</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2．公务用车购置及运行维护费</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1.54</w:t>
            </w:r>
            <w:r>
              <w:rPr>
                <w:rFonts w:hint="default" w:ascii="Times New Roman" w:hAnsi="Times New Roman" w:cs="Times New Roman"/>
                <w:color w:val="000000"/>
                <w:sz w:val="20"/>
                <w:u w:color="auto"/>
              </w:rPr>
              <w:t xml:space="preserve"> </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1.54</w:t>
            </w: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五、资产信息</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（1）公务用车购置费</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（一）车辆数合计（辆）</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（2）公务用车运行维护费</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1.54</w:t>
            </w:r>
            <w:r>
              <w:rPr>
                <w:rFonts w:hint="default" w:ascii="Times New Roman" w:hAnsi="Times New Roman" w:cs="Times New Roman"/>
                <w:color w:val="000000"/>
                <w:sz w:val="20"/>
                <w:u w:color="auto"/>
              </w:rPr>
              <w:t xml:space="preserve"> </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1.54</w:t>
            </w: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1．副部（省）级及以上领导用车</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3．公务接待费</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0.40</w:t>
            </w:r>
            <w:r>
              <w:rPr>
                <w:rFonts w:hint="default" w:ascii="Times New Roman" w:hAnsi="Times New Roman" w:cs="Times New Roman"/>
                <w:color w:val="000000"/>
                <w:sz w:val="20"/>
                <w:u w:color="auto"/>
              </w:rPr>
              <w:t xml:space="preserve"> </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0.40</w:t>
            </w: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2．主要领导干部用车</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（1）国内接待费</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0.40</w:t>
            </w: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3．机要通信用车</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其中：外事接待费</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4．应急保障用车</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（2）国（境）外接待费</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5．执法执勤用车</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（二）相关统计数</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4660"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6．特种专业技术用车</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1．因公出国（境）团组数（个）</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7．离退休干部用车</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2．因公出国（境）人次数（人）</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8．其他用车</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3．公务用车购置数（辆）</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（二）单价100万元（含）以上设备（不含车辆）</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4．公务用车保有量（辆）</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w:t>
            </w: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六、政府采购支出信息</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5．国内公务接待批次（个）</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w:t>
            </w: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（一）政府采购支出合计</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2.39</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其中：外事接待批次（个）</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1．政府采购货物支出</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2.39</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6．国内公务接待人次（人）</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w:t>
            </w: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2．政府采购工程支出</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其中：外事接待人次（人）</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3．政府采购服务支出</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7．国（境）外公务接待批次（个）</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（二）政府采购授予中小企业合同金额</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2.39</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8．国（境）外公务接待人次（人）</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其中：授予小微企业合同金额</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2.39</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69"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二、会议费</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rPr>
                <w:rFonts w:hint="default" w:ascii="Times New Roman" w:hAnsi="Times New Roman" w:cs="Times New Roman"/>
                <w:color w:val="000000"/>
                <w:sz w:val="20"/>
                <w:szCs w:val="20"/>
              </w:rPr>
            </w:pPr>
          </w:p>
        </w:tc>
      </w:tr>
      <w:tr>
        <w:tblPrEx>
          <w:tblLayout w:type="fixed"/>
          <w:tblCellMar>
            <w:top w:w="0" w:type="dxa"/>
            <w:left w:w="0" w:type="dxa"/>
            <w:bottom w:w="0" w:type="dxa"/>
            <w:right w:w="0" w:type="dxa"/>
          </w:tblCellMar>
        </w:tblPrEx>
        <w:trPr>
          <w:trHeight w:val="244"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三、培训费</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38.87</w:t>
            </w: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rPr>
                <w:rFonts w:hint="default" w:ascii="Times New Roman" w:hAnsi="Times New Roman" w:cs="Times New Roman"/>
                <w:color w:val="000000"/>
                <w:sz w:val="20"/>
                <w:szCs w:val="20"/>
              </w:rPr>
            </w:pPr>
          </w:p>
        </w:tc>
      </w:tr>
    </w:tbl>
    <w:p>
      <w:pPr>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cs="Times New Roman"/>
          <w:sz w:val="20"/>
          <w:szCs w:val="20"/>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p>
    <w:sectPr>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172A27"/>
    <w:rsid w:val="002B254B"/>
    <w:rsid w:val="003318FC"/>
    <w:rsid w:val="00550ABE"/>
    <w:rsid w:val="00770383"/>
    <w:rsid w:val="007819D4"/>
    <w:rsid w:val="007B419D"/>
    <w:rsid w:val="009B67B8"/>
    <w:rsid w:val="009D2B67"/>
    <w:rsid w:val="00B03CCD"/>
    <w:rsid w:val="00C20C3E"/>
    <w:rsid w:val="00F73F90"/>
    <w:rsid w:val="01474EBF"/>
    <w:rsid w:val="01F3521E"/>
    <w:rsid w:val="03B87EA0"/>
    <w:rsid w:val="03E3214F"/>
    <w:rsid w:val="044C50BA"/>
    <w:rsid w:val="054E6352"/>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441E31"/>
    <w:rsid w:val="0A5C4B69"/>
    <w:rsid w:val="0A86124A"/>
    <w:rsid w:val="0AB54CC0"/>
    <w:rsid w:val="0B9335CE"/>
    <w:rsid w:val="0BF2311A"/>
    <w:rsid w:val="0C7927C4"/>
    <w:rsid w:val="0C9B098C"/>
    <w:rsid w:val="0D673E11"/>
    <w:rsid w:val="0DDA54E4"/>
    <w:rsid w:val="0DF433CC"/>
    <w:rsid w:val="0E3A5F83"/>
    <w:rsid w:val="0F836721"/>
    <w:rsid w:val="0FA25D96"/>
    <w:rsid w:val="107B59E5"/>
    <w:rsid w:val="10EC0126"/>
    <w:rsid w:val="10F70B9A"/>
    <w:rsid w:val="111445C7"/>
    <w:rsid w:val="114278C6"/>
    <w:rsid w:val="1158083A"/>
    <w:rsid w:val="11627136"/>
    <w:rsid w:val="11643A4B"/>
    <w:rsid w:val="11ED0F98"/>
    <w:rsid w:val="11F03528"/>
    <w:rsid w:val="12630053"/>
    <w:rsid w:val="12A53B57"/>
    <w:rsid w:val="12C921C4"/>
    <w:rsid w:val="13871C70"/>
    <w:rsid w:val="13A71CB4"/>
    <w:rsid w:val="13AF1D43"/>
    <w:rsid w:val="13CE1647"/>
    <w:rsid w:val="13FD55AB"/>
    <w:rsid w:val="14200702"/>
    <w:rsid w:val="163A6CEE"/>
    <w:rsid w:val="173708E3"/>
    <w:rsid w:val="174952DC"/>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603BFC"/>
    <w:rsid w:val="1ECF0A66"/>
    <w:rsid w:val="1EF67CA4"/>
    <w:rsid w:val="1F020D3A"/>
    <w:rsid w:val="1F12481C"/>
    <w:rsid w:val="1F2C2481"/>
    <w:rsid w:val="1F2C5189"/>
    <w:rsid w:val="1F4B0B02"/>
    <w:rsid w:val="1FBB35CD"/>
    <w:rsid w:val="1FCD26AF"/>
    <w:rsid w:val="20642787"/>
    <w:rsid w:val="20DF16CB"/>
    <w:rsid w:val="21556F04"/>
    <w:rsid w:val="22403BD3"/>
    <w:rsid w:val="24330836"/>
    <w:rsid w:val="24B92327"/>
    <w:rsid w:val="24C14514"/>
    <w:rsid w:val="2533755C"/>
    <w:rsid w:val="25791755"/>
    <w:rsid w:val="25F84ACA"/>
    <w:rsid w:val="26396DF4"/>
    <w:rsid w:val="27167136"/>
    <w:rsid w:val="271B442C"/>
    <w:rsid w:val="27884029"/>
    <w:rsid w:val="27B23302"/>
    <w:rsid w:val="28132219"/>
    <w:rsid w:val="29310A5F"/>
    <w:rsid w:val="29C37A35"/>
    <w:rsid w:val="2A076083"/>
    <w:rsid w:val="2A73162E"/>
    <w:rsid w:val="2B167953"/>
    <w:rsid w:val="2B200583"/>
    <w:rsid w:val="2B2938AA"/>
    <w:rsid w:val="2B8209DE"/>
    <w:rsid w:val="2C636760"/>
    <w:rsid w:val="2C6762A3"/>
    <w:rsid w:val="2D031887"/>
    <w:rsid w:val="2D101F06"/>
    <w:rsid w:val="2E1A5A8D"/>
    <w:rsid w:val="2ED4391C"/>
    <w:rsid w:val="2FCA4B37"/>
    <w:rsid w:val="2FE029D7"/>
    <w:rsid w:val="2FF06E00"/>
    <w:rsid w:val="30586FEC"/>
    <w:rsid w:val="315F0B22"/>
    <w:rsid w:val="31D84415"/>
    <w:rsid w:val="32285F6F"/>
    <w:rsid w:val="32770556"/>
    <w:rsid w:val="329C0913"/>
    <w:rsid w:val="32AA0460"/>
    <w:rsid w:val="3337290D"/>
    <w:rsid w:val="33E31118"/>
    <w:rsid w:val="33EF7674"/>
    <w:rsid w:val="342D7BC6"/>
    <w:rsid w:val="34565729"/>
    <w:rsid w:val="34DE2D7A"/>
    <w:rsid w:val="352930DB"/>
    <w:rsid w:val="35573069"/>
    <w:rsid w:val="355F6038"/>
    <w:rsid w:val="358C217E"/>
    <w:rsid w:val="3617740F"/>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BE77761"/>
    <w:rsid w:val="3C566AD6"/>
    <w:rsid w:val="3C594871"/>
    <w:rsid w:val="3C6A5B02"/>
    <w:rsid w:val="3D2757A1"/>
    <w:rsid w:val="3D3D4FC4"/>
    <w:rsid w:val="3DDF3AB1"/>
    <w:rsid w:val="3E1D0952"/>
    <w:rsid w:val="3E42660A"/>
    <w:rsid w:val="3E7555B1"/>
    <w:rsid w:val="3E787ED9"/>
    <w:rsid w:val="3F032E93"/>
    <w:rsid w:val="3F0527E5"/>
    <w:rsid w:val="3F694D83"/>
    <w:rsid w:val="3F877C48"/>
    <w:rsid w:val="3F885DCC"/>
    <w:rsid w:val="3FCD675E"/>
    <w:rsid w:val="4004000C"/>
    <w:rsid w:val="40BD5482"/>
    <w:rsid w:val="40E06629"/>
    <w:rsid w:val="411B6CE5"/>
    <w:rsid w:val="412070D7"/>
    <w:rsid w:val="41314E40"/>
    <w:rsid w:val="41E0734B"/>
    <w:rsid w:val="426C1EA8"/>
    <w:rsid w:val="42736402"/>
    <w:rsid w:val="429328BC"/>
    <w:rsid w:val="42E86A87"/>
    <w:rsid w:val="43307B09"/>
    <w:rsid w:val="439A3EB9"/>
    <w:rsid w:val="43BB152F"/>
    <w:rsid w:val="44C37687"/>
    <w:rsid w:val="45CB699A"/>
    <w:rsid w:val="465B470D"/>
    <w:rsid w:val="469D6AD4"/>
    <w:rsid w:val="47117D8E"/>
    <w:rsid w:val="471E6C84"/>
    <w:rsid w:val="4748792B"/>
    <w:rsid w:val="475D719D"/>
    <w:rsid w:val="47674801"/>
    <w:rsid w:val="47F96CA0"/>
    <w:rsid w:val="48225EF7"/>
    <w:rsid w:val="487916B8"/>
    <w:rsid w:val="488F422B"/>
    <w:rsid w:val="48E36915"/>
    <w:rsid w:val="48EB6572"/>
    <w:rsid w:val="495C4A24"/>
    <w:rsid w:val="496E751C"/>
    <w:rsid w:val="497135DF"/>
    <w:rsid w:val="4A263DF2"/>
    <w:rsid w:val="4A6F6675"/>
    <w:rsid w:val="4A87708A"/>
    <w:rsid w:val="4B135857"/>
    <w:rsid w:val="4B147E93"/>
    <w:rsid w:val="4B7951CB"/>
    <w:rsid w:val="4B7C315C"/>
    <w:rsid w:val="4BAE167F"/>
    <w:rsid w:val="4DAC4ACA"/>
    <w:rsid w:val="4DBE01D2"/>
    <w:rsid w:val="4EA71A72"/>
    <w:rsid w:val="4F0C6BA3"/>
    <w:rsid w:val="4F186D58"/>
    <w:rsid w:val="50F06B6E"/>
    <w:rsid w:val="51D21804"/>
    <w:rsid w:val="52234D33"/>
    <w:rsid w:val="522F6E0C"/>
    <w:rsid w:val="523918FA"/>
    <w:rsid w:val="52463BA1"/>
    <w:rsid w:val="52BC37C3"/>
    <w:rsid w:val="52F163D4"/>
    <w:rsid w:val="531A2DB4"/>
    <w:rsid w:val="539E108D"/>
    <w:rsid w:val="53C0244D"/>
    <w:rsid w:val="53DD4D4E"/>
    <w:rsid w:val="53E578CE"/>
    <w:rsid w:val="541330F0"/>
    <w:rsid w:val="54272666"/>
    <w:rsid w:val="543B029D"/>
    <w:rsid w:val="54861779"/>
    <w:rsid w:val="552256E1"/>
    <w:rsid w:val="554E5773"/>
    <w:rsid w:val="555A3CBC"/>
    <w:rsid w:val="55690CC8"/>
    <w:rsid w:val="5582012B"/>
    <w:rsid w:val="558E4E05"/>
    <w:rsid w:val="55BE2E85"/>
    <w:rsid w:val="56530F5D"/>
    <w:rsid w:val="567700D3"/>
    <w:rsid w:val="56FF7E9E"/>
    <w:rsid w:val="578867FC"/>
    <w:rsid w:val="57EB6F0D"/>
    <w:rsid w:val="5842572D"/>
    <w:rsid w:val="58F02598"/>
    <w:rsid w:val="59AD09CF"/>
    <w:rsid w:val="5A3B59D6"/>
    <w:rsid w:val="5A3D3001"/>
    <w:rsid w:val="5AD134D8"/>
    <w:rsid w:val="5B9A2945"/>
    <w:rsid w:val="5C263CE4"/>
    <w:rsid w:val="5C5D2777"/>
    <w:rsid w:val="5CF66BF3"/>
    <w:rsid w:val="5D290C69"/>
    <w:rsid w:val="5D963921"/>
    <w:rsid w:val="5F2D4A41"/>
    <w:rsid w:val="60C74F6C"/>
    <w:rsid w:val="60FB54F3"/>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5E4FF7"/>
    <w:rsid w:val="67924660"/>
    <w:rsid w:val="67E3011D"/>
    <w:rsid w:val="68407834"/>
    <w:rsid w:val="68771657"/>
    <w:rsid w:val="6883293E"/>
    <w:rsid w:val="688412AD"/>
    <w:rsid w:val="68EB1B71"/>
    <w:rsid w:val="69731687"/>
    <w:rsid w:val="6A6C7940"/>
    <w:rsid w:val="6AAD2300"/>
    <w:rsid w:val="6B474EF5"/>
    <w:rsid w:val="6B653A84"/>
    <w:rsid w:val="6C0A5AC5"/>
    <w:rsid w:val="6C560CAE"/>
    <w:rsid w:val="6C576495"/>
    <w:rsid w:val="6D903FF5"/>
    <w:rsid w:val="6DA955B8"/>
    <w:rsid w:val="6DE346AB"/>
    <w:rsid w:val="6DE5391A"/>
    <w:rsid w:val="6E3E48BB"/>
    <w:rsid w:val="6EFD1324"/>
    <w:rsid w:val="6F5A53AC"/>
    <w:rsid w:val="6FAC003D"/>
    <w:rsid w:val="6FE55E12"/>
    <w:rsid w:val="6FFB2E76"/>
    <w:rsid w:val="708F6F7F"/>
    <w:rsid w:val="70D94BD3"/>
    <w:rsid w:val="71C34D91"/>
    <w:rsid w:val="72DB435C"/>
    <w:rsid w:val="72E2613A"/>
    <w:rsid w:val="72F771F4"/>
    <w:rsid w:val="73934AD2"/>
    <w:rsid w:val="74DB4B7B"/>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CD27832"/>
    <w:rsid w:val="7D1A74BD"/>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jc w:val="left"/>
    </w:pPr>
    <w:rPr>
      <w:rFonts w:ascii="宋体" w:hAnsi="宋体" w:cs="宋体"/>
      <w:kern w:val="0"/>
      <w:sz w:val="24"/>
    </w:rPr>
  </w:style>
  <w:style w:type="paragraph" w:styleId="3">
    <w:name w:val="Date"/>
    <w:basedOn w:val="1"/>
    <w:next w:val="1"/>
    <w:qFormat/>
    <w:uiPriority w:val="99"/>
    <w:pPr>
      <w:ind w:left="100" w:leftChars="2500"/>
    </w:p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0">
    <w:name w:val="Strong"/>
    <w:qFormat/>
    <w:uiPriority w:val="0"/>
    <w:rPr>
      <w:b/>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9"/>
    <w:link w:val="4"/>
    <w:qFormat/>
    <w:uiPriority w:val="0"/>
    <w:rPr>
      <w:rFonts w:ascii="宋体" w:hAnsi="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4004</Words>
  <Characters>22825</Characters>
  <Lines>190</Lines>
  <Paragraphs>53</Paragraphs>
  <TotalTime>1</TotalTime>
  <ScaleCrop>false</ScaleCrop>
  <LinksUpToDate>false</LinksUpToDate>
  <CharactersWithSpaces>26776</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2024-09-13T07:53:41Z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