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重庆市秀山土家族苗族自治县社会保险事务中心</w:t>
      </w:r>
      <w:r>
        <w:rPr>
          <w:rFonts w:hint="default" w:ascii="方正小标宋_GBK" w:hAnsi="方正小标宋_GBK" w:eastAsia="方正小标宋_GBK" w:cs="方正小标宋_GBK"/>
          <w:sz w:val="36"/>
          <w:szCs w:val="36"/>
        </w:rPr>
        <w:t>2024</w:t>
      </w:r>
      <w:r>
        <w:rPr>
          <w:rFonts w:ascii="方正小标宋_GBK" w:hAnsi="方正小标宋_GBK" w:eastAsia="方正小标宋_GBK" w:cs="方正小标宋_GBK"/>
          <w:sz w:val="36"/>
          <w:szCs w:val="36"/>
        </w:rPr>
        <w:t>年度决算公开说明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一、</w:t>
      </w:r>
      <w:r>
        <w:rPr>
          <w:rStyle w:val="10"/>
          <w:rFonts w:hint="eastAsia" w:ascii="Times New Roman" w:hAnsi="Times New Roman" w:eastAsia="方正黑体_GBK" w:cs="Times New Roman"/>
          <w:b w:val="0"/>
          <w:bCs/>
          <w:sz w:val="32"/>
          <w:szCs w:val="32"/>
          <w:shd w:val="clear" w:color="auto" w:fill="FFFFFF"/>
          <w:lang w:eastAsia="zh-CN"/>
        </w:rPr>
        <w:t>部门</w:t>
      </w:r>
      <w:r>
        <w:rPr>
          <w:rStyle w:val="10"/>
          <w:rFonts w:hint="default" w:ascii="Times New Roman" w:hAnsi="Times New Roman" w:eastAsia="方正黑体_GBK" w:cs="Times New Roman"/>
          <w:b w:val="0"/>
          <w:bCs/>
          <w:sz w:val="32"/>
          <w:szCs w:val="32"/>
          <w:shd w:val="clear" w:color="auto" w:fill="FFFFFF"/>
        </w:rPr>
        <w:t>基本情况</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Times New Roman" w:hAnsi="Times New Roman" w:eastAsia="方正楷体_GBK" w:cs="Times New Roman"/>
          <w:b w:val="0"/>
          <w:bCs/>
          <w:sz w:val="32"/>
          <w:szCs w:val="32"/>
          <w:shd w:val="clear" w:color="auto" w:fill="FFFFFF"/>
        </w:rPr>
      </w:pPr>
      <w:r>
        <w:rPr>
          <w:rStyle w:val="10"/>
          <w:rFonts w:hint="default" w:ascii="Times New Roman" w:hAnsi="Times New Roman" w:eastAsia="方正楷体_GBK" w:cs="Times New Roman"/>
          <w:b w:val="0"/>
          <w:bCs/>
          <w:sz w:val="32"/>
          <w:szCs w:val="32"/>
          <w:shd w:val="clear" w:color="auto" w:fill="FFFFFF"/>
        </w:rPr>
        <w:t>（一）职能职责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color w:val="auto"/>
          <w:kern w:val="2"/>
          <w:sz w:val="32"/>
          <w:szCs w:val="32"/>
        </w:rPr>
      </w:pPr>
      <w:r>
        <w:rPr>
          <w:rFonts w:hint="eastAsia" w:ascii="Times New Roman" w:hAnsi="Times New Roman" w:eastAsia="方正仿宋_GBK" w:cs="Times New Roman"/>
          <w:color w:val="auto"/>
          <w:kern w:val="2"/>
          <w:sz w:val="32"/>
          <w:szCs w:val="32"/>
          <w:lang w:val="en-US" w:eastAsia="zh-CN"/>
        </w:rPr>
        <w:t>1.</w:t>
      </w:r>
      <w:r>
        <w:rPr>
          <w:rFonts w:hint="default" w:ascii="Times New Roman" w:hAnsi="Times New Roman" w:eastAsia="方正仿宋_GBK" w:cs="Times New Roman"/>
          <w:color w:val="auto"/>
          <w:sz w:val="32"/>
          <w:szCs w:val="32"/>
          <w:shd w:val="clear" w:color="auto" w:fill="FFFFFF"/>
          <w:lang w:val="en-US" w:eastAsia="zh-CN" w:bidi="ar-SA"/>
        </w:rPr>
        <w:t>宣传贯彻执行国家、市和县关于养老、工伤保险的法律法规和政策，组织实施养老、工伤保险年度工作计划。</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color w:val="auto"/>
          <w:kern w:val="2"/>
          <w:sz w:val="32"/>
          <w:szCs w:val="32"/>
        </w:rPr>
      </w:pPr>
      <w:r>
        <w:rPr>
          <w:rFonts w:hint="eastAsia" w:ascii="Times New Roman" w:hAnsi="Times New Roman" w:eastAsia="方正仿宋_GBK" w:cs="Times New Roman"/>
          <w:color w:val="auto"/>
          <w:kern w:val="2"/>
          <w:sz w:val="32"/>
          <w:szCs w:val="32"/>
          <w:lang w:val="en-US" w:eastAsia="zh-CN"/>
        </w:rPr>
        <w:t>2.</w:t>
      </w:r>
      <w:r>
        <w:rPr>
          <w:rFonts w:hint="default" w:ascii="Times New Roman" w:hAnsi="Times New Roman" w:eastAsia="方正仿宋_GBK" w:cs="Times New Roman"/>
          <w:color w:val="auto"/>
          <w:kern w:val="2"/>
          <w:sz w:val="32"/>
          <w:szCs w:val="32"/>
        </w:rPr>
        <w:t>负责养老、工伤保险参保登记、接续转移、中断终止、费用审核结算、领取资格认证等业务经办、培训和服务工作。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color w:val="auto"/>
          <w:kern w:val="2"/>
          <w:sz w:val="32"/>
          <w:szCs w:val="32"/>
        </w:rPr>
      </w:pPr>
      <w:r>
        <w:rPr>
          <w:rFonts w:hint="eastAsia" w:ascii="Times New Roman" w:hAnsi="Times New Roman" w:eastAsia="方正仿宋_GBK" w:cs="Times New Roman"/>
          <w:color w:val="auto"/>
          <w:kern w:val="2"/>
          <w:sz w:val="32"/>
          <w:szCs w:val="32"/>
          <w:lang w:val="en-US" w:eastAsia="zh-CN"/>
        </w:rPr>
        <w:t>3.</w:t>
      </w:r>
      <w:r>
        <w:rPr>
          <w:rFonts w:hint="default" w:ascii="Times New Roman" w:hAnsi="Times New Roman" w:eastAsia="方正仿宋_GBK" w:cs="Times New Roman"/>
          <w:color w:val="auto"/>
          <w:kern w:val="2"/>
          <w:sz w:val="32"/>
          <w:szCs w:val="32"/>
        </w:rPr>
        <w:t>负责拟定养老、工伤保险基金收支计划，按时足额支付养老、工伤保险待遇。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color w:val="auto"/>
          <w:kern w:val="2"/>
          <w:sz w:val="32"/>
          <w:szCs w:val="32"/>
        </w:rPr>
      </w:pPr>
      <w:r>
        <w:rPr>
          <w:rFonts w:hint="eastAsia" w:ascii="Times New Roman" w:hAnsi="Times New Roman" w:eastAsia="方正仿宋_GBK" w:cs="Times New Roman"/>
          <w:color w:val="auto"/>
          <w:kern w:val="2"/>
          <w:sz w:val="32"/>
          <w:szCs w:val="32"/>
          <w:lang w:val="en-US" w:eastAsia="zh-CN"/>
        </w:rPr>
        <w:t>4.</w:t>
      </w:r>
      <w:r>
        <w:rPr>
          <w:rFonts w:hint="default" w:ascii="Times New Roman" w:hAnsi="Times New Roman" w:eastAsia="方正仿宋_GBK" w:cs="Times New Roman"/>
          <w:color w:val="auto"/>
          <w:kern w:val="2"/>
          <w:sz w:val="32"/>
          <w:szCs w:val="32"/>
        </w:rPr>
        <w:t>负责执行全县养老、工伤保险基金预决算管理、会计财务核算管理，编制财务报表。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color w:val="auto"/>
          <w:kern w:val="2"/>
          <w:sz w:val="32"/>
          <w:szCs w:val="32"/>
        </w:rPr>
      </w:pPr>
      <w:r>
        <w:rPr>
          <w:rFonts w:hint="eastAsia" w:ascii="Times New Roman" w:hAnsi="Times New Roman" w:eastAsia="方正仿宋_GBK" w:cs="Times New Roman"/>
          <w:color w:val="auto"/>
          <w:kern w:val="2"/>
          <w:sz w:val="32"/>
          <w:szCs w:val="32"/>
          <w:lang w:val="en-US" w:eastAsia="zh-CN"/>
        </w:rPr>
        <w:t>5.</w:t>
      </w:r>
      <w:r>
        <w:rPr>
          <w:rFonts w:hint="default" w:ascii="Times New Roman" w:hAnsi="Times New Roman" w:eastAsia="方正仿宋_GBK" w:cs="Times New Roman"/>
          <w:color w:val="auto"/>
          <w:kern w:val="2"/>
          <w:sz w:val="32"/>
          <w:szCs w:val="32"/>
        </w:rPr>
        <w:t>负责建立和完善内控制度，执行内部审计和风险控制。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color w:val="auto"/>
          <w:kern w:val="2"/>
          <w:sz w:val="32"/>
          <w:szCs w:val="32"/>
        </w:rPr>
      </w:pPr>
      <w:r>
        <w:rPr>
          <w:rFonts w:hint="eastAsia" w:ascii="Times New Roman" w:hAnsi="Times New Roman" w:eastAsia="方正仿宋_GBK" w:cs="Times New Roman"/>
          <w:color w:val="auto"/>
          <w:kern w:val="2"/>
          <w:sz w:val="32"/>
          <w:szCs w:val="32"/>
          <w:lang w:val="en-US" w:eastAsia="zh-CN"/>
        </w:rPr>
        <w:t>6.</w:t>
      </w:r>
      <w:r>
        <w:rPr>
          <w:rFonts w:hint="default" w:ascii="Times New Roman" w:hAnsi="Times New Roman" w:eastAsia="方正仿宋_GBK" w:cs="Times New Roman"/>
          <w:color w:val="auto"/>
          <w:kern w:val="2"/>
          <w:sz w:val="32"/>
          <w:szCs w:val="32"/>
        </w:rPr>
        <w:t>稽核用人单位养老、工伤保险费缴纳、待遇支付和领取情况。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color w:val="auto"/>
          <w:kern w:val="2"/>
          <w:sz w:val="32"/>
          <w:szCs w:val="32"/>
        </w:rPr>
      </w:pPr>
      <w:r>
        <w:rPr>
          <w:rFonts w:hint="eastAsia" w:ascii="Times New Roman" w:hAnsi="Times New Roman" w:eastAsia="方正仿宋_GBK" w:cs="Times New Roman"/>
          <w:color w:val="auto"/>
          <w:kern w:val="2"/>
          <w:sz w:val="32"/>
          <w:szCs w:val="32"/>
          <w:lang w:val="en-US" w:eastAsia="zh-CN"/>
        </w:rPr>
        <w:t>7.</w:t>
      </w:r>
      <w:r>
        <w:rPr>
          <w:rFonts w:hint="default" w:ascii="Times New Roman" w:hAnsi="Times New Roman" w:eastAsia="方正仿宋_GBK" w:cs="Times New Roman"/>
          <w:color w:val="auto"/>
          <w:kern w:val="2"/>
          <w:sz w:val="32"/>
          <w:szCs w:val="32"/>
        </w:rPr>
        <w:t>负责工伤定点医疗机构的确定、协议管理，并对其收费情况和服务质量进行检查、审核与监督。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color w:val="auto"/>
          <w:kern w:val="2"/>
          <w:sz w:val="32"/>
          <w:szCs w:val="32"/>
        </w:rPr>
      </w:pPr>
      <w:r>
        <w:rPr>
          <w:rFonts w:hint="eastAsia" w:ascii="Times New Roman" w:hAnsi="Times New Roman" w:eastAsia="方正仿宋_GBK" w:cs="Times New Roman"/>
          <w:color w:val="auto"/>
          <w:kern w:val="2"/>
          <w:sz w:val="32"/>
          <w:szCs w:val="32"/>
          <w:lang w:val="en-US" w:eastAsia="zh-CN"/>
        </w:rPr>
        <w:t>8.</w:t>
      </w:r>
      <w:r>
        <w:rPr>
          <w:rFonts w:hint="default" w:ascii="Times New Roman" w:hAnsi="Times New Roman" w:eastAsia="方正仿宋_GBK" w:cs="Times New Roman"/>
          <w:color w:val="auto"/>
          <w:kern w:val="2"/>
          <w:sz w:val="32"/>
          <w:szCs w:val="32"/>
        </w:rPr>
        <w:t>负责全县养老、工伤保险经办业务档案的标准化建设、日常管理和查询利用。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color w:val="auto"/>
          <w:kern w:val="2"/>
          <w:sz w:val="32"/>
          <w:szCs w:val="32"/>
        </w:rPr>
      </w:pPr>
      <w:r>
        <w:rPr>
          <w:rFonts w:hint="eastAsia" w:ascii="Times New Roman" w:hAnsi="Times New Roman" w:eastAsia="方正仿宋_GBK" w:cs="Times New Roman"/>
          <w:color w:val="auto"/>
          <w:kern w:val="2"/>
          <w:sz w:val="32"/>
          <w:szCs w:val="32"/>
          <w:lang w:val="en-US" w:eastAsia="zh-CN"/>
        </w:rPr>
        <w:t>9.</w:t>
      </w:r>
      <w:r>
        <w:rPr>
          <w:rFonts w:hint="default" w:ascii="Times New Roman" w:hAnsi="Times New Roman" w:eastAsia="方正仿宋_GBK" w:cs="Times New Roman"/>
          <w:color w:val="auto"/>
          <w:kern w:val="2"/>
          <w:sz w:val="32"/>
          <w:szCs w:val="32"/>
        </w:rPr>
        <w:t>负责全县养老、工伤保险信息化建设工作，负责信息系统的运行、维护和管理，负责信息采集、整理、记录、统计分析工作。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color w:val="auto"/>
          <w:kern w:val="2"/>
          <w:sz w:val="32"/>
          <w:szCs w:val="32"/>
        </w:rPr>
      </w:pPr>
      <w:r>
        <w:rPr>
          <w:rFonts w:hint="eastAsia" w:ascii="Times New Roman" w:hAnsi="Times New Roman" w:eastAsia="方正仿宋_GBK" w:cs="Times New Roman"/>
          <w:color w:val="auto"/>
          <w:kern w:val="2"/>
          <w:sz w:val="32"/>
          <w:szCs w:val="32"/>
          <w:lang w:val="en-US" w:eastAsia="zh-CN"/>
        </w:rPr>
        <w:t>10.</w:t>
      </w:r>
      <w:r>
        <w:rPr>
          <w:rFonts w:hint="default" w:ascii="Times New Roman" w:hAnsi="Times New Roman" w:eastAsia="方正仿宋_GBK" w:cs="Times New Roman"/>
          <w:color w:val="auto"/>
          <w:kern w:val="2"/>
          <w:sz w:val="32"/>
          <w:szCs w:val="32"/>
        </w:rPr>
        <w:t>负责全县企业和机关事业单位退休人员社会化管理服务工作。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color w:val="auto"/>
          <w:kern w:val="2"/>
          <w:sz w:val="32"/>
          <w:szCs w:val="32"/>
        </w:rPr>
      </w:pPr>
      <w:r>
        <w:rPr>
          <w:rFonts w:hint="eastAsia" w:ascii="Times New Roman" w:hAnsi="Times New Roman" w:eastAsia="方正仿宋_GBK" w:cs="Times New Roman"/>
          <w:color w:val="auto"/>
          <w:kern w:val="2"/>
          <w:sz w:val="32"/>
          <w:szCs w:val="32"/>
          <w:lang w:val="en-US" w:eastAsia="zh-CN"/>
        </w:rPr>
        <w:t>11.</w:t>
      </w:r>
      <w:r>
        <w:rPr>
          <w:rFonts w:hint="default" w:ascii="Times New Roman" w:hAnsi="Times New Roman" w:eastAsia="方正仿宋_GBK" w:cs="Times New Roman"/>
          <w:color w:val="auto"/>
          <w:kern w:val="2"/>
          <w:sz w:val="32"/>
          <w:szCs w:val="32"/>
        </w:rPr>
        <w:t>负责指导乡镇、街道劳动就业社会保障服务中心开展养老保险经办和服务工作。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color w:val="auto"/>
          <w:kern w:val="2"/>
          <w:sz w:val="32"/>
          <w:szCs w:val="32"/>
        </w:rPr>
      </w:pPr>
      <w:r>
        <w:rPr>
          <w:rFonts w:hint="eastAsia" w:ascii="Times New Roman" w:hAnsi="Times New Roman" w:eastAsia="方正仿宋_GBK" w:cs="Times New Roman"/>
          <w:color w:val="auto"/>
          <w:kern w:val="2"/>
          <w:sz w:val="32"/>
          <w:szCs w:val="32"/>
          <w:lang w:val="en-US" w:eastAsia="zh-CN"/>
        </w:rPr>
        <w:t>12.</w:t>
      </w:r>
      <w:r>
        <w:rPr>
          <w:rFonts w:hint="default" w:ascii="Times New Roman" w:hAnsi="Times New Roman" w:eastAsia="方正仿宋_GBK" w:cs="Times New Roman"/>
          <w:color w:val="auto"/>
          <w:kern w:val="2"/>
          <w:sz w:val="32"/>
          <w:szCs w:val="32"/>
        </w:rPr>
        <w:t>负责各类特殊群体财政补贴资金的代发工作。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color w:val="auto"/>
          <w:kern w:val="2"/>
          <w:sz w:val="32"/>
          <w:szCs w:val="32"/>
        </w:rPr>
      </w:pPr>
      <w:r>
        <w:rPr>
          <w:rFonts w:hint="eastAsia" w:ascii="Times New Roman" w:hAnsi="Times New Roman" w:eastAsia="方正仿宋_GBK" w:cs="Times New Roman"/>
          <w:color w:val="auto"/>
          <w:kern w:val="2"/>
          <w:sz w:val="32"/>
          <w:szCs w:val="32"/>
          <w:lang w:val="en-US" w:eastAsia="zh-CN"/>
        </w:rPr>
        <w:t>13.</w:t>
      </w:r>
      <w:r>
        <w:rPr>
          <w:rFonts w:hint="default" w:ascii="Times New Roman" w:hAnsi="Times New Roman" w:eastAsia="方正仿宋_GBK" w:cs="Times New Roman"/>
          <w:color w:val="auto"/>
          <w:kern w:val="2"/>
          <w:sz w:val="32"/>
          <w:szCs w:val="32"/>
        </w:rPr>
        <w:t>承办上级部门交办的其他事项。</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Times New Roman" w:hAnsi="Times New Roman" w:eastAsia="方正楷体_GBK" w:cs="Times New Roman"/>
          <w:b w:val="0"/>
          <w:bCs/>
          <w:sz w:val="32"/>
          <w:szCs w:val="32"/>
          <w:shd w:val="clear" w:color="auto" w:fill="FFFFFF"/>
        </w:rPr>
      </w:pPr>
      <w:r>
        <w:rPr>
          <w:rStyle w:val="10"/>
          <w:rFonts w:hint="default" w:ascii="Times New Roman" w:hAnsi="Times New Roman" w:eastAsia="方正楷体_GBK" w:cs="Times New Roman"/>
          <w:b w:val="0"/>
          <w:bCs/>
          <w:sz w:val="32"/>
          <w:szCs w:val="32"/>
          <w:shd w:val="clear" w:color="auto" w:fill="FFFFFF"/>
        </w:rPr>
        <w:t>（二）机构设置</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机构改革后，因职能职责调整，我部门现有内设机构8 个，分别是综合科、公共业务科、参保科、养老待遇科、机关事业养老保险科、工伤待遇科、基金结算科、稽核督查科(挂内审风控科牌子)。</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二、</w:t>
      </w:r>
      <w:r>
        <w:rPr>
          <w:rStyle w:val="10"/>
          <w:rFonts w:hint="eastAsia" w:ascii="Times New Roman" w:hAnsi="Times New Roman" w:eastAsia="方正黑体_GBK" w:cs="Times New Roman"/>
          <w:b w:val="0"/>
          <w:bCs/>
          <w:sz w:val="32"/>
          <w:szCs w:val="32"/>
          <w:shd w:val="clear" w:color="auto" w:fill="FFFFFF"/>
          <w:lang w:eastAsia="zh-CN"/>
        </w:rPr>
        <w:t>部门</w:t>
      </w:r>
      <w:r>
        <w:rPr>
          <w:rStyle w:val="10"/>
          <w:rFonts w:hint="default" w:ascii="Times New Roman" w:hAnsi="Times New Roman" w:eastAsia="方正黑体_GBK" w:cs="Times New Roman"/>
          <w:b w:val="0"/>
          <w:bCs/>
          <w:sz w:val="32"/>
          <w:szCs w:val="32"/>
          <w:shd w:val="clear" w:color="auto" w:fill="FFFFFF"/>
        </w:rPr>
        <w:t>决算</w:t>
      </w:r>
      <w:r>
        <w:rPr>
          <w:rStyle w:val="10"/>
          <w:rFonts w:hint="eastAsia" w:ascii="Times New Roman" w:hAnsi="Times New Roman" w:eastAsia="方正黑体_GBK" w:cs="Times New Roman"/>
          <w:b w:val="0"/>
          <w:bCs/>
          <w:sz w:val="32"/>
          <w:szCs w:val="32"/>
          <w:shd w:val="clear" w:color="auto" w:fill="FFFFFF"/>
          <w:lang w:eastAsia="zh-CN"/>
        </w:rPr>
        <w:t>收支</w:t>
      </w:r>
      <w:r>
        <w:rPr>
          <w:rStyle w:val="10"/>
          <w:rFonts w:hint="default" w:ascii="Times New Roman" w:hAnsi="Times New Roman" w:eastAsia="方正黑体_GBK" w:cs="Times New Roman"/>
          <w:b w:val="0"/>
          <w:bCs/>
          <w:sz w:val="32"/>
          <w:szCs w:val="32"/>
          <w:shd w:val="clear" w:color="auto" w:fill="FFFFFF"/>
        </w:rPr>
        <w:t>情况说明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Times New Roman" w:hAnsi="Times New Roman" w:eastAsia="方正楷体_GBK" w:cs="Times New Roman"/>
          <w:b w:val="0"/>
          <w:bCs/>
          <w:sz w:val="32"/>
          <w:szCs w:val="32"/>
          <w:shd w:val="clear" w:color="auto" w:fill="FFFFFF"/>
        </w:rPr>
      </w:pPr>
      <w:r>
        <w:rPr>
          <w:rStyle w:val="10"/>
          <w:rFonts w:hint="eastAsia" w:ascii="Times New Roman" w:hAnsi="Times New Roman" w:eastAsia="方正楷体_GBK" w:cs="Times New Roman"/>
          <w:b w:val="0"/>
          <w:bCs/>
          <w:sz w:val="32"/>
          <w:szCs w:val="32"/>
          <w:shd w:val="clear" w:color="auto" w:fill="FFFFFF"/>
        </w:rPr>
        <w:t>（一）收入支出决算总体情况说明</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both"/>
        <w:rPr>
          <w:rFonts w:hint="eastAsia"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2433.07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收、支与2023年度相比，减少716.34万元，下降22.8%</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color w:val="auto"/>
          <w:kern w:val="2"/>
          <w:sz w:val="32"/>
          <w:szCs w:val="32"/>
          <w:lang w:val="en-US" w:eastAsia="zh-CN" w:bidi="ar-SA"/>
        </w:rPr>
        <w:t>本年全县各单位退休及调出统筹外人员的职业年金补记较上年度减少625.34万元。</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3" w:firstLineChars="200"/>
        <w:jc w:val="both"/>
        <w:rPr>
          <w:rFonts w:hint="eastAsia" w:ascii="Times New Roman" w:hAnsi="Times New Roman" w:eastAsia="方正仿宋_GBK" w:cs="Times New Roman"/>
          <w:color w:val="auto"/>
          <w:kern w:val="2"/>
          <w:sz w:val="32"/>
          <w:szCs w:val="32"/>
          <w:lang w:val="en-US" w:eastAsia="zh-CN" w:bidi="ar-SA"/>
        </w:rPr>
      </w:pPr>
      <w:r>
        <w:rPr>
          <w:rStyle w:val="10"/>
          <w:rFonts w:hint="eastAsia" w:ascii="Times New Roman" w:hAnsi="Times New Roman" w:eastAsia="方正仿宋_GBK" w:cs="方正仿宋_GBK"/>
          <w:color w:val="auto"/>
          <w:sz w:val="32"/>
          <w:szCs w:val="32"/>
          <w:shd w:val="clear" w:color="auto" w:fill="FFFFFF"/>
          <w:lang w:val="en-US" w:eastAsia="zh-CN"/>
        </w:rPr>
        <w:t>1</w:t>
      </w:r>
      <w:r>
        <w:rPr>
          <w:rStyle w:val="10"/>
          <w:rFonts w:ascii="方正仿宋_GBK" w:hAnsi="方正仿宋_GBK" w:eastAsia="方正仿宋_GBK" w:cs="方正仿宋_GBK"/>
          <w:color w:val="auto"/>
          <w:sz w:val="32"/>
          <w:szCs w:val="32"/>
          <w:shd w:val="clear" w:color="auto" w:fill="FFFFFF"/>
        </w:rPr>
        <w:t>.收入情况。</w:t>
      </w:r>
      <w:r>
        <w:rPr>
          <w:rFonts w:hint="eastAsia" w:ascii="Times New Roman" w:hAnsi="Times New Roman" w:eastAsia="方正仿宋_GBK" w:cs="Times New Roman"/>
          <w:color w:val="auto"/>
          <w:kern w:val="2"/>
          <w:sz w:val="32"/>
          <w:szCs w:val="32"/>
          <w:lang w:val="en-US" w:eastAsia="zh-CN" w:bidi="ar-SA"/>
        </w:rPr>
        <w:t>2024年度收入合计2430.81万元</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与2023年度相比，减少694.24万元，下降22.2%</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color w:val="auto"/>
          <w:kern w:val="2"/>
          <w:sz w:val="32"/>
          <w:szCs w:val="32"/>
          <w:lang w:val="en-US" w:eastAsia="zh-CN" w:bidi="ar-SA"/>
        </w:rPr>
        <w:t>主要原因是本年全县各单位退休及调出统筹外人员的职业年金补记较上年度减少625.34万元。其中：财政拨款收入2405.82万元，占99.0%；事业收入0.00万元，占0.0%；经营收入0.00万元，占0.0%；其他收入24.99万元，占1.0%。此外，使用非财政拨款结余（含专用结余）0.00万元，年初结转和结余2.26万元。</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3" w:firstLineChars="200"/>
        <w:jc w:val="both"/>
        <w:textAlignment w:val="auto"/>
        <w:outlineLvl w:val="9"/>
        <w:rPr>
          <w:rFonts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cs="方正仿宋_GBK"/>
          <w:color w:val="auto"/>
          <w:sz w:val="32"/>
          <w:szCs w:val="32"/>
          <w:shd w:val="clear" w:color="auto" w:fill="FFFFFF"/>
          <w:lang w:val="en-US" w:eastAsia="zh-CN"/>
        </w:rPr>
        <w:t>2</w:t>
      </w:r>
      <w:r>
        <w:rPr>
          <w:rStyle w:val="10"/>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2433.07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与2023年度相比，减少714.08万元，下降22.7%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color w:val="auto"/>
          <w:kern w:val="2"/>
          <w:sz w:val="32"/>
          <w:szCs w:val="32"/>
          <w:lang w:val="en-US" w:eastAsia="zh-CN" w:bidi="ar-SA"/>
        </w:rPr>
        <w:t>本年全县各单位退休及调出统筹外人员的职业年金补记较上年度减少625.34万元。</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2186.89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89.9%</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246.18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10.1%</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Style w:val="10"/>
          <w:rFonts w:hint="eastAsia" w:ascii="Times New Roman" w:hAnsi="Times New Roman" w:eastAsia="方正仿宋_GBK" w:cs="方正仿宋_GBK"/>
          <w:color w:val="auto"/>
          <w:sz w:val="32"/>
          <w:szCs w:val="32"/>
          <w:shd w:val="clear" w:color="auto" w:fill="FFFFFF"/>
          <w:lang w:val="en-US" w:eastAsia="zh-CN"/>
        </w:rPr>
        <w:t>3</w:t>
      </w:r>
      <w:r>
        <w:rPr>
          <w:rStyle w:val="10"/>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与2023年度相比，减少2.26万元，下降100.0%</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color w:val="auto"/>
          <w:kern w:val="2"/>
          <w:sz w:val="32"/>
          <w:szCs w:val="32"/>
          <w:lang w:val="en-US" w:eastAsia="zh-CN" w:bidi="ar-SA"/>
        </w:rPr>
        <w:t>主要原因是本年度使用上年度结转资金，本年度结转资金减少。</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eastAsia" w:ascii="Times New Roman" w:hAnsi="Times New Roman" w:eastAsia="方正楷体_GBK" w:cs="Times New Roman"/>
          <w:b w:val="0"/>
          <w:bCs/>
          <w:sz w:val="32"/>
          <w:szCs w:val="32"/>
          <w:shd w:val="clear" w:color="auto" w:fill="FFFFFF"/>
        </w:rPr>
      </w:pPr>
      <w:r>
        <w:rPr>
          <w:rStyle w:val="10"/>
          <w:rFonts w:hint="eastAsia" w:ascii="Times New Roman" w:hAnsi="Times New Roman" w:eastAsia="方正楷体_GBK" w:cs="Times New Roman"/>
          <w:b w:val="0"/>
          <w:bCs/>
          <w:sz w:val="32"/>
          <w:szCs w:val="32"/>
          <w:shd w:val="clear" w:color="auto" w:fill="FFFFFF"/>
        </w:rPr>
        <w:t>（二）财政拨款收入支出决算总体情况说明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2024年度财政拨款收、支总计2405.82万元。与2023年相比，财政拨款收、支总计各减少719.23万元，减少23.0%。其主要原因是本年全县各单位退休及调出统筹外人员的职业年金补记较上年度减少625.34万元。</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eastAsia" w:ascii="Times New Roman" w:hAnsi="Times New Roman" w:eastAsia="方正楷体_GBK" w:cs="Times New Roman"/>
          <w:b w:val="0"/>
          <w:bCs/>
          <w:sz w:val="32"/>
          <w:szCs w:val="32"/>
          <w:shd w:val="clear" w:color="auto" w:fill="FFFFFF"/>
        </w:rPr>
      </w:pPr>
      <w:r>
        <w:rPr>
          <w:rStyle w:val="10"/>
          <w:rFonts w:hint="eastAsia" w:ascii="Times New Roman" w:hAnsi="Times New Roman" w:eastAsia="方正楷体_GBK" w:cs="Times New Roman"/>
          <w:b w:val="0"/>
          <w:bCs/>
          <w:sz w:val="32"/>
          <w:szCs w:val="32"/>
          <w:shd w:val="clear" w:color="auto" w:fill="FFFFFF"/>
          <w:lang w:val="en-US" w:eastAsia="zh-CN"/>
        </w:rPr>
        <w:t>（三）一般公共预算财政拨款收入支出决算情况说明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Style w:val="10"/>
          <w:rFonts w:ascii="Times New Roman" w:hAnsi="Times New Roman" w:eastAsia="方正仿宋_GBK" w:cs="方正仿宋_GBK"/>
          <w:color w:val="auto"/>
          <w:sz w:val="32"/>
          <w:szCs w:val="32"/>
          <w:shd w:val="clear" w:color="auto" w:fill="FFFFFF"/>
        </w:rPr>
        <w:t>1</w:t>
      </w:r>
      <w:r>
        <w:rPr>
          <w:rStyle w:val="10"/>
          <w:rFonts w:ascii="方正仿宋_GBK" w:hAnsi="方正仿宋_GBK" w:eastAsia="方正仿宋_GBK" w:cs="方正仿宋_GBK"/>
          <w:color w:val="auto"/>
          <w:sz w:val="32"/>
          <w:szCs w:val="32"/>
          <w:shd w:val="clear" w:color="auto" w:fill="FFFFFF"/>
        </w:rPr>
        <w:t>.收入情况。</w:t>
      </w:r>
      <w:r>
        <w:rPr>
          <w:rFonts w:hint="eastAsia" w:ascii="Times New Roman" w:hAnsi="Times New Roman" w:eastAsia="方正仿宋_GBK" w:cs="Times New Roman"/>
          <w:color w:val="auto"/>
          <w:kern w:val="2"/>
          <w:sz w:val="32"/>
          <w:szCs w:val="32"/>
          <w:lang w:val="en-US" w:eastAsia="zh-CN" w:bidi="ar-SA"/>
        </w:rPr>
        <w:t>2024年度一般公共预算财政拨款收入2405.82万元，</w:t>
      </w:r>
      <w:r>
        <w:rPr>
          <w:rFonts w:hint="default" w:ascii="Times New Roman" w:hAnsi="Times New Roman" w:eastAsia="方正仿宋_GBK"/>
          <w:sz w:val="32"/>
          <w:szCs w:val="32"/>
          <w:shd w:val="clear" w:color="auto" w:fill="FFFFFF"/>
        </w:rPr>
        <w:t>与2023年度相比，减少719.23万元，下降23.0%</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color w:val="auto"/>
          <w:kern w:val="2"/>
          <w:sz w:val="32"/>
          <w:szCs w:val="32"/>
          <w:lang w:val="en-US" w:eastAsia="zh-CN" w:bidi="ar-SA"/>
        </w:rPr>
        <w:t>主要原因是本年全县各单位退休及调出统筹外人员的职业年金补记较上年度减少625.34万元。较年初预算数减少1297.46万元，</w:t>
      </w:r>
      <w:r>
        <w:rPr>
          <w:rFonts w:hint="default" w:ascii="Times New Roman" w:hAnsi="Times New Roman" w:eastAsia="方正仿宋_GBK"/>
          <w:sz w:val="32"/>
          <w:szCs w:val="32"/>
          <w:shd w:val="clear" w:color="auto" w:fill="FFFFFF"/>
        </w:rPr>
        <w:t>下降</w:t>
      </w:r>
      <w:r>
        <w:rPr>
          <w:rFonts w:hint="eastAsia" w:ascii="Times New Roman" w:hAnsi="Times New Roman" w:eastAsia="方正仿宋_GBK" w:cs="Times New Roman"/>
          <w:color w:val="auto"/>
          <w:kern w:val="2"/>
          <w:sz w:val="32"/>
          <w:szCs w:val="32"/>
          <w:lang w:val="en-US" w:eastAsia="zh-CN" w:bidi="ar-SA"/>
        </w:rPr>
        <w:t>35.0%。主要原因是单双解人员社会保险补贴1745万元年初纳入预算，后大部分资金1480.51万元从预算中取消。此外，年初财政拨款结转和结余0.00万元。</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Style w:val="10"/>
          <w:rFonts w:ascii="Times New Roman" w:hAnsi="Times New Roman" w:eastAsia="方正仿宋_GBK" w:cs="方正仿宋_GBK"/>
          <w:color w:val="auto"/>
          <w:sz w:val="32"/>
          <w:szCs w:val="32"/>
          <w:shd w:val="clear" w:color="auto" w:fill="FFFFFF"/>
        </w:rPr>
        <w:t>2</w:t>
      </w:r>
      <w:r>
        <w:rPr>
          <w:rStyle w:val="10"/>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2405.82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与2023年度相比，减少719.23万元，下降23.0%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color w:val="auto"/>
          <w:kern w:val="2"/>
          <w:sz w:val="32"/>
          <w:szCs w:val="32"/>
          <w:lang w:val="en-US" w:eastAsia="zh-CN" w:bidi="ar-SA"/>
        </w:rPr>
        <w:t>本年全县各单位退休及调出统筹外人员的职业年金补记较上年度减少625.34万元。</w:t>
      </w:r>
      <w:r>
        <w:rPr>
          <w:rFonts w:hint="default" w:ascii="Times New Roman" w:hAnsi="Times New Roman" w:eastAsia="方正仿宋_GBK"/>
          <w:sz w:val="32"/>
          <w:szCs w:val="32"/>
          <w:shd w:val="clear" w:color="auto" w:fill="FFFFFF"/>
        </w:rPr>
        <w:t>较年初预算数减少1297.46万元，下降35.0%</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color w:val="auto"/>
          <w:kern w:val="2"/>
          <w:sz w:val="32"/>
          <w:szCs w:val="32"/>
          <w:lang w:val="en-US" w:eastAsia="zh-CN" w:bidi="ar-SA"/>
        </w:rPr>
        <w:t>主要原因是单双解人员社会保险补贴1745万元年初纳入预算，后大部分资金1480.51万元从预算中取消，减少预算支出。</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keepNext w:val="0"/>
        <w:keepLines w:val="0"/>
        <w:pageBreakBefore w:val="0"/>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0.90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较年初预算数增加0.90万元，增长100.0%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color w:val="auto"/>
          <w:kern w:val="2"/>
          <w:sz w:val="32"/>
          <w:szCs w:val="32"/>
          <w:lang w:val="en-US" w:eastAsia="zh-CN" w:bidi="ar-SA"/>
        </w:rPr>
        <w:t>用于发放优秀公务员奖励金。</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2312.07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96.1%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较年初预算数减少1293.43万元，下降35.9%</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color w:val="auto"/>
          <w:kern w:val="2"/>
          <w:sz w:val="32"/>
          <w:szCs w:val="32"/>
          <w:lang w:val="en-US" w:eastAsia="zh-CN" w:bidi="ar-SA"/>
        </w:rPr>
        <w:t>单双解人员社会保险补贴1745万元年初纳入预算，后大部分资金1480.51万元从预算中取消，减少预算支出。</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43.64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较年初预算数减少2.22万元，下降4.8%</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color w:val="auto"/>
          <w:kern w:val="2"/>
          <w:sz w:val="32"/>
          <w:szCs w:val="32"/>
          <w:lang w:val="en-US" w:eastAsia="zh-CN" w:bidi="ar-SA"/>
        </w:rPr>
        <w:t>单位人员数量变动，实际使用养老保险资金减少。</w:t>
      </w:r>
    </w:p>
    <w:p>
      <w:pPr>
        <w:keepNext w:val="0"/>
        <w:keepLines w:val="0"/>
        <w:pageBreakBefore w:val="0"/>
        <w:kinsoku/>
        <w:wordWrap/>
        <w:overflowPunct/>
        <w:topLinePunct w:val="0"/>
        <w:autoSpaceDN/>
        <w:bidi w:val="0"/>
        <w:adjustRightInd/>
        <w:spacing w:beforeAutospacing="0" w:afterAutospacing="0" w:line="560"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（4）</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49.21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较年初预算数减少2.71万元，下降5.2%</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color w:val="auto"/>
          <w:kern w:val="2"/>
          <w:sz w:val="32"/>
          <w:szCs w:val="32"/>
          <w:lang w:val="en-US" w:eastAsia="zh-CN" w:bidi="ar-SA"/>
        </w:rPr>
        <w:t>主要原因是部门人员数量变动，住房公积金缴费相应减少。</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Style w:val="10"/>
          <w:rFonts w:ascii="Times New Roman" w:hAnsi="Times New Roman" w:eastAsia="方正仿宋_GBK" w:cs="方正仿宋_GBK"/>
          <w:color w:val="auto"/>
          <w:sz w:val="32"/>
          <w:szCs w:val="32"/>
          <w:shd w:val="clear" w:color="auto" w:fill="FFFFFF"/>
        </w:rPr>
        <w:t>3</w:t>
      </w:r>
      <w:r>
        <w:rPr>
          <w:rStyle w:val="10"/>
          <w:rFonts w:ascii="方正仿宋_GBK" w:hAnsi="方正仿宋_GBK" w:eastAsia="方正仿宋_GBK" w:cs="方正仿宋_GBK"/>
          <w:color w:val="auto"/>
          <w:sz w:val="32"/>
          <w:szCs w:val="32"/>
          <w:shd w:val="clear" w:color="auto" w:fill="FFFFFF"/>
        </w:rPr>
        <w:t>.结转结余情况。</w:t>
      </w:r>
      <w:r>
        <w:rPr>
          <w:rFonts w:hint="eastAsia" w:ascii="Times New Roman" w:hAnsi="Times New Roman" w:eastAsia="方正仿宋_GBK" w:cs="Times New Roman"/>
          <w:color w:val="auto"/>
          <w:kern w:val="2"/>
          <w:sz w:val="32"/>
          <w:szCs w:val="32"/>
          <w:lang w:val="en-US" w:eastAsia="zh-CN" w:bidi="ar-SA"/>
        </w:rPr>
        <w:t>2024年度年末一般公共预算财政拨款结转和结余0.00万元，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color w:val="auto"/>
          <w:kern w:val="2"/>
          <w:sz w:val="32"/>
          <w:szCs w:val="32"/>
          <w:lang w:val="en-US" w:eastAsia="zh-CN" w:bidi="ar-SA"/>
        </w:rPr>
        <w:t>主要原因是本年度无结转结余资金。</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eastAsia" w:ascii="Times New Roman" w:hAnsi="Times New Roman" w:eastAsia="方正楷体_GBK" w:cs="Times New Roman"/>
          <w:b w:val="0"/>
          <w:bCs/>
          <w:sz w:val="32"/>
          <w:szCs w:val="32"/>
          <w:shd w:val="clear" w:color="auto" w:fill="FFFFFF"/>
        </w:rPr>
      </w:pPr>
      <w:r>
        <w:rPr>
          <w:rStyle w:val="10"/>
          <w:rFonts w:hint="eastAsia" w:ascii="Times New Roman" w:hAnsi="Times New Roman" w:eastAsia="方正楷体_GBK" w:cs="Times New Roman"/>
          <w:b w:val="0"/>
          <w:bCs/>
          <w:sz w:val="32"/>
          <w:szCs w:val="32"/>
          <w:shd w:val="clear" w:color="auto" w:fill="FFFFFF"/>
          <w:lang w:val="en-US" w:eastAsia="zh-CN"/>
        </w:rPr>
        <w:t>（四）一般公共预算财政拨款基本支出决算情况说明</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2024年度一般公共财政拨款基本支出2161.90万元。其中：</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人员经费2071.15万元</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与2023年度相比，减少678.06万元，下降24.7%</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color w:val="auto"/>
          <w:kern w:val="2"/>
          <w:sz w:val="32"/>
          <w:szCs w:val="32"/>
          <w:lang w:val="en-US" w:eastAsia="zh-CN" w:bidi="ar-SA"/>
        </w:rPr>
        <w:t>主要原因是本年全县各单位退休及调出统筹外人员的职业年金补记较上年度减少625.34万元。人员经费用途主要包括基本工资、津补贴、奖金、社会保险缴费、住房公积金缴费、</w:t>
      </w:r>
      <w:r>
        <w:rPr>
          <w:rFonts w:hint="default" w:ascii="Times New Roman" w:hAnsi="Times New Roman" w:eastAsia="方正仿宋_GBK" w:cs="Times New Roman"/>
          <w:color w:val="auto"/>
          <w:kern w:val="2"/>
          <w:sz w:val="32"/>
          <w:szCs w:val="32"/>
          <w:lang w:val="en-US" w:eastAsia="zh-CN" w:bidi="ar-SA"/>
        </w:rPr>
        <w:t>对个人和家庭的补助</w:t>
      </w:r>
      <w:r>
        <w:rPr>
          <w:rFonts w:hint="eastAsia" w:ascii="Times New Roman" w:hAnsi="Times New Roman" w:eastAsia="方正仿宋_GBK" w:cs="Times New Roman"/>
          <w:color w:val="auto"/>
          <w:kern w:val="2"/>
          <w:sz w:val="32"/>
          <w:szCs w:val="32"/>
          <w:lang w:val="en-US" w:eastAsia="zh-CN" w:bidi="ar-SA"/>
        </w:rPr>
        <w:t>。</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2"/>
          <w:sz w:val="32"/>
          <w:szCs w:val="32"/>
          <w:lang w:val="en-US" w:eastAsia="zh-CN" w:bidi="ar-SA"/>
        </w:rPr>
        <w:t>公用经费90.75万元，</w:t>
      </w:r>
      <w:r>
        <w:rPr>
          <w:rFonts w:hint="default" w:ascii="Times New Roman" w:hAnsi="Times New Roman" w:eastAsia="方正仿宋_GBK"/>
          <w:sz w:val="32"/>
          <w:szCs w:val="32"/>
          <w:shd w:val="clear" w:color="auto" w:fill="FFFFFF"/>
        </w:rPr>
        <w:t>与2023年度相比，增加13.88万元，增长18.1%</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color w:val="auto"/>
          <w:kern w:val="2"/>
          <w:sz w:val="32"/>
          <w:szCs w:val="32"/>
          <w:lang w:val="en-US" w:eastAsia="zh-CN" w:bidi="ar-SA"/>
        </w:rPr>
        <w:t>主要原因是工资总额上涨计提费用增加，所以各项公用经费有所增加。公用经费用途主要</w:t>
      </w:r>
      <w:r>
        <w:rPr>
          <w:rFonts w:hint="default" w:ascii="Times New Roman" w:hAnsi="Times New Roman" w:eastAsia="方正仿宋_GBK" w:cs="Times New Roman"/>
          <w:color w:val="auto"/>
          <w:kern w:val="2"/>
          <w:sz w:val="32"/>
          <w:szCs w:val="32"/>
          <w:lang w:val="en-US" w:eastAsia="zh-CN" w:bidi="ar-SA"/>
        </w:rPr>
        <w:t>包括办公费、邮电费、水电费、维修维护费、公务车辆运行维护费、公务接待费、工会经费、培训费、差旅费、其他商品和服务费、其他交通费用等。</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eastAsia" w:ascii="Times New Roman" w:hAnsi="Times New Roman" w:eastAsia="方正楷体_GBK" w:cs="Times New Roman"/>
          <w:b w:val="0"/>
          <w:bCs/>
          <w:sz w:val="32"/>
          <w:szCs w:val="32"/>
          <w:shd w:val="clear" w:color="auto" w:fill="FFFFFF"/>
        </w:rPr>
      </w:pPr>
      <w:r>
        <w:rPr>
          <w:rStyle w:val="10"/>
          <w:rFonts w:hint="eastAsia" w:ascii="Times New Roman" w:hAnsi="Times New Roman" w:eastAsia="方正楷体_GBK" w:cs="Times New Roman"/>
          <w:b w:val="0"/>
          <w:bCs/>
          <w:sz w:val="32"/>
          <w:szCs w:val="32"/>
          <w:shd w:val="clear" w:color="auto" w:fill="FFFFFF"/>
        </w:rPr>
        <w:t>（五）政府性基金预算收支决算情况说明</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jc w:val="left"/>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本</w:t>
      </w:r>
      <w:r>
        <w:rPr>
          <w:rFonts w:hint="eastAsia" w:ascii="Times New Roman" w:hAnsi="Times New Roman" w:eastAsia="方正仿宋_GBK" w:cs="Times New Roman"/>
          <w:color w:val="auto"/>
          <w:kern w:val="2"/>
          <w:sz w:val="32"/>
          <w:szCs w:val="32"/>
          <w:lang w:val="en-US" w:eastAsia="zh-CN" w:bidi="ar-SA"/>
        </w:rPr>
        <w:t>部门</w:t>
      </w:r>
      <w:r>
        <w:rPr>
          <w:rFonts w:hint="default" w:ascii="Times New Roman" w:hAnsi="Times New Roman" w:eastAsia="方正仿宋_GBK" w:cs="Times New Roman"/>
          <w:color w:val="auto"/>
          <w:kern w:val="2"/>
          <w:sz w:val="32"/>
          <w:szCs w:val="32"/>
          <w:lang w:val="en-US" w:eastAsia="zh-CN" w:bidi="ar-SA"/>
        </w:rPr>
        <w:t>202</w:t>
      </w:r>
      <w:r>
        <w:rPr>
          <w:rFonts w:hint="eastAsia" w:ascii="Times New Roman" w:hAnsi="Times New Roman" w:eastAsia="方正仿宋_GBK" w:cs="Times New Roman"/>
          <w:color w:val="auto"/>
          <w:kern w:val="2"/>
          <w:sz w:val="32"/>
          <w:szCs w:val="32"/>
          <w:lang w:val="en-US" w:eastAsia="zh-CN" w:bidi="ar-SA"/>
        </w:rPr>
        <w:t>4</w:t>
      </w:r>
      <w:r>
        <w:rPr>
          <w:rFonts w:hint="default" w:ascii="Times New Roman" w:hAnsi="Times New Roman" w:eastAsia="方正仿宋_GBK" w:cs="Times New Roman"/>
          <w:color w:val="auto"/>
          <w:kern w:val="2"/>
          <w:sz w:val="32"/>
          <w:szCs w:val="32"/>
          <w:lang w:val="en-US" w:eastAsia="zh-CN" w:bidi="ar-SA"/>
        </w:rPr>
        <w:t>年度无政府性基金预算财政拨款收支。</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eastAsia" w:ascii="Times New Roman" w:hAnsi="Times New Roman" w:eastAsia="方正楷体_GBK" w:cs="Times New Roman"/>
          <w:b w:val="0"/>
          <w:bCs/>
          <w:sz w:val="32"/>
          <w:szCs w:val="32"/>
          <w:shd w:val="clear" w:color="auto" w:fill="FFFFFF"/>
        </w:rPr>
      </w:pPr>
      <w:r>
        <w:rPr>
          <w:rStyle w:val="10"/>
          <w:rFonts w:hint="eastAsia" w:ascii="Times New Roman" w:hAnsi="Times New Roman" w:eastAsia="方正楷体_GBK" w:cs="Times New Roman"/>
          <w:b w:val="0"/>
          <w:bCs/>
          <w:sz w:val="32"/>
          <w:szCs w:val="32"/>
          <w:shd w:val="clear" w:color="auto" w:fill="FFFFFF"/>
        </w:rPr>
        <w:t>（六）国有资本经营预算财政拨款支出决算情况说明</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本部门2024年度无国有资本经营预算财政</w:t>
      </w:r>
      <w:bookmarkStart w:id="0" w:name="_GoBack"/>
      <w:bookmarkEnd w:id="0"/>
      <w:r>
        <w:rPr>
          <w:rFonts w:hint="eastAsia" w:ascii="Times New Roman" w:hAnsi="Times New Roman" w:eastAsia="方正仿宋_GBK" w:cs="Times New Roman"/>
          <w:color w:val="auto"/>
          <w:kern w:val="2"/>
          <w:sz w:val="32"/>
          <w:szCs w:val="32"/>
          <w:lang w:val="en-US" w:eastAsia="zh-CN" w:bidi="ar-SA"/>
        </w:rPr>
        <w:t>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三、</w:t>
      </w:r>
      <w:r>
        <w:rPr>
          <w:rStyle w:val="10"/>
          <w:rFonts w:hint="eastAsia" w:ascii="Times New Roman" w:hAnsi="Times New Roman" w:eastAsia="方正黑体_GBK" w:cs="Times New Roman"/>
          <w:b w:val="0"/>
          <w:bCs/>
          <w:sz w:val="32"/>
          <w:szCs w:val="32"/>
          <w:shd w:val="clear" w:color="auto" w:fill="FFFFFF"/>
          <w:lang w:eastAsia="zh-CN"/>
        </w:rPr>
        <w:t>财政拨款“三公”</w:t>
      </w:r>
      <w:r>
        <w:rPr>
          <w:rStyle w:val="10"/>
          <w:rFonts w:hint="default" w:ascii="Times New Roman" w:hAnsi="Times New Roman" w:eastAsia="方正黑体_GBK" w:cs="Times New Roman"/>
          <w:b w:val="0"/>
          <w:bCs/>
          <w:sz w:val="32"/>
          <w:szCs w:val="32"/>
          <w:shd w:val="clear" w:color="auto" w:fill="FFFFFF"/>
        </w:rPr>
        <w:t>经费情况说明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eastAsia" w:ascii="Times New Roman" w:hAnsi="Times New Roman" w:eastAsia="方正楷体_GBK" w:cs="Times New Roman"/>
          <w:b w:val="0"/>
          <w:bCs/>
          <w:sz w:val="32"/>
          <w:szCs w:val="32"/>
          <w:shd w:val="clear" w:color="auto" w:fill="FFFFFF"/>
        </w:rPr>
      </w:pPr>
      <w:r>
        <w:rPr>
          <w:rStyle w:val="10"/>
          <w:rFonts w:hint="eastAsia" w:ascii="Times New Roman" w:hAnsi="Times New Roman" w:eastAsia="方正楷体_GBK" w:cs="Times New Roman"/>
          <w:b w:val="0"/>
          <w:bCs/>
          <w:sz w:val="32"/>
          <w:szCs w:val="32"/>
          <w:shd w:val="clear" w:color="auto" w:fill="FFFFFF"/>
          <w:lang w:eastAsia="zh-CN"/>
        </w:rPr>
        <w:t>（</w:t>
      </w:r>
      <w:r>
        <w:rPr>
          <w:rStyle w:val="10"/>
          <w:rFonts w:hint="eastAsia" w:ascii="Times New Roman" w:hAnsi="Times New Roman" w:eastAsia="方正楷体_GBK" w:cs="Times New Roman"/>
          <w:b w:val="0"/>
          <w:bCs/>
          <w:sz w:val="32"/>
          <w:szCs w:val="32"/>
          <w:shd w:val="clear" w:color="auto" w:fill="FFFFFF"/>
          <w:lang w:val="en-US" w:eastAsia="zh-CN"/>
        </w:rPr>
        <w:t>一）</w:t>
      </w:r>
      <w:r>
        <w:rPr>
          <w:rStyle w:val="10"/>
          <w:rFonts w:hint="eastAsia" w:ascii="Times New Roman" w:hAnsi="Times New Roman" w:eastAsia="方正楷体_GBK" w:cs="Times New Roman"/>
          <w:b w:val="0"/>
          <w:bCs/>
          <w:sz w:val="32"/>
          <w:szCs w:val="32"/>
          <w:shd w:val="clear" w:color="auto" w:fill="FFFFFF"/>
        </w:rPr>
        <w:t>“三公”经费支出总体情况说明</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2024年度“三公”经费支出共计3.27万元，较年初预算数减少4.73万元，下降59.1%，主要原因</w:t>
      </w:r>
      <w:r>
        <w:rPr>
          <w:rFonts w:hint="default" w:ascii="Times New Roman" w:hAnsi="Times New Roman" w:eastAsia="方正仿宋_GBK" w:cs="Times New Roman"/>
          <w:color w:val="auto"/>
          <w:kern w:val="2"/>
          <w:sz w:val="32"/>
          <w:szCs w:val="32"/>
          <w:lang w:val="en-US" w:eastAsia="zh-CN" w:bidi="ar-SA"/>
        </w:rPr>
        <w:t>一是认真贯彻落实中央八项规定精神，从严控制</w:t>
      </w:r>
      <w:r>
        <w:rPr>
          <w:rFonts w:hint="eastAsia" w:ascii="Times New Roman" w:hAnsi="Times New Roman" w:eastAsia="方正仿宋_GBK" w:cs="Times New Roman"/>
          <w:color w:val="auto"/>
          <w:kern w:val="2"/>
          <w:sz w:val="32"/>
          <w:szCs w:val="32"/>
          <w:lang w:val="en-US" w:eastAsia="zh-CN" w:bidi="ar-SA"/>
        </w:rPr>
        <w:t>“三公”</w:t>
      </w:r>
      <w:r>
        <w:rPr>
          <w:rFonts w:hint="default" w:ascii="Times New Roman" w:hAnsi="Times New Roman" w:eastAsia="方正仿宋_GBK" w:cs="Times New Roman"/>
          <w:color w:val="auto"/>
          <w:kern w:val="2"/>
          <w:sz w:val="32"/>
          <w:szCs w:val="32"/>
          <w:lang w:val="en-US" w:eastAsia="zh-CN" w:bidi="ar-SA"/>
        </w:rPr>
        <w:t>经费。二是严格落实公车使用规定，降低公车运行维护成本。三是强化公务接待支出管理，严格遵守公务接待开支范围和开支标准，严格控制陪餐人数。四是进一步规范因公出国出境活动，今年未安排人员出国出访。</w:t>
      </w:r>
      <w:r>
        <w:rPr>
          <w:rFonts w:hint="eastAsia" w:ascii="Times New Roman" w:hAnsi="Times New Roman" w:eastAsia="方正仿宋_GBK" w:cs="Times New Roman"/>
          <w:color w:val="auto"/>
          <w:kern w:val="2"/>
          <w:sz w:val="32"/>
          <w:szCs w:val="32"/>
          <w:lang w:val="en-US" w:eastAsia="zh-CN" w:bidi="ar-SA"/>
        </w:rPr>
        <w:t>较上年支出数减少0.06万元，</w:t>
      </w:r>
      <w:r>
        <w:rPr>
          <w:rFonts w:hint="default" w:ascii="Times New Roman" w:hAnsi="Times New Roman" w:eastAsia="方正仿宋_GBK"/>
          <w:sz w:val="32"/>
          <w:szCs w:val="32"/>
          <w:shd w:val="clear" w:color="auto" w:fill="FFFFFF"/>
        </w:rPr>
        <w:t>下降1.8%</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color w:val="auto"/>
          <w:kern w:val="2"/>
          <w:sz w:val="32"/>
          <w:szCs w:val="32"/>
          <w:lang w:val="en-US" w:eastAsia="zh-CN" w:bidi="ar-SA"/>
        </w:rPr>
        <w:t>主要原因一是社保追退、社会保险业务宣传、工伤保险交叉检查等工作车辆使用次数较上年增加，车辆过关费及油费增加，导致公务车辆运行维护费用增加。二是</w:t>
      </w:r>
      <w:r>
        <w:rPr>
          <w:rFonts w:hint="default" w:ascii="Times New Roman" w:hAnsi="Times New Roman" w:eastAsia="方正仿宋_GBK" w:cs="Times New Roman"/>
          <w:color w:val="auto"/>
          <w:kern w:val="2"/>
          <w:sz w:val="32"/>
          <w:szCs w:val="32"/>
          <w:lang w:val="en-US" w:eastAsia="zh-CN" w:bidi="ar-SA"/>
        </w:rPr>
        <w:t>本年度到我区县进行社会保险业务检查及政策宣传的次数相对较上年</w:t>
      </w:r>
      <w:r>
        <w:rPr>
          <w:rFonts w:hint="eastAsia" w:ascii="Times New Roman" w:hAnsi="Times New Roman" w:eastAsia="方正仿宋_GBK" w:cs="Times New Roman"/>
          <w:color w:val="auto"/>
          <w:kern w:val="2"/>
          <w:sz w:val="32"/>
          <w:szCs w:val="32"/>
          <w:lang w:val="en-US" w:eastAsia="zh-CN" w:bidi="ar-SA"/>
        </w:rPr>
        <w:t>减少</w:t>
      </w:r>
      <w:r>
        <w:rPr>
          <w:rFonts w:hint="default" w:ascii="Times New Roman" w:hAnsi="Times New Roman" w:eastAsia="方正仿宋_GBK" w:cs="Times New Roman"/>
          <w:color w:val="auto"/>
          <w:kern w:val="2"/>
          <w:sz w:val="32"/>
          <w:szCs w:val="32"/>
          <w:lang w:val="en-US" w:eastAsia="zh-CN" w:bidi="ar-SA"/>
        </w:rPr>
        <w:t>，所以导致接待费用有所</w:t>
      </w:r>
      <w:r>
        <w:rPr>
          <w:rFonts w:hint="eastAsia" w:ascii="Times New Roman" w:hAnsi="Times New Roman" w:eastAsia="方正仿宋_GBK" w:cs="Times New Roman"/>
          <w:color w:val="auto"/>
          <w:kern w:val="2"/>
          <w:sz w:val="32"/>
          <w:szCs w:val="32"/>
          <w:lang w:val="en-US" w:eastAsia="zh-CN" w:bidi="ar-SA"/>
        </w:rPr>
        <w:t>减少。</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Times New Roman" w:hAnsi="Times New Roman" w:eastAsia="方正楷体_GBK" w:cs="Times New Roman"/>
          <w:b w:val="0"/>
          <w:bCs/>
          <w:sz w:val="32"/>
          <w:szCs w:val="32"/>
          <w:shd w:val="clear" w:color="auto" w:fill="FFFFFF"/>
        </w:rPr>
      </w:pPr>
      <w:r>
        <w:rPr>
          <w:rStyle w:val="10"/>
          <w:rFonts w:hint="eastAsia" w:ascii="Times New Roman" w:hAnsi="Times New Roman" w:eastAsia="方正楷体_GBK" w:cs="Times New Roman"/>
          <w:b w:val="0"/>
          <w:bCs/>
          <w:sz w:val="32"/>
          <w:szCs w:val="32"/>
          <w:shd w:val="clear" w:color="auto" w:fill="FFFFFF"/>
        </w:rPr>
        <w:t>（二）“三公”经费分项支出情况</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预算较为准确。</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本年和上年都未发生</w:t>
      </w:r>
      <w:r>
        <w:rPr>
          <w:rFonts w:hint="eastAsia" w:ascii="Times New Roman" w:hAnsi="Times New Roman" w:eastAsia="方正仿宋_GBK" w:cs="Times New Roman"/>
          <w:color w:val="auto"/>
          <w:kern w:val="2"/>
          <w:sz w:val="32"/>
          <w:szCs w:val="32"/>
          <w:lang w:val="en-US" w:eastAsia="zh-CN" w:bidi="ar-SA"/>
        </w:rPr>
        <w:t>因公出国（境）费用</w:t>
      </w:r>
      <w:r>
        <w:rPr>
          <w:rFonts w:hint="eastAsia" w:ascii="方正仿宋_GBK" w:hAnsi="方正仿宋_GBK" w:eastAsia="方正仿宋_GBK" w:cs="方正仿宋_GBK"/>
          <w:sz w:val="32"/>
          <w:szCs w:val="32"/>
          <w:shd w:val="clear" w:color="auto" w:fill="FFFFFF"/>
          <w:lang w:val="en-US" w:eastAsia="zh-CN"/>
        </w:rPr>
        <w:t>。</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公务用车购置费用24.99万元。主要用于购置部门公务用车。费用支出较年初预算数增加24.99万元，主要原因是预算时未考虑该笔公务车购置费用24.99万元。</w:t>
      </w:r>
      <w:r>
        <w:rPr>
          <w:rFonts w:hint="default" w:ascii="Times New Roman" w:hAnsi="Times New Roman" w:eastAsia="方正仿宋_GBK"/>
          <w:sz w:val="32"/>
          <w:szCs w:val="32"/>
          <w:shd w:val="clear" w:color="auto" w:fill="FFFFFF"/>
        </w:rPr>
        <w:t>较上年支出数增</w:t>
      </w:r>
      <w:r>
        <w:rPr>
          <w:rFonts w:hint="eastAsia" w:ascii="Times New Roman" w:hAnsi="Times New Roman" w:eastAsia="方正仿宋_GBK"/>
          <w:sz w:val="32"/>
          <w:szCs w:val="32"/>
          <w:shd w:val="clear" w:color="auto" w:fill="FFFFFF"/>
          <w:lang w:val="en-US" w:eastAsia="zh-CN"/>
        </w:rPr>
        <w:t>加24.99万元，</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上年未发生公务用车购置费。</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公务车运行维护费3.13万元，</w:t>
      </w:r>
      <w:r>
        <w:rPr>
          <w:rFonts w:hint="default" w:ascii="Times New Roman" w:hAnsi="Times New Roman" w:eastAsia="方正仿宋_GBK" w:cs="Times New Roman"/>
          <w:color w:val="auto"/>
          <w:kern w:val="2"/>
          <w:sz w:val="32"/>
          <w:szCs w:val="32"/>
          <w:lang w:val="en-US" w:eastAsia="zh-CN" w:bidi="ar-SA"/>
        </w:rPr>
        <w:t>主要用于出差、下乡过关费、油费、车辆维修维护费及保险等费用。</w:t>
      </w:r>
      <w:r>
        <w:rPr>
          <w:rFonts w:hint="eastAsia" w:ascii="Times New Roman" w:hAnsi="Times New Roman" w:eastAsia="方正仿宋_GBK" w:cs="Times New Roman"/>
          <w:color w:val="auto"/>
          <w:kern w:val="2"/>
          <w:sz w:val="32"/>
          <w:szCs w:val="32"/>
          <w:lang w:val="en-US" w:eastAsia="zh-CN" w:bidi="ar-SA"/>
        </w:rPr>
        <w:t>费用支出较年初预算数减少1.37万元，下降30.4%，主要原因是</w:t>
      </w:r>
      <w:r>
        <w:rPr>
          <w:rFonts w:hint="default" w:ascii="Times New Roman" w:hAnsi="Times New Roman" w:eastAsia="方正仿宋_GBK" w:cs="Times New Roman"/>
          <w:color w:val="auto"/>
          <w:kern w:val="2"/>
          <w:sz w:val="32"/>
          <w:szCs w:val="32"/>
          <w:lang w:val="en-US" w:eastAsia="zh-CN" w:bidi="ar-SA"/>
        </w:rPr>
        <w:t>严格落实公车使用规定，降低公车运行维护成本。</w:t>
      </w:r>
      <w:r>
        <w:rPr>
          <w:rFonts w:hint="eastAsia" w:ascii="Times New Roman" w:hAnsi="Times New Roman" w:eastAsia="方正仿宋_GBK" w:cs="Times New Roman"/>
          <w:color w:val="auto"/>
          <w:kern w:val="2"/>
          <w:sz w:val="32"/>
          <w:szCs w:val="32"/>
          <w:lang w:val="en-US" w:eastAsia="zh-CN" w:bidi="ar-SA"/>
        </w:rPr>
        <w:t>较上年支出数增加0.33万元，增长11.8%，主要原因是社保追退、社会保险业务宣传、工伤保险交叉检查等工作车辆使用次数较上年增加，车辆过关费及油费增加，导致公务车辆运行维护增加。 </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公务接待费0.14万元，主要用于接待</w:t>
      </w:r>
      <w:r>
        <w:rPr>
          <w:rFonts w:hint="default" w:ascii="Times New Roman" w:hAnsi="Times New Roman" w:eastAsia="方正仿宋_GBK" w:cs="Times New Roman"/>
          <w:color w:val="auto"/>
          <w:kern w:val="2"/>
          <w:sz w:val="32"/>
          <w:szCs w:val="32"/>
          <w:lang w:val="en-US" w:eastAsia="zh-CN" w:bidi="ar-SA"/>
        </w:rPr>
        <w:t>到我区县进行社会保险业务检查及政策宣传</w:t>
      </w:r>
      <w:r>
        <w:rPr>
          <w:rFonts w:hint="eastAsia" w:ascii="Times New Roman" w:hAnsi="Times New Roman" w:eastAsia="方正仿宋_GBK" w:cs="Times New Roman"/>
          <w:color w:val="auto"/>
          <w:kern w:val="2"/>
          <w:sz w:val="32"/>
          <w:szCs w:val="32"/>
          <w:lang w:val="en-US" w:eastAsia="zh-CN" w:bidi="ar-SA"/>
        </w:rPr>
        <w:t>费用。费用支出较年初预算数减少3.36万元，下降96.0%，主要原因是</w:t>
      </w:r>
      <w:r>
        <w:rPr>
          <w:rFonts w:hint="default" w:ascii="Times New Roman" w:hAnsi="Times New Roman" w:eastAsia="方正仿宋_GBK" w:cs="Times New Roman"/>
          <w:color w:val="auto"/>
          <w:kern w:val="2"/>
          <w:sz w:val="32"/>
          <w:szCs w:val="32"/>
          <w:lang w:val="en-US" w:eastAsia="zh-CN" w:bidi="ar-SA"/>
        </w:rPr>
        <w:t>强化公务接待支出管理，严格遵守公务接待开支范围和开支标准。</w:t>
      </w:r>
      <w:r>
        <w:rPr>
          <w:rFonts w:hint="eastAsia" w:ascii="Times New Roman" w:hAnsi="Times New Roman" w:eastAsia="方正仿宋_GBK" w:cs="Times New Roman"/>
          <w:color w:val="auto"/>
          <w:kern w:val="2"/>
          <w:sz w:val="32"/>
          <w:szCs w:val="32"/>
          <w:lang w:val="en-US" w:eastAsia="zh-CN" w:bidi="ar-SA"/>
        </w:rPr>
        <w:t>较上年支出数减少0.40万元，减少74.1%，</w:t>
      </w:r>
      <w:r>
        <w:rPr>
          <w:rFonts w:hint="default" w:ascii="Times New Roman" w:hAnsi="Times New Roman" w:eastAsia="方正仿宋_GBK" w:cs="Times New Roman"/>
          <w:color w:val="auto"/>
          <w:kern w:val="2"/>
          <w:sz w:val="32"/>
          <w:szCs w:val="32"/>
          <w:lang w:val="en-US" w:eastAsia="zh-CN" w:bidi="ar-SA"/>
        </w:rPr>
        <w:t>主要原因是到我区县进行社会保险业务检查及政策宣传的次数相对较上年</w:t>
      </w:r>
      <w:r>
        <w:rPr>
          <w:rFonts w:hint="eastAsia" w:ascii="Times New Roman" w:hAnsi="Times New Roman" w:eastAsia="方正仿宋_GBK" w:cs="Times New Roman"/>
          <w:color w:val="auto"/>
          <w:kern w:val="2"/>
          <w:sz w:val="32"/>
          <w:szCs w:val="32"/>
          <w:lang w:val="en-US" w:eastAsia="zh-CN" w:bidi="ar-SA"/>
        </w:rPr>
        <w:t>减少</w:t>
      </w:r>
      <w:r>
        <w:rPr>
          <w:rFonts w:hint="default" w:ascii="Times New Roman" w:hAnsi="Times New Roman" w:eastAsia="方正仿宋_GBK" w:cs="Times New Roman"/>
          <w:color w:val="auto"/>
          <w:kern w:val="2"/>
          <w:sz w:val="32"/>
          <w:szCs w:val="32"/>
          <w:lang w:val="en-US" w:eastAsia="zh-CN" w:bidi="ar-SA"/>
        </w:rPr>
        <w:t>，所以导致接待费用有所</w:t>
      </w:r>
      <w:r>
        <w:rPr>
          <w:rFonts w:hint="eastAsia" w:ascii="Times New Roman" w:hAnsi="Times New Roman" w:eastAsia="方正仿宋_GBK" w:cs="Times New Roman"/>
          <w:color w:val="auto"/>
          <w:kern w:val="2"/>
          <w:sz w:val="32"/>
          <w:szCs w:val="32"/>
          <w:lang w:val="en-US" w:eastAsia="zh-CN" w:bidi="ar-SA"/>
        </w:rPr>
        <w:t>减少。本年共接待3批次，共14人次。</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eastAsia" w:ascii="Times New Roman" w:hAnsi="Times New Roman" w:eastAsia="方正楷体_GBK" w:cs="Times New Roman"/>
          <w:b w:val="0"/>
          <w:bCs/>
          <w:sz w:val="32"/>
          <w:szCs w:val="32"/>
          <w:shd w:val="clear" w:color="auto" w:fill="FFFFFF"/>
        </w:rPr>
      </w:pPr>
      <w:r>
        <w:rPr>
          <w:rStyle w:val="10"/>
          <w:rFonts w:hint="eastAsia" w:ascii="Times New Roman" w:hAnsi="Times New Roman" w:eastAsia="方正楷体_GBK" w:cs="Times New Roman"/>
          <w:b w:val="0"/>
          <w:bCs/>
          <w:sz w:val="32"/>
          <w:szCs w:val="32"/>
          <w:shd w:val="clear" w:color="auto" w:fill="FFFFFF"/>
        </w:rPr>
        <w:t>（三）“三公”经费实物量情况</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2024年度本部门因公出国（境）共计0个团组，0人；公务用车购置1辆，公务车保有量为1辆；国内公务接待3批次14人，其中：国内外事接待0批次，0人；国（境）外公务接待0批次，0人。2024年本部门人均接待费97.29元，车均购置费24.99万元，车均维护费3.13万元。</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四、其他需要说明的事项</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eastAsia" w:ascii="Times New Roman" w:hAnsi="Times New Roman" w:eastAsia="方正楷体_GBK" w:cs="Times New Roman"/>
          <w:b w:val="0"/>
          <w:bCs/>
          <w:sz w:val="32"/>
          <w:szCs w:val="32"/>
          <w:shd w:val="clear" w:color="auto" w:fill="FFFFFF"/>
          <w:lang w:val="en-US" w:eastAsia="zh-CN"/>
        </w:rPr>
      </w:pPr>
      <w:r>
        <w:rPr>
          <w:rStyle w:val="10"/>
          <w:rFonts w:hint="eastAsia" w:ascii="Times New Roman" w:hAnsi="Times New Roman" w:eastAsia="方正楷体_GBK" w:cs="Times New Roman"/>
          <w:b w:val="0"/>
          <w:bCs/>
          <w:sz w:val="32"/>
          <w:szCs w:val="32"/>
          <w:shd w:val="clear" w:color="auto" w:fill="FFFFFF"/>
          <w:lang w:val="en-US" w:eastAsia="zh-CN"/>
        </w:rPr>
        <w:t>（一）财政拨款会议费和培训费情况说明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color w:val="auto"/>
          <w:kern w:val="2"/>
          <w:sz w:val="32"/>
          <w:szCs w:val="32"/>
          <w:lang w:val="en-US" w:eastAsia="zh-CN" w:bidi="ar-SA"/>
        </w:rPr>
        <w:t>本部门</w:t>
      </w:r>
      <w:r>
        <w:rPr>
          <w:rFonts w:hint="default" w:ascii="Times New Roman" w:hAnsi="Times New Roman" w:eastAsia="方正仿宋_GBK" w:cs="Times New Roman"/>
          <w:color w:val="auto"/>
          <w:kern w:val="2"/>
          <w:sz w:val="32"/>
          <w:szCs w:val="32"/>
          <w:lang w:val="en-US" w:eastAsia="zh-CN" w:bidi="ar-SA"/>
        </w:rPr>
        <w:t>本年度无备案会议计划，所以本年度未发生会议费支出</w:t>
      </w:r>
      <w:r>
        <w:rPr>
          <w:rFonts w:hint="eastAsia" w:ascii="Times New Roman" w:hAnsi="Times New Roman" w:eastAsia="方正仿宋_GBK" w:cs="Times New Roman"/>
          <w:color w:val="auto"/>
          <w:kern w:val="2"/>
          <w:sz w:val="32"/>
          <w:szCs w:val="32"/>
          <w:lang w:val="en-US" w:eastAsia="zh-CN" w:bidi="ar-SA"/>
        </w:rPr>
        <w:t>，会议费支出与上年持平</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本年度培训费支出0.42万元，</w:t>
      </w:r>
      <w:r>
        <w:rPr>
          <w:rFonts w:hint="default" w:ascii="Times New Roman" w:hAnsi="Times New Roman" w:eastAsia="方正仿宋_GBK"/>
          <w:sz w:val="32"/>
          <w:szCs w:val="32"/>
          <w:shd w:val="clear" w:color="auto" w:fill="FFFFFF"/>
        </w:rPr>
        <w:t>与2023年度相比，减少0.03万元，下降6.7%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color w:val="auto"/>
          <w:kern w:val="2"/>
          <w:sz w:val="32"/>
          <w:szCs w:val="32"/>
          <w:lang w:val="en-US" w:eastAsia="zh-CN" w:bidi="ar-SA"/>
        </w:rPr>
        <w:t>本年度业务需要外出培训次数减少，所以培训费用减少。本年度差旅费支出</w:t>
      </w:r>
      <w:r>
        <w:rPr>
          <w:rFonts w:hint="default" w:ascii="Times New Roman" w:hAnsi="Times New Roman" w:eastAsia="方正仿宋_GBK" w:cs="Times New Roman"/>
          <w:color w:val="auto"/>
          <w:kern w:val="2"/>
          <w:sz w:val="32"/>
          <w:szCs w:val="32"/>
          <w:lang w:val="en-US" w:eastAsia="zh-CN" w:bidi="ar-SA"/>
        </w:rPr>
        <w:t>4.75</w:t>
      </w:r>
      <w:r>
        <w:rPr>
          <w:rFonts w:hint="eastAsia" w:ascii="Times New Roman" w:hAnsi="Times New Roman" w:eastAsia="方正仿宋_GBK" w:cs="Times New Roman"/>
          <w:color w:val="auto"/>
          <w:kern w:val="2"/>
          <w:sz w:val="32"/>
          <w:szCs w:val="32"/>
          <w:lang w:val="en-US" w:eastAsia="zh-CN" w:bidi="ar-SA"/>
        </w:rPr>
        <w:t>万元，</w:t>
      </w:r>
      <w:r>
        <w:rPr>
          <w:rFonts w:hint="default" w:ascii="Times New Roman" w:hAnsi="Times New Roman" w:eastAsia="方正仿宋_GBK" w:cs="Times New Roman"/>
          <w:color w:val="auto"/>
          <w:kern w:val="2"/>
          <w:sz w:val="32"/>
          <w:szCs w:val="32"/>
          <w:lang w:val="en-US" w:eastAsia="zh-CN" w:bidi="ar-SA"/>
        </w:rPr>
        <w:t>与2023年度相比，减少0.89万元，下降15.8%</w:t>
      </w:r>
      <w:r>
        <w:rPr>
          <w:rFonts w:hint="eastAsia" w:ascii="Times New Roman" w:hAnsi="Times New Roman" w:eastAsia="方正仿宋_GBK" w:cs="Times New Roman"/>
          <w:color w:val="auto"/>
          <w:kern w:val="2"/>
          <w:sz w:val="32"/>
          <w:szCs w:val="32"/>
          <w:lang w:val="en-US" w:eastAsia="zh-CN" w:bidi="ar-SA"/>
        </w:rPr>
        <w:t>，主要原因是本年度职工出差频次减少，所以差旅费用支出减少。</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eastAsia" w:ascii="Times New Roman" w:hAnsi="Times New Roman" w:eastAsia="方正楷体_GBK" w:cs="Times New Roman"/>
          <w:b w:val="0"/>
          <w:bCs/>
          <w:sz w:val="32"/>
          <w:szCs w:val="32"/>
          <w:shd w:val="clear" w:color="auto" w:fill="FFFFFF"/>
        </w:rPr>
      </w:pPr>
      <w:r>
        <w:rPr>
          <w:rStyle w:val="10"/>
          <w:rFonts w:hint="eastAsia" w:ascii="Times New Roman" w:hAnsi="Times New Roman" w:eastAsia="方正楷体_GBK" w:cs="Times New Roman"/>
          <w:b w:val="0"/>
          <w:bCs/>
          <w:sz w:val="32"/>
          <w:szCs w:val="32"/>
          <w:shd w:val="clear" w:color="auto" w:fill="FFFFFF"/>
        </w:rPr>
        <w:t>（二）机关运行经费情况说明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2024年度本部门机关运行经费支出90.75万元，机关运行经费主要用于开支</w:t>
      </w:r>
      <w:r>
        <w:rPr>
          <w:rFonts w:hint="default" w:ascii="Times New Roman" w:hAnsi="Times New Roman" w:eastAsia="方正仿宋_GBK" w:cs="Times New Roman"/>
          <w:color w:val="auto"/>
          <w:kern w:val="2"/>
          <w:sz w:val="32"/>
          <w:szCs w:val="32"/>
          <w:lang w:val="en-US" w:eastAsia="zh-CN" w:bidi="ar-SA"/>
        </w:rPr>
        <w:t>办公费</w:t>
      </w:r>
      <w:r>
        <w:rPr>
          <w:rFonts w:hint="eastAsia" w:ascii="Times New Roman" w:hAnsi="Times New Roman" w:eastAsia="方正仿宋_GBK" w:cs="Times New Roman"/>
          <w:color w:val="auto"/>
          <w:kern w:val="2"/>
          <w:sz w:val="32"/>
          <w:szCs w:val="32"/>
          <w:lang w:val="en-US" w:eastAsia="zh-CN" w:bidi="ar-SA"/>
        </w:rPr>
        <w:t>20.54万元、</w:t>
      </w:r>
      <w:r>
        <w:rPr>
          <w:rFonts w:hint="default" w:ascii="Times New Roman" w:hAnsi="Times New Roman" w:eastAsia="方正仿宋_GBK" w:cs="Times New Roman"/>
          <w:color w:val="auto"/>
          <w:kern w:val="2"/>
          <w:sz w:val="32"/>
          <w:szCs w:val="32"/>
          <w:lang w:val="en-US" w:eastAsia="zh-CN" w:bidi="ar-SA"/>
        </w:rPr>
        <w:t>印刷费用</w:t>
      </w:r>
      <w:r>
        <w:rPr>
          <w:rFonts w:hint="eastAsia" w:ascii="Times New Roman" w:hAnsi="Times New Roman" w:eastAsia="方正仿宋_GBK" w:cs="Times New Roman"/>
          <w:color w:val="auto"/>
          <w:kern w:val="2"/>
          <w:sz w:val="32"/>
          <w:szCs w:val="32"/>
          <w:lang w:val="en-US" w:eastAsia="zh-CN" w:bidi="ar-SA"/>
        </w:rPr>
        <w:t>0.57万元、水费0.50万元、电费1.00万元、邮电费9.54万元、差旅费4.75万元、培训费0.42万元、公务接待费1.36万元、工会经费20.30万元、福利费0.00万元、</w:t>
      </w:r>
      <w:r>
        <w:rPr>
          <w:rFonts w:hint="default" w:ascii="Times New Roman" w:hAnsi="Times New Roman" w:eastAsia="方正仿宋_GBK" w:cs="Times New Roman"/>
          <w:color w:val="auto"/>
          <w:kern w:val="2"/>
          <w:sz w:val="32"/>
          <w:szCs w:val="32"/>
          <w:lang w:val="en-US" w:eastAsia="zh-CN" w:bidi="ar-SA"/>
        </w:rPr>
        <w:t>公务用车运行维护费</w:t>
      </w:r>
      <w:r>
        <w:rPr>
          <w:rFonts w:hint="eastAsia" w:ascii="Times New Roman" w:hAnsi="Times New Roman" w:eastAsia="方正仿宋_GBK" w:cs="Times New Roman"/>
          <w:color w:val="auto"/>
          <w:kern w:val="2"/>
          <w:sz w:val="32"/>
          <w:szCs w:val="32"/>
          <w:lang w:val="en-US" w:eastAsia="zh-CN" w:bidi="ar-SA"/>
        </w:rPr>
        <w:t>3.13万元、其他交通费用25.24万元、其他商品和服务费用4.25万元、办公设备购置0.36万元。机关运行经费较上年支出数增加13.88万元，增长18.1%，主要原因一是本部门办公费较去年有所增加，增加11.67万元，二是工资总额上涨计提费用增加，所以各项公用经费有所增加。</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eastAsia" w:ascii="Times New Roman" w:hAnsi="Times New Roman" w:eastAsia="方正楷体_GBK" w:cs="Times New Roman"/>
          <w:b w:val="0"/>
          <w:bCs/>
          <w:sz w:val="32"/>
          <w:szCs w:val="32"/>
          <w:shd w:val="clear" w:color="auto" w:fill="FFFFFF"/>
        </w:rPr>
      </w:pPr>
      <w:r>
        <w:rPr>
          <w:rStyle w:val="10"/>
          <w:rFonts w:hint="eastAsia" w:ascii="Times New Roman" w:hAnsi="Times New Roman" w:eastAsia="方正楷体_GBK" w:cs="Times New Roman"/>
          <w:b w:val="0"/>
          <w:bCs/>
          <w:sz w:val="32"/>
          <w:szCs w:val="32"/>
          <w:shd w:val="clear" w:color="auto" w:fill="FFFFFF"/>
        </w:rPr>
        <w:t>（三）国有资产占用情况说明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截至2024年12月31日，本部门共有车辆1辆，其中，副部（省）级及以上领导用车0辆、主要负责人用车0辆、机要通信用车0辆、应急保障用车1辆、执法执勤用车0辆，特种专业技术用车0辆，离退休干部用车0辆。单价100万元（含）以上专用设备0台（套）。</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eastAsia" w:ascii="Times New Roman" w:hAnsi="Times New Roman" w:eastAsia="方正楷体_GBK" w:cs="Times New Roman"/>
          <w:b w:val="0"/>
          <w:bCs/>
          <w:sz w:val="32"/>
          <w:szCs w:val="32"/>
          <w:shd w:val="clear" w:color="auto" w:fill="FFFFFF"/>
        </w:rPr>
      </w:pPr>
      <w:r>
        <w:rPr>
          <w:rStyle w:val="10"/>
          <w:rFonts w:hint="eastAsia" w:ascii="Times New Roman" w:hAnsi="Times New Roman" w:eastAsia="方正楷体_GBK" w:cs="Times New Roman"/>
          <w:b w:val="0"/>
          <w:bCs/>
          <w:sz w:val="32"/>
          <w:szCs w:val="32"/>
          <w:shd w:val="clear" w:color="auto" w:fill="FFFFFF"/>
        </w:rPr>
        <w:t>（四）政府采购支出情况说明</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2024年度本部门政府采购支出总额0.41万元，其中：政府采购货物支出0.41万元、政府采购工程支出0.00万元、政府采购服务支出0.00万元。授予中小企业合同金额0.41万元，占政府采购支出总额的100.0%，其中：授予小微企业合同金额0.41万元，占政府采购支出总额的100.0 %。主要用于采购部门办公用A4复印纸。2024年度本部门发生政府采购事项共计0.41万元。较2023年增加0.41万元，主要原因是2024年之前采购复印纸未经过政府采购系统。</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eastAsia"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五、</w:t>
      </w:r>
      <w:r>
        <w:rPr>
          <w:rStyle w:val="10"/>
          <w:rFonts w:hint="eastAsia" w:ascii="Times New Roman" w:hAnsi="Times New Roman" w:eastAsia="方正黑体_GBK" w:cs="Times New Roman"/>
          <w:b w:val="0"/>
          <w:bCs/>
          <w:sz w:val="32"/>
          <w:szCs w:val="32"/>
          <w:shd w:val="clear" w:color="auto" w:fill="FFFFFF"/>
        </w:rPr>
        <w:t>预算绩效管理情况说明</w:t>
      </w:r>
    </w:p>
    <w:p>
      <w:pPr>
        <w:pStyle w:val="13"/>
        <w:keepNext w:val="0"/>
        <w:keepLines w:val="0"/>
        <w:pageBreakBefore w:val="0"/>
        <w:kinsoku/>
        <w:overflowPunct/>
        <w:topLinePunct w:val="0"/>
        <w:autoSpaceDE w:val="0"/>
        <w:autoSpaceDN/>
        <w:bidi w:val="0"/>
        <w:adjustRightInd/>
        <w:spacing w:beforeAutospacing="0" w:afterAutospacing="0" w:line="560" w:lineRule="exact"/>
        <w:ind w:firstLine="640"/>
        <w:rPr>
          <w:rStyle w:val="10"/>
          <w:rFonts w:hint="default" w:ascii="Times New Roman" w:hAnsi="Times New Roman" w:eastAsia="方正楷体_GBK" w:cs="Times New Roman"/>
          <w:b w:val="0"/>
          <w:bCs/>
          <w:sz w:val="32"/>
          <w:szCs w:val="32"/>
          <w:shd w:val="clear" w:color="auto" w:fill="FFFFFF"/>
          <w:lang w:val="en-US" w:eastAsia="zh-CN" w:bidi="ar-SA"/>
        </w:rPr>
      </w:pPr>
      <w:r>
        <w:rPr>
          <w:rStyle w:val="10"/>
          <w:rFonts w:hint="eastAsia" w:ascii="Times New Roman" w:hAnsi="Times New Roman" w:eastAsia="方正楷体_GBK" w:cs="Times New Roman"/>
          <w:b w:val="0"/>
          <w:bCs/>
          <w:sz w:val="32"/>
          <w:szCs w:val="32"/>
          <w:shd w:val="clear" w:color="auto" w:fill="FFFFFF"/>
          <w:lang w:val="en-US" w:eastAsia="zh-CN" w:bidi="ar-SA"/>
        </w:rPr>
        <w:t>（一）部门自评情况</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根据预算绩效管理要求，我部门对部门整体和11个二级项目开展了绩效自评。以填报目标自评表形式开展自评的项目</w:t>
      </w:r>
      <w:r>
        <w:rPr>
          <w:rFonts w:hint="default" w:ascii="Times New Roman" w:hAnsi="Times New Roman" w:eastAsia="方正仿宋_GBK" w:cs="Times New Roman"/>
          <w:color w:val="auto"/>
          <w:kern w:val="2"/>
          <w:sz w:val="32"/>
          <w:szCs w:val="32"/>
          <w:lang w:val="en-US" w:eastAsia="zh-CN" w:bidi="ar-SA"/>
        </w:rPr>
        <w:t>1</w:t>
      </w:r>
      <w:r>
        <w:rPr>
          <w:rFonts w:hint="eastAsia" w:ascii="Times New Roman" w:hAnsi="Times New Roman" w:eastAsia="方正仿宋_GBK" w:cs="Times New Roman"/>
          <w:color w:val="auto"/>
          <w:kern w:val="2"/>
          <w:sz w:val="32"/>
          <w:szCs w:val="32"/>
          <w:lang w:val="en-US" w:eastAsia="zh-CN" w:bidi="ar-SA"/>
        </w:rPr>
        <w:t>1个，涉及财政拨款项目资金2020.89万元；评价情况来看，我部门圆满完成了年初设定目标，自评结果均达到优良以上。</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auto"/>
          <w:kern w:val="2"/>
          <w:sz w:val="32"/>
          <w:szCs w:val="32"/>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1"/>
        <w:tblW w:w="8339" w:type="dxa"/>
        <w:tblInd w:w="0" w:type="dxa"/>
        <w:shd w:val="clear" w:color="auto" w:fill="auto"/>
        <w:tblLayout w:type="fixed"/>
        <w:tblCellMar>
          <w:top w:w="0" w:type="dxa"/>
          <w:left w:w="0" w:type="dxa"/>
          <w:bottom w:w="0" w:type="dxa"/>
          <w:right w:w="0" w:type="dxa"/>
        </w:tblCellMar>
      </w:tblPr>
      <w:tblGrid>
        <w:gridCol w:w="674"/>
        <w:gridCol w:w="2"/>
        <w:gridCol w:w="997"/>
        <w:gridCol w:w="660"/>
        <w:gridCol w:w="5"/>
        <w:gridCol w:w="662"/>
        <w:gridCol w:w="6"/>
        <w:gridCol w:w="984"/>
        <w:gridCol w:w="1099"/>
        <w:gridCol w:w="11"/>
        <w:gridCol w:w="611"/>
        <w:gridCol w:w="266"/>
        <w:gridCol w:w="12"/>
        <w:gridCol w:w="596"/>
        <w:gridCol w:w="291"/>
        <w:gridCol w:w="14"/>
        <w:gridCol w:w="657"/>
        <w:gridCol w:w="748"/>
        <w:gridCol w:w="44"/>
      </w:tblGrid>
      <w:tr>
        <w:tblPrEx>
          <w:shd w:val="clear" w:color="auto" w:fill="auto"/>
          <w:tblLayout w:type="fixed"/>
          <w:tblCellMar>
            <w:top w:w="0" w:type="dxa"/>
            <w:left w:w="0" w:type="dxa"/>
            <w:bottom w:w="0" w:type="dxa"/>
            <w:right w:w="0" w:type="dxa"/>
          </w:tblCellMar>
        </w:tblPrEx>
        <w:trPr>
          <w:gridAfter w:val="1"/>
          <w:wAfter w:w="44" w:type="dxa"/>
          <w:trHeight w:val="800" w:hRule="atLeast"/>
        </w:trPr>
        <w:tc>
          <w:tcPr>
            <w:tcW w:w="8295" w:type="dxa"/>
            <w:gridSpan w:val="1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center"/>
              <w:textAlignment w:val="center"/>
              <w:outlineLvl w:val="9"/>
              <w:rPr>
                <w:rFonts w:ascii="微软雅黑" w:hAnsi="微软雅黑" w:eastAsia="微软雅黑" w:cs="微软雅黑"/>
                <w:b/>
                <w:i w:val="0"/>
                <w:color w:val="000000"/>
                <w:sz w:val="40"/>
                <w:szCs w:val="40"/>
                <w:u w:val="none"/>
              </w:rPr>
            </w:pPr>
            <w:r>
              <w:rPr>
                <w:rFonts w:hint="eastAsia" w:ascii="Times New Roman" w:hAnsi="Times New Roman" w:eastAsia="方正小标宋_GBK" w:cs="Times New Roman"/>
                <w:color w:val="000000"/>
                <w:kern w:val="0"/>
                <w:sz w:val="36"/>
                <w:szCs w:val="36"/>
                <w:lang w:val="en-US" w:eastAsia="zh-CN" w:bidi="ar"/>
              </w:rPr>
              <w:t>秀山县社会保险事务中心2024年度部门整体绩效自评表</w:t>
            </w:r>
          </w:p>
        </w:tc>
      </w:tr>
      <w:tr>
        <w:tblPrEx>
          <w:tblLayout w:type="fixed"/>
          <w:tblCellMar>
            <w:top w:w="0" w:type="dxa"/>
            <w:left w:w="0" w:type="dxa"/>
            <w:bottom w:w="0" w:type="dxa"/>
            <w:right w:w="0" w:type="dxa"/>
          </w:tblCellMar>
        </w:tblPrEx>
        <w:trPr>
          <w:trHeight w:val="500" w:hRule="atLeast"/>
        </w:trPr>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主管部门：</w:t>
            </w:r>
          </w:p>
        </w:tc>
        <w:tc>
          <w:tcPr>
            <w:tcW w:w="166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default" w:ascii="宋体" w:hAnsi="宋体" w:eastAsia="宋体" w:cs="宋体"/>
                <w:i w:val="0"/>
                <w:color w:val="000000"/>
                <w:kern w:val="0"/>
                <w:sz w:val="22"/>
                <w:szCs w:val="22"/>
                <w:u w:val="none"/>
                <w:lang w:val="en-US" w:eastAsia="zh-CN" w:bidi="ar"/>
              </w:rPr>
              <w:t>秀山县人力社资源和社会保障局</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黄婉琳</w:t>
            </w:r>
          </w:p>
        </w:tc>
        <w:tc>
          <w:tcPr>
            <w:tcW w:w="88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901"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15950583868</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92.12</w:t>
            </w:r>
          </w:p>
        </w:tc>
      </w:tr>
      <w:tr>
        <w:tblPrEx>
          <w:shd w:val="clear" w:color="auto" w:fill="auto"/>
          <w:tblLayout w:type="fixed"/>
          <w:tblCellMar>
            <w:top w:w="0" w:type="dxa"/>
            <w:left w:w="0" w:type="dxa"/>
            <w:bottom w:w="0" w:type="dxa"/>
            <w:right w:w="0" w:type="dxa"/>
          </w:tblCellMar>
        </w:tblPrEx>
        <w:trPr>
          <w:gridAfter w:val="1"/>
          <w:wAfter w:w="44" w:type="dxa"/>
          <w:trHeight w:val="600" w:hRule="atLeast"/>
        </w:trPr>
        <w:tc>
          <w:tcPr>
            <w:tcW w:w="8295" w:type="dxa"/>
            <w:gridSpan w:val="1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center"/>
              <w:textAlignment w:val="center"/>
              <w:outlineLvl w:val="9"/>
              <w:rPr>
                <w:rFonts w:hint="eastAsia" w:ascii="微软雅黑" w:hAnsi="微软雅黑" w:eastAsia="微软雅黑" w:cs="微软雅黑"/>
                <w:b/>
                <w:i w:val="0"/>
                <w:color w:val="808080"/>
                <w:sz w:val="28"/>
                <w:szCs w:val="28"/>
                <w:u w:val="none"/>
              </w:rPr>
            </w:pPr>
            <w:r>
              <w:rPr>
                <w:rFonts w:hint="default" w:ascii="宋体" w:hAnsi="宋体" w:eastAsia="宋体" w:cs="宋体"/>
                <w:b/>
                <w:i w:val="0"/>
                <w:color w:val="000000"/>
                <w:kern w:val="0"/>
                <w:sz w:val="28"/>
                <w:szCs w:val="28"/>
                <w:u w:val="none"/>
                <w:lang w:val="en-US" w:eastAsia="zh-CN" w:bidi="ar"/>
              </w:rPr>
              <w:t>当年绩效目标</w:t>
            </w:r>
          </w:p>
        </w:tc>
      </w:tr>
      <w:tr>
        <w:tblPrEx>
          <w:tblLayout w:type="fixed"/>
          <w:tblCellMar>
            <w:top w:w="0" w:type="dxa"/>
            <w:left w:w="0" w:type="dxa"/>
            <w:bottom w:w="0" w:type="dxa"/>
            <w:right w:w="0" w:type="dxa"/>
          </w:tblCellMar>
        </w:tblPrEx>
        <w:trPr>
          <w:gridAfter w:val="1"/>
          <w:wAfter w:w="44" w:type="dxa"/>
          <w:trHeight w:val="500" w:hRule="atLeast"/>
        </w:trPr>
        <w:tc>
          <w:tcPr>
            <w:tcW w:w="3000"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271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584"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shd w:val="clear" w:color="auto" w:fill="auto"/>
          <w:tblLayout w:type="fixed"/>
          <w:tblCellMar>
            <w:top w:w="0" w:type="dxa"/>
            <w:left w:w="0" w:type="dxa"/>
            <w:bottom w:w="0" w:type="dxa"/>
            <w:right w:w="0" w:type="dxa"/>
          </w:tblCellMar>
        </w:tblPrEx>
        <w:trPr>
          <w:gridAfter w:val="1"/>
          <w:wAfter w:w="44" w:type="dxa"/>
          <w:trHeight w:val="1600" w:hRule="atLeast"/>
        </w:trPr>
        <w:tc>
          <w:tcPr>
            <w:tcW w:w="3000"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top"/>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宣传贯彻执行国家、市和县关于养老、工伤保险的法律法规和政策，组织实施养老、工伤保险年度工作计划；2.完成养老、工伤保险参保登记、接续转移、中断终止、费用审核结算、领取资格认证等业务经办、培训和服务工作；3.拟定养老、工伤保险基金收支计划，按时足额支付养老、工伤保险待遇；4.负责执行全县养老、工伤保险基金预决算管理、会计财务核算管理，编制财务报表，确保养老保险金、工伤保险待遇按时足额发放；5.负责建立和完善内控制度，执行内部审计和风险控制。6.稽核用人单位养老、工伤保险费缴纳、待遇支付和领取情况；7、负责工伤定点医疗机构的确定、协议管理，并对其收费情况和服务质量进行检查、审核与监督；8.负责全县养老、工伤保险经办业务档案的标准化建设、日常管理和查询利用；9.负责全县养老、工伤保险信息化建设工作，负责信息系统的运行、维护和管理，负责信息采集、整理、记录、统计分析工作；10.负责全县企业和机关事业单位退休人员社会化管理服务工作；11.负责指导乡镇、街道劳动就业社会保障服务中心开展养老保险经办和服务工作；12.负责各类特殊群体财政补贴资金的代发工作；13.承办上级部门交办的其他事项。</w:t>
            </w:r>
          </w:p>
        </w:tc>
        <w:tc>
          <w:tcPr>
            <w:tcW w:w="271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pageBreakBefore w:val="0"/>
              <w:widowControl/>
              <w:kinsoku/>
              <w:wordWrap/>
              <w:overflowPunct/>
              <w:topLinePunct w:val="0"/>
              <w:autoSpaceDE/>
              <w:autoSpaceDN/>
              <w:bidi w:val="0"/>
              <w:adjustRightInd/>
              <w:snapToGrid/>
              <w:spacing w:afterAutospacing="0" w:line="560" w:lineRule="exact"/>
              <w:ind w:firstLine="0" w:firstLineChars="0"/>
              <w:jc w:val="left"/>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宣传贯彻执行国家、市和县关于养老、工伤保险的法律法规和政策，组织实施养老、工伤保险年度工作计划；2.完成养老、工伤保险参保登记、接续转移、中断终止、费用审核结算、领取资格认证等业务经办、培训和服务工作；3.拟定养老、工伤保险基金收支计划，按时足额支付养老、工伤保险待遇；4.负责执行全县养老、工伤保险基金预决算管理、会计财务核算管理，编制财务报表，确保养老保险金、工伤保险待遇按时足额发放；5.负责建立和完善内控制度，执行内部审计和风险控制。6.稽核用人单位养老、工伤保险费缴纳、待遇支付和领取情况；7、负责工伤定点医疗机构的确定、协议管理，并对其收费情况和服务质量进行检查、审核与监督；8.负责全县养老、工伤保险经办业务档案的标准化建设、日常管理和查询利用；9.负责全县养老、工伤保险信息化建设工作，负责信息系统的运行、维护和管理，负责信息采集、整理、记录、统计分析工作；10.负责全县企业和机关事业单位退休人员社会化管理服务工作；11.负责指导乡镇、街道劳动就业社会保障服务中心开展养老保险经办和服务工作；12.负责各类特殊群体财政补贴资金的代发工作；13.承办上级部门交办的其他事项。</w:t>
            </w:r>
          </w:p>
        </w:tc>
        <w:tc>
          <w:tcPr>
            <w:tcW w:w="2584"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top"/>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宣传贯彻执行国家、市和县关于养老、工伤保险的法律法规和政策，组织实施养老、工伤保险年度工作计划；2.完成养老、工伤保险参保登记、接续转移、中断终止、费用审核结算、领取资格认证等业务经办、培训和服务工作；3.拟定养老、工伤保险基金收支计划，按时足额支付养老、工伤保险待遇；4.负责执行全县养老、工伤保险基金预决算管理、会计财务核算管理，编制财务报表，确保养老保险金、工伤保险待遇按时足额发放；5.负责建立和完善内控制度，执行内部审计和风险控制。6.稽核用人单位养老、工伤保险费缴纳、待遇支付和领取情况；7、负责工伤定点医疗机构的确定、协议管理，并对其收费情况和服务质量进行检查、审核与监督；8.负责全县养老、工伤保险经办业务档案的标准化建设、日常管理和查询利用；9.负责全县养老、工伤保险信息化建设工作，负责信息系统的运行、维护和管理，负责信息采集、整理、记录、统计分析工作；10.负责全县企业和机关事业单位退休人员社会化管理服务工作；11.负责指导乡镇、街道劳动就业社会保障服务中心开展养老保险经办和服务工作；12.负责各类特殊群体财政补贴资金的代发工作；13.承办上级部门交办的其他事项。</w:t>
            </w:r>
          </w:p>
        </w:tc>
      </w:tr>
      <w:tr>
        <w:tblPrEx>
          <w:shd w:val="clear" w:color="auto" w:fill="auto"/>
          <w:tblLayout w:type="fixed"/>
          <w:tblCellMar>
            <w:top w:w="0" w:type="dxa"/>
            <w:left w:w="0" w:type="dxa"/>
            <w:bottom w:w="0" w:type="dxa"/>
            <w:right w:w="0" w:type="dxa"/>
          </w:tblCellMar>
        </w:tblPrEx>
        <w:trPr>
          <w:gridAfter w:val="1"/>
          <w:wAfter w:w="44" w:type="dxa"/>
          <w:trHeight w:val="500" w:hRule="atLeast"/>
        </w:trPr>
        <w:tc>
          <w:tcPr>
            <w:tcW w:w="67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8"/>
                <w:szCs w:val="28"/>
                <w:u w:val="none"/>
                <w:lang w:val="en-US" w:eastAsia="zh-CN" w:bidi="ar"/>
              </w:rPr>
              <w:t>绩效指标</w:t>
            </w:r>
          </w:p>
        </w:tc>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8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2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41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gridAfter w:val="1"/>
          <w:wAfter w:w="44" w:type="dxa"/>
          <w:trHeight w:val="500" w:hRule="atLeast"/>
        </w:trPr>
        <w:tc>
          <w:tcPr>
            <w:tcW w:w="67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p>
        </w:tc>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单位科室内控覆盖率和投诉举报案件办结率</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1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ind w:firstLine="0" w:firstLineChars="0"/>
              <w:jc w:val="left"/>
              <w:outlineLvl w:val="9"/>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gridAfter w:val="1"/>
          <w:wAfter w:w="44" w:type="dxa"/>
          <w:trHeight w:val="500" w:hRule="atLeast"/>
        </w:trPr>
        <w:tc>
          <w:tcPr>
            <w:tcW w:w="67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p>
        </w:tc>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服务养老、工伤保险参保和接续转移人数</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454100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501268</w:t>
            </w:r>
          </w:p>
        </w:tc>
        <w:tc>
          <w:tcPr>
            <w:tcW w:w="8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41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ind w:firstLine="0" w:firstLineChars="0"/>
              <w:jc w:val="left"/>
              <w:outlineLvl w:val="9"/>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gridAfter w:val="1"/>
          <w:wAfter w:w="44" w:type="dxa"/>
          <w:trHeight w:val="500" w:hRule="atLeast"/>
        </w:trPr>
        <w:tc>
          <w:tcPr>
            <w:tcW w:w="67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p>
        </w:tc>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开展工伤定点医疗机构的协议管理</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次/年</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8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1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ind w:firstLine="0" w:firstLineChars="0"/>
              <w:jc w:val="left"/>
              <w:outlineLvl w:val="9"/>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gridAfter w:val="1"/>
          <w:wAfter w:w="44" w:type="dxa"/>
          <w:trHeight w:val="500" w:hRule="atLeast"/>
        </w:trPr>
        <w:tc>
          <w:tcPr>
            <w:tcW w:w="67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p>
        </w:tc>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社会保险待遇领取人员资格认证率</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w:t>
            </w:r>
          </w:p>
        </w:tc>
        <w:tc>
          <w:tcPr>
            <w:tcW w:w="8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1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ind w:firstLine="0" w:firstLineChars="0"/>
              <w:jc w:val="left"/>
              <w:outlineLvl w:val="9"/>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gridAfter w:val="1"/>
          <w:wAfter w:w="44" w:type="dxa"/>
          <w:trHeight w:val="500" w:hRule="atLeast"/>
        </w:trPr>
        <w:tc>
          <w:tcPr>
            <w:tcW w:w="67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p>
        </w:tc>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各类特殊群体财政补贴资金代发及时率</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1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ind w:firstLine="0" w:firstLineChars="0"/>
              <w:jc w:val="left"/>
              <w:outlineLvl w:val="9"/>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gridAfter w:val="1"/>
          <w:wAfter w:w="44" w:type="dxa"/>
          <w:trHeight w:val="500" w:hRule="atLeast"/>
        </w:trPr>
        <w:tc>
          <w:tcPr>
            <w:tcW w:w="67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p>
        </w:tc>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完成社保档案查询办结率</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1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ind w:firstLine="0" w:firstLineChars="0"/>
              <w:jc w:val="left"/>
              <w:outlineLvl w:val="9"/>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gridAfter w:val="1"/>
          <w:wAfter w:w="44" w:type="dxa"/>
          <w:trHeight w:val="500" w:hRule="atLeast"/>
        </w:trPr>
        <w:tc>
          <w:tcPr>
            <w:tcW w:w="67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p>
        </w:tc>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养老、工伤保险基金和部门预决算及时编制率和公开率</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1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ind w:firstLine="0" w:firstLineChars="0"/>
              <w:jc w:val="left"/>
              <w:outlineLvl w:val="9"/>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gridAfter w:val="1"/>
          <w:wAfter w:w="44" w:type="dxa"/>
          <w:trHeight w:val="500" w:hRule="atLeast"/>
        </w:trPr>
        <w:tc>
          <w:tcPr>
            <w:tcW w:w="67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p>
        </w:tc>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养老保险金和工伤待遇及时足额发放率</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41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ind w:firstLine="0" w:firstLineChars="0"/>
              <w:jc w:val="left"/>
              <w:outlineLvl w:val="9"/>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gridAfter w:val="1"/>
          <w:wAfter w:w="44" w:type="dxa"/>
          <w:trHeight w:val="500" w:hRule="atLeast"/>
        </w:trPr>
        <w:tc>
          <w:tcPr>
            <w:tcW w:w="67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p>
        </w:tc>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服务群众满意度</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8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1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ind w:firstLine="0" w:firstLineChars="0"/>
              <w:jc w:val="left"/>
              <w:outlineLvl w:val="9"/>
              <w:rPr>
                <w:rFonts w:hint="eastAsia" w:ascii="宋体" w:hAnsi="宋体" w:eastAsia="宋体" w:cs="宋体"/>
                <w:i w:val="0"/>
                <w:color w:val="000000"/>
                <w:sz w:val="22"/>
                <w:szCs w:val="22"/>
                <w:u w:val="none"/>
              </w:rPr>
            </w:pPr>
          </w:p>
        </w:tc>
      </w:tr>
    </w:tbl>
    <w:p>
      <w:pPr>
        <w:pStyle w:val="14"/>
        <w:keepNext w:val="0"/>
        <w:keepLines w:val="0"/>
        <w:pageBreakBefore w:val="0"/>
        <w:kinsoku/>
        <w:wordWrap/>
        <w:overflowPunct/>
        <w:topLinePunct w:val="0"/>
        <w:autoSpaceDE w:val="0"/>
        <w:autoSpaceDN/>
        <w:bidi w:val="0"/>
        <w:adjustRightInd/>
        <w:spacing w:before="0" w:beforeAutospacing="0" w:afterAutospacing="0" w:line="560" w:lineRule="exact"/>
        <w:ind w:firstLine="640" w:firstLineChars="200"/>
        <w:jc w:val="both"/>
        <w:textAlignment w:val="auto"/>
        <w:rPr>
          <w:rFonts w:hint="eastAsia" w:ascii="仿宋_GB2312" w:hAnsi="仿宋" w:eastAsia="仿宋_GB2312"/>
          <w:color w:val="auto"/>
          <w:sz w:val="32"/>
          <w:szCs w:val="32"/>
        </w:rPr>
      </w:pPr>
    </w:p>
    <w:p>
      <w:pPr>
        <w:pStyle w:val="14"/>
        <w:keepNext w:val="0"/>
        <w:keepLines w:val="0"/>
        <w:pageBreakBefore w:val="0"/>
        <w:kinsoku/>
        <w:wordWrap/>
        <w:overflowPunct/>
        <w:topLinePunct w:val="0"/>
        <w:autoSpaceDE w:val="0"/>
        <w:autoSpaceDN/>
        <w:bidi w:val="0"/>
        <w:adjustRightInd/>
        <w:spacing w:before="0" w:beforeAutospacing="0" w:afterAutospacing="0" w:line="560" w:lineRule="exact"/>
        <w:ind w:firstLine="640" w:firstLineChars="200"/>
        <w:jc w:val="both"/>
        <w:textAlignment w:val="auto"/>
        <w:rPr>
          <w:rFonts w:hint="eastAsia" w:ascii="仿宋_GB2312" w:hAnsi="仿宋" w:eastAsia="仿宋_GB2312"/>
          <w:color w:val="auto"/>
          <w:sz w:val="32"/>
          <w:szCs w:val="32"/>
        </w:rPr>
      </w:pPr>
    </w:p>
    <w:p>
      <w:pPr>
        <w:pStyle w:val="14"/>
        <w:keepNext w:val="0"/>
        <w:keepLines w:val="0"/>
        <w:pageBreakBefore w:val="0"/>
        <w:kinsoku/>
        <w:wordWrap/>
        <w:overflowPunct/>
        <w:topLinePunct w:val="0"/>
        <w:autoSpaceDE w:val="0"/>
        <w:autoSpaceDN/>
        <w:bidi w:val="0"/>
        <w:adjustRightInd/>
        <w:spacing w:before="0" w:beforeAutospacing="0" w:afterAutospacing="0" w:line="560" w:lineRule="exact"/>
        <w:ind w:firstLine="640" w:firstLineChars="200"/>
        <w:jc w:val="both"/>
        <w:textAlignment w:val="auto"/>
        <w:rPr>
          <w:rFonts w:hint="eastAsia" w:ascii="仿宋_GB2312" w:hAnsi="仿宋" w:eastAsia="仿宋_GB2312"/>
          <w:color w:val="auto"/>
          <w:sz w:val="32"/>
          <w:szCs w:val="32"/>
        </w:rPr>
      </w:pPr>
    </w:p>
    <w:p>
      <w:pPr>
        <w:pStyle w:val="14"/>
        <w:keepNext w:val="0"/>
        <w:keepLines w:val="0"/>
        <w:pageBreakBefore w:val="0"/>
        <w:kinsoku/>
        <w:wordWrap/>
        <w:overflowPunct/>
        <w:topLinePunct w:val="0"/>
        <w:autoSpaceDE w:val="0"/>
        <w:autoSpaceDN/>
        <w:bidi w:val="0"/>
        <w:adjustRightInd/>
        <w:spacing w:before="0" w:beforeAutospacing="0" w:afterAutospacing="0" w:line="560" w:lineRule="exact"/>
        <w:ind w:firstLine="640" w:firstLineChars="200"/>
        <w:jc w:val="both"/>
        <w:textAlignment w:val="auto"/>
        <w:rPr>
          <w:rFonts w:hint="eastAsia" w:ascii="仿宋_GB2312" w:hAnsi="仿宋" w:eastAsia="仿宋_GB2312"/>
          <w:color w:val="auto"/>
          <w:sz w:val="32"/>
          <w:szCs w:val="32"/>
        </w:rPr>
      </w:pPr>
    </w:p>
    <w:p>
      <w:pPr>
        <w:pStyle w:val="14"/>
        <w:keepNext w:val="0"/>
        <w:keepLines w:val="0"/>
        <w:pageBreakBefore w:val="0"/>
        <w:kinsoku/>
        <w:wordWrap/>
        <w:overflowPunct/>
        <w:topLinePunct w:val="0"/>
        <w:autoSpaceDE w:val="0"/>
        <w:autoSpaceDN/>
        <w:bidi w:val="0"/>
        <w:adjustRightInd/>
        <w:spacing w:before="0" w:beforeAutospacing="0" w:afterAutospacing="0" w:line="560" w:lineRule="exact"/>
        <w:ind w:firstLine="640" w:firstLineChars="200"/>
        <w:jc w:val="both"/>
        <w:textAlignment w:val="auto"/>
        <w:rPr>
          <w:rFonts w:hint="eastAsia" w:ascii="仿宋_GB2312" w:hAnsi="仿宋" w:eastAsia="仿宋_GB2312"/>
          <w:color w:val="auto"/>
          <w:sz w:val="32"/>
          <w:szCs w:val="32"/>
        </w:rPr>
      </w:pPr>
    </w:p>
    <w:tbl>
      <w:tblPr>
        <w:tblStyle w:val="11"/>
        <w:tblW w:w="8339" w:type="dxa"/>
        <w:tblInd w:w="0" w:type="dxa"/>
        <w:shd w:val="clear" w:color="auto" w:fill="auto"/>
        <w:tblLayout w:type="fixed"/>
        <w:tblCellMar>
          <w:top w:w="0" w:type="dxa"/>
          <w:left w:w="0" w:type="dxa"/>
          <w:bottom w:w="0" w:type="dxa"/>
          <w:right w:w="0" w:type="dxa"/>
        </w:tblCellMar>
      </w:tblPr>
      <w:tblGrid>
        <w:gridCol w:w="373"/>
        <w:gridCol w:w="1470"/>
        <w:gridCol w:w="615"/>
        <w:gridCol w:w="600"/>
        <w:gridCol w:w="945"/>
        <w:gridCol w:w="990"/>
        <w:gridCol w:w="795"/>
        <w:gridCol w:w="570"/>
        <w:gridCol w:w="795"/>
        <w:gridCol w:w="480"/>
        <w:gridCol w:w="706"/>
      </w:tblGrid>
      <w:tr>
        <w:tblPrEx>
          <w:tblLayout w:type="fixed"/>
          <w:tblCellMar>
            <w:top w:w="0" w:type="dxa"/>
            <w:left w:w="0" w:type="dxa"/>
            <w:bottom w:w="0" w:type="dxa"/>
            <w:right w:w="0" w:type="dxa"/>
          </w:tblCellMar>
        </w:tblPrEx>
        <w:trPr>
          <w:trHeight w:val="6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N/>
              <w:bidi w:val="0"/>
              <w:adjustRightInd/>
              <w:snapToGrid/>
              <w:spacing w:beforeAutospacing="0" w:afterAutospacing="0" w:line="560" w:lineRule="exact"/>
              <w:jc w:val="center"/>
              <w:textAlignment w:val="center"/>
              <w:rPr>
                <w:rFonts w:hint="default" w:ascii="Times New Roman" w:hAnsi="Times New Roman" w:eastAsia="方正小标宋_GBK" w:cs="Times New Roman"/>
                <w:color w:val="000000"/>
                <w:kern w:val="0"/>
                <w:sz w:val="36"/>
                <w:szCs w:val="36"/>
                <w:lang w:bidi="ar"/>
              </w:rPr>
            </w:pPr>
            <w:r>
              <w:rPr>
                <w:rFonts w:hint="default" w:ascii="Times New Roman" w:hAnsi="Times New Roman" w:eastAsia="方正小标宋_GBK" w:cs="Times New Roman"/>
                <w:color w:val="000000"/>
                <w:kern w:val="0"/>
                <w:sz w:val="36"/>
                <w:szCs w:val="36"/>
                <w:lang w:eastAsia="zh-CN" w:bidi="ar"/>
              </w:rPr>
              <w:t>秀山县社会保险事务中心</w:t>
            </w:r>
            <w:r>
              <w:rPr>
                <w:rFonts w:hint="default" w:ascii="Times New Roman" w:hAnsi="Times New Roman" w:eastAsia="方正小标宋_GBK" w:cs="Times New Roman"/>
                <w:color w:val="000000"/>
                <w:kern w:val="0"/>
                <w:sz w:val="36"/>
                <w:szCs w:val="36"/>
                <w:lang w:bidi="ar"/>
              </w:rPr>
              <w:t>202</w:t>
            </w:r>
            <w:r>
              <w:rPr>
                <w:rFonts w:hint="eastAsia" w:ascii="Times New Roman" w:hAnsi="Times New Roman" w:eastAsia="方正小标宋_GBK" w:cs="Times New Roman"/>
                <w:color w:val="000000"/>
                <w:kern w:val="0"/>
                <w:sz w:val="36"/>
                <w:szCs w:val="36"/>
                <w:lang w:val="en-US" w:eastAsia="zh-CN" w:bidi="ar"/>
              </w:rPr>
              <w:t>4</w:t>
            </w:r>
            <w:r>
              <w:rPr>
                <w:rFonts w:hint="default" w:ascii="Times New Roman" w:hAnsi="Times New Roman" w:eastAsia="方正小标宋_GBK" w:cs="Times New Roman"/>
                <w:color w:val="000000"/>
                <w:kern w:val="0"/>
                <w:sz w:val="36"/>
                <w:szCs w:val="36"/>
                <w:lang w:bidi="ar"/>
              </w:rPr>
              <w:t>年度</w:t>
            </w:r>
          </w:p>
          <w:p>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ascii="微软雅黑" w:hAnsi="微软雅黑" w:eastAsia="微软雅黑" w:cs="微软雅黑"/>
                <w:b/>
                <w:i w:val="0"/>
                <w:color w:val="808080"/>
                <w:sz w:val="28"/>
                <w:szCs w:val="28"/>
                <w:u w:val="none"/>
              </w:rPr>
            </w:pPr>
            <w:r>
              <w:rPr>
                <w:rFonts w:hint="default" w:ascii="Times New Roman" w:hAnsi="Times New Roman" w:eastAsia="方正小标宋_GBK" w:cs="Times New Roman"/>
                <w:color w:val="000000"/>
                <w:kern w:val="0"/>
                <w:sz w:val="36"/>
                <w:szCs w:val="36"/>
                <w:lang w:bidi="ar"/>
              </w:rPr>
              <w:t>项目支出绩效自评表（</w:t>
            </w:r>
            <w:r>
              <w:rPr>
                <w:rFonts w:hint="eastAsia" w:ascii="方正小标宋_GBK" w:hAnsi="方正小标宋_GBK" w:eastAsia="方正小标宋_GBK" w:cs="方正小标宋_GBK"/>
                <w:color w:val="000000"/>
                <w:kern w:val="0"/>
                <w:sz w:val="36"/>
                <w:szCs w:val="36"/>
                <w:lang w:val="en-US" w:eastAsia="zh-CN" w:bidi="ar"/>
              </w:rPr>
              <w:t>二级</w:t>
            </w:r>
            <w:r>
              <w:rPr>
                <w:rFonts w:hint="eastAsia" w:ascii="方正小标宋_GBK" w:hAnsi="方正小标宋_GBK" w:eastAsia="方正小标宋_GBK" w:cs="方正小标宋_GBK"/>
                <w:color w:val="000000"/>
                <w:kern w:val="0"/>
                <w:sz w:val="36"/>
                <w:szCs w:val="36"/>
                <w:lang w:bidi="ar"/>
              </w:rPr>
              <w:t>项目</w:t>
            </w:r>
            <w:r>
              <w:rPr>
                <w:rFonts w:hint="default" w:ascii="Times New Roman" w:hAnsi="Times New Roman" w:eastAsia="方正小标宋_GBK" w:cs="Times New Roman"/>
                <w:color w:val="000000"/>
                <w:kern w:val="0"/>
                <w:sz w:val="36"/>
                <w:szCs w:val="36"/>
                <w:lang w:bidi="ar"/>
              </w:rPr>
              <w:t>）</w:t>
            </w:r>
          </w:p>
        </w:tc>
      </w:tr>
      <w:tr>
        <w:tblPrEx>
          <w:tblLayout w:type="fixed"/>
          <w:tblCellMar>
            <w:top w:w="0" w:type="dxa"/>
            <w:left w:w="0" w:type="dxa"/>
            <w:bottom w:w="0" w:type="dxa"/>
            <w:right w:w="0" w:type="dxa"/>
          </w:tblCellMar>
        </w:tblPrEx>
        <w:trPr>
          <w:trHeight w:val="500" w:hRule="atLeast"/>
        </w:trPr>
        <w:tc>
          <w:tcPr>
            <w:tcW w:w="3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序号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自评得分</w:t>
            </w:r>
          </w:p>
        </w:tc>
      </w:tr>
      <w:tr>
        <w:tblPrEx>
          <w:tblLayout w:type="fixed"/>
          <w:tblCellMar>
            <w:top w:w="0" w:type="dxa"/>
            <w:left w:w="0" w:type="dxa"/>
            <w:bottom w:w="0" w:type="dxa"/>
            <w:right w:w="0" w:type="dxa"/>
          </w:tblCellMar>
        </w:tblPrEx>
        <w:trPr>
          <w:trHeight w:val="500" w:hRule="atLeast"/>
        </w:trPr>
        <w:tc>
          <w:tcPr>
            <w:tcW w:w="3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发放城乡居民社保金人次</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728600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753252</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left"/>
              <w:textAlignment w:val="center"/>
              <w:rPr>
                <w:rFonts w:hint="eastAsia" w:ascii="宋体" w:hAnsi="宋体" w:eastAsia="宋体" w:cs="宋体"/>
                <w:i w:val="0"/>
                <w:color w:val="000000"/>
                <w:sz w:val="22"/>
                <w:szCs w:val="22"/>
                <w:u w:val="none"/>
              </w:rPr>
            </w:pPr>
          </w:p>
        </w:tc>
        <w:tc>
          <w:tcPr>
            <w:tcW w:w="706"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89.83分</w:t>
            </w:r>
          </w:p>
        </w:tc>
      </w:tr>
      <w:tr>
        <w:tblPrEx>
          <w:shd w:val="clear" w:color="auto" w:fill="auto"/>
          <w:tblLayout w:type="fixed"/>
          <w:tblCellMar>
            <w:top w:w="0" w:type="dxa"/>
            <w:left w:w="0" w:type="dxa"/>
            <w:bottom w:w="0" w:type="dxa"/>
            <w:right w:w="0" w:type="dxa"/>
          </w:tblCellMar>
        </w:tblPrEx>
        <w:trPr>
          <w:trHeight w:val="500" w:hRule="atLeast"/>
        </w:trPr>
        <w:tc>
          <w:tcPr>
            <w:tcW w:w="3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left"/>
              <w:textAlignment w:val="center"/>
              <w:rPr>
                <w:rFonts w:hint="eastAsia" w:ascii="宋体" w:hAnsi="宋体" w:eastAsia="宋体" w:cs="宋体"/>
                <w:i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发放机关事业单位社保金人次</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65100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66732</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left"/>
              <w:textAlignment w:val="center"/>
              <w:rPr>
                <w:rFonts w:hint="eastAsia" w:ascii="宋体" w:hAnsi="宋体" w:eastAsia="宋体" w:cs="宋体"/>
                <w:i w:val="0"/>
                <w:color w:val="000000"/>
                <w:sz w:val="22"/>
                <w:szCs w:val="22"/>
                <w:u w:val="none"/>
              </w:rPr>
            </w:pPr>
          </w:p>
        </w:tc>
        <w:tc>
          <w:tcPr>
            <w:tcW w:w="706"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overflowPunct/>
              <w:topLinePunct w:val="0"/>
              <w:autoSpaceDN/>
              <w:bidi w:val="0"/>
              <w:adjustRightInd/>
              <w:spacing w:beforeAutospacing="0" w:afterAutospacing="0" w:line="560" w:lineRule="exact"/>
              <w:jc w:val="left"/>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500" w:hRule="atLeast"/>
        </w:trPr>
        <w:tc>
          <w:tcPr>
            <w:tcW w:w="3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left"/>
              <w:textAlignment w:val="center"/>
              <w:rPr>
                <w:rFonts w:hint="eastAsia" w:ascii="宋体" w:hAnsi="宋体" w:eastAsia="宋体" w:cs="宋体"/>
                <w:i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发放企业退休人员社保金人次</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633350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644556</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left"/>
              <w:textAlignment w:val="center"/>
              <w:rPr>
                <w:rFonts w:hint="eastAsia" w:ascii="宋体" w:hAnsi="宋体" w:eastAsia="宋体" w:cs="宋体"/>
                <w:i w:val="0"/>
                <w:color w:val="000000"/>
                <w:sz w:val="22"/>
                <w:szCs w:val="22"/>
                <w:u w:val="none"/>
              </w:rPr>
            </w:pPr>
          </w:p>
        </w:tc>
        <w:tc>
          <w:tcPr>
            <w:tcW w:w="706"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overflowPunct/>
              <w:topLinePunct w:val="0"/>
              <w:autoSpaceDN/>
              <w:bidi w:val="0"/>
              <w:adjustRightInd/>
              <w:spacing w:beforeAutospacing="0" w:afterAutospacing="0" w:line="560" w:lineRule="exact"/>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left"/>
              <w:textAlignment w:val="center"/>
              <w:rPr>
                <w:rFonts w:hint="eastAsia" w:ascii="宋体" w:hAnsi="宋体" w:eastAsia="宋体" w:cs="宋体"/>
                <w:i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工伤发放待遇人次</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1606</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1757</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left"/>
              <w:textAlignment w:val="center"/>
              <w:rPr>
                <w:rFonts w:hint="eastAsia" w:ascii="宋体" w:hAnsi="宋体" w:eastAsia="宋体" w:cs="宋体"/>
                <w:i w:val="0"/>
                <w:color w:val="000000"/>
                <w:sz w:val="22"/>
                <w:szCs w:val="22"/>
                <w:u w:val="none"/>
              </w:rPr>
            </w:pPr>
          </w:p>
        </w:tc>
        <w:tc>
          <w:tcPr>
            <w:tcW w:w="706"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overflowPunct/>
              <w:topLinePunct w:val="0"/>
              <w:autoSpaceDN/>
              <w:bidi w:val="0"/>
              <w:adjustRightInd/>
              <w:spacing w:beforeAutospacing="0" w:afterAutospacing="0" w:line="560" w:lineRule="exact"/>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left"/>
              <w:textAlignment w:val="center"/>
              <w:rPr>
                <w:rFonts w:hint="eastAsia" w:ascii="宋体" w:hAnsi="宋体" w:eastAsia="宋体" w:cs="宋体"/>
                <w:i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及时到位率</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left"/>
              <w:textAlignment w:val="center"/>
              <w:rPr>
                <w:rFonts w:hint="eastAsia" w:ascii="宋体" w:hAnsi="宋体" w:eastAsia="宋体" w:cs="宋体"/>
                <w:i w:val="0"/>
                <w:color w:val="000000"/>
                <w:sz w:val="22"/>
                <w:szCs w:val="22"/>
                <w:u w:val="none"/>
              </w:rPr>
            </w:pPr>
          </w:p>
        </w:tc>
        <w:tc>
          <w:tcPr>
            <w:tcW w:w="706"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overflowPunct/>
              <w:topLinePunct w:val="0"/>
              <w:autoSpaceDN/>
              <w:bidi w:val="0"/>
              <w:adjustRightInd/>
              <w:spacing w:beforeAutospacing="0" w:afterAutospacing="0" w:line="560" w:lineRule="exact"/>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left"/>
              <w:textAlignment w:val="center"/>
              <w:rPr>
                <w:rFonts w:hint="eastAsia" w:ascii="宋体" w:hAnsi="宋体" w:eastAsia="宋体" w:cs="宋体"/>
                <w:i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服务对象认可度</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left"/>
              <w:textAlignment w:val="center"/>
              <w:rPr>
                <w:rFonts w:hint="eastAsia" w:ascii="宋体" w:hAnsi="宋体" w:eastAsia="宋体" w:cs="宋体"/>
                <w:i w:val="0"/>
                <w:color w:val="000000"/>
                <w:sz w:val="22"/>
                <w:szCs w:val="22"/>
                <w:u w:val="none"/>
              </w:rPr>
            </w:pPr>
          </w:p>
        </w:tc>
        <w:tc>
          <w:tcPr>
            <w:tcW w:w="706"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overflowPunct/>
              <w:topLinePunct w:val="0"/>
              <w:autoSpaceDN/>
              <w:bidi w:val="0"/>
              <w:adjustRightInd/>
              <w:spacing w:beforeAutospacing="0" w:afterAutospacing="0" w:line="560" w:lineRule="exact"/>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left"/>
              <w:textAlignment w:val="center"/>
              <w:rPr>
                <w:rFonts w:hint="eastAsia" w:ascii="宋体" w:hAnsi="宋体" w:eastAsia="宋体" w:cs="宋体"/>
                <w:i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项目资金总额</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81.8</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16.36</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left"/>
              <w:textAlignment w:val="center"/>
              <w:rPr>
                <w:rFonts w:hint="eastAsia" w:ascii="宋体" w:hAnsi="宋体" w:eastAsia="宋体" w:cs="宋体"/>
                <w:i w:val="0"/>
                <w:color w:val="000000"/>
                <w:sz w:val="22"/>
                <w:szCs w:val="22"/>
                <w:u w:val="none"/>
              </w:rPr>
            </w:pPr>
          </w:p>
        </w:tc>
        <w:tc>
          <w:tcPr>
            <w:tcW w:w="706"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overflowPunct/>
              <w:topLinePunct w:val="0"/>
              <w:autoSpaceDN/>
              <w:bidi w:val="0"/>
              <w:adjustRightInd/>
              <w:spacing w:beforeAutospacing="0" w:afterAutospacing="0" w:line="560" w:lineRule="exact"/>
              <w:jc w:val="left"/>
              <w:rPr>
                <w:rFonts w:hint="eastAsia" w:ascii="宋体" w:hAnsi="宋体" w:eastAsia="宋体" w:cs="宋体"/>
                <w:i w:val="0"/>
                <w:color w:val="000000"/>
                <w:sz w:val="22"/>
                <w:szCs w:val="22"/>
                <w:u w:val="none"/>
              </w:rPr>
            </w:pPr>
          </w:p>
        </w:tc>
      </w:tr>
    </w:tbl>
    <w:p>
      <w:pPr>
        <w:pStyle w:val="14"/>
        <w:keepNext w:val="0"/>
        <w:keepLines w:val="0"/>
        <w:pageBreakBefore w:val="0"/>
        <w:kinsoku/>
        <w:wordWrap/>
        <w:overflowPunct/>
        <w:topLinePunct w:val="0"/>
        <w:autoSpaceDE w:val="0"/>
        <w:autoSpaceDN/>
        <w:bidi w:val="0"/>
        <w:adjustRightInd/>
        <w:spacing w:before="0" w:beforeAutospacing="0" w:afterAutospacing="0" w:line="560" w:lineRule="exact"/>
        <w:ind w:firstLine="640" w:firstLineChars="200"/>
        <w:jc w:val="both"/>
        <w:textAlignment w:val="auto"/>
        <w:rPr>
          <w:rFonts w:hint="eastAsia" w:ascii="仿宋_GB2312" w:hAnsi="仿宋" w:eastAsia="仿宋_GB2312"/>
          <w:color w:val="auto"/>
          <w:sz w:val="32"/>
          <w:szCs w:val="32"/>
        </w:rPr>
        <w:sectPr>
          <w:footerReference r:id="rId4" w:type="default"/>
          <w:pgSz w:w="11915" w:h="16840"/>
          <w:pgMar w:top="1440" w:right="1800" w:bottom="1440" w:left="1800" w:header="851" w:footer="992" w:gutter="0"/>
          <w:pgNumType w:fmt="numberInDash"/>
          <w:cols w:space="720" w:num="1"/>
          <w:docGrid w:type="lines" w:linePitch="312" w:charSpace="0"/>
        </w:sectPr>
      </w:pPr>
    </w:p>
    <w:p>
      <w:pPr>
        <w:pStyle w:val="13"/>
        <w:keepNext w:val="0"/>
        <w:keepLines w:val="0"/>
        <w:pageBreakBefore w:val="0"/>
        <w:kinsoku/>
        <w:overflowPunct/>
        <w:topLinePunct w:val="0"/>
        <w:autoSpaceDE w:val="0"/>
        <w:autoSpaceDN/>
        <w:bidi w:val="0"/>
        <w:adjustRightInd/>
        <w:spacing w:beforeAutospacing="0" w:afterAutospacing="0" w:line="560" w:lineRule="exact"/>
        <w:ind w:firstLine="640"/>
        <w:rPr>
          <w:rStyle w:val="10"/>
          <w:rFonts w:hint="eastAsia" w:ascii="Times New Roman" w:hAnsi="Times New Roman" w:eastAsia="方正楷体_GBK" w:cs="Times New Roman"/>
          <w:b w:val="0"/>
          <w:bCs/>
          <w:sz w:val="32"/>
          <w:szCs w:val="32"/>
          <w:shd w:val="clear" w:color="auto" w:fill="FFFFFF"/>
          <w:lang w:val="en-US" w:eastAsia="zh-CN" w:bidi="ar-SA"/>
        </w:rPr>
      </w:pPr>
      <w:r>
        <w:rPr>
          <w:rStyle w:val="10"/>
          <w:rFonts w:hint="eastAsia" w:ascii="Times New Roman" w:hAnsi="Times New Roman" w:eastAsia="方正楷体_GBK" w:cs="Times New Roman"/>
          <w:b w:val="0"/>
          <w:bCs/>
          <w:sz w:val="32"/>
          <w:szCs w:val="32"/>
          <w:shd w:val="clear" w:color="auto" w:fill="FFFFFF"/>
          <w:lang w:val="en-US" w:eastAsia="zh-CN" w:bidi="ar-SA"/>
        </w:rPr>
        <w:t>（二）部门绩效评价情况</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auto"/>
          <w:kern w:val="2"/>
          <w:sz w:val="32"/>
          <w:szCs w:val="32"/>
          <w:lang w:val="zh-CN" w:eastAsia="zh-CN" w:bidi="ar-SA"/>
        </w:rPr>
      </w:pPr>
      <w:r>
        <w:rPr>
          <w:rFonts w:hint="eastAsia" w:ascii="Times New Roman" w:hAnsi="Times New Roman" w:eastAsia="方正仿宋_GBK" w:cs="Times New Roman"/>
          <w:color w:val="auto"/>
          <w:kern w:val="2"/>
          <w:sz w:val="32"/>
          <w:szCs w:val="32"/>
          <w:lang w:val="zh-CN" w:eastAsia="zh-CN" w:bidi="ar-SA"/>
        </w:rPr>
        <w:t>本</w:t>
      </w:r>
      <w:r>
        <w:rPr>
          <w:rFonts w:hint="eastAsia" w:ascii="Times New Roman" w:hAnsi="Times New Roman" w:eastAsia="方正仿宋_GBK" w:cs="Times New Roman"/>
          <w:color w:val="auto"/>
          <w:kern w:val="2"/>
          <w:sz w:val="32"/>
          <w:szCs w:val="32"/>
          <w:lang w:val="en-US" w:eastAsia="zh-CN" w:bidi="ar-SA"/>
        </w:rPr>
        <w:t>部门</w:t>
      </w:r>
      <w:r>
        <w:rPr>
          <w:rFonts w:hint="eastAsia" w:ascii="Times New Roman" w:hAnsi="Times New Roman" w:eastAsia="方正仿宋_GBK" w:cs="Times New Roman"/>
          <w:color w:val="auto"/>
          <w:kern w:val="2"/>
          <w:sz w:val="32"/>
          <w:szCs w:val="32"/>
          <w:lang w:val="zh-CN" w:eastAsia="zh-CN" w:bidi="ar-SA"/>
        </w:rPr>
        <w:t>对职工养老保险专项补助-代发手续费</w:t>
      </w:r>
      <w:r>
        <w:rPr>
          <w:rFonts w:hint="eastAsia" w:ascii="Times New Roman" w:hAnsi="Times New Roman" w:eastAsia="方正仿宋_GBK" w:cs="Times New Roman"/>
          <w:color w:val="auto"/>
          <w:kern w:val="2"/>
          <w:sz w:val="32"/>
          <w:szCs w:val="32"/>
          <w:lang w:val="en-US" w:eastAsia="zh-CN" w:bidi="ar-SA"/>
        </w:rPr>
        <w:t>项目</w:t>
      </w:r>
      <w:r>
        <w:rPr>
          <w:rFonts w:hint="eastAsia" w:ascii="Times New Roman" w:hAnsi="Times New Roman" w:eastAsia="方正仿宋_GBK" w:cs="Times New Roman"/>
          <w:color w:val="auto"/>
          <w:kern w:val="2"/>
          <w:sz w:val="32"/>
          <w:szCs w:val="32"/>
          <w:lang w:val="zh-CN" w:eastAsia="zh-CN" w:bidi="ar-SA"/>
        </w:rPr>
        <w:t>开展了绩效评价，涉及财政拨款项目资金</w:t>
      </w:r>
      <w:r>
        <w:rPr>
          <w:rFonts w:hint="eastAsia" w:ascii="Times New Roman" w:hAnsi="Times New Roman" w:eastAsia="方正仿宋_GBK" w:cs="Times New Roman"/>
          <w:color w:val="auto"/>
          <w:kern w:val="2"/>
          <w:sz w:val="32"/>
          <w:szCs w:val="32"/>
          <w:lang w:val="en-US" w:eastAsia="zh-CN" w:bidi="ar-SA"/>
        </w:rPr>
        <w:t>56.00</w:t>
      </w:r>
      <w:r>
        <w:rPr>
          <w:rFonts w:hint="eastAsia" w:ascii="Times New Roman" w:hAnsi="Times New Roman" w:eastAsia="方正仿宋_GBK" w:cs="Times New Roman"/>
          <w:color w:val="auto"/>
          <w:kern w:val="2"/>
          <w:sz w:val="32"/>
          <w:szCs w:val="32"/>
          <w:lang w:val="zh-CN" w:eastAsia="zh-CN" w:bidi="ar-SA"/>
        </w:rPr>
        <w:t>万元，评价得分</w:t>
      </w:r>
      <w:r>
        <w:rPr>
          <w:rFonts w:hint="eastAsia" w:ascii="Times New Roman" w:hAnsi="Times New Roman" w:eastAsia="方正仿宋_GBK" w:cs="Times New Roman"/>
          <w:color w:val="auto"/>
          <w:kern w:val="2"/>
          <w:sz w:val="32"/>
          <w:szCs w:val="32"/>
          <w:lang w:val="en-US" w:eastAsia="zh-CN" w:bidi="ar-SA"/>
        </w:rPr>
        <w:t>89.83</w:t>
      </w:r>
      <w:r>
        <w:rPr>
          <w:rFonts w:hint="eastAsia" w:ascii="Times New Roman" w:hAnsi="Times New Roman" w:eastAsia="方正仿宋_GBK" w:cs="Times New Roman"/>
          <w:color w:val="auto"/>
          <w:kern w:val="2"/>
          <w:sz w:val="32"/>
          <w:szCs w:val="32"/>
          <w:lang w:val="zh-CN" w:eastAsia="zh-CN" w:bidi="ar-SA"/>
        </w:rPr>
        <w:t>分，评价等次为</w:t>
      </w:r>
      <w:r>
        <w:rPr>
          <w:rFonts w:hint="eastAsia" w:ascii="Times New Roman" w:hAnsi="Times New Roman" w:eastAsia="方正仿宋_GBK" w:cs="Times New Roman"/>
          <w:color w:val="auto"/>
          <w:kern w:val="2"/>
          <w:sz w:val="32"/>
          <w:szCs w:val="32"/>
          <w:lang w:val="en-US" w:eastAsia="zh-CN" w:bidi="ar-SA"/>
        </w:rPr>
        <w:t>良</w:t>
      </w:r>
      <w:r>
        <w:rPr>
          <w:rFonts w:hint="eastAsia" w:ascii="Times New Roman" w:hAnsi="Times New Roman" w:eastAsia="方正仿宋_GBK" w:cs="Times New Roman"/>
          <w:color w:val="auto"/>
          <w:kern w:val="2"/>
          <w:sz w:val="32"/>
          <w:szCs w:val="32"/>
          <w:lang w:val="zh-CN" w:eastAsia="zh-CN" w:bidi="ar-SA"/>
        </w:rPr>
        <w:t>；对国有企业困难“双解”人员和困难下岗分流人员基本养老保险缴费补贴项目开展了绩效评价，涉及财政拨款项目资金</w:t>
      </w:r>
      <w:r>
        <w:rPr>
          <w:rFonts w:hint="eastAsia" w:ascii="Times New Roman" w:hAnsi="Times New Roman" w:eastAsia="方正仿宋_GBK" w:cs="Times New Roman"/>
          <w:color w:val="auto"/>
          <w:kern w:val="2"/>
          <w:sz w:val="32"/>
          <w:szCs w:val="32"/>
          <w:lang w:val="en-US" w:eastAsia="zh-CN" w:bidi="ar-SA"/>
        </w:rPr>
        <w:t>1745</w:t>
      </w:r>
      <w:r>
        <w:rPr>
          <w:rFonts w:hint="eastAsia" w:ascii="Times New Roman" w:hAnsi="Times New Roman" w:eastAsia="方正仿宋_GBK" w:cs="Times New Roman"/>
          <w:color w:val="auto"/>
          <w:kern w:val="2"/>
          <w:sz w:val="32"/>
          <w:szCs w:val="32"/>
          <w:lang w:val="zh-CN" w:eastAsia="zh-CN" w:bidi="ar-SA"/>
        </w:rPr>
        <w:t>.</w:t>
      </w:r>
      <w:r>
        <w:rPr>
          <w:rFonts w:hint="eastAsia" w:ascii="Times New Roman" w:hAnsi="Times New Roman" w:eastAsia="方正仿宋_GBK" w:cs="Times New Roman"/>
          <w:color w:val="auto"/>
          <w:kern w:val="2"/>
          <w:sz w:val="32"/>
          <w:szCs w:val="32"/>
          <w:lang w:val="en-US" w:eastAsia="zh-CN" w:bidi="ar-SA"/>
        </w:rPr>
        <w:t>00</w:t>
      </w:r>
      <w:r>
        <w:rPr>
          <w:rFonts w:hint="eastAsia" w:ascii="Times New Roman" w:hAnsi="Times New Roman" w:eastAsia="方正仿宋_GBK" w:cs="Times New Roman"/>
          <w:color w:val="auto"/>
          <w:kern w:val="2"/>
          <w:sz w:val="32"/>
          <w:szCs w:val="32"/>
          <w:lang w:val="zh-CN" w:eastAsia="zh-CN" w:bidi="ar-SA"/>
        </w:rPr>
        <w:t>万元，评价得分</w:t>
      </w:r>
      <w:r>
        <w:rPr>
          <w:rFonts w:hint="eastAsia" w:ascii="Times New Roman" w:hAnsi="Times New Roman" w:eastAsia="方正仿宋_GBK" w:cs="Times New Roman"/>
          <w:color w:val="auto"/>
          <w:kern w:val="2"/>
          <w:sz w:val="32"/>
          <w:szCs w:val="32"/>
          <w:lang w:val="en-US" w:eastAsia="zh-CN" w:bidi="ar-SA"/>
        </w:rPr>
        <w:t>90.48</w:t>
      </w:r>
      <w:r>
        <w:rPr>
          <w:rFonts w:hint="eastAsia" w:ascii="Times New Roman" w:hAnsi="Times New Roman" w:eastAsia="方正仿宋_GBK" w:cs="Times New Roman"/>
          <w:color w:val="auto"/>
          <w:kern w:val="2"/>
          <w:sz w:val="32"/>
          <w:szCs w:val="32"/>
          <w:lang w:val="zh-CN" w:eastAsia="zh-CN" w:bidi="ar-SA"/>
        </w:rPr>
        <w:t>分，评价等次为优；对企业军转干生活与医疗补助</w:t>
      </w:r>
      <w:r>
        <w:rPr>
          <w:rFonts w:hint="eastAsia" w:ascii="Times New Roman" w:hAnsi="Times New Roman" w:eastAsia="方正仿宋_GBK" w:cs="Times New Roman"/>
          <w:color w:val="auto"/>
          <w:kern w:val="2"/>
          <w:sz w:val="32"/>
          <w:szCs w:val="32"/>
          <w:lang w:val="en-US" w:eastAsia="zh-CN" w:bidi="ar-SA"/>
        </w:rPr>
        <w:t>项目</w:t>
      </w:r>
      <w:r>
        <w:rPr>
          <w:rFonts w:hint="eastAsia" w:ascii="Times New Roman" w:hAnsi="Times New Roman" w:eastAsia="方正仿宋_GBK" w:cs="Times New Roman"/>
          <w:color w:val="auto"/>
          <w:kern w:val="2"/>
          <w:sz w:val="32"/>
          <w:szCs w:val="32"/>
          <w:lang w:val="zh-CN" w:eastAsia="zh-CN" w:bidi="ar-SA"/>
        </w:rPr>
        <w:t>开展了绩效评价，涉及财政拨款项目资金</w:t>
      </w:r>
      <w:r>
        <w:rPr>
          <w:rFonts w:hint="eastAsia" w:ascii="Times New Roman" w:hAnsi="Times New Roman" w:eastAsia="方正仿宋_GBK" w:cs="Times New Roman"/>
          <w:color w:val="auto"/>
          <w:kern w:val="2"/>
          <w:sz w:val="32"/>
          <w:szCs w:val="32"/>
          <w:lang w:val="en-US" w:eastAsia="zh-CN" w:bidi="ar-SA"/>
        </w:rPr>
        <w:t>137</w:t>
      </w:r>
      <w:r>
        <w:rPr>
          <w:rFonts w:hint="eastAsia" w:ascii="Times New Roman" w:hAnsi="Times New Roman" w:eastAsia="方正仿宋_GBK" w:cs="Times New Roman"/>
          <w:color w:val="auto"/>
          <w:kern w:val="2"/>
          <w:sz w:val="32"/>
          <w:szCs w:val="32"/>
          <w:lang w:val="zh-CN" w:eastAsia="zh-CN" w:bidi="ar-SA"/>
        </w:rPr>
        <w:t>.</w:t>
      </w:r>
      <w:r>
        <w:rPr>
          <w:rFonts w:hint="eastAsia" w:ascii="Times New Roman" w:hAnsi="Times New Roman" w:eastAsia="方正仿宋_GBK" w:cs="Times New Roman"/>
          <w:color w:val="auto"/>
          <w:kern w:val="2"/>
          <w:sz w:val="32"/>
          <w:szCs w:val="32"/>
          <w:lang w:val="en-US" w:eastAsia="zh-CN" w:bidi="ar-SA"/>
        </w:rPr>
        <w:t>00</w:t>
      </w:r>
      <w:r>
        <w:rPr>
          <w:rFonts w:hint="eastAsia" w:ascii="Times New Roman" w:hAnsi="Times New Roman" w:eastAsia="方正仿宋_GBK" w:cs="Times New Roman"/>
          <w:color w:val="auto"/>
          <w:kern w:val="2"/>
          <w:sz w:val="32"/>
          <w:szCs w:val="32"/>
          <w:lang w:val="zh-CN" w:eastAsia="zh-CN" w:bidi="ar-SA"/>
        </w:rPr>
        <w:t>万元，评价得分</w:t>
      </w:r>
      <w:r>
        <w:rPr>
          <w:rFonts w:hint="eastAsia" w:ascii="Times New Roman" w:hAnsi="Times New Roman" w:eastAsia="方正仿宋_GBK" w:cs="Times New Roman"/>
          <w:color w:val="auto"/>
          <w:kern w:val="2"/>
          <w:sz w:val="32"/>
          <w:szCs w:val="32"/>
          <w:lang w:val="en-US" w:eastAsia="zh-CN" w:bidi="ar-SA"/>
        </w:rPr>
        <w:t>99.36</w:t>
      </w:r>
      <w:r>
        <w:rPr>
          <w:rFonts w:hint="eastAsia" w:ascii="Times New Roman" w:hAnsi="Times New Roman" w:eastAsia="方正仿宋_GBK" w:cs="Times New Roman"/>
          <w:color w:val="auto"/>
          <w:kern w:val="2"/>
          <w:sz w:val="32"/>
          <w:szCs w:val="32"/>
          <w:lang w:val="zh-CN" w:eastAsia="zh-CN" w:bidi="ar-SA"/>
        </w:rPr>
        <w:t>分，评价等次为优；对烟厂遗属生活费</w:t>
      </w:r>
      <w:r>
        <w:rPr>
          <w:rFonts w:hint="eastAsia" w:ascii="Times New Roman" w:hAnsi="Times New Roman" w:eastAsia="方正仿宋_GBK" w:cs="Times New Roman"/>
          <w:color w:val="auto"/>
          <w:kern w:val="2"/>
          <w:sz w:val="32"/>
          <w:szCs w:val="32"/>
          <w:lang w:val="en-US" w:eastAsia="zh-CN" w:bidi="ar-SA"/>
        </w:rPr>
        <w:t>项目</w:t>
      </w:r>
      <w:r>
        <w:rPr>
          <w:rFonts w:hint="eastAsia" w:ascii="Times New Roman" w:hAnsi="Times New Roman" w:eastAsia="方正仿宋_GBK" w:cs="Times New Roman"/>
          <w:color w:val="auto"/>
          <w:kern w:val="2"/>
          <w:sz w:val="32"/>
          <w:szCs w:val="32"/>
          <w:lang w:val="zh-CN" w:eastAsia="zh-CN" w:bidi="ar-SA"/>
        </w:rPr>
        <w:t>开展了绩效评价，涉及财政拨款项目资金</w:t>
      </w:r>
      <w:r>
        <w:rPr>
          <w:rFonts w:hint="eastAsia" w:ascii="Times New Roman" w:hAnsi="Times New Roman" w:eastAsia="方正仿宋_GBK" w:cs="Times New Roman"/>
          <w:color w:val="auto"/>
          <w:kern w:val="2"/>
          <w:sz w:val="32"/>
          <w:szCs w:val="32"/>
          <w:lang w:val="en-US" w:eastAsia="zh-CN" w:bidi="ar-SA"/>
        </w:rPr>
        <w:t>0.21</w:t>
      </w:r>
      <w:r>
        <w:rPr>
          <w:rFonts w:hint="eastAsia" w:ascii="Times New Roman" w:hAnsi="Times New Roman" w:eastAsia="方正仿宋_GBK" w:cs="Times New Roman"/>
          <w:color w:val="auto"/>
          <w:kern w:val="2"/>
          <w:sz w:val="32"/>
          <w:szCs w:val="32"/>
          <w:lang w:val="zh-CN" w:eastAsia="zh-CN" w:bidi="ar-SA"/>
        </w:rPr>
        <w:t>万元，评价得分</w:t>
      </w:r>
      <w:r>
        <w:rPr>
          <w:rFonts w:hint="eastAsia" w:ascii="Times New Roman" w:hAnsi="Times New Roman" w:eastAsia="方正仿宋_GBK" w:cs="Times New Roman"/>
          <w:color w:val="auto"/>
          <w:kern w:val="2"/>
          <w:sz w:val="32"/>
          <w:szCs w:val="32"/>
          <w:lang w:val="en-US" w:eastAsia="zh-CN" w:bidi="ar-SA"/>
        </w:rPr>
        <w:t>100.00</w:t>
      </w:r>
      <w:r>
        <w:rPr>
          <w:rFonts w:hint="eastAsia" w:ascii="Times New Roman" w:hAnsi="Times New Roman" w:eastAsia="方正仿宋_GBK" w:cs="Times New Roman"/>
          <w:color w:val="auto"/>
          <w:kern w:val="2"/>
          <w:sz w:val="32"/>
          <w:szCs w:val="32"/>
          <w:lang w:val="zh-CN" w:eastAsia="zh-CN" w:bidi="ar-SA"/>
        </w:rPr>
        <w:t>分，评价等次为优；对村（居）“三职”干部基本养老保险</w:t>
      </w:r>
      <w:r>
        <w:rPr>
          <w:rFonts w:hint="eastAsia" w:ascii="Times New Roman" w:hAnsi="Times New Roman" w:eastAsia="方正仿宋_GBK" w:cs="Times New Roman"/>
          <w:color w:val="auto"/>
          <w:kern w:val="2"/>
          <w:sz w:val="32"/>
          <w:szCs w:val="32"/>
          <w:lang w:val="en-US" w:eastAsia="zh-CN" w:bidi="ar-SA"/>
        </w:rPr>
        <w:t>项目</w:t>
      </w:r>
      <w:r>
        <w:rPr>
          <w:rFonts w:hint="eastAsia" w:ascii="Times New Roman" w:hAnsi="Times New Roman" w:eastAsia="方正仿宋_GBK" w:cs="Times New Roman"/>
          <w:color w:val="auto"/>
          <w:kern w:val="2"/>
          <w:sz w:val="32"/>
          <w:szCs w:val="32"/>
          <w:lang w:val="zh-CN" w:eastAsia="zh-CN" w:bidi="ar-SA"/>
        </w:rPr>
        <w:t>开展了绩效评价，涉及财政拨款项目资金</w:t>
      </w:r>
      <w:r>
        <w:rPr>
          <w:rFonts w:hint="eastAsia" w:ascii="Times New Roman" w:hAnsi="Times New Roman" w:eastAsia="方正仿宋_GBK" w:cs="Times New Roman"/>
          <w:color w:val="auto"/>
          <w:kern w:val="2"/>
          <w:sz w:val="32"/>
          <w:szCs w:val="32"/>
          <w:lang w:val="en-US" w:eastAsia="zh-CN" w:bidi="ar-SA"/>
        </w:rPr>
        <w:t>14.31</w:t>
      </w:r>
      <w:r>
        <w:rPr>
          <w:rFonts w:hint="eastAsia" w:ascii="Times New Roman" w:hAnsi="Times New Roman" w:eastAsia="方正仿宋_GBK" w:cs="Times New Roman"/>
          <w:color w:val="auto"/>
          <w:kern w:val="2"/>
          <w:sz w:val="32"/>
          <w:szCs w:val="32"/>
          <w:lang w:val="zh-CN" w:eastAsia="zh-CN" w:bidi="ar-SA"/>
        </w:rPr>
        <w:t>万元，评价得分</w:t>
      </w:r>
      <w:r>
        <w:rPr>
          <w:rFonts w:hint="eastAsia" w:ascii="Times New Roman" w:hAnsi="Times New Roman" w:eastAsia="方正仿宋_GBK" w:cs="Times New Roman"/>
          <w:color w:val="auto"/>
          <w:kern w:val="2"/>
          <w:sz w:val="32"/>
          <w:szCs w:val="32"/>
          <w:lang w:val="en-US" w:eastAsia="zh-CN" w:bidi="ar-SA"/>
        </w:rPr>
        <w:t>100.00</w:t>
      </w:r>
      <w:r>
        <w:rPr>
          <w:rFonts w:hint="eastAsia" w:ascii="Times New Roman" w:hAnsi="Times New Roman" w:eastAsia="方正仿宋_GBK" w:cs="Times New Roman"/>
          <w:color w:val="auto"/>
          <w:kern w:val="2"/>
          <w:sz w:val="32"/>
          <w:szCs w:val="32"/>
          <w:lang w:val="zh-CN" w:eastAsia="zh-CN" w:bidi="ar-SA"/>
        </w:rPr>
        <w:t>分，评价等次为优；对未参保集体企业退休人员生活补助</w:t>
      </w:r>
      <w:r>
        <w:rPr>
          <w:rFonts w:hint="eastAsia" w:ascii="Times New Roman" w:hAnsi="Times New Roman" w:eastAsia="方正仿宋_GBK" w:cs="Times New Roman"/>
          <w:color w:val="auto"/>
          <w:kern w:val="2"/>
          <w:sz w:val="32"/>
          <w:szCs w:val="32"/>
          <w:lang w:val="en-US" w:eastAsia="zh-CN" w:bidi="ar-SA"/>
        </w:rPr>
        <w:t>项目</w:t>
      </w:r>
      <w:r>
        <w:rPr>
          <w:rFonts w:hint="eastAsia" w:ascii="Times New Roman" w:hAnsi="Times New Roman" w:eastAsia="方正仿宋_GBK" w:cs="Times New Roman"/>
          <w:color w:val="auto"/>
          <w:kern w:val="2"/>
          <w:sz w:val="32"/>
          <w:szCs w:val="32"/>
          <w:lang w:val="zh-CN" w:eastAsia="zh-CN" w:bidi="ar-SA"/>
        </w:rPr>
        <w:t>开展了绩效评价，涉及财政拨款项目资金</w:t>
      </w:r>
      <w:r>
        <w:rPr>
          <w:rFonts w:hint="eastAsia" w:ascii="Times New Roman" w:hAnsi="Times New Roman" w:eastAsia="方正仿宋_GBK" w:cs="Times New Roman"/>
          <w:color w:val="auto"/>
          <w:kern w:val="2"/>
          <w:sz w:val="32"/>
          <w:szCs w:val="32"/>
          <w:lang w:val="en-US" w:eastAsia="zh-CN" w:bidi="ar-SA"/>
        </w:rPr>
        <w:t>3.88</w:t>
      </w:r>
      <w:r>
        <w:rPr>
          <w:rFonts w:hint="eastAsia" w:ascii="Times New Roman" w:hAnsi="Times New Roman" w:eastAsia="方正仿宋_GBK" w:cs="Times New Roman"/>
          <w:color w:val="auto"/>
          <w:kern w:val="2"/>
          <w:sz w:val="32"/>
          <w:szCs w:val="32"/>
          <w:lang w:val="zh-CN" w:eastAsia="zh-CN" w:bidi="ar-SA"/>
        </w:rPr>
        <w:t>万元，评价得分</w:t>
      </w:r>
      <w:r>
        <w:rPr>
          <w:rFonts w:hint="eastAsia" w:ascii="Times New Roman" w:hAnsi="Times New Roman" w:eastAsia="方正仿宋_GBK" w:cs="Times New Roman"/>
          <w:color w:val="auto"/>
          <w:kern w:val="2"/>
          <w:sz w:val="32"/>
          <w:szCs w:val="32"/>
          <w:lang w:val="en-US" w:eastAsia="zh-CN" w:bidi="ar-SA"/>
        </w:rPr>
        <w:t>94.46</w:t>
      </w:r>
      <w:r>
        <w:rPr>
          <w:rFonts w:hint="eastAsia" w:ascii="Times New Roman" w:hAnsi="Times New Roman" w:eastAsia="方正仿宋_GBK" w:cs="Times New Roman"/>
          <w:color w:val="auto"/>
          <w:kern w:val="2"/>
          <w:sz w:val="32"/>
          <w:szCs w:val="32"/>
          <w:lang w:val="zh-CN" w:eastAsia="zh-CN" w:bidi="ar-SA"/>
        </w:rPr>
        <w:t>分，评价等次为优；对职工养老保险专项补助-企业社会化管理服务工作专项补助</w:t>
      </w:r>
      <w:r>
        <w:rPr>
          <w:rFonts w:hint="eastAsia" w:ascii="Times New Roman" w:hAnsi="Times New Roman" w:eastAsia="方正仿宋_GBK" w:cs="Times New Roman"/>
          <w:color w:val="auto"/>
          <w:kern w:val="2"/>
          <w:sz w:val="32"/>
          <w:szCs w:val="32"/>
          <w:lang w:val="en-US" w:eastAsia="zh-CN" w:bidi="ar-SA"/>
        </w:rPr>
        <w:t>项目</w:t>
      </w:r>
      <w:r>
        <w:rPr>
          <w:rFonts w:hint="eastAsia" w:ascii="Times New Roman" w:hAnsi="Times New Roman" w:eastAsia="方正仿宋_GBK" w:cs="Times New Roman"/>
          <w:color w:val="auto"/>
          <w:kern w:val="2"/>
          <w:sz w:val="32"/>
          <w:szCs w:val="32"/>
          <w:lang w:val="zh-CN" w:eastAsia="zh-CN" w:bidi="ar-SA"/>
        </w:rPr>
        <w:t>开展了绩效评价，涉及财政拨款项目资金</w:t>
      </w:r>
      <w:r>
        <w:rPr>
          <w:rFonts w:hint="eastAsia" w:ascii="Times New Roman" w:hAnsi="Times New Roman" w:eastAsia="方正仿宋_GBK" w:cs="Times New Roman"/>
          <w:color w:val="auto"/>
          <w:kern w:val="2"/>
          <w:sz w:val="32"/>
          <w:szCs w:val="32"/>
          <w:lang w:val="en-US" w:eastAsia="zh-CN" w:bidi="ar-SA"/>
        </w:rPr>
        <w:t>20.00</w:t>
      </w:r>
      <w:r>
        <w:rPr>
          <w:rFonts w:hint="eastAsia" w:ascii="Times New Roman" w:hAnsi="Times New Roman" w:eastAsia="方正仿宋_GBK" w:cs="Times New Roman"/>
          <w:color w:val="auto"/>
          <w:kern w:val="2"/>
          <w:sz w:val="32"/>
          <w:szCs w:val="32"/>
          <w:lang w:val="zh-CN" w:eastAsia="zh-CN" w:bidi="ar-SA"/>
        </w:rPr>
        <w:t>万元，评价得分</w:t>
      </w:r>
      <w:r>
        <w:rPr>
          <w:rFonts w:hint="eastAsia" w:ascii="Times New Roman" w:hAnsi="Times New Roman" w:eastAsia="方正仿宋_GBK" w:cs="Times New Roman"/>
          <w:color w:val="auto"/>
          <w:kern w:val="2"/>
          <w:sz w:val="32"/>
          <w:szCs w:val="32"/>
          <w:lang w:val="en-US" w:eastAsia="zh-CN" w:bidi="ar-SA"/>
        </w:rPr>
        <w:t>85.86</w:t>
      </w:r>
      <w:r>
        <w:rPr>
          <w:rFonts w:hint="eastAsia" w:ascii="Times New Roman" w:hAnsi="Times New Roman" w:eastAsia="方正仿宋_GBK" w:cs="Times New Roman"/>
          <w:color w:val="auto"/>
          <w:kern w:val="2"/>
          <w:sz w:val="32"/>
          <w:szCs w:val="32"/>
          <w:lang w:val="zh-CN" w:eastAsia="zh-CN" w:bidi="ar-SA"/>
        </w:rPr>
        <w:t>分，评价等次为</w:t>
      </w:r>
      <w:r>
        <w:rPr>
          <w:rFonts w:hint="eastAsia" w:ascii="Times New Roman" w:hAnsi="Times New Roman" w:eastAsia="方正仿宋_GBK" w:cs="Times New Roman"/>
          <w:color w:val="auto"/>
          <w:kern w:val="2"/>
          <w:sz w:val="32"/>
          <w:szCs w:val="32"/>
          <w:lang w:val="en-US" w:eastAsia="zh-CN" w:bidi="ar-SA"/>
        </w:rPr>
        <w:t>良</w:t>
      </w:r>
      <w:r>
        <w:rPr>
          <w:rFonts w:hint="eastAsia" w:ascii="Times New Roman" w:hAnsi="Times New Roman" w:eastAsia="方正仿宋_GBK" w:cs="Times New Roman"/>
          <w:color w:val="auto"/>
          <w:kern w:val="2"/>
          <w:sz w:val="32"/>
          <w:szCs w:val="32"/>
          <w:lang w:val="zh-CN" w:eastAsia="zh-CN" w:bidi="ar-SA"/>
        </w:rPr>
        <w:t>；对企业离休人员经费</w:t>
      </w:r>
      <w:r>
        <w:rPr>
          <w:rFonts w:hint="eastAsia" w:ascii="Times New Roman" w:hAnsi="Times New Roman" w:eastAsia="方正仿宋_GBK" w:cs="Times New Roman"/>
          <w:color w:val="auto"/>
          <w:kern w:val="2"/>
          <w:sz w:val="32"/>
          <w:szCs w:val="32"/>
          <w:lang w:val="en-US" w:eastAsia="zh-CN" w:bidi="ar-SA"/>
        </w:rPr>
        <w:t>项目</w:t>
      </w:r>
      <w:r>
        <w:rPr>
          <w:rFonts w:hint="eastAsia" w:ascii="Times New Roman" w:hAnsi="Times New Roman" w:eastAsia="方正仿宋_GBK" w:cs="Times New Roman"/>
          <w:color w:val="auto"/>
          <w:kern w:val="2"/>
          <w:sz w:val="32"/>
          <w:szCs w:val="32"/>
          <w:lang w:val="zh-CN" w:eastAsia="zh-CN" w:bidi="ar-SA"/>
        </w:rPr>
        <w:t>开展了绩效评价，涉及财政拨款项目资金</w:t>
      </w:r>
      <w:r>
        <w:rPr>
          <w:rFonts w:hint="eastAsia" w:ascii="Times New Roman" w:hAnsi="Times New Roman" w:eastAsia="方正仿宋_GBK" w:cs="Times New Roman"/>
          <w:color w:val="auto"/>
          <w:kern w:val="2"/>
          <w:sz w:val="32"/>
          <w:szCs w:val="32"/>
          <w:lang w:val="en-US" w:eastAsia="zh-CN" w:bidi="ar-SA"/>
        </w:rPr>
        <w:t>14.98</w:t>
      </w:r>
      <w:r>
        <w:rPr>
          <w:rFonts w:hint="eastAsia" w:ascii="Times New Roman" w:hAnsi="Times New Roman" w:eastAsia="方正仿宋_GBK" w:cs="Times New Roman"/>
          <w:color w:val="auto"/>
          <w:kern w:val="2"/>
          <w:sz w:val="32"/>
          <w:szCs w:val="32"/>
          <w:lang w:val="zh-CN" w:eastAsia="zh-CN" w:bidi="ar-SA"/>
        </w:rPr>
        <w:t>万元，评价得分</w:t>
      </w:r>
      <w:r>
        <w:rPr>
          <w:rFonts w:hint="eastAsia" w:ascii="Times New Roman" w:hAnsi="Times New Roman" w:eastAsia="方正仿宋_GBK" w:cs="Times New Roman"/>
          <w:color w:val="auto"/>
          <w:kern w:val="2"/>
          <w:sz w:val="32"/>
          <w:szCs w:val="32"/>
          <w:lang w:val="en-US" w:eastAsia="zh-CN" w:bidi="ar-SA"/>
        </w:rPr>
        <w:t>100.00</w:t>
      </w:r>
      <w:r>
        <w:rPr>
          <w:rFonts w:hint="eastAsia" w:ascii="Times New Roman" w:hAnsi="Times New Roman" w:eastAsia="方正仿宋_GBK" w:cs="Times New Roman"/>
          <w:color w:val="auto"/>
          <w:kern w:val="2"/>
          <w:sz w:val="32"/>
          <w:szCs w:val="32"/>
          <w:lang w:val="zh-CN" w:eastAsia="zh-CN" w:bidi="ar-SA"/>
        </w:rPr>
        <w:t>分，评价等次为优；对建初人员经费</w:t>
      </w:r>
      <w:r>
        <w:rPr>
          <w:rFonts w:hint="eastAsia" w:ascii="Times New Roman" w:hAnsi="Times New Roman" w:eastAsia="方正仿宋_GBK" w:cs="Times New Roman"/>
          <w:color w:val="auto"/>
          <w:kern w:val="2"/>
          <w:sz w:val="32"/>
          <w:szCs w:val="32"/>
          <w:lang w:val="en-US" w:eastAsia="zh-CN" w:bidi="ar-SA"/>
        </w:rPr>
        <w:t>项目</w:t>
      </w:r>
      <w:r>
        <w:rPr>
          <w:rFonts w:hint="eastAsia" w:ascii="Times New Roman" w:hAnsi="Times New Roman" w:eastAsia="方正仿宋_GBK" w:cs="Times New Roman"/>
          <w:color w:val="auto"/>
          <w:kern w:val="2"/>
          <w:sz w:val="32"/>
          <w:szCs w:val="32"/>
          <w:lang w:val="zh-CN" w:eastAsia="zh-CN" w:bidi="ar-SA"/>
        </w:rPr>
        <w:t>开展了绩效评价，涉及财政拨款项目资金</w:t>
      </w:r>
      <w:r>
        <w:rPr>
          <w:rFonts w:hint="eastAsia" w:ascii="Times New Roman" w:hAnsi="Times New Roman" w:eastAsia="方正仿宋_GBK" w:cs="Times New Roman"/>
          <w:color w:val="auto"/>
          <w:kern w:val="2"/>
          <w:sz w:val="32"/>
          <w:szCs w:val="32"/>
          <w:lang w:val="en-US" w:eastAsia="zh-CN" w:bidi="ar-SA"/>
        </w:rPr>
        <w:t>14.31</w:t>
      </w:r>
      <w:r>
        <w:rPr>
          <w:rFonts w:hint="eastAsia" w:ascii="Times New Roman" w:hAnsi="Times New Roman" w:eastAsia="方正仿宋_GBK" w:cs="Times New Roman"/>
          <w:color w:val="auto"/>
          <w:kern w:val="2"/>
          <w:sz w:val="32"/>
          <w:szCs w:val="32"/>
          <w:lang w:val="zh-CN" w:eastAsia="zh-CN" w:bidi="ar-SA"/>
        </w:rPr>
        <w:t>万元，评价得分</w:t>
      </w:r>
      <w:r>
        <w:rPr>
          <w:rFonts w:hint="eastAsia" w:ascii="Times New Roman" w:hAnsi="Times New Roman" w:eastAsia="方正仿宋_GBK" w:cs="Times New Roman"/>
          <w:color w:val="auto"/>
          <w:kern w:val="2"/>
          <w:sz w:val="32"/>
          <w:szCs w:val="32"/>
          <w:lang w:val="en-US" w:eastAsia="zh-CN" w:bidi="ar-SA"/>
        </w:rPr>
        <w:t>90.00</w:t>
      </w:r>
      <w:r>
        <w:rPr>
          <w:rFonts w:hint="eastAsia" w:ascii="Times New Roman" w:hAnsi="Times New Roman" w:eastAsia="方正仿宋_GBK" w:cs="Times New Roman"/>
          <w:color w:val="auto"/>
          <w:kern w:val="2"/>
          <w:sz w:val="32"/>
          <w:szCs w:val="32"/>
          <w:lang w:val="zh-CN" w:eastAsia="zh-CN" w:bidi="ar-SA"/>
        </w:rPr>
        <w:t>分，评价等次为优；对春节走访慰问活动经费</w:t>
      </w:r>
      <w:r>
        <w:rPr>
          <w:rFonts w:hint="eastAsia" w:ascii="Times New Roman" w:hAnsi="Times New Roman" w:eastAsia="方正仿宋_GBK" w:cs="Times New Roman"/>
          <w:color w:val="auto"/>
          <w:kern w:val="2"/>
          <w:sz w:val="32"/>
          <w:szCs w:val="32"/>
          <w:lang w:val="en-US" w:eastAsia="zh-CN" w:bidi="ar-SA"/>
        </w:rPr>
        <w:t>项目</w:t>
      </w:r>
      <w:r>
        <w:rPr>
          <w:rFonts w:hint="eastAsia" w:ascii="Times New Roman" w:hAnsi="Times New Roman" w:eastAsia="方正仿宋_GBK" w:cs="Times New Roman"/>
          <w:color w:val="auto"/>
          <w:kern w:val="2"/>
          <w:sz w:val="32"/>
          <w:szCs w:val="32"/>
          <w:lang w:val="zh-CN" w:eastAsia="zh-CN" w:bidi="ar-SA"/>
        </w:rPr>
        <w:t>开展了绩效评价，涉及财政拨款项目资金</w:t>
      </w:r>
      <w:r>
        <w:rPr>
          <w:rFonts w:hint="eastAsia" w:ascii="Times New Roman" w:hAnsi="Times New Roman" w:eastAsia="方正仿宋_GBK" w:cs="Times New Roman"/>
          <w:color w:val="auto"/>
          <w:kern w:val="2"/>
          <w:sz w:val="32"/>
          <w:szCs w:val="32"/>
          <w:lang w:val="en-US" w:eastAsia="zh-CN" w:bidi="ar-SA"/>
        </w:rPr>
        <w:t>8.2</w:t>
      </w:r>
      <w:r>
        <w:rPr>
          <w:rFonts w:hint="eastAsia" w:ascii="Times New Roman" w:hAnsi="Times New Roman" w:eastAsia="方正仿宋_GBK" w:cs="Times New Roman"/>
          <w:color w:val="auto"/>
          <w:kern w:val="2"/>
          <w:sz w:val="32"/>
          <w:szCs w:val="32"/>
          <w:lang w:val="zh-CN" w:eastAsia="zh-CN" w:bidi="ar-SA"/>
        </w:rPr>
        <w:t>万元，评价得分</w:t>
      </w:r>
      <w:r>
        <w:rPr>
          <w:rFonts w:hint="eastAsia" w:ascii="Times New Roman" w:hAnsi="Times New Roman" w:eastAsia="方正仿宋_GBK" w:cs="Times New Roman"/>
          <w:color w:val="auto"/>
          <w:kern w:val="2"/>
          <w:sz w:val="32"/>
          <w:szCs w:val="32"/>
          <w:lang w:val="en-US" w:eastAsia="zh-CN" w:bidi="ar-SA"/>
        </w:rPr>
        <w:t>100.00</w:t>
      </w:r>
      <w:r>
        <w:rPr>
          <w:rFonts w:hint="eastAsia" w:ascii="Times New Roman" w:hAnsi="Times New Roman" w:eastAsia="方正仿宋_GBK" w:cs="Times New Roman"/>
          <w:color w:val="auto"/>
          <w:kern w:val="2"/>
          <w:sz w:val="32"/>
          <w:szCs w:val="32"/>
          <w:lang w:val="zh-CN" w:eastAsia="zh-CN" w:bidi="ar-SA"/>
        </w:rPr>
        <w:t>分，评价等次为优；对职工养老保险专项补助-未参保城镇集体企业所有制退休人员生活费市级补助</w:t>
      </w:r>
      <w:r>
        <w:rPr>
          <w:rFonts w:hint="eastAsia" w:ascii="Times New Roman" w:hAnsi="Times New Roman" w:eastAsia="方正仿宋_GBK" w:cs="Times New Roman"/>
          <w:color w:val="auto"/>
          <w:kern w:val="2"/>
          <w:sz w:val="32"/>
          <w:szCs w:val="32"/>
          <w:lang w:val="en-US" w:eastAsia="zh-CN" w:bidi="ar-SA"/>
        </w:rPr>
        <w:t>项目</w:t>
      </w:r>
      <w:r>
        <w:rPr>
          <w:rFonts w:hint="eastAsia" w:ascii="Times New Roman" w:hAnsi="Times New Roman" w:eastAsia="方正仿宋_GBK" w:cs="Times New Roman"/>
          <w:color w:val="auto"/>
          <w:kern w:val="2"/>
          <w:sz w:val="32"/>
          <w:szCs w:val="32"/>
          <w:lang w:val="zh-CN" w:eastAsia="zh-CN" w:bidi="ar-SA"/>
        </w:rPr>
        <w:t>开展了绩效评价，涉及财政拨款项目资金</w:t>
      </w:r>
      <w:r>
        <w:rPr>
          <w:rFonts w:hint="eastAsia" w:ascii="Times New Roman" w:hAnsi="Times New Roman" w:eastAsia="方正仿宋_GBK" w:cs="Times New Roman"/>
          <w:color w:val="auto"/>
          <w:kern w:val="2"/>
          <w:sz w:val="32"/>
          <w:szCs w:val="32"/>
          <w:lang w:val="en-US" w:eastAsia="zh-CN" w:bidi="ar-SA"/>
        </w:rPr>
        <w:t>7.00</w:t>
      </w:r>
      <w:r>
        <w:rPr>
          <w:rFonts w:hint="eastAsia" w:ascii="Times New Roman" w:hAnsi="Times New Roman" w:eastAsia="方正仿宋_GBK" w:cs="Times New Roman"/>
          <w:color w:val="auto"/>
          <w:kern w:val="2"/>
          <w:sz w:val="32"/>
          <w:szCs w:val="32"/>
          <w:lang w:val="zh-CN" w:eastAsia="zh-CN" w:bidi="ar-SA"/>
        </w:rPr>
        <w:t>万元，评价得分</w:t>
      </w:r>
      <w:r>
        <w:rPr>
          <w:rFonts w:hint="eastAsia" w:ascii="Times New Roman" w:hAnsi="Times New Roman" w:eastAsia="方正仿宋_GBK" w:cs="Times New Roman"/>
          <w:color w:val="auto"/>
          <w:kern w:val="2"/>
          <w:sz w:val="32"/>
          <w:szCs w:val="32"/>
          <w:lang w:val="en-US" w:eastAsia="zh-CN" w:bidi="ar-SA"/>
        </w:rPr>
        <w:t>94.46</w:t>
      </w:r>
      <w:r>
        <w:rPr>
          <w:rFonts w:hint="eastAsia" w:ascii="Times New Roman" w:hAnsi="Times New Roman" w:eastAsia="方正仿宋_GBK" w:cs="Times New Roman"/>
          <w:color w:val="auto"/>
          <w:kern w:val="2"/>
          <w:sz w:val="32"/>
          <w:szCs w:val="32"/>
          <w:lang w:val="zh-CN" w:eastAsia="zh-CN" w:bidi="ar-SA"/>
        </w:rPr>
        <w:t>分，评价等次为优。</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zh-CN" w:eastAsia="zh-CN" w:bidi="ar-SA"/>
        </w:rPr>
        <w:t>本</w:t>
      </w:r>
      <w:r>
        <w:rPr>
          <w:rFonts w:hint="eastAsia" w:ascii="Times New Roman" w:hAnsi="Times New Roman" w:eastAsia="方正仿宋_GBK" w:cs="Times New Roman"/>
          <w:color w:val="auto"/>
          <w:kern w:val="2"/>
          <w:sz w:val="32"/>
          <w:szCs w:val="32"/>
          <w:lang w:val="en-US" w:eastAsia="zh-CN" w:bidi="ar-SA"/>
        </w:rPr>
        <w:t>部门</w:t>
      </w:r>
      <w:r>
        <w:rPr>
          <w:rFonts w:hint="eastAsia" w:ascii="Times New Roman" w:hAnsi="Times New Roman" w:eastAsia="方正仿宋_GBK" w:cs="Times New Roman"/>
          <w:color w:val="auto"/>
          <w:kern w:val="2"/>
          <w:sz w:val="32"/>
          <w:szCs w:val="32"/>
          <w:lang w:val="zh-CN" w:eastAsia="zh-CN" w:bidi="ar-SA"/>
        </w:rPr>
        <w:t>将持续推进项目实施，充分考虑专项资金支出平均性，加强预算执行管理，根据工作开展情况合理调整支出进度。</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Times New Roman" w:hAnsi="Times New Roman" w:eastAsia="方正黑体_GBK" w:cs="Times New Roman"/>
          <w:b w:val="0"/>
          <w:bCs/>
          <w:sz w:val="32"/>
          <w:szCs w:val="32"/>
          <w:shd w:val="clear" w:color="auto" w:fill="FFFFFF"/>
        </w:rPr>
      </w:pPr>
      <w:r>
        <w:rPr>
          <w:rStyle w:val="10"/>
          <w:rFonts w:hint="eastAsia" w:ascii="Times New Roman" w:hAnsi="Times New Roman" w:eastAsia="方正黑体_GBK" w:cs="Times New Roman"/>
          <w:b w:val="0"/>
          <w:bCs/>
          <w:sz w:val="32"/>
          <w:szCs w:val="32"/>
          <w:shd w:val="clear" w:color="auto" w:fill="FFFFFF"/>
          <w:lang w:eastAsia="zh-CN"/>
        </w:rPr>
        <w:t>六</w:t>
      </w:r>
      <w:r>
        <w:rPr>
          <w:rStyle w:val="10"/>
          <w:rFonts w:hint="default" w:ascii="Times New Roman" w:hAnsi="Times New Roman" w:eastAsia="方正黑体_GBK" w:cs="Times New Roman"/>
          <w:b w:val="0"/>
          <w:bCs/>
          <w:sz w:val="32"/>
          <w:szCs w:val="32"/>
          <w:shd w:val="clear" w:color="auto" w:fill="FFFFFF"/>
        </w:rPr>
        <w:t>、专业名词解释</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楷体_GBK" w:cs="Times New Roman"/>
          <w:b/>
          <w:bCs w:val="0"/>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楷体_GBK" w:cs="Times New Roman"/>
          <w:b/>
          <w:bCs w:val="0"/>
          <w:sz w:val="32"/>
          <w:szCs w:val="32"/>
          <w:shd w:val="clear" w:color="auto" w:fill="FFFFFF"/>
        </w:rPr>
        <w:t>（二）事业收入：</w:t>
      </w:r>
      <w:r>
        <w:rPr>
          <w:rFonts w:ascii="方正仿宋_GBK" w:hAnsi="方正仿宋_GBK" w:eastAsia="方正仿宋_GBK" w:cs="方正仿宋_GBK"/>
          <w:sz w:val="32"/>
          <w:szCs w:val="32"/>
          <w:shd w:val="clear" w:color="auto" w:fill="FFFFFF"/>
        </w:rPr>
        <w:t>指事业单位开展专业业务活动及其辅助活动取得的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楷体_GBK" w:cs="Times New Roman"/>
          <w:b/>
          <w:bCs w:val="0"/>
          <w:sz w:val="32"/>
          <w:szCs w:val="32"/>
          <w:shd w:val="clear" w:color="auto" w:fill="FFFFFF"/>
        </w:rPr>
        <w:t>（三）经营收入：</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楷体_GBK" w:cs="Times New Roman"/>
          <w:b/>
          <w:bCs w:val="0"/>
          <w:sz w:val="32"/>
          <w:szCs w:val="32"/>
          <w:shd w:val="clear" w:color="auto" w:fill="FFFFFF"/>
        </w:rPr>
        <w:t>（四）其他收入：</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0"/>
          <w:rFonts w:hint="default" w:ascii="Times New Roman" w:hAnsi="Times New Roman" w:eastAsia="方正楷体_GBK" w:cs="Times New Roman"/>
          <w:b/>
          <w:bCs w:val="0"/>
          <w:sz w:val="32"/>
          <w:szCs w:val="32"/>
          <w:shd w:val="clear" w:color="auto" w:fill="FFFFFF"/>
        </w:rPr>
        <w:t>（五）使用非财政拨款结余</w:t>
      </w:r>
      <w:r>
        <w:rPr>
          <w:rStyle w:val="10"/>
          <w:rFonts w:hint="eastAsia" w:ascii="Times New Roman" w:hAnsi="Times New Roman" w:eastAsia="方正楷体_GBK" w:cs="Times New Roman"/>
          <w:b/>
          <w:bCs w:val="0"/>
          <w:sz w:val="32"/>
          <w:szCs w:val="32"/>
          <w:shd w:val="clear" w:color="auto" w:fill="FFFFFF"/>
          <w:lang w:eastAsia="zh-CN"/>
        </w:rPr>
        <w:t>（含专用结余）</w:t>
      </w:r>
      <w:r>
        <w:rPr>
          <w:rStyle w:val="10"/>
          <w:rFonts w:hint="default" w:ascii="Times New Roman" w:hAnsi="Times New Roman" w:eastAsia="方正楷体_GBK" w:cs="Times New Roman"/>
          <w:b/>
          <w:bCs w:val="0"/>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事业单位按照预算管理要求使用非财政拨款结余弥补收支差额的金额，以及使用专用结余安排支出的金额。</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楷体_GBK" w:cs="Times New Roman"/>
          <w:b/>
          <w:bCs w:val="0"/>
          <w:sz w:val="32"/>
          <w:szCs w:val="32"/>
          <w:shd w:val="clear" w:color="auto" w:fill="FFFFFF"/>
        </w:rPr>
        <w:t>（六）年初结转和结余：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楷体_GBK" w:cs="Times New Roman"/>
          <w:b/>
          <w:bCs w:val="0"/>
          <w:sz w:val="32"/>
          <w:szCs w:val="32"/>
          <w:shd w:val="clear" w:color="auto" w:fill="FFFFFF"/>
        </w:rPr>
        <w:t>（七）结余分配：</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楷体_GBK" w:cs="Times New Roman"/>
          <w:b/>
          <w:bCs w:val="0"/>
          <w:sz w:val="32"/>
          <w:szCs w:val="32"/>
          <w:shd w:val="clear" w:color="auto" w:fill="FFFFFF"/>
        </w:rPr>
        <w:t>（八）年末结转和结余：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楷体_GBK" w:cs="Times New Roman"/>
          <w:b/>
          <w:bCs w:val="0"/>
          <w:sz w:val="32"/>
          <w:szCs w:val="32"/>
          <w:shd w:val="clear" w:color="auto" w:fill="FFFFFF"/>
        </w:rPr>
        <w:t>（九）基本支出：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楷体_GBK" w:cs="Times New Roman"/>
          <w:b/>
          <w:bCs w:val="0"/>
          <w:sz w:val="32"/>
          <w:szCs w:val="32"/>
          <w:shd w:val="clear" w:color="auto" w:fill="FFFFFF"/>
        </w:rPr>
        <w:t>（十）项目支出：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楷体_GBK" w:cs="Times New Roman"/>
          <w:b/>
          <w:bCs w:val="0"/>
          <w:sz w:val="32"/>
          <w:szCs w:val="32"/>
          <w:shd w:val="clear" w:color="auto" w:fill="FFFFFF"/>
        </w:rPr>
        <w:t>（十一）经营支出：</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楷体_GBK" w:cs="Times New Roman"/>
          <w:b/>
          <w:bCs w:val="0"/>
          <w:sz w:val="32"/>
          <w:szCs w:val="32"/>
          <w:shd w:val="clear" w:color="auto" w:fill="FFFFFF"/>
        </w:rPr>
        <w:t>（十二）</w:t>
      </w:r>
      <w:r>
        <w:rPr>
          <w:rStyle w:val="10"/>
          <w:rFonts w:hint="eastAsia" w:ascii="Times New Roman" w:hAnsi="Times New Roman" w:eastAsia="方正楷体_GBK" w:cs="Times New Roman"/>
          <w:b/>
          <w:bCs w:val="0"/>
          <w:sz w:val="32"/>
          <w:szCs w:val="32"/>
          <w:shd w:val="clear" w:color="auto" w:fill="FFFFFF"/>
          <w:lang w:eastAsia="zh-CN"/>
        </w:rPr>
        <w:t>“</w:t>
      </w:r>
      <w:r>
        <w:rPr>
          <w:rStyle w:val="10"/>
          <w:rFonts w:hint="default" w:ascii="Times New Roman" w:hAnsi="Times New Roman" w:eastAsia="方正楷体_GBK" w:cs="Times New Roman"/>
          <w:b/>
          <w:bCs w:val="0"/>
          <w:sz w:val="32"/>
          <w:szCs w:val="32"/>
          <w:shd w:val="clear" w:color="auto" w:fill="FFFFFF"/>
        </w:rPr>
        <w:t>三公</w:t>
      </w:r>
      <w:r>
        <w:rPr>
          <w:rStyle w:val="10"/>
          <w:rFonts w:hint="eastAsia" w:ascii="Times New Roman" w:hAnsi="Times New Roman" w:eastAsia="方正楷体_GBK" w:cs="Times New Roman"/>
          <w:b/>
          <w:bCs w:val="0"/>
          <w:sz w:val="32"/>
          <w:szCs w:val="32"/>
          <w:shd w:val="clear" w:color="auto" w:fill="FFFFFF"/>
          <w:lang w:eastAsia="zh-CN"/>
        </w:rPr>
        <w:t>”</w:t>
      </w:r>
      <w:r>
        <w:rPr>
          <w:rStyle w:val="10"/>
          <w:rFonts w:hint="default" w:ascii="Times New Roman" w:hAnsi="Times New Roman" w:eastAsia="方正楷体_GBK" w:cs="Times New Roman"/>
          <w:b/>
          <w:bCs w:val="0"/>
          <w:sz w:val="32"/>
          <w:szCs w:val="32"/>
          <w:shd w:val="clear" w:color="auto" w:fill="FFFFFF"/>
        </w:rPr>
        <w:t>经费：</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楷体_GBK" w:cs="Times New Roman"/>
          <w:b/>
          <w:bCs w:val="0"/>
          <w:sz w:val="32"/>
          <w:szCs w:val="32"/>
          <w:shd w:val="clear" w:color="auto" w:fill="FFFFFF"/>
        </w:rPr>
        <w:t>（十三）机关运行经费：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楷体_GBK" w:cs="Times New Roman"/>
          <w:b/>
          <w:bCs w:val="0"/>
          <w:sz w:val="32"/>
          <w:szCs w:val="32"/>
          <w:shd w:val="clear" w:color="auto" w:fill="FFFFFF"/>
        </w:rPr>
        <w:t>（十四）工资福利支出（支出经济分类科目类级）：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楷体_GBK" w:cs="Times New Roman"/>
          <w:b/>
          <w:bCs w:val="0"/>
          <w:sz w:val="32"/>
          <w:szCs w:val="32"/>
          <w:shd w:val="clear" w:color="auto" w:fill="FFFFFF"/>
        </w:rPr>
        <w:t>（十五）商品和服务支出（支出经济分类科目类级）：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楷体_GBK" w:cs="Times New Roman"/>
          <w:b/>
          <w:bCs w:val="0"/>
          <w:sz w:val="32"/>
          <w:szCs w:val="32"/>
          <w:shd w:val="clear" w:color="auto" w:fill="FFFFFF"/>
        </w:rPr>
        <w:t>（十六）对个人和家庭的补助（支出经济分类科目类级）：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hint="default" w:ascii="Times New Roman" w:hAnsi="Times New Roman" w:eastAsia="方正楷体_GBK" w:cs="Times New Roman"/>
          <w:b/>
          <w:bCs w:val="0"/>
          <w:sz w:val="32"/>
          <w:szCs w:val="32"/>
          <w:shd w:val="clear" w:color="auto" w:fill="FFFFFF"/>
        </w:rPr>
        <w:t>（十七）其他资本性支出（支出经济分类科目类级）：</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Style w:val="10"/>
          <w:rFonts w:hint="default"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lang w:eastAsia="zh-CN"/>
        </w:rPr>
        <w:t>七</w:t>
      </w:r>
      <w:r>
        <w:rPr>
          <w:rStyle w:val="10"/>
          <w:rFonts w:ascii="黑体" w:hAnsi="黑体" w:eastAsia="黑体" w:cs="黑体"/>
          <w:sz w:val="32"/>
          <w:szCs w:val="32"/>
          <w:shd w:val="clear" w:color="auto" w:fill="FFFFFF"/>
        </w:rPr>
        <w:t>、决算公开联系方式及信息反馈渠道</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本部门决算公开信息反馈和联系方式：</w:t>
      </w:r>
      <w:r>
        <w:rPr>
          <w:rFonts w:hint="eastAsia" w:ascii="方正仿宋_GBK" w:hAnsi="方正仿宋_GBK" w:eastAsia="方正仿宋_GBK" w:cs="方正仿宋_GBK"/>
          <w:sz w:val="32"/>
          <w:szCs w:val="32"/>
          <w:shd w:val="clear" w:color="auto" w:fill="FFFFFF"/>
          <w:lang w:val="en-US" w:eastAsia="zh-CN"/>
        </w:rPr>
        <w:t>黄婉琳</w:t>
      </w:r>
      <w:r>
        <w:rPr>
          <w:rFonts w:hint="eastAsia" w:ascii="Times New Roman" w:hAnsi="Times New Roman" w:eastAsia="方正仿宋_GBK" w:cs="方正仿宋_GBK"/>
          <w:sz w:val="32"/>
          <w:szCs w:val="32"/>
          <w:shd w:val="clear" w:color="auto" w:fill="FFFFFF"/>
          <w:lang w:val="en-US" w:eastAsia="zh-CN"/>
        </w:rPr>
        <w:t>023</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76662772</w:t>
      </w:r>
    </w:p>
    <w:p>
      <w:pPr>
        <w:pStyle w:val="13"/>
        <w:keepNext w:val="0"/>
        <w:keepLines w:val="0"/>
        <w:pageBreakBefore w:val="0"/>
        <w:kinsoku/>
        <w:overflowPunct/>
        <w:topLinePunct w:val="0"/>
        <w:autoSpaceDE w:val="0"/>
        <w:autoSpaceDN/>
        <w:bidi w:val="0"/>
        <w:adjustRightInd/>
        <w:spacing w:beforeAutospacing="0" w:afterAutospacing="0" w:line="560" w:lineRule="exact"/>
        <w:ind w:firstLine="640"/>
        <w:jc w:val="both"/>
        <w:rPr>
          <w:rStyle w:val="10"/>
          <w:rFonts w:ascii="方正仿宋_GBK" w:hAnsi="方正仿宋_GBK" w:eastAsia="方正仿宋_GBK" w:cs="方正仿宋_GBK"/>
          <w:sz w:val="32"/>
          <w:szCs w:val="32"/>
          <w:shd w:val="clear" w:color="auto" w:fill="FFFF00"/>
        </w:rPr>
        <w:sectPr>
          <w:footerReference r:id="rId5" w:type="default"/>
          <w:pgSz w:w="11915" w:h="16840"/>
          <w:pgMar w:top="1440" w:right="1800" w:bottom="1440" w:left="1800" w:header="851" w:footer="992" w:gutter="0"/>
          <w:pgNumType w:fmt="numberInDash"/>
          <w:cols w:space="720" w:num="1"/>
          <w:docGrid w:type="lines" w:linePitch="312" w:charSpace="0"/>
        </w:sectPr>
      </w:pPr>
    </w:p>
    <w:tbl>
      <w:tblPr>
        <w:tblStyle w:val="11"/>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ascii="Arial" w:hAnsi="Arial" w:cs="Arial"/>
                <w:color w:val="000000"/>
                <w:sz w:val="22"/>
                <w:szCs w:val="22"/>
              </w:rPr>
            </w:pPr>
            <w:r>
              <w:rPr>
                <w:rFonts w:cs="宋体"/>
                <w:sz w:val="20"/>
                <w:szCs w:val="20"/>
              </w:rPr>
              <w:t>部门：</w:t>
            </w:r>
            <w:r>
              <w:rPr>
                <w:sz w:val="20"/>
                <w:u w:color="auto"/>
              </w:rPr>
              <w:t>秀山土家族苗族自治县社会保险事务中心</w:t>
            </w:r>
          </w:p>
        </w:tc>
        <w:tc>
          <w:tcPr>
            <w:tcW w:w="404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2,405.82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2,339.32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2,430.81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2,433.07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2,433.07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2,433.07</w:t>
            </w:r>
            <w:r>
              <w:rPr>
                <w:rFonts w:ascii="Times New Roman" w:hAnsi="Times New Roman"/>
                <w:color w:val="000000"/>
                <w:sz w:val="20"/>
                <w:u w:color="auto"/>
              </w:rPr>
              <w:t xml:space="preserve"> </w:t>
            </w:r>
          </w:p>
        </w:tc>
      </w:tr>
    </w:tbl>
    <w:p>
      <w:pPr>
        <w:keepNext w:val="0"/>
        <w:keepLines w:val="0"/>
        <w:pageBreakBefore w:val="0"/>
        <w:kinsoku/>
        <w:overflowPunct/>
        <w:topLinePunct w:val="0"/>
        <w:autoSpaceDN/>
        <w:bidi w:val="0"/>
        <w:adjustRightInd/>
        <w:spacing w:beforeAutospacing="0" w:afterAutospacing="0" w:line="560" w:lineRule="exact"/>
        <w:rPr>
          <w:rFonts w:hint="default" w:cs="宋体"/>
          <w:sz w:val="21"/>
          <w:szCs w:val="21"/>
        </w:rPr>
      </w:pPr>
    </w:p>
    <w:p>
      <w:pPr>
        <w:keepNext w:val="0"/>
        <w:keepLines w:val="0"/>
        <w:pageBreakBefore w:val="0"/>
        <w:kinsoku/>
        <w:overflowPunct/>
        <w:topLinePunct w:val="0"/>
        <w:autoSpaceDN/>
        <w:bidi w:val="0"/>
        <w:adjustRightInd/>
        <w:spacing w:beforeAutospacing="0" w:afterAutospacing="0" w:line="56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1"/>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r>
              <w:rPr>
                <w:rFonts w:cs="宋体"/>
                <w:sz w:val="20"/>
                <w:szCs w:val="20"/>
              </w:rPr>
              <w:t>部门：</w:t>
            </w:r>
            <w:r>
              <w:rPr>
                <w:sz w:val="20"/>
                <w:u w:color="auto"/>
              </w:rPr>
              <w:t>秀山土家族苗族自治县社会保险事务中心</w:t>
            </w:r>
          </w:p>
        </w:tc>
        <w:tc>
          <w:tcPr>
            <w:tcW w:w="140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40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2,430.81</w:t>
            </w:r>
            <w:r>
              <w:rPr>
                <w:rFonts w:ascii="Times New Roman" w:hAnsi="Times New Roman"/>
                <w:b/>
                <w:color w:val="000000"/>
                <w:sz w:val="20"/>
                <w:u w:color="auto"/>
              </w:rPr>
              <w:t xml:space="preserve"> </w:t>
            </w:r>
          </w:p>
        </w:tc>
        <w:tc>
          <w:tcPr>
            <w:tcW w:w="14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2,405.82</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24.99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20132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组织事务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2013204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公务员事务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2,337.06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2,312.07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20801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人力资源和社会保障管理事务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686.33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661.34</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2080102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2080109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社会保险经办机构</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637.76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612.77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1,522.56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1,522.56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2080501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行政单位离退休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57.91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57.91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1,444.50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1,444.50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2080599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其他行政事业单位养老支出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20809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退役安置</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128.17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128.17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2080905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军队转业干部安置</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128.17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128.17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43.64</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43.64</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43.64</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43.64</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2101101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2101199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其他行政事业单位医疗支出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kinsoku/>
        <w:overflowPunct/>
        <w:topLinePunct w:val="0"/>
        <w:autoSpaceDN/>
        <w:bidi w:val="0"/>
        <w:adjustRightInd/>
        <w:spacing w:beforeAutospacing="0" w:afterAutospacing="0" w:line="560" w:lineRule="exact"/>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tbl>
      <w:tblPr>
        <w:tblStyle w:val="11"/>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秀山土家族苗族自治县社会保险事务中心 </w:t>
            </w:r>
          </w:p>
        </w:tc>
        <w:tc>
          <w:tcPr>
            <w:tcW w:w="171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2,433.07</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2,186.89</w:t>
            </w:r>
            <w:r>
              <w:rPr>
                <w:rFonts w:ascii="Times New Roman" w:hAnsi="Times New Roman"/>
                <w:b/>
                <w:color w:val="000000"/>
                <w:sz w:val="20"/>
                <w:u w:color="auto"/>
              </w:rPr>
              <w:t xml:space="preserve"> </w:t>
            </w:r>
          </w:p>
        </w:tc>
        <w:tc>
          <w:tcPr>
            <w:tcW w:w="16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246.18</w:t>
            </w:r>
            <w:r>
              <w:rPr>
                <w:rFonts w:ascii="Times New Roman" w:hAnsi="Times New Roman"/>
                <w:b/>
                <w:color w:val="000000"/>
                <w:sz w:val="20"/>
                <w:u w:color="auto"/>
              </w:rPr>
              <w:t xml:space="preserve"> </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20132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组织事务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2013204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公务员事务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2,339.32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2,093.14</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246.18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20801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人力资源和社会保障管理事务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686.33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570.58</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115.75</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2080102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48.57</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2080109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社会保险经办机构</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637.76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570.58</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67.18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1,522.56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1,522.56</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2080501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行政单位离退休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57.91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57.91</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1,444.50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1,444.50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2080599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其他行政事业单位养老支出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17.63</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20807</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就业补助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2080705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公益性岗位补贴</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20809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退役安置</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128.17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128.17</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2080905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军队转业干部安置</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128.17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128.17</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43.64</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43.64</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43.64</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43.64</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2101101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行政单位医疗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2101199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其他行政事业单位医疗支出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7.44</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49.21</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kinsoku/>
        <w:overflowPunct/>
        <w:topLinePunct w:val="0"/>
        <w:autoSpaceDN/>
        <w:bidi w:val="0"/>
        <w:adjustRightInd/>
        <w:spacing w:beforeAutospacing="0" w:afterAutospacing="0" w:line="560" w:lineRule="exact"/>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kinsoku/>
        <w:overflowPunct/>
        <w:topLinePunct w:val="0"/>
        <w:autoSpaceDN/>
        <w:bidi w:val="0"/>
        <w:adjustRightInd/>
        <w:spacing w:beforeAutospacing="0" w:afterAutospacing="0" w:line="560" w:lineRule="exact"/>
        <w:rPr>
          <w:rFonts w:hint="default" w:cs="宋体"/>
          <w:sz w:val="21"/>
          <w:szCs w:val="21"/>
        </w:rPr>
      </w:pPr>
      <w:r>
        <w:rPr>
          <w:rFonts w:cs="宋体"/>
          <w:sz w:val="21"/>
          <w:szCs w:val="21"/>
        </w:rPr>
        <w:br w:type="page"/>
      </w:r>
    </w:p>
    <w:p>
      <w:pPr>
        <w:keepNext w:val="0"/>
        <w:keepLines w:val="0"/>
        <w:pageBreakBefore w:val="0"/>
        <w:kinsoku/>
        <w:overflowPunct/>
        <w:topLinePunct w:val="0"/>
        <w:autoSpaceDN/>
        <w:bidi w:val="0"/>
        <w:adjustRightInd/>
        <w:spacing w:beforeAutospacing="0" w:afterAutospacing="0" w:line="560" w:lineRule="exact"/>
        <w:rPr>
          <w:rFonts w:hint="default" w:cs="宋体"/>
          <w:sz w:val="21"/>
          <w:szCs w:val="21"/>
        </w:rPr>
      </w:pPr>
    </w:p>
    <w:tbl>
      <w:tblPr>
        <w:tblStyle w:val="11"/>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秀山土家族苗族自治县社会保险事务中心</w:t>
            </w: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2,405.82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2,312.07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2,312.07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43.64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43.64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49.21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49.21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2,405.82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2,405.82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2,405.82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2,405.82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2,405.82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2,405.82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keepNext w:val="0"/>
        <w:keepLines w:val="0"/>
        <w:pageBreakBefore w:val="0"/>
        <w:kinsoku/>
        <w:overflowPunct/>
        <w:topLinePunct w:val="0"/>
        <w:autoSpaceDN/>
        <w:bidi w:val="0"/>
        <w:adjustRightInd/>
        <w:spacing w:beforeAutospacing="0" w:afterAutospacing="0" w:line="56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秀山土家族苗族自治县社会保险事务中心</w:t>
            </w:r>
          </w:p>
        </w:tc>
        <w:tc>
          <w:tcPr>
            <w:tcW w:w="33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2,405.82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2,161.90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243.92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20132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2013204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公务员事务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2,312.07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2,068.15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243.92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20801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661.34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545.59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115.75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2080102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48.57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48.57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2080109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社会保险经办机构</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612.77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545.59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67.18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1,522.56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1,522.56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2080501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57.91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57.91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1,444.50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1,444.50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20809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退役安置</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128.17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128.17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2080905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军队转业干部安置</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128.17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128.17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43.64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43.64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43.64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43.64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36.20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36.20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49.21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49.21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49.21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49.21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49.21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49.21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kinsoku/>
        <w:overflowPunct/>
        <w:topLinePunct w:val="0"/>
        <w:autoSpaceDN/>
        <w:bidi w:val="0"/>
        <w:adjustRightInd/>
        <w:spacing w:beforeAutospacing="0" w:afterAutospacing="0" w:line="560" w:lineRule="exact"/>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kinsoku/>
        <w:overflowPunct/>
        <w:topLinePunct w:val="0"/>
        <w:autoSpaceDN/>
        <w:bidi w:val="0"/>
        <w:adjustRightInd/>
        <w:spacing w:beforeAutospacing="0" w:afterAutospacing="0" w:line="560" w:lineRule="exact"/>
        <w:ind w:firstLine="630" w:firstLineChars="300"/>
        <w:rPr>
          <w:rFonts w:hint="default" w:cs="宋体"/>
          <w:sz w:val="21"/>
          <w:szCs w:val="21"/>
        </w:rPr>
      </w:pPr>
      <w:r>
        <w:rPr>
          <w:rFonts w:cs="宋体"/>
          <w:sz w:val="21"/>
          <w:szCs w:val="21"/>
        </w:rPr>
        <w:br w:type="page"/>
      </w:r>
    </w:p>
    <w:tbl>
      <w:tblPr>
        <w:tblStyle w:val="11"/>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秀山土家族苗族自治县社会保险事务中心</w:t>
            </w:r>
          </w:p>
        </w:tc>
        <w:tc>
          <w:tcPr>
            <w:tcW w:w="165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2,046.82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90.39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0.36</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139.80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116.90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0.36</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165.58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57.91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1,444.50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36.20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49.21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val="0"/>
              <w:overflowPunct/>
              <w:topLinePunct w:val="0"/>
              <w:autoSpaceDN/>
              <w:bidi w:val="0"/>
              <w:adjustRightInd/>
              <w:spacing w:beforeAutospacing="0" w:afterAutospacing="0" w:line="56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2,071.15</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90.75</w:t>
            </w:r>
            <w:r>
              <w:rPr>
                <w:rFonts w:ascii="Times New Roman" w:hAnsi="Times New Roman"/>
                <w:color w:val="000000"/>
                <w:sz w:val="18"/>
                <w:u w:color="auto"/>
              </w:rPr>
              <w:t xml:space="preserve"> </w:t>
            </w:r>
          </w:p>
        </w:tc>
      </w:tr>
    </w:tbl>
    <w:p>
      <w:pPr>
        <w:keepNext w:val="0"/>
        <w:keepLines w:val="0"/>
        <w:pageBreakBefore w:val="0"/>
        <w:kinsoku/>
        <w:overflowPunct/>
        <w:topLinePunct w:val="0"/>
        <w:autoSpaceDN/>
        <w:bidi w:val="0"/>
        <w:adjustRightInd/>
        <w:spacing w:beforeAutospacing="0" w:afterAutospacing="0" w:line="56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秀山土家族苗族自治县社会保险事务中心</w:t>
            </w: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kinsoku/>
        <w:overflowPunct/>
        <w:topLinePunct w:val="0"/>
        <w:autoSpaceDN/>
        <w:bidi w:val="0"/>
        <w:adjustRightInd/>
        <w:spacing w:beforeAutospacing="0" w:afterAutospacing="0" w:line="560" w:lineRule="exact"/>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keepNext w:val="0"/>
        <w:keepLines w:val="0"/>
        <w:pageBreakBefore w:val="0"/>
        <w:kinsoku/>
        <w:overflowPunct/>
        <w:topLinePunct w:val="0"/>
        <w:autoSpaceDN/>
        <w:bidi w:val="0"/>
        <w:adjustRightInd/>
        <w:spacing w:beforeAutospacing="0" w:afterAutospacing="0" w:line="560" w:lineRule="exact"/>
        <w:rPr>
          <w:rFonts w:hint="default" w:cs="宋体"/>
          <w:sz w:val="21"/>
          <w:szCs w:val="21"/>
        </w:rPr>
      </w:pP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秀山土家族苗族自治县社会保险事务中心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keepNext w:val="0"/>
        <w:keepLines w:val="0"/>
        <w:pageBreakBefore w:val="0"/>
        <w:kinsoku/>
        <w:overflowPunct/>
        <w:topLinePunct w:val="0"/>
        <w:autoSpaceDN/>
        <w:bidi w:val="0"/>
        <w:adjustRightInd/>
        <w:spacing w:beforeAutospacing="0" w:afterAutospacing="0" w:line="560" w:lineRule="exact"/>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keepNext w:val="0"/>
        <w:keepLines w:val="0"/>
        <w:pageBreakBefore w:val="0"/>
        <w:kinsoku/>
        <w:overflowPunct/>
        <w:topLinePunct w:val="0"/>
        <w:autoSpaceDN/>
        <w:bidi w:val="0"/>
        <w:adjustRightInd/>
        <w:spacing w:beforeAutospacing="0" w:afterAutospacing="0" w:line="560" w:lineRule="exact"/>
        <w:rPr>
          <w:rFonts w:hint="default" w:cs="宋体"/>
          <w:sz w:val="21"/>
          <w:szCs w:val="21"/>
        </w:rPr>
      </w:pPr>
      <w:r>
        <w:rPr>
          <w:rFonts w:hint="default" w:cs="宋体"/>
          <w:sz w:val="21"/>
          <w:szCs w:val="21"/>
        </w:rPr>
        <w:br w:type="page"/>
      </w:r>
    </w:p>
    <w:tbl>
      <w:tblPr>
        <w:tblStyle w:val="11"/>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u w:color="auto"/>
              </w:rPr>
              <w:t>秀山土家族苗族自治县社会保险事务中心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90.75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3.27</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90.75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3.13</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3.13</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0.14</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4.75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rPr>
                <w:rFonts w:hint="default" w:cs="宋体"/>
                <w:color w:val="000000"/>
                <w:sz w:val="16"/>
                <w:szCs w:val="16"/>
              </w:rPr>
            </w:pPr>
          </w:p>
        </w:tc>
      </w:tr>
    </w:tbl>
    <w:p>
      <w:pPr>
        <w:keepNext w:val="0"/>
        <w:keepLines w:val="0"/>
        <w:pageBreakBefore w:val="0"/>
        <w:kinsoku/>
        <w:overflowPunct/>
        <w:topLinePunct w:val="0"/>
        <w:autoSpaceDN/>
        <w:bidi w:val="0"/>
        <w:adjustRightInd/>
        <w:spacing w:beforeAutospacing="0" w:afterAutospacing="0" w:line="560" w:lineRule="exact"/>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6" w:type="default"/>
      <w:footerReference r:id="rId7"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B87EA0"/>
    <w:rsid w:val="03E3214F"/>
    <w:rsid w:val="03F44911"/>
    <w:rsid w:val="044C50BA"/>
    <w:rsid w:val="057B5CDC"/>
    <w:rsid w:val="05BC6D49"/>
    <w:rsid w:val="06194FF1"/>
    <w:rsid w:val="06A2550B"/>
    <w:rsid w:val="06CB1AE8"/>
    <w:rsid w:val="06F80EE2"/>
    <w:rsid w:val="07001CCA"/>
    <w:rsid w:val="075678DB"/>
    <w:rsid w:val="076F25AB"/>
    <w:rsid w:val="079D7CC7"/>
    <w:rsid w:val="08051BCA"/>
    <w:rsid w:val="086C12F4"/>
    <w:rsid w:val="087B3940"/>
    <w:rsid w:val="08BA052C"/>
    <w:rsid w:val="08DB07BA"/>
    <w:rsid w:val="0969353F"/>
    <w:rsid w:val="098305D0"/>
    <w:rsid w:val="098A0877"/>
    <w:rsid w:val="0A5C4B69"/>
    <w:rsid w:val="0A86124A"/>
    <w:rsid w:val="0AB54CC0"/>
    <w:rsid w:val="0AEF04B6"/>
    <w:rsid w:val="0AF57F3A"/>
    <w:rsid w:val="0B9335CE"/>
    <w:rsid w:val="0C7927C4"/>
    <w:rsid w:val="0C9B098C"/>
    <w:rsid w:val="0D673E11"/>
    <w:rsid w:val="0D706778"/>
    <w:rsid w:val="0DBC79D2"/>
    <w:rsid w:val="0DDA54E4"/>
    <w:rsid w:val="0E3A5F83"/>
    <w:rsid w:val="0E74421A"/>
    <w:rsid w:val="0EA46639"/>
    <w:rsid w:val="0EC6180C"/>
    <w:rsid w:val="0F497FB6"/>
    <w:rsid w:val="0F836721"/>
    <w:rsid w:val="0FA25D96"/>
    <w:rsid w:val="107B59E5"/>
    <w:rsid w:val="10CF106D"/>
    <w:rsid w:val="10EC0126"/>
    <w:rsid w:val="10F70B9A"/>
    <w:rsid w:val="111445C7"/>
    <w:rsid w:val="114278C6"/>
    <w:rsid w:val="1158083A"/>
    <w:rsid w:val="11643A4B"/>
    <w:rsid w:val="11ED0F98"/>
    <w:rsid w:val="11F03528"/>
    <w:rsid w:val="12C921C4"/>
    <w:rsid w:val="12F52ECF"/>
    <w:rsid w:val="13871C70"/>
    <w:rsid w:val="139D5716"/>
    <w:rsid w:val="13A71CB4"/>
    <w:rsid w:val="13AA340B"/>
    <w:rsid w:val="13AF1D43"/>
    <w:rsid w:val="13CE1647"/>
    <w:rsid w:val="13D7546B"/>
    <w:rsid w:val="13DA0C25"/>
    <w:rsid w:val="13FD55AB"/>
    <w:rsid w:val="14200702"/>
    <w:rsid w:val="14907817"/>
    <w:rsid w:val="158D0C6B"/>
    <w:rsid w:val="15BA1A73"/>
    <w:rsid w:val="163A6CEE"/>
    <w:rsid w:val="16471A83"/>
    <w:rsid w:val="173708E3"/>
    <w:rsid w:val="174C19C7"/>
    <w:rsid w:val="17C374FC"/>
    <w:rsid w:val="188370B0"/>
    <w:rsid w:val="189079DC"/>
    <w:rsid w:val="189B0D0B"/>
    <w:rsid w:val="18B43F7C"/>
    <w:rsid w:val="192813E7"/>
    <w:rsid w:val="194A1770"/>
    <w:rsid w:val="19B906A4"/>
    <w:rsid w:val="1A707D5A"/>
    <w:rsid w:val="1B4D015E"/>
    <w:rsid w:val="1B6F15B6"/>
    <w:rsid w:val="1BAA2EDC"/>
    <w:rsid w:val="1C5C0973"/>
    <w:rsid w:val="1CA55E64"/>
    <w:rsid w:val="1CF57E71"/>
    <w:rsid w:val="1D014A01"/>
    <w:rsid w:val="1D022362"/>
    <w:rsid w:val="1D1B04B0"/>
    <w:rsid w:val="1D6534C4"/>
    <w:rsid w:val="1DBD6767"/>
    <w:rsid w:val="1DC52125"/>
    <w:rsid w:val="1DD26311"/>
    <w:rsid w:val="1E374ACB"/>
    <w:rsid w:val="1E5E27E3"/>
    <w:rsid w:val="1EA33588"/>
    <w:rsid w:val="1ECF0A66"/>
    <w:rsid w:val="1EF67CA4"/>
    <w:rsid w:val="1F020D3A"/>
    <w:rsid w:val="1F2C5189"/>
    <w:rsid w:val="1F4B0B02"/>
    <w:rsid w:val="1FBB35CD"/>
    <w:rsid w:val="1FCD26AF"/>
    <w:rsid w:val="20642787"/>
    <w:rsid w:val="21556F04"/>
    <w:rsid w:val="217452DE"/>
    <w:rsid w:val="21DD24C8"/>
    <w:rsid w:val="22403BD3"/>
    <w:rsid w:val="23DA37D9"/>
    <w:rsid w:val="24B92327"/>
    <w:rsid w:val="24C14514"/>
    <w:rsid w:val="2533755C"/>
    <w:rsid w:val="25791755"/>
    <w:rsid w:val="26056444"/>
    <w:rsid w:val="26396DF4"/>
    <w:rsid w:val="27167136"/>
    <w:rsid w:val="27B23302"/>
    <w:rsid w:val="29310A5F"/>
    <w:rsid w:val="29C37A35"/>
    <w:rsid w:val="2A076083"/>
    <w:rsid w:val="2A73162E"/>
    <w:rsid w:val="2AF41828"/>
    <w:rsid w:val="2B167953"/>
    <w:rsid w:val="2B200583"/>
    <w:rsid w:val="2B220436"/>
    <w:rsid w:val="2B7D5323"/>
    <w:rsid w:val="2B8209DE"/>
    <w:rsid w:val="2C6762A3"/>
    <w:rsid w:val="2EBF7B3E"/>
    <w:rsid w:val="2EDE1934"/>
    <w:rsid w:val="2F3107D8"/>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4AE20CD"/>
    <w:rsid w:val="34D92688"/>
    <w:rsid w:val="352930DB"/>
    <w:rsid w:val="35573069"/>
    <w:rsid w:val="355F6038"/>
    <w:rsid w:val="35693586"/>
    <w:rsid w:val="358C217E"/>
    <w:rsid w:val="35937598"/>
    <w:rsid w:val="36C9128A"/>
    <w:rsid w:val="372E3953"/>
    <w:rsid w:val="37841E99"/>
    <w:rsid w:val="37BF1123"/>
    <w:rsid w:val="37F06B05"/>
    <w:rsid w:val="383C3F15"/>
    <w:rsid w:val="38BE4696"/>
    <w:rsid w:val="3929725D"/>
    <w:rsid w:val="3939115E"/>
    <w:rsid w:val="39B82A39"/>
    <w:rsid w:val="39C42CA8"/>
    <w:rsid w:val="39DC4FD6"/>
    <w:rsid w:val="39F03D7A"/>
    <w:rsid w:val="39F33306"/>
    <w:rsid w:val="3A2C1C67"/>
    <w:rsid w:val="3B1705E5"/>
    <w:rsid w:val="3B18334B"/>
    <w:rsid w:val="3B36794F"/>
    <w:rsid w:val="3BDD3052"/>
    <w:rsid w:val="3C566AD6"/>
    <w:rsid w:val="3C6A5B02"/>
    <w:rsid w:val="3C833C59"/>
    <w:rsid w:val="3CD45FD0"/>
    <w:rsid w:val="3D2757A1"/>
    <w:rsid w:val="3D3D4FC4"/>
    <w:rsid w:val="3D520751"/>
    <w:rsid w:val="3DDF3AB1"/>
    <w:rsid w:val="3E1D0952"/>
    <w:rsid w:val="3E42660A"/>
    <w:rsid w:val="3E641C6B"/>
    <w:rsid w:val="3E7555B1"/>
    <w:rsid w:val="3E787ED9"/>
    <w:rsid w:val="3EEC37F3"/>
    <w:rsid w:val="3F032E93"/>
    <w:rsid w:val="3F0527E5"/>
    <w:rsid w:val="3F4814B0"/>
    <w:rsid w:val="3F5E5D98"/>
    <w:rsid w:val="3F616936"/>
    <w:rsid w:val="3F694D83"/>
    <w:rsid w:val="3F885DCC"/>
    <w:rsid w:val="3FCD675E"/>
    <w:rsid w:val="3FD86860"/>
    <w:rsid w:val="4004000C"/>
    <w:rsid w:val="407C341C"/>
    <w:rsid w:val="40D54604"/>
    <w:rsid w:val="40F16DC2"/>
    <w:rsid w:val="411B6CE5"/>
    <w:rsid w:val="412070D7"/>
    <w:rsid w:val="41314E40"/>
    <w:rsid w:val="41E0734B"/>
    <w:rsid w:val="426554D0"/>
    <w:rsid w:val="426C1EA8"/>
    <w:rsid w:val="42736402"/>
    <w:rsid w:val="42DB4DB1"/>
    <w:rsid w:val="42E86A87"/>
    <w:rsid w:val="43307B09"/>
    <w:rsid w:val="43470647"/>
    <w:rsid w:val="438D0E97"/>
    <w:rsid w:val="43BB152F"/>
    <w:rsid w:val="44253D6C"/>
    <w:rsid w:val="44494994"/>
    <w:rsid w:val="44B96DCF"/>
    <w:rsid w:val="44C37687"/>
    <w:rsid w:val="45CB699A"/>
    <w:rsid w:val="465B470D"/>
    <w:rsid w:val="46986826"/>
    <w:rsid w:val="469D6AD4"/>
    <w:rsid w:val="46C3742D"/>
    <w:rsid w:val="46DB7D13"/>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FC6D10"/>
    <w:rsid w:val="4F0C6BA3"/>
    <w:rsid w:val="4F10477D"/>
    <w:rsid w:val="4F186D58"/>
    <w:rsid w:val="4FEA65B7"/>
    <w:rsid w:val="5042146E"/>
    <w:rsid w:val="50F06B6E"/>
    <w:rsid w:val="518B33C0"/>
    <w:rsid w:val="52234D33"/>
    <w:rsid w:val="52261ABA"/>
    <w:rsid w:val="522F6E0C"/>
    <w:rsid w:val="52463BA1"/>
    <w:rsid w:val="5298794F"/>
    <w:rsid w:val="52F163D4"/>
    <w:rsid w:val="53080E8A"/>
    <w:rsid w:val="531A2DB4"/>
    <w:rsid w:val="53C0244D"/>
    <w:rsid w:val="53DD4D4E"/>
    <w:rsid w:val="53E578CE"/>
    <w:rsid w:val="541330F0"/>
    <w:rsid w:val="54272666"/>
    <w:rsid w:val="543B029D"/>
    <w:rsid w:val="54861779"/>
    <w:rsid w:val="552256E1"/>
    <w:rsid w:val="554E5773"/>
    <w:rsid w:val="555A3CBC"/>
    <w:rsid w:val="5582012B"/>
    <w:rsid w:val="558E4E05"/>
    <w:rsid w:val="55BE2E85"/>
    <w:rsid w:val="55D82B6C"/>
    <w:rsid w:val="561D52C4"/>
    <w:rsid w:val="5651697D"/>
    <w:rsid w:val="56530F5D"/>
    <w:rsid w:val="56692AE5"/>
    <w:rsid w:val="567700D3"/>
    <w:rsid w:val="56FF7E9E"/>
    <w:rsid w:val="574121A5"/>
    <w:rsid w:val="578867FC"/>
    <w:rsid w:val="5842572D"/>
    <w:rsid w:val="59D83B35"/>
    <w:rsid w:val="5A3B59D6"/>
    <w:rsid w:val="5AD134D8"/>
    <w:rsid w:val="5B6503B1"/>
    <w:rsid w:val="5C0F7EC4"/>
    <w:rsid w:val="5C263CE4"/>
    <w:rsid w:val="5C5D2777"/>
    <w:rsid w:val="5CF66BF3"/>
    <w:rsid w:val="5D290C69"/>
    <w:rsid w:val="5F2D4A41"/>
    <w:rsid w:val="60C74F6C"/>
    <w:rsid w:val="60F81AB5"/>
    <w:rsid w:val="61025A59"/>
    <w:rsid w:val="613D5BBC"/>
    <w:rsid w:val="61536C39"/>
    <w:rsid w:val="61E64F4A"/>
    <w:rsid w:val="6207568A"/>
    <w:rsid w:val="621352A4"/>
    <w:rsid w:val="623E0993"/>
    <w:rsid w:val="62944DD7"/>
    <w:rsid w:val="630A342A"/>
    <w:rsid w:val="6319381F"/>
    <w:rsid w:val="63236436"/>
    <w:rsid w:val="63303185"/>
    <w:rsid w:val="63A74A27"/>
    <w:rsid w:val="63C25DC5"/>
    <w:rsid w:val="63C62057"/>
    <w:rsid w:val="64571EF5"/>
    <w:rsid w:val="64CB0157"/>
    <w:rsid w:val="64FB113D"/>
    <w:rsid w:val="65036946"/>
    <w:rsid w:val="654A25FE"/>
    <w:rsid w:val="656152C6"/>
    <w:rsid w:val="6587477F"/>
    <w:rsid w:val="658C3A08"/>
    <w:rsid w:val="65C031CA"/>
    <w:rsid w:val="65CE6852"/>
    <w:rsid w:val="65EB6584"/>
    <w:rsid w:val="66267C04"/>
    <w:rsid w:val="663F505A"/>
    <w:rsid w:val="66967186"/>
    <w:rsid w:val="66EE5541"/>
    <w:rsid w:val="67924660"/>
    <w:rsid w:val="67B3608E"/>
    <w:rsid w:val="67DC4711"/>
    <w:rsid w:val="683200C2"/>
    <w:rsid w:val="68407834"/>
    <w:rsid w:val="6883293E"/>
    <w:rsid w:val="688412AD"/>
    <w:rsid w:val="68EB1B71"/>
    <w:rsid w:val="69475C96"/>
    <w:rsid w:val="6AAD2300"/>
    <w:rsid w:val="6B474EF5"/>
    <w:rsid w:val="6BBF53FD"/>
    <w:rsid w:val="6C560CAE"/>
    <w:rsid w:val="6C576495"/>
    <w:rsid w:val="6CC85778"/>
    <w:rsid w:val="6D903FF5"/>
    <w:rsid w:val="6DA955B8"/>
    <w:rsid w:val="6DE346AB"/>
    <w:rsid w:val="6DE5391A"/>
    <w:rsid w:val="6EEA5552"/>
    <w:rsid w:val="6EF00AB2"/>
    <w:rsid w:val="6EFD1324"/>
    <w:rsid w:val="6F5A53AC"/>
    <w:rsid w:val="6FAC003D"/>
    <w:rsid w:val="6FE55E12"/>
    <w:rsid w:val="6FFB2E76"/>
    <w:rsid w:val="70726631"/>
    <w:rsid w:val="708F6F7F"/>
    <w:rsid w:val="70D94BD3"/>
    <w:rsid w:val="71C34D91"/>
    <w:rsid w:val="72DB435C"/>
    <w:rsid w:val="72E2613A"/>
    <w:rsid w:val="72F771F4"/>
    <w:rsid w:val="734150D5"/>
    <w:rsid w:val="736650B0"/>
    <w:rsid w:val="73934AD2"/>
    <w:rsid w:val="73B57BE4"/>
    <w:rsid w:val="73F37055"/>
    <w:rsid w:val="750837F0"/>
    <w:rsid w:val="754758CF"/>
    <w:rsid w:val="761275E6"/>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E716D41"/>
    <w:rsid w:val="7F446A19"/>
    <w:rsid w:val="7F7452B9"/>
    <w:rsid w:val="7F8401D1"/>
    <w:rsid w:val="7FAC32D7"/>
    <w:rsid w:val="7FD5096B"/>
    <w:rsid w:val="7FEA0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2"/>
    <w:next w:val="1"/>
    <w:unhideWhenUsed/>
    <w:qFormat/>
    <w:uiPriority w:val="0"/>
    <w:pPr>
      <w:keepNext/>
      <w:keepLines/>
      <w:widowControl w:val="0"/>
      <w:spacing w:line="413" w:lineRule="auto"/>
      <w:jc w:val="both"/>
      <w:outlineLvl w:val="1"/>
    </w:pPr>
    <w:rPr>
      <w:rFonts w:ascii="Arial" w:hAnsi="Arial" w:eastAsia="黑体" w:cs="Times New Roman"/>
      <w:b/>
      <w:kern w:val="2"/>
      <w:sz w:val="32"/>
      <w:szCs w:val="24"/>
      <w:lang w:val="en-US" w:eastAsia="zh-CN" w:bidi="ar-SA"/>
    </w:rPr>
  </w:style>
  <w:style w:type="character" w:default="1" w:styleId="9">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0">
    <w:name w:val="Strong"/>
    <w:qFormat/>
    <w:uiPriority w:val="0"/>
    <w:rPr>
      <w:b/>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9"/>
    <w:link w:val="4"/>
    <w:qFormat/>
    <w:uiPriority w:val="0"/>
    <w:rPr>
      <w:rFonts w:ascii="宋体" w:hAnsi="宋体"/>
      <w:sz w:val="18"/>
      <w:szCs w:val="18"/>
    </w:rPr>
  </w:style>
  <w:style w:type="paragraph" w:customStyle="1" w:styleId="18">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12</TotalTime>
  <ScaleCrop>false</ScaleCrop>
  <LinksUpToDate>false</LinksUpToDate>
  <CharactersWithSpaces>26302</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冉淇元</cp:lastModifiedBy>
  <dcterms:modified xsi:type="dcterms:W3CDTF">2025-12-17T08:10:15Z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