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重庆市秀山土家族苗族自治县乡村振兴局</w:t>
      </w: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sz w:val="44"/>
          <w:szCs w:val="44"/>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秀山县乡村振兴局是县政府工作部门，</w:t>
      </w:r>
      <w:r>
        <w:rPr>
          <w:rFonts w:hint="default" w:ascii="Times New Roman" w:hAnsi="Times New Roman" w:eastAsia="方正仿宋_GBK" w:cs="Times New Roman"/>
          <w:b w:val="0"/>
          <w:bCs w:val="0"/>
          <w:sz w:val="32"/>
          <w:lang w:eastAsia="zh-CN"/>
        </w:rPr>
        <w:t>承接原县扶贫开发办公室相关职能，</w:t>
      </w:r>
      <w:r>
        <w:rPr>
          <w:rFonts w:hint="default" w:ascii="Times New Roman" w:hAnsi="Times New Roman" w:eastAsia="方正仿宋_GBK" w:cs="Times New Roman"/>
          <w:b w:val="0"/>
          <w:bCs w:val="0"/>
          <w:sz w:val="32"/>
        </w:rPr>
        <w:t>主要负责巩固拓展脱贫攻坚成果、统筹推进实施乡村振兴战略有关具体工作。</w:t>
      </w:r>
      <w:r>
        <w:rPr>
          <w:rFonts w:hint="default" w:ascii="Times New Roman" w:hAnsi="Times New Roman" w:eastAsia="方正仿宋_GBK" w:cs="Times New Roman"/>
          <w:b w:val="0"/>
          <w:bCs w:val="0"/>
          <w:sz w:val="32"/>
          <w:lang w:val="en-US" w:eastAsia="zh-CN"/>
        </w:rPr>
        <w:t>2024年机构改革，县乡村振兴局挂牌于县农业农村委，</w:t>
      </w:r>
      <w:r>
        <w:rPr>
          <w:rFonts w:hint="default" w:ascii="Times New Roman" w:hAnsi="Times New Roman" w:eastAsia="方正仿宋_GBK" w:cs="Times New Roman"/>
          <w:color w:val="000000"/>
          <w:kern w:val="36"/>
          <w:sz w:val="32"/>
          <w:szCs w:val="32"/>
          <w:lang w:val="en-US" w:eastAsia="zh-CN"/>
        </w:rPr>
        <w:t>原乡村振兴局履行职能职责划入县农业农村委。</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auto"/>
          <w:sz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bidi="ar-SA"/>
        </w:rPr>
        <w:t>5</w:t>
      </w:r>
      <w:r>
        <w:rPr>
          <w:rFonts w:hint="default" w:ascii="Times New Roman" w:hAnsi="Times New Roman" w:eastAsia="方正仿宋_GBK" w:cs="Times New Roman"/>
          <w:b w:val="0"/>
          <w:bCs w:val="0"/>
          <w:color w:val="auto"/>
          <w:sz w:val="32"/>
          <w:highlight w:val="none"/>
        </w:rPr>
        <w:t>个内设科室：综合科、项目计划科、产业发展科、资金监管科（挂内审科牌子）、社会扶贫科；所属</w:t>
      </w:r>
      <w:r>
        <w:rPr>
          <w:rFonts w:hint="default" w:ascii="Times New Roman" w:hAnsi="Times New Roman" w:eastAsia="方正仿宋_GBK" w:cs="Times New Roman"/>
          <w:color w:val="auto"/>
          <w:sz w:val="32"/>
          <w:szCs w:val="32"/>
          <w:highlight w:val="none"/>
          <w:shd w:val="clear" w:color="auto" w:fill="FFFFFF"/>
          <w:lang w:val="en-US" w:eastAsia="zh-CN" w:bidi="ar-SA"/>
        </w:rPr>
        <w:t>1</w:t>
      </w:r>
      <w:r>
        <w:rPr>
          <w:rFonts w:hint="default" w:ascii="Times New Roman" w:hAnsi="Times New Roman" w:eastAsia="方正仿宋_GBK" w:cs="Times New Roman"/>
          <w:b w:val="0"/>
          <w:bCs w:val="0"/>
          <w:color w:val="auto"/>
          <w:sz w:val="32"/>
          <w:highlight w:val="none"/>
        </w:rPr>
        <w:t>个全额拨款事业单位：扶贫培训信息中心。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1342.28万元。收、支与2023年度相比，减少656.51万元，下降32.9%，主要原因是</w:t>
      </w:r>
      <w:r>
        <w:rPr>
          <w:rFonts w:hint="default" w:ascii="Times New Roman" w:hAnsi="Times New Roman" w:eastAsia="方正仿宋_GBK" w:cs="Times New Roman"/>
          <w:color w:val="000000"/>
          <w:kern w:val="0"/>
          <w:sz w:val="32"/>
          <w:szCs w:val="32"/>
          <w:lang w:val="en-US" w:eastAsia="zh-CN" w:bidi="ar-SA"/>
        </w:rPr>
        <w:t>农林水支出减少，2024年较2023年减少项目安排，</w:t>
      </w:r>
      <w:r>
        <w:rPr>
          <w:rFonts w:hint="default" w:ascii="Times New Roman" w:hAnsi="Times New Roman" w:eastAsia="方正仿宋_GBK" w:cs="Times New Roman"/>
          <w:color w:val="000000"/>
          <w:sz w:val="32"/>
          <w:szCs w:val="32"/>
          <w:lang w:bidi="ar-SA"/>
        </w:rPr>
        <w:t>包括2019年-2021</w:t>
      </w:r>
      <w:r>
        <w:rPr>
          <w:rFonts w:hint="eastAsia" w:ascii="方正仿宋_GBK" w:hAnsi="方正仿宋_GBK" w:eastAsia="方正仿宋_GBK" w:cs="方正仿宋_GBK"/>
          <w:color w:val="000000"/>
          <w:sz w:val="32"/>
          <w:szCs w:val="32"/>
          <w:lang w:bidi="ar-SA"/>
        </w:rPr>
        <w:t>年“精准脱贫保（巩固脱贫保）”风</w:t>
      </w:r>
      <w:r>
        <w:rPr>
          <w:rFonts w:hint="default" w:ascii="Times New Roman" w:hAnsi="Times New Roman" w:eastAsia="方正仿宋_GBK" w:cs="Times New Roman"/>
          <w:color w:val="000000"/>
          <w:sz w:val="32"/>
          <w:szCs w:val="32"/>
          <w:lang w:bidi="ar-SA"/>
        </w:rPr>
        <w:t>险调节项目资金357万元；2023年脱贫人口（含监测对象）</w:t>
      </w:r>
      <w:r>
        <w:rPr>
          <w:rFonts w:hint="eastAsia" w:ascii="方正仿宋_GBK" w:hAnsi="方正仿宋_GBK" w:eastAsia="方正仿宋_GBK" w:cs="方正仿宋_GBK"/>
          <w:color w:val="000000"/>
          <w:sz w:val="32"/>
          <w:szCs w:val="32"/>
          <w:lang w:bidi="ar-SA"/>
        </w:rPr>
        <w:t>“愉快保”参保补贴项目资金</w:t>
      </w:r>
      <w:r>
        <w:rPr>
          <w:rFonts w:hint="default" w:ascii="Times New Roman" w:hAnsi="Times New Roman" w:eastAsia="方正仿宋_GBK" w:cs="Times New Roman"/>
          <w:color w:val="000000"/>
          <w:sz w:val="32"/>
          <w:szCs w:val="32"/>
          <w:lang w:bidi="ar-SA"/>
        </w:rPr>
        <w:t>341万元等</w:t>
      </w:r>
      <w:r>
        <w:rPr>
          <w:rFonts w:hint="default" w:ascii="Times New Roman" w:hAnsi="Times New Roman" w:eastAsia="方正仿宋_GBK" w:cs="Times New Roman"/>
          <w:color w:val="000000"/>
          <w:kern w:val="0"/>
          <w:sz w:val="32"/>
          <w:szCs w:val="32"/>
          <w:lang w:val="en-US" w:eastAsia="zh-CN" w:bidi="ar-SA"/>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2024年度收入合计1342.28万元，与2023年度相比，减少656.51万元，下降32.9%，主要原因是</w:t>
      </w:r>
      <w:r>
        <w:rPr>
          <w:rFonts w:hint="default" w:ascii="Times New Roman" w:hAnsi="Times New Roman" w:eastAsia="方正仿宋_GBK" w:cs="Times New Roman"/>
          <w:color w:val="000000"/>
          <w:kern w:val="0"/>
          <w:sz w:val="32"/>
          <w:szCs w:val="32"/>
          <w:lang w:val="en-US" w:eastAsia="zh-CN" w:bidi="ar-SA"/>
        </w:rPr>
        <w:t>农林水支出减少，2024年较2023年减少项目安排，</w:t>
      </w:r>
      <w:r>
        <w:rPr>
          <w:rFonts w:hint="default" w:ascii="Times New Roman" w:hAnsi="Times New Roman" w:eastAsia="方正仿宋_GBK" w:cs="Times New Roman"/>
          <w:color w:val="000000"/>
          <w:sz w:val="32"/>
          <w:szCs w:val="32"/>
          <w:lang w:bidi="ar-SA"/>
        </w:rPr>
        <w:t>包括2019年-2021</w:t>
      </w:r>
      <w:r>
        <w:rPr>
          <w:rFonts w:hint="eastAsia" w:ascii="方正仿宋_GBK" w:hAnsi="方正仿宋_GBK" w:eastAsia="方正仿宋_GBK" w:cs="方正仿宋_GBK"/>
          <w:color w:val="000000"/>
          <w:sz w:val="32"/>
          <w:szCs w:val="32"/>
          <w:lang w:bidi="ar-SA"/>
        </w:rPr>
        <w:t>年“精准脱贫保（巩固脱贫保）”风险调节</w:t>
      </w:r>
      <w:r>
        <w:rPr>
          <w:rFonts w:hint="default" w:ascii="Times New Roman" w:hAnsi="Times New Roman" w:eastAsia="方正仿宋_GBK" w:cs="Times New Roman"/>
          <w:color w:val="000000"/>
          <w:sz w:val="32"/>
          <w:szCs w:val="32"/>
          <w:lang w:bidi="ar-SA"/>
        </w:rPr>
        <w:t>项目资金357万元；2023年脱贫人口（含监测对</w:t>
      </w:r>
      <w:r>
        <w:rPr>
          <w:rFonts w:hint="eastAsia" w:ascii="方正仿宋_GBK" w:hAnsi="方正仿宋_GBK" w:eastAsia="方正仿宋_GBK" w:cs="方正仿宋_GBK"/>
          <w:color w:val="000000"/>
          <w:sz w:val="32"/>
          <w:szCs w:val="32"/>
          <w:lang w:bidi="ar-SA"/>
        </w:rPr>
        <w:t>象）“愉快保”参</w:t>
      </w:r>
      <w:r>
        <w:rPr>
          <w:rFonts w:hint="default" w:ascii="Times New Roman" w:hAnsi="Times New Roman" w:eastAsia="方正仿宋_GBK" w:cs="Times New Roman"/>
          <w:color w:val="000000"/>
          <w:sz w:val="32"/>
          <w:szCs w:val="32"/>
          <w:lang w:bidi="ar-SA"/>
        </w:rPr>
        <w:t>保补贴项目资金341万元等</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sz w:val="32"/>
          <w:szCs w:val="32"/>
          <w:shd w:val="clear" w:color="auto" w:fill="FFFFFF"/>
        </w:rPr>
        <w:t>其中：财政拨款收入1342.28万元，占100.0%；事业收入0.00万元，占0.0%；经营收入0.00万元，占0.0%；其他收入0.00万元，占0.0%。此外，使用非财政拨款结余（含专用结余）0.00万元，年初结转和结余0.00万元。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2024年度支出合计1342.28万元，与2023年度相比，减少656.51万元，下降32.9%，主要原因是</w:t>
      </w:r>
      <w:r>
        <w:rPr>
          <w:rFonts w:hint="default" w:ascii="Times New Roman" w:hAnsi="Times New Roman" w:eastAsia="方正仿宋_GBK" w:cs="Times New Roman"/>
          <w:sz w:val="32"/>
          <w:szCs w:val="32"/>
          <w:shd w:val="clear" w:color="auto" w:fill="FFFFFF"/>
          <w:lang w:eastAsia="zh-CN"/>
        </w:rPr>
        <w:t>减少项目安排，</w:t>
      </w:r>
      <w:r>
        <w:rPr>
          <w:rFonts w:hint="default" w:ascii="Times New Roman" w:hAnsi="Times New Roman" w:eastAsia="方正仿宋_GBK" w:cs="Times New Roman"/>
          <w:sz w:val="32"/>
          <w:szCs w:val="32"/>
          <w:shd w:val="clear" w:color="auto" w:fill="FFFFFF"/>
        </w:rPr>
        <w:t>包括2019年-2021年</w:t>
      </w:r>
      <w:r>
        <w:rPr>
          <w:rFonts w:hint="eastAsia" w:ascii="方正仿宋_GBK" w:hAnsi="方正仿宋_GBK" w:eastAsia="方正仿宋_GBK" w:cs="方正仿宋_GBK"/>
          <w:sz w:val="32"/>
          <w:szCs w:val="32"/>
          <w:shd w:val="clear" w:color="auto" w:fill="FFFFFF"/>
        </w:rPr>
        <w:t>“精准脱贫保（巩固脱贫保）</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风险调节项目</w:t>
      </w:r>
      <w:r>
        <w:rPr>
          <w:rFonts w:hint="default" w:ascii="Times New Roman" w:hAnsi="Times New Roman" w:eastAsia="方正仿宋_GBK" w:cs="Times New Roman"/>
          <w:sz w:val="32"/>
          <w:szCs w:val="32"/>
          <w:shd w:val="clear" w:color="auto" w:fill="FFFFFF"/>
        </w:rPr>
        <w:t>资金357万元；2023年脱贫人口（含监测对象）</w:t>
      </w:r>
      <w:r>
        <w:rPr>
          <w:rFonts w:hint="eastAsia" w:ascii="方正仿宋_GBK" w:hAnsi="方正仿宋_GBK" w:eastAsia="方正仿宋_GBK" w:cs="方正仿宋_GBK"/>
          <w:sz w:val="32"/>
          <w:szCs w:val="32"/>
          <w:shd w:val="clear" w:color="auto" w:fill="FFFFFF"/>
        </w:rPr>
        <w:t>“愉快保”参保补贴项</w:t>
      </w:r>
      <w:r>
        <w:rPr>
          <w:rFonts w:hint="default" w:ascii="Times New Roman" w:hAnsi="Times New Roman" w:eastAsia="方正仿宋_GBK" w:cs="Times New Roman"/>
          <w:sz w:val="32"/>
          <w:szCs w:val="32"/>
          <w:shd w:val="clear" w:color="auto" w:fill="FFFFFF"/>
        </w:rPr>
        <w:t>目资金341万元等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其中：基本支出317.77万元，占23.7%；项目支出1024.51万元，占76.3%；经营支出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b w:val="0"/>
          <w:bCs/>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2024年度财政拨款收、支总计均为1342.28万元。与2023年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相比，财政拨款收、支总计各减少656.51万元，下降32.9%。</w:t>
      </w:r>
      <w:r>
        <w:rPr>
          <w:rFonts w:hint="default" w:ascii="Times New Roman" w:hAnsi="Times New Roman" w:eastAsia="方正仿宋_GBK" w:cs="Times New Roman"/>
          <w:color w:val="000000"/>
          <w:kern w:val="0"/>
          <w:sz w:val="32"/>
          <w:szCs w:val="32"/>
          <w:lang w:val="en-US" w:eastAsia="zh-CN" w:bidi="ar-SA"/>
        </w:rPr>
        <w:t>主要原因是2024年较2023年减少项目安排，包括2019年-2021</w:t>
      </w:r>
      <w:r>
        <w:rPr>
          <w:rFonts w:hint="eastAsia" w:ascii="方正仿宋_GBK" w:hAnsi="方正仿宋_GBK" w:eastAsia="方正仿宋_GBK" w:cs="方正仿宋_GBK"/>
          <w:color w:val="000000"/>
          <w:kern w:val="0"/>
          <w:sz w:val="32"/>
          <w:szCs w:val="32"/>
          <w:lang w:val="en-US" w:eastAsia="zh-CN" w:bidi="ar-SA"/>
        </w:rPr>
        <w:t>年“精准脱贫保（巩固脱贫保）”风险</w:t>
      </w:r>
      <w:r>
        <w:rPr>
          <w:rFonts w:hint="default" w:ascii="Times New Roman" w:hAnsi="Times New Roman" w:eastAsia="方正仿宋_GBK" w:cs="Times New Roman"/>
          <w:color w:val="000000"/>
          <w:kern w:val="0"/>
          <w:sz w:val="32"/>
          <w:szCs w:val="32"/>
          <w:lang w:val="en-US" w:eastAsia="zh-CN" w:bidi="ar-SA"/>
        </w:rPr>
        <w:t>调节项目资金357万元；2023年脱贫人口（含监测对象</w:t>
      </w:r>
      <w:r>
        <w:rPr>
          <w:rFonts w:hint="eastAsia" w:ascii="方正仿宋_GBK" w:hAnsi="方正仿宋_GBK" w:eastAsia="方正仿宋_GBK" w:cs="方正仿宋_GBK"/>
          <w:color w:val="000000"/>
          <w:kern w:val="0"/>
          <w:sz w:val="32"/>
          <w:szCs w:val="32"/>
          <w:lang w:val="en-US" w:eastAsia="zh-CN" w:bidi="ar-SA"/>
        </w:rPr>
        <w:t>）“愉快保”</w:t>
      </w:r>
      <w:r>
        <w:rPr>
          <w:rFonts w:hint="default" w:ascii="Times New Roman" w:hAnsi="Times New Roman" w:eastAsia="方正仿宋_GBK" w:cs="Times New Roman"/>
          <w:color w:val="000000"/>
          <w:kern w:val="0"/>
          <w:sz w:val="32"/>
          <w:szCs w:val="32"/>
          <w:lang w:val="en-US" w:eastAsia="zh-CN" w:bidi="ar-SA"/>
        </w:rPr>
        <w:t>参保补贴项目资金341万元等。</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2024年度一般公共预算财政拨款收入1342.28万元，与2023年度相比，减少656.51万元，下降32.9%。</w:t>
      </w:r>
      <w:r>
        <w:rPr>
          <w:rFonts w:hint="default" w:ascii="Times New Roman" w:hAnsi="Times New Roman" w:eastAsia="方正仿宋_GBK" w:cs="Times New Roman"/>
          <w:sz w:val="32"/>
          <w:szCs w:val="32"/>
          <w:shd w:val="clear" w:color="auto" w:fill="FFFFFF"/>
          <w:lang w:eastAsia="zh-CN"/>
        </w:rPr>
        <w:t>主要原因一是</w:t>
      </w:r>
      <w:r>
        <w:rPr>
          <w:rFonts w:hint="default" w:ascii="Times New Roman" w:hAnsi="Times New Roman" w:eastAsia="方正仿宋_GBK" w:cs="Times New Roman"/>
          <w:color w:val="000000"/>
          <w:kern w:val="0"/>
          <w:sz w:val="32"/>
          <w:szCs w:val="32"/>
          <w:lang w:val="en-US" w:eastAsia="zh-CN" w:bidi="ar-SA"/>
        </w:rPr>
        <w:t>本年度机构改革，人员编制从2024年8月起陆续调入县农业农村委，基本支出中人员经费较上年减少89.28万元。二是2024年较2023年减少项目安排，项目支出较上年减少606.1万元。减少的项目包括2019年-2021</w:t>
      </w:r>
      <w:r>
        <w:rPr>
          <w:rFonts w:hint="eastAsia" w:ascii="方正仿宋_GBK" w:hAnsi="方正仿宋_GBK" w:eastAsia="方正仿宋_GBK" w:cs="方正仿宋_GBK"/>
          <w:color w:val="000000"/>
          <w:kern w:val="0"/>
          <w:sz w:val="32"/>
          <w:szCs w:val="32"/>
          <w:lang w:val="en-US" w:eastAsia="zh-CN" w:bidi="ar-SA"/>
        </w:rPr>
        <w:t>年“精准脱贫保（巩固脱贫保）”风</w:t>
      </w:r>
      <w:r>
        <w:rPr>
          <w:rFonts w:hint="default" w:ascii="Times New Roman" w:hAnsi="Times New Roman" w:eastAsia="方正仿宋_GBK" w:cs="Times New Roman"/>
          <w:color w:val="000000"/>
          <w:kern w:val="0"/>
          <w:sz w:val="32"/>
          <w:szCs w:val="32"/>
          <w:lang w:val="en-US" w:eastAsia="zh-CN" w:bidi="ar-SA"/>
        </w:rPr>
        <w:t>险调节项目资金357万元；2023年脱贫人口（含监测对</w:t>
      </w:r>
      <w:r>
        <w:rPr>
          <w:rFonts w:hint="eastAsia" w:ascii="方正仿宋_GBK" w:hAnsi="方正仿宋_GBK" w:eastAsia="方正仿宋_GBK" w:cs="方正仿宋_GBK"/>
          <w:color w:val="000000"/>
          <w:kern w:val="0"/>
          <w:sz w:val="32"/>
          <w:szCs w:val="32"/>
          <w:lang w:val="en-US" w:eastAsia="zh-CN" w:bidi="ar-SA"/>
        </w:rPr>
        <w:t>象）“愉快保”参保补贴项</w:t>
      </w:r>
      <w:r>
        <w:rPr>
          <w:rFonts w:hint="default" w:ascii="Times New Roman" w:hAnsi="Times New Roman" w:eastAsia="方正仿宋_GBK" w:cs="Times New Roman"/>
          <w:color w:val="000000"/>
          <w:kern w:val="0"/>
          <w:sz w:val="32"/>
          <w:szCs w:val="32"/>
          <w:lang w:val="en-US" w:eastAsia="zh-CN" w:bidi="ar-SA"/>
        </w:rPr>
        <w:t>目资金341万元等。</w:t>
      </w:r>
      <w:r>
        <w:rPr>
          <w:rFonts w:hint="default" w:ascii="Times New Roman" w:hAnsi="Times New Roman" w:eastAsia="方正仿宋_GBK" w:cs="Times New Roman"/>
          <w:sz w:val="32"/>
          <w:szCs w:val="32"/>
          <w:shd w:val="clear" w:color="auto" w:fill="FFFFFF"/>
        </w:rPr>
        <w:t>较年初预算数减少13637.82万元，下降91.0%。主要原因是</w:t>
      </w:r>
      <w:r>
        <w:rPr>
          <w:rFonts w:hint="default" w:ascii="Times New Roman" w:hAnsi="Times New Roman" w:eastAsia="方正仿宋_GBK" w:cs="Times New Roman"/>
          <w:sz w:val="32"/>
          <w:szCs w:val="32"/>
          <w:shd w:val="clear" w:color="auto" w:fill="FFFFFF"/>
          <w:lang w:eastAsia="zh-CN"/>
        </w:rPr>
        <w:t>项目支出调整幅度大，</w:t>
      </w:r>
      <w:r>
        <w:rPr>
          <w:rFonts w:hint="default" w:ascii="Times New Roman" w:hAnsi="Times New Roman" w:eastAsia="方正仿宋_GBK" w:cs="Times New Roman"/>
          <w:sz w:val="32"/>
          <w:u w:val="none"/>
          <w:lang w:val="en-US" w:eastAsia="zh-CN"/>
        </w:rPr>
        <w:t>项目支出预算编制不够科学，调整幅度大，</w:t>
      </w:r>
      <w:r>
        <w:rPr>
          <w:rFonts w:hint="default" w:ascii="Times New Roman" w:hAnsi="Times New Roman" w:eastAsia="方正仿宋_GBK" w:cs="Times New Roman"/>
          <w:sz w:val="32"/>
          <w:u w:val="none"/>
          <w:lang w:eastAsia="zh-CN"/>
        </w:rPr>
        <w:t>应加强预算管理，压缩代编预算规模，缩小项目预算调整幅度，提高项目预算编制精准度。</w:t>
      </w:r>
      <w:r>
        <w:rPr>
          <w:rFonts w:hint="default" w:ascii="Times New Roman" w:hAnsi="Times New Roman" w:eastAsia="方正仿宋_GBK" w:cs="Times New Roman"/>
          <w:sz w:val="32"/>
          <w:szCs w:val="32"/>
          <w:shd w:val="clear" w:color="auto" w:fill="FFFFFF"/>
        </w:rPr>
        <w:t>此外，年初财政拨款结转和结余0.00万元。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2024年度一般公共预算财政拨款支出1342.28万元，与2023年度相比，减少656.51万元，下降32.9%。主要原因是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color w:val="000000"/>
          <w:kern w:val="0"/>
          <w:sz w:val="32"/>
          <w:szCs w:val="32"/>
          <w:lang w:val="en-US" w:eastAsia="zh-CN" w:bidi="ar-SA"/>
        </w:rPr>
        <w:t>本年度机构改革，人员编制从2024年8月起陆续调入县农业农村委，基本支出中人员经费较上年减少89.28万元。二是2024年较2023年减少项目安排，项目支出较上年减少606.1万元。减少的项目包括2019年-2021</w:t>
      </w:r>
      <w:r>
        <w:rPr>
          <w:rFonts w:hint="eastAsia" w:ascii="方正仿宋_GBK" w:hAnsi="方正仿宋_GBK" w:eastAsia="方正仿宋_GBK" w:cs="方正仿宋_GBK"/>
          <w:color w:val="000000"/>
          <w:kern w:val="0"/>
          <w:sz w:val="32"/>
          <w:szCs w:val="32"/>
          <w:lang w:val="en-US" w:eastAsia="zh-CN" w:bidi="ar-SA"/>
        </w:rPr>
        <w:t>年“精准脱贫保（巩固脱贫保）”风险调节</w:t>
      </w:r>
      <w:r>
        <w:rPr>
          <w:rFonts w:hint="default" w:ascii="Times New Roman" w:hAnsi="Times New Roman" w:eastAsia="方正仿宋_GBK" w:cs="Times New Roman"/>
          <w:color w:val="000000"/>
          <w:kern w:val="0"/>
          <w:sz w:val="32"/>
          <w:szCs w:val="32"/>
          <w:lang w:val="en-US" w:eastAsia="zh-CN" w:bidi="ar-SA"/>
        </w:rPr>
        <w:t>项目资金357万元；2023年脱贫人口（含监测对象</w:t>
      </w:r>
      <w:r>
        <w:rPr>
          <w:rFonts w:hint="eastAsia" w:ascii="方正仿宋_GBK" w:hAnsi="方正仿宋_GBK" w:eastAsia="方正仿宋_GBK" w:cs="方正仿宋_GBK"/>
          <w:color w:val="000000"/>
          <w:kern w:val="0"/>
          <w:sz w:val="32"/>
          <w:szCs w:val="32"/>
          <w:lang w:val="en-US" w:eastAsia="zh-CN" w:bidi="ar-SA"/>
        </w:rPr>
        <w:t>）“愉快保”参</w:t>
      </w:r>
      <w:r>
        <w:rPr>
          <w:rFonts w:hint="default" w:ascii="Times New Roman" w:hAnsi="Times New Roman" w:eastAsia="方正仿宋_GBK" w:cs="Times New Roman"/>
          <w:color w:val="000000"/>
          <w:kern w:val="0"/>
          <w:sz w:val="32"/>
          <w:szCs w:val="32"/>
          <w:lang w:val="en-US" w:eastAsia="zh-CN" w:bidi="ar-SA"/>
        </w:rPr>
        <w:t>保补贴项目资金341万元等。</w:t>
      </w:r>
      <w:r>
        <w:rPr>
          <w:rFonts w:hint="default" w:ascii="Times New Roman" w:hAnsi="Times New Roman" w:eastAsia="方正仿宋_GBK" w:cs="Times New Roman"/>
          <w:sz w:val="32"/>
          <w:szCs w:val="32"/>
          <w:shd w:val="clear" w:color="auto" w:fill="FFFFFF"/>
        </w:rPr>
        <w:t>较年初预算数减少13637.82万元，下降91.0%。主要原因是</w:t>
      </w:r>
      <w:r>
        <w:rPr>
          <w:rFonts w:hint="default" w:ascii="Times New Roman" w:hAnsi="Times New Roman" w:eastAsia="方正仿宋_GBK" w:cs="Times New Roman"/>
          <w:sz w:val="32"/>
          <w:szCs w:val="32"/>
          <w:shd w:val="clear" w:color="auto" w:fill="FFFFFF"/>
          <w:lang w:eastAsia="zh-CN"/>
        </w:rPr>
        <w:t>项目支出调整幅度大，</w:t>
      </w:r>
      <w:r>
        <w:rPr>
          <w:rFonts w:hint="default" w:ascii="Times New Roman" w:hAnsi="Times New Roman" w:eastAsia="方正仿宋_GBK" w:cs="Times New Roman"/>
          <w:sz w:val="32"/>
          <w:u w:val="none"/>
          <w:lang w:val="en-US" w:eastAsia="zh-CN"/>
        </w:rPr>
        <w:t>项目支出预算编制不够科学，调整幅度大，</w:t>
      </w:r>
      <w:r>
        <w:rPr>
          <w:rFonts w:hint="default" w:ascii="Times New Roman" w:hAnsi="Times New Roman" w:eastAsia="方正仿宋_GBK" w:cs="Times New Roman"/>
          <w:sz w:val="32"/>
          <w:u w:val="none"/>
          <w:lang w:eastAsia="zh-CN"/>
        </w:rPr>
        <w:t>应加强预算管理，压缩代编预算规模，缩小项目预算调整幅度，提高项目预算编制精准度。</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shd w:val="clear" w:color="auto" w:fill="FFFFFF"/>
        </w:rPr>
        <w:t>（1）一般公共服务支出0.45万元，占0.0%，较年初预算数增加0.45万元，增长100.0%，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年初</w:t>
      </w:r>
      <w:r>
        <w:rPr>
          <w:rFonts w:hint="default" w:ascii="Times New Roman" w:hAnsi="Times New Roman" w:eastAsia="方正仿宋_GBK" w:cs="Times New Roman"/>
          <w:color w:val="000000"/>
          <w:kern w:val="0"/>
          <w:sz w:val="32"/>
          <w:szCs w:val="32"/>
          <w:highlight w:val="none"/>
          <w:lang w:val="en-US" w:eastAsia="zh-CN" w:bidi="ar-SA"/>
        </w:rPr>
        <w:t>无此科目支出预算。主要包括公务员奖励经费0.45万元，用于奖励3名年度考核优秀公务员。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就业支出45.28万元，占3.4%，较年初预算数减少15.97万元，下降26.1%，</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主要原因是本年度机构改革，县乡村振兴局挂牌于县农业农村委，原乡村振兴局职能职责划入县农业农村委，人员编制于2024年8月陆续转入县农业农村委，故社会保障与就业支出减少。</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）卫生健康支出16.67万元，占1.2%，较年初预算数减少6.48万元，下降28.0%，</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主要原因是本年度机构改革，县乡村振兴局挂牌于县农业农村委，原乡村振兴局职能职责划入县农业农村委，人员编制于2024年8月陆续转入县农业农村委，故医疗保障支出减少。</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）农林水支出1262.18万元，占94.0%，较年初预算数减少13608.46万元，下降91.5%，</w:t>
      </w:r>
      <w:r>
        <w:rPr>
          <w:rFonts w:hint="default" w:ascii="Times New Roman" w:hAnsi="Times New Roman" w:eastAsia="方正仿宋_GBK" w:cs="Times New Roman"/>
          <w:b w:val="0"/>
          <w:bCs w:val="0"/>
          <w:color w:val="000000"/>
          <w:kern w:val="0"/>
          <w:sz w:val="32"/>
          <w:szCs w:val="32"/>
          <w:lang w:val="en-US" w:eastAsia="zh-CN"/>
        </w:rPr>
        <w:t>主要原因是有一些项目调剂到乡镇实施，从而减少了相应的项目支出。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17.70万元，占1.3%，较年初预算数减少7.37万元，下降29.4%，</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主要原因是本年度机构改革，县乡村振兴局挂牌于县农业农村委，原乡村振兴局职能职责划入县农业农村委，人员编制于2024年8月陆续转入县农业农村委，故住房保障支出减少。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2024年度一般公共财政拨款基本支出317.77万元。其中：人员经费242.32万元，与2023年度相比，减少89.31万元，下降26.9%，</w:t>
      </w:r>
      <w:r>
        <w:rPr>
          <w:rFonts w:hint="default" w:ascii="Times New Roman" w:hAnsi="Times New Roman" w:eastAsia="方正仿宋_GBK" w:cs="Times New Roman"/>
          <w:color w:val="000000"/>
          <w:kern w:val="0"/>
          <w:sz w:val="32"/>
          <w:szCs w:val="32"/>
          <w:lang w:val="en-US" w:eastAsia="zh-CN" w:bidi="ar-SA"/>
        </w:rPr>
        <w:t>主要原因是本年度机构改革，人员编制从2024年8月起陆续调入县农业农村委。</w:t>
      </w:r>
      <w:r>
        <w:rPr>
          <w:rFonts w:hint="default" w:ascii="Times New Roman" w:hAnsi="Times New Roman" w:eastAsia="方正仿宋_GBK" w:cs="Times New Roman"/>
          <w:b w:val="0"/>
          <w:bCs w:val="0"/>
          <w:color w:val="000000"/>
          <w:kern w:val="0"/>
          <w:sz w:val="32"/>
          <w:szCs w:val="32"/>
          <w:lang w:val="en-US" w:eastAsia="zh-CN" w:bidi="ar"/>
        </w:rPr>
        <w:t>人员经费用途主要包括基本工资、津贴补贴、奖金、社会保障缴费等支出</w:t>
      </w:r>
      <w:r>
        <w:rPr>
          <w:rFonts w:hint="eastAsia" w:ascii="Times New Roman" w:hAnsi="Times New Roman" w:eastAsia="方正仿宋_GBK" w:cs="Times New Roman"/>
          <w:b w:val="0"/>
          <w:bCs w:val="0"/>
          <w:color w:val="000000"/>
          <w:kern w:val="0"/>
          <w:sz w:val="32"/>
          <w:szCs w:val="32"/>
          <w:lang w:val="en-US" w:eastAsia="zh-CN" w:bidi="ar"/>
        </w:rPr>
        <w:t>。</w:t>
      </w:r>
      <w:r>
        <w:rPr>
          <w:rFonts w:hint="default" w:ascii="Times New Roman" w:hAnsi="Times New Roman" w:eastAsia="方正仿宋_GBK" w:cs="Times New Roman"/>
          <w:sz w:val="32"/>
          <w:szCs w:val="32"/>
          <w:shd w:val="clear" w:color="auto" w:fill="FFFFFF"/>
        </w:rPr>
        <w:t>公用经费75.45万元，与2023年度相比，增加38.95万元，增长106.7%，</w:t>
      </w:r>
      <w:r>
        <w:rPr>
          <w:rFonts w:hint="default" w:ascii="Times New Roman" w:hAnsi="Times New Roman" w:eastAsia="方正仿宋_GBK" w:cs="Times New Roman"/>
          <w:bCs/>
          <w:sz w:val="32"/>
          <w:szCs w:val="32"/>
          <w:lang w:val="en-US" w:eastAsia="zh-CN"/>
        </w:rPr>
        <w:t>主要原因是本年度事业发展经费、事业服务经费共计40万元纳入行政运行科目核算，剔除此部分影响，公用经费与去年基本持平。</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Cs/>
          <w:sz w:val="32"/>
          <w:szCs w:val="32"/>
          <w:lang w:val="en-US" w:eastAsia="zh-CN" w:bidi="ar-SA"/>
        </w:rPr>
      </w:pPr>
      <w:r>
        <w:rPr>
          <w:rFonts w:hint="default" w:ascii="Times New Roman" w:hAnsi="Times New Roman" w:eastAsia="方正仿宋_GBK" w:cs="Times New Roman"/>
          <w:bCs/>
          <w:sz w:val="32"/>
          <w:szCs w:val="32"/>
          <w:lang w:val="en-US" w:eastAsia="zh-CN" w:bidi="ar-SA"/>
        </w:rPr>
        <w:t>本部门2024年度无政府性基金预算财政拨款收支。</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Cs/>
          <w:sz w:val="32"/>
          <w:szCs w:val="32"/>
          <w:lang w:val="en-US" w:eastAsia="zh-CN" w:bidi="ar-SA"/>
        </w:rPr>
      </w:pPr>
      <w:r>
        <w:rPr>
          <w:rFonts w:hint="default" w:ascii="Times New Roman" w:hAnsi="Times New Roman" w:eastAsia="方正仿宋_GBK" w:cs="Times New Roman"/>
          <w:bCs/>
          <w:sz w:val="32"/>
          <w:szCs w:val="32"/>
          <w:lang w:val="en-US" w:eastAsia="zh-CN" w:bidi="ar-SA"/>
        </w:rPr>
        <w:t>本部门2024年度无国有资本经营预算财政拨款支出。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w:t>
      </w:r>
      <w:r>
        <w:rPr>
          <w:rFonts w:hint="eastAsia" w:ascii="方正仿宋_GBK" w:hAnsi="方正仿宋_GBK" w:eastAsia="方正仿宋_GBK" w:cs="方正仿宋_GBK"/>
          <w:sz w:val="32"/>
          <w:szCs w:val="32"/>
          <w:shd w:val="clear" w:color="auto" w:fill="FFFFFF"/>
        </w:rPr>
        <w:t>度“三公”经费支出</w:t>
      </w:r>
      <w:r>
        <w:rPr>
          <w:rFonts w:hint="default" w:ascii="Times New Roman" w:hAnsi="Times New Roman" w:eastAsia="方正仿宋_GBK" w:cs="Times New Roman"/>
          <w:sz w:val="32"/>
          <w:szCs w:val="32"/>
          <w:shd w:val="clear" w:color="auto" w:fill="FFFFFF"/>
        </w:rPr>
        <w:t>共计8.07万元，较年初预算数减少2.63万元，下降24.6%，</w:t>
      </w:r>
      <w:r>
        <w:rPr>
          <w:rFonts w:hint="default" w:ascii="Times New Roman" w:hAnsi="Times New Roman" w:eastAsia="方正仿宋_GBK" w:cs="Times New Roman"/>
          <w:color w:val="000000"/>
          <w:kern w:val="0"/>
          <w:sz w:val="32"/>
          <w:szCs w:val="32"/>
          <w:lang w:val="en-US" w:eastAsia="zh-CN" w:bidi="ar-SA"/>
        </w:rPr>
        <w:t>主要原因一是厉行节约，压减支出；二是机构改革，相关职能职责划入县农委，相应的公务接待费支出减少。</w:t>
      </w:r>
      <w:r>
        <w:rPr>
          <w:rFonts w:hint="default" w:ascii="Times New Roman" w:hAnsi="Times New Roman" w:eastAsia="方正仿宋_GBK" w:cs="Times New Roman"/>
          <w:sz w:val="32"/>
          <w:szCs w:val="32"/>
          <w:shd w:val="clear" w:color="auto" w:fill="FFFFFF"/>
        </w:rPr>
        <w:t>较上年支出数减少1.80万元，下降18.2%，</w:t>
      </w:r>
      <w:r>
        <w:rPr>
          <w:rFonts w:hint="default" w:ascii="Times New Roman" w:hAnsi="Times New Roman" w:eastAsia="方正仿宋_GBK" w:cs="Times New Roman"/>
          <w:color w:val="000000"/>
          <w:kern w:val="0"/>
          <w:sz w:val="32"/>
          <w:szCs w:val="32"/>
          <w:lang w:val="en-US" w:eastAsia="zh-CN" w:bidi="ar-SA"/>
        </w:rPr>
        <w:t>主要原因一是厉行节约，压减支出；二是机构改革，相关职能职责划入县农委，相应的公务接待费支出减少。</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车运行维护费4.50万元，</w:t>
      </w:r>
      <w:r>
        <w:rPr>
          <w:rFonts w:hint="default" w:ascii="Times New Roman" w:hAnsi="Times New Roman" w:eastAsia="方正仿宋_GBK" w:cs="Times New Roman"/>
          <w:color w:val="000000"/>
          <w:kern w:val="0"/>
          <w:sz w:val="32"/>
          <w:szCs w:val="32"/>
          <w:lang w:val="en-US" w:eastAsia="zh-CN" w:bidi="ar-SA"/>
        </w:rPr>
        <w:t>主要用于市县内因公出行、下乡督查检查等工作所需车辆的燃料费、保养维修费、过桥过路费、保险费等。</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较上年支出数增加0.85万元，增长23.3%，</w:t>
      </w:r>
      <w:r>
        <w:rPr>
          <w:rFonts w:hint="default" w:ascii="Times New Roman" w:hAnsi="Times New Roman" w:eastAsia="方正仿宋_GBK" w:cs="Times New Roman"/>
          <w:color w:val="000000"/>
          <w:kern w:val="0"/>
          <w:sz w:val="32"/>
          <w:szCs w:val="32"/>
          <w:lang w:val="en-US" w:eastAsia="zh-CN" w:bidi="ar-SA"/>
        </w:rPr>
        <w:t>主要原因是本年度下乡督查调研、县外出差较多，公车通行费、油费等支出增加，加之车辆老化，保养维修费也有所增加。</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公务接待费3.57万元，</w:t>
      </w:r>
      <w:r>
        <w:rPr>
          <w:rFonts w:hint="default" w:ascii="Times New Roman" w:hAnsi="Times New Roman" w:eastAsia="方正仿宋_GBK" w:cs="Times New Roman"/>
          <w:color w:val="000000"/>
          <w:kern w:val="0"/>
          <w:sz w:val="32"/>
          <w:szCs w:val="32"/>
        </w:rPr>
        <w:t>主要用于</w:t>
      </w:r>
      <w:r>
        <w:rPr>
          <w:rFonts w:hint="default" w:ascii="Times New Roman" w:hAnsi="Times New Roman" w:eastAsia="方正仿宋_GBK" w:cs="Times New Roman"/>
          <w:color w:val="000000"/>
          <w:kern w:val="0"/>
          <w:sz w:val="32"/>
          <w:szCs w:val="32"/>
          <w:lang w:eastAsia="zh-CN"/>
        </w:rPr>
        <w:t>接待国家和市级巩固拓展脱贫攻坚成果同乡村振兴有效衔接各项工作考核督查，市级部门</w:t>
      </w:r>
      <w:r>
        <w:rPr>
          <w:rFonts w:hint="default" w:ascii="Times New Roman" w:hAnsi="Times New Roman" w:eastAsia="方正仿宋_GBK" w:cs="Times New Roman"/>
          <w:color w:val="000000"/>
          <w:kern w:val="0"/>
          <w:sz w:val="32"/>
          <w:szCs w:val="32"/>
        </w:rPr>
        <w:t>检查指导</w:t>
      </w:r>
      <w:r>
        <w:rPr>
          <w:rFonts w:hint="default" w:ascii="Times New Roman" w:hAnsi="Times New Roman" w:eastAsia="方正仿宋_GBK" w:cs="Times New Roman"/>
          <w:color w:val="000000"/>
          <w:kern w:val="0"/>
          <w:sz w:val="32"/>
          <w:szCs w:val="32"/>
          <w:lang w:eastAsia="zh-CN"/>
        </w:rPr>
        <w:t>，其他区县单位到</w:t>
      </w:r>
      <w:r>
        <w:rPr>
          <w:rFonts w:hint="default" w:ascii="Times New Roman" w:hAnsi="Times New Roman" w:eastAsia="方正仿宋_GBK" w:cs="Times New Roman"/>
          <w:color w:val="000000"/>
          <w:kern w:val="0"/>
          <w:sz w:val="32"/>
          <w:szCs w:val="32"/>
        </w:rPr>
        <w:t>我</w:t>
      </w:r>
      <w:r>
        <w:rPr>
          <w:rFonts w:hint="default" w:ascii="Times New Roman" w:hAnsi="Times New Roman" w:eastAsia="方正仿宋_GBK" w:cs="Times New Roman"/>
          <w:color w:val="000000"/>
          <w:kern w:val="0"/>
          <w:sz w:val="32"/>
          <w:szCs w:val="32"/>
          <w:lang w:eastAsia="zh-CN"/>
        </w:rPr>
        <w:t>县</w:t>
      </w:r>
      <w:r>
        <w:rPr>
          <w:rFonts w:hint="default" w:ascii="Times New Roman" w:hAnsi="Times New Roman" w:eastAsia="方正仿宋_GBK" w:cs="Times New Roman"/>
          <w:color w:val="000000"/>
          <w:kern w:val="0"/>
          <w:sz w:val="32"/>
          <w:szCs w:val="32"/>
        </w:rPr>
        <w:t>学习调研</w:t>
      </w:r>
      <w:r>
        <w:rPr>
          <w:rFonts w:hint="default" w:ascii="Times New Roman" w:hAnsi="Times New Roman" w:eastAsia="方正仿宋_GBK" w:cs="Times New Roman"/>
          <w:color w:val="000000"/>
          <w:kern w:val="0"/>
          <w:sz w:val="32"/>
          <w:szCs w:val="32"/>
          <w:lang w:eastAsia="zh-CN"/>
        </w:rPr>
        <w:t>等</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sz w:val="32"/>
          <w:szCs w:val="32"/>
          <w:shd w:val="clear" w:color="auto" w:fill="FFFFFF"/>
        </w:rPr>
        <w:t>费用支出较年初预算数减少2.63万元，下降42.4%，主要原因是主要原因是</w:t>
      </w:r>
      <w:r>
        <w:rPr>
          <w:rFonts w:hint="default" w:ascii="Times New Roman" w:hAnsi="Times New Roman" w:eastAsia="方正仿宋_GBK" w:cs="Times New Roman"/>
          <w:color w:val="000000"/>
          <w:kern w:val="0"/>
          <w:sz w:val="32"/>
          <w:szCs w:val="32"/>
          <w:lang w:val="en-US" w:eastAsia="zh-CN" w:bidi="ar-SA"/>
        </w:rPr>
        <w:t>厉行节约，压减支出。</w:t>
      </w:r>
      <w:r>
        <w:rPr>
          <w:rFonts w:hint="default" w:ascii="Times New Roman" w:hAnsi="Times New Roman" w:eastAsia="方正仿宋_GBK" w:cs="Times New Roman"/>
          <w:sz w:val="32"/>
          <w:szCs w:val="32"/>
          <w:shd w:val="clear" w:color="auto" w:fill="FFFFFF"/>
        </w:rPr>
        <w:t>较上年支出数减少2.65万元，下降42.6%，主要原因是</w:t>
      </w:r>
      <w:r>
        <w:rPr>
          <w:rFonts w:hint="default" w:ascii="Times New Roman" w:hAnsi="Times New Roman" w:eastAsia="方正仿宋_GBK" w:cs="Times New Roman"/>
          <w:color w:val="000000"/>
          <w:kern w:val="0"/>
          <w:sz w:val="32"/>
          <w:szCs w:val="32"/>
          <w:lang w:val="en-US" w:eastAsia="zh-CN" w:bidi="ar-SA"/>
        </w:rPr>
        <w:t>厉行节约，压减支出。</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40批次370人，其中：国内外事接待0批次，0人；国（境）外公务接待0批次，0人。2024年本部门人均接待费96.47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本年度会议费支出0.00万元，与2023年度相比，减少0.13万元，下降100.0%，</w:t>
      </w:r>
      <w:r>
        <w:rPr>
          <w:rFonts w:hint="default" w:ascii="Times New Roman" w:hAnsi="Times New Roman" w:eastAsia="方正仿宋_GBK" w:cs="Times New Roman"/>
          <w:sz w:val="32"/>
          <w:szCs w:val="32"/>
          <w:lang w:val="en-US" w:eastAsia="zh-CN"/>
        </w:rPr>
        <w:t>主要原因一是加强财务管理，厉行节约，节省一般性支出；二是</w:t>
      </w:r>
      <w:r>
        <w:rPr>
          <w:rFonts w:hint="default" w:ascii="Times New Roman" w:hAnsi="Times New Roman" w:eastAsia="方正仿宋_GBK" w:cs="Times New Roman"/>
          <w:color w:val="000000"/>
          <w:kern w:val="0"/>
          <w:sz w:val="32"/>
          <w:szCs w:val="32"/>
          <w:lang w:val="en-US" w:eastAsia="zh-CN" w:bidi="ar-SA"/>
        </w:rPr>
        <w:t>机构改革，相关职能职责划入县农委，相应的会议费支出减少。</w:t>
      </w:r>
      <w:r>
        <w:rPr>
          <w:rFonts w:hint="default" w:ascii="Times New Roman" w:hAnsi="Times New Roman" w:eastAsia="方正仿宋_GBK" w:cs="Times New Roman"/>
          <w:sz w:val="32"/>
          <w:szCs w:val="32"/>
          <w:shd w:val="clear" w:color="auto" w:fill="FFFFFF"/>
        </w:rPr>
        <w:t>本年度培训费支出39.30万元，与2023年度相比，增加32.94万元，增长517.9%，主要原因是</w:t>
      </w:r>
      <w:r>
        <w:rPr>
          <w:rFonts w:hint="default" w:ascii="Times New Roman" w:hAnsi="Times New Roman" w:eastAsia="方正仿宋_GBK" w:cs="Times New Roman"/>
          <w:sz w:val="32"/>
          <w:szCs w:val="32"/>
          <w:shd w:val="clear" w:color="auto" w:fill="FFFFFF"/>
          <w:lang w:eastAsia="zh-CN"/>
        </w:rPr>
        <w:t>雨露技工培训项目支出部分资金纳入培训费核算。</w:t>
      </w:r>
      <w:r>
        <w:rPr>
          <w:rFonts w:hint="default" w:ascii="Times New Roman" w:hAnsi="Times New Roman" w:eastAsia="方正仿宋_GBK" w:cs="Times New Roman"/>
          <w:sz w:val="32"/>
          <w:szCs w:val="32"/>
          <w:shd w:val="clear" w:color="auto" w:fill="FFFFFF"/>
        </w:rPr>
        <w:t>本年度差旅费支出2.57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与2023年度相比，减少7.72万元，下降75.0%，主要原因是</w:t>
      </w:r>
      <w:r>
        <w:rPr>
          <w:rFonts w:hint="default" w:ascii="Times New Roman" w:hAnsi="Times New Roman" w:eastAsia="方正仿宋_GBK" w:cs="Times New Roman"/>
          <w:color w:val="000000"/>
          <w:kern w:val="0"/>
          <w:sz w:val="32"/>
          <w:szCs w:val="32"/>
          <w:lang w:val="en-US" w:eastAsia="zh-CN" w:bidi="ar-SA"/>
        </w:rPr>
        <w:t>机构改革，相关职能职责划入县农委，相应的公务出差支出减少。</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2024年度本部门机关运行经费支出67.72万元，机关运行经费主要用于</w:t>
      </w:r>
      <w:r>
        <w:rPr>
          <w:rFonts w:hint="default" w:ascii="Times New Roman" w:hAnsi="Times New Roman" w:eastAsia="方正仿宋_GBK" w:cs="Times New Roman"/>
          <w:b w:val="0"/>
          <w:bCs w:val="0"/>
          <w:kern w:val="0"/>
          <w:sz w:val="32"/>
          <w:szCs w:val="32"/>
          <w:shd w:val="clear" w:fill="FFFFFF"/>
          <w:lang w:val="en-US" w:eastAsia="zh-CN" w:bidi="ar"/>
        </w:rPr>
        <w:t>开支</w:t>
      </w:r>
      <w:r>
        <w:rPr>
          <w:rFonts w:hint="default" w:ascii="Times New Roman" w:hAnsi="Times New Roman" w:eastAsia="方正仿宋_GBK" w:cs="Times New Roman"/>
          <w:bCs/>
          <w:sz w:val="32"/>
          <w:szCs w:val="32"/>
          <w:lang w:val="en-US" w:eastAsia="zh-CN"/>
        </w:rPr>
        <w:t>办公经费33万元、办公电话费网络通信费等邮电费6.8万元、公务出差差旅费1.6万元、公务接待费3.2万元、公车运行维护费4.5万元、行政人员公车补贴6.8万元等。</w:t>
      </w:r>
      <w:r>
        <w:rPr>
          <w:rFonts w:hint="default" w:ascii="Times New Roman" w:hAnsi="Times New Roman" w:eastAsia="方正仿宋_GBK" w:cs="Times New Roman"/>
          <w:sz w:val="32"/>
          <w:szCs w:val="32"/>
          <w:shd w:val="clear" w:color="auto" w:fill="FFFFFF"/>
        </w:rPr>
        <w:t>机关运行经费较上年支出数增加38.76万元，增长133.8%，</w:t>
      </w:r>
      <w:r>
        <w:rPr>
          <w:rFonts w:hint="default" w:ascii="Times New Roman" w:hAnsi="Times New Roman" w:eastAsia="方正仿宋_GBK" w:cs="Times New Roman"/>
          <w:bCs/>
          <w:sz w:val="32"/>
          <w:szCs w:val="32"/>
          <w:lang w:val="en-US" w:eastAsia="zh-CN"/>
        </w:rPr>
        <w:t>主要原因是本年度事业发展经费、事业服务经费共计40万元纳入行政运行科目核算，剔除此部分影响，机关运行经费与去年基本持平。</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3"/>
        <w:keepNext w:val="0"/>
        <w:keepLines w:val="0"/>
        <w:pageBreakBefore w:val="0"/>
        <w:widowControl/>
        <w:numPr>
          <w:ilvl w:val="0"/>
          <w:numId w:val="0"/>
        </w:numPr>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（四）</w:t>
      </w:r>
      <w:r>
        <w:rPr>
          <w:rFonts w:hint="eastAsia" w:ascii="方正楷体_GBK" w:hAnsi="方正楷体_GBK" w:eastAsia="方正楷体_GBK" w:cs="方正楷体_GBK"/>
          <w:b w:val="0"/>
          <w:bCs w:val="0"/>
          <w:sz w:val="32"/>
          <w:szCs w:val="32"/>
          <w:shd w:val="clear" w:color="auto" w:fill="FFFFFF"/>
        </w:rPr>
        <w:t>政府采购支出情况说明</w:t>
      </w:r>
    </w:p>
    <w:p>
      <w:pPr>
        <w:pStyle w:val="13"/>
        <w:keepNext w:val="0"/>
        <w:keepLines w:val="0"/>
        <w:pageBreakBefore w:val="0"/>
        <w:widowControl/>
        <w:numPr>
          <w:ilvl w:val="0"/>
          <w:numId w:val="0"/>
        </w:numPr>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五、预算绩效管理情况说明</w:t>
      </w:r>
    </w:p>
    <w:p>
      <w:pPr>
        <w:pStyle w:val="13"/>
        <w:keepNext w:val="0"/>
        <w:keepLines w:val="0"/>
        <w:pageBreakBefore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bidi="ar"/>
        </w:rPr>
        <w:t>（一）</w:t>
      </w:r>
      <w:r>
        <w:rPr>
          <w:rFonts w:hint="default" w:ascii="Times New Roman" w:hAnsi="Times New Roman" w:eastAsia="方正楷体_GBK" w:cs="Times New Roman"/>
          <w:b w:val="0"/>
          <w:bCs w:val="0"/>
          <w:sz w:val="32"/>
          <w:szCs w:val="32"/>
          <w:shd w:val="clear" w:color="auto" w:fill="FFFFFF"/>
          <w:lang w:eastAsia="zh-CN" w:bidi="ar"/>
        </w:rPr>
        <w:t>部门</w:t>
      </w:r>
      <w:r>
        <w:rPr>
          <w:rFonts w:hint="default" w:ascii="Times New Roman" w:hAnsi="Times New Roman" w:eastAsia="方正楷体_GBK" w:cs="Times New Roman"/>
          <w:b w:val="0"/>
          <w:bCs w:val="0"/>
          <w:sz w:val="32"/>
          <w:szCs w:val="32"/>
          <w:shd w:val="clear" w:color="auto" w:fill="FFFFFF"/>
          <w:lang w:bidi="ar"/>
        </w:rPr>
        <w:t>自评情况</w:t>
      </w:r>
    </w:p>
    <w:p>
      <w:pPr>
        <w:pStyle w:val="13"/>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lang w:bidi="ar"/>
        </w:rPr>
        <w:t>根据预算绩效管理要求，我</w:t>
      </w:r>
      <w:r>
        <w:rPr>
          <w:rFonts w:hint="default" w:ascii="Times New Roman" w:hAnsi="Times New Roman" w:eastAsia="方正仿宋_GBK" w:cs="Times New Roman"/>
          <w:sz w:val="32"/>
          <w:szCs w:val="32"/>
          <w:shd w:val="clear" w:color="auto" w:fill="FFFFFF"/>
          <w:lang w:val="en-US" w:eastAsia="zh-CN" w:bidi="ar"/>
        </w:rPr>
        <w:t>单位</w:t>
      </w:r>
      <w:r>
        <w:rPr>
          <w:rFonts w:hint="default" w:ascii="Times New Roman" w:hAnsi="Times New Roman" w:eastAsia="方正仿宋_GBK" w:cs="Times New Roman"/>
          <w:sz w:val="32"/>
          <w:szCs w:val="32"/>
          <w:shd w:val="clear" w:color="auto" w:fill="FFFFFF"/>
          <w:lang w:bidi="ar"/>
        </w:rPr>
        <w:t>对</w:t>
      </w:r>
      <w:r>
        <w:rPr>
          <w:rFonts w:hint="default" w:ascii="Times New Roman" w:hAnsi="Times New Roman" w:eastAsia="方正仿宋_GBK" w:cs="Times New Roman"/>
          <w:sz w:val="32"/>
          <w:szCs w:val="32"/>
          <w:shd w:val="clear" w:color="auto" w:fill="FFFFFF"/>
          <w:lang w:val="en-US" w:eastAsia="zh-CN" w:bidi="ar"/>
        </w:rPr>
        <w:t>14</w:t>
      </w:r>
      <w:r>
        <w:rPr>
          <w:rFonts w:hint="default" w:ascii="Times New Roman" w:hAnsi="Times New Roman" w:eastAsia="方正仿宋_GBK" w:cs="Times New Roman"/>
          <w:sz w:val="32"/>
          <w:szCs w:val="32"/>
          <w:shd w:val="clear" w:color="auto" w:fill="FFFFFF"/>
          <w:lang w:bidi="ar"/>
        </w:rPr>
        <w:t>个项目开展了绩效自评，涉及项目支出资</w:t>
      </w:r>
      <w:r>
        <w:rPr>
          <w:rFonts w:hint="default" w:ascii="Times New Roman" w:hAnsi="Times New Roman" w:eastAsia="方正仿宋_GBK" w:cs="Times New Roman"/>
          <w:sz w:val="32"/>
          <w:szCs w:val="32"/>
          <w:shd w:val="clear" w:color="auto" w:fill="FFFFFF"/>
          <w:lang w:eastAsia="zh-CN" w:bidi="ar"/>
        </w:rPr>
        <w:t>金</w:t>
      </w:r>
      <w:r>
        <w:rPr>
          <w:rFonts w:hint="default" w:ascii="Times New Roman" w:hAnsi="Times New Roman" w:eastAsia="方正仿宋_GBK" w:cs="Times New Roman"/>
          <w:sz w:val="32"/>
          <w:szCs w:val="32"/>
          <w:shd w:val="clear" w:color="auto" w:fill="FFFFFF"/>
          <w:lang w:val="en-US" w:eastAsia="zh-CN" w:bidi="ar"/>
        </w:rPr>
        <w:t>1024.51</w:t>
      </w:r>
      <w:r>
        <w:rPr>
          <w:rFonts w:hint="default" w:ascii="Times New Roman" w:hAnsi="Times New Roman" w:eastAsia="方正仿宋_GBK" w:cs="Times New Roman"/>
          <w:sz w:val="32"/>
          <w:szCs w:val="32"/>
          <w:shd w:val="clear" w:color="auto" w:fill="FFFFFF"/>
          <w:lang w:bidi="ar"/>
        </w:rPr>
        <w:t>万元</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color w:val="000000"/>
          <w:kern w:val="0"/>
          <w:sz w:val="32"/>
          <w:szCs w:val="32"/>
          <w:lang w:val="en-US" w:eastAsia="zh-CN" w:bidi="ar-SA"/>
        </w:rPr>
        <w:t>从实施情况来看，所有</w:t>
      </w:r>
      <w:r>
        <w:rPr>
          <w:rFonts w:hint="default" w:ascii="Times New Roman" w:hAnsi="Times New Roman" w:eastAsia="方正仿宋_GBK" w:cs="Times New Roman"/>
          <w:sz w:val="32"/>
          <w:szCs w:val="32"/>
          <w:lang w:val="en-US" w:eastAsia="zh-CN"/>
        </w:rPr>
        <w:t>项目均按计划序时推进，在执行过程中，严格按资金绩效管理要求，进行全面绩效运行监</w:t>
      </w:r>
      <w:r>
        <w:rPr>
          <w:rFonts w:hint="default" w:ascii="Times New Roman" w:hAnsi="Times New Roman" w:eastAsia="方正仿宋_GBK" w:cs="Times New Roman"/>
          <w:sz w:val="32"/>
          <w:szCs w:val="32"/>
          <w:highlight w:val="none"/>
          <w:lang w:val="en-US" w:eastAsia="zh-CN"/>
        </w:rPr>
        <w:t>控，</w:t>
      </w:r>
      <w:r>
        <w:rPr>
          <w:rFonts w:hint="default" w:ascii="Times New Roman" w:hAnsi="Times New Roman" w:eastAsia="方正仿宋_GBK" w:cs="Times New Roman"/>
          <w:sz w:val="32"/>
          <w:szCs w:val="32"/>
          <w:lang w:val="en-US" w:eastAsia="zh-CN"/>
        </w:rPr>
        <w:t>并及时办理资金拨付，规范列支衔接资金，本年度所有项目</w:t>
      </w:r>
      <w:r>
        <w:rPr>
          <w:rFonts w:hint="default" w:ascii="Times New Roman" w:hAnsi="Times New Roman" w:eastAsia="方正仿宋_GBK" w:cs="Times New Roman"/>
          <w:color w:val="000000"/>
          <w:kern w:val="0"/>
          <w:sz w:val="32"/>
          <w:szCs w:val="32"/>
          <w:lang w:val="en-US" w:eastAsia="zh-CN" w:bidi="ar-SA"/>
        </w:rPr>
        <w:t>全部实施完毕且有效实现绩效目标。</w:t>
      </w:r>
    </w:p>
    <w:tbl>
      <w:tblPr>
        <w:tblStyle w:val="11"/>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265"/>
        <w:gridCol w:w="616"/>
        <w:gridCol w:w="616"/>
        <w:gridCol w:w="616"/>
        <w:gridCol w:w="720"/>
        <w:gridCol w:w="716"/>
        <w:gridCol w:w="810"/>
        <w:gridCol w:w="816"/>
        <w:gridCol w:w="1215"/>
        <w:gridCol w:w="744"/>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967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方正小标宋_GBK" w:cs="Times New Roman"/>
                <w:b w:val="0"/>
                <w:bCs w:val="0"/>
                <w:i w:val="0"/>
                <w:iCs w:val="0"/>
                <w:color w:val="000000"/>
                <w:kern w:val="0"/>
                <w:sz w:val="32"/>
                <w:szCs w:val="32"/>
                <w:u w:val="none"/>
                <w:lang w:val="en-US" w:eastAsia="zh-CN" w:bidi="ar"/>
              </w:rPr>
              <w:t>秀山县乡村振兴局2024年度部门整体绩效自评表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县乡村振兴局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部门编码</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自评总分（分）</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部门联系人</w:t>
            </w:r>
          </w:p>
        </w:tc>
        <w:tc>
          <w:tcPr>
            <w:tcW w:w="45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余洁</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13883366375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全年（调整）预算数</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执行率权重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149801036.87</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13422835.1</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13422835.1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singl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149801036.87</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13422835.1</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13422835.1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149801036.87</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13422835.1</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13422835.1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当年绩效目标</w:t>
            </w: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年初绩效目标</w:t>
            </w: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全年（调整）绩效目标</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巩固拓展脱贫攻坚成果同乡村振兴有效衔接各项工作顺利实施，防止返贫，推进乡村全面振兴。继续支持脱贫人口和边缘人口发展，全面巩固好脱贫攻坚成果，实现平稳过渡，做好实施巩固脱贫攻坚成果与乡村振兴战略的有效衔接。全县脱贫人口进一步巩固，防止出现新的绝对贫困突出问题。进一步巩固脱贫摘帽成果，基础设施和公共服务水平进一步提升。建立防止返贫监测和帮扶机制，把存在返贫致贫风险人口纳入监测，采取针对性、开发式的帮扶措施。</w:t>
            </w:r>
          </w:p>
        </w:tc>
        <w:tc>
          <w:tcPr>
            <w:tcW w:w="3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巩固拓展脱贫攻坚成果同乡村振兴有效衔接各项工作顺利实施，防止返贫，推进乡村全面振兴。继续支持脱贫人口和边缘人口发展，全面巩固好脱贫攻坚成果，实现平稳过渡，做好实施巩固脱贫攻坚成果与乡村振兴战略的有效衔接。全县脱贫人口进一步巩固，防止出现新的绝对贫困突出问题。进一步巩固脱贫摘帽成果，基础设施和公共服务水平进一步提升。建立防止返贫监测和帮扶机制，把存在返贫致贫风险人口纳入监测，采取针对性、开发式的帮扶措施。</w:t>
            </w:r>
          </w:p>
        </w:tc>
        <w:tc>
          <w:tcPr>
            <w:tcW w:w="2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巩固拓展脱贫攻坚成果同乡村振兴有效衔接各项工作顺利实施，防止返贫，推进乡村全面振兴。继续支持脱贫人口和边缘人口发展，全面巩固好脱贫攻坚成果，实现平稳过渡，做好实施巩固脱贫攻坚成果与乡村振兴战略的有效衔接。全县脱贫人口进一步巩固，防止出现新的绝对贫困突出问题。进一步巩固脱贫摘帽成果，基础设施和公共服务水平进一步提升。建立防止返贫监测和帮扶机制，把存在返贫致贫风险人口纳入监测，采取针对性、开发式的帮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偏离度（%）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得分系数（%）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指标权重（分）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指标得分（分）</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创建巴渝和美乡村重点村个数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牵头迎接市级及以上相关考核检查评估次数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部门预决算按时公开率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部门预决算及时编制率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国库集中支付资金拨付完成率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全年预算支出执行率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争取东西协作帮扶援助资金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争取中央单位定点帮扶援助资金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万元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3"/>
        <w:keepNext w:val="0"/>
        <w:keepLines w:val="0"/>
        <w:pageBreakBefore w:val="0"/>
        <w:widowControl/>
        <w:kinsoku/>
        <w:wordWrap/>
        <w:overflowPunct/>
        <w:topLinePunct w:val="0"/>
        <w:autoSpaceDE w:val="0"/>
        <w:autoSpaceDN/>
        <w:bidi w:val="0"/>
        <w:adjustRightInd/>
        <w:spacing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bidi="ar"/>
        </w:rPr>
      </w:pPr>
      <w:r>
        <w:rPr>
          <w:rFonts w:hint="eastAsia" w:ascii="方正楷体_GBK" w:hAnsi="方正楷体_GBK" w:eastAsia="方正楷体_GBK" w:cs="方正楷体_GBK"/>
          <w:b w:val="0"/>
          <w:bCs w:val="0"/>
          <w:sz w:val="32"/>
          <w:szCs w:val="32"/>
          <w:shd w:val="clear" w:color="auto" w:fill="FFFFFF"/>
          <w:lang w:bidi="ar"/>
        </w:rPr>
        <w:t>（二）部门绩效评价情况</w:t>
      </w:r>
    </w:p>
    <w:p>
      <w:pPr>
        <w:pStyle w:val="13"/>
        <w:keepNext w:val="0"/>
        <w:keepLines w:val="0"/>
        <w:pageBreakBefore w:val="0"/>
        <w:widowControl/>
        <w:kinsoku/>
        <w:wordWrap/>
        <w:overflowPunct/>
        <w:topLinePunct w:val="0"/>
        <w:autoSpaceDE w:val="0"/>
        <w:autoSpaceDN/>
        <w:bidi w:val="0"/>
        <w:adjustRightInd/>
        <w:spacing w:line="560" w:lineRule="exact"/>
        <w:ind w:firstLine="640"/>
        <w:textAlignment w:val="auto"/>
        <w:rPr>
          <w:rFonts w:hint="eastAsia" w:ascii="方正仿宋_GBK" w:hAnsi="方正仿宋_GBK" w:eastAsia="方正仿宋_GBK" w:cs="方正仿宋_GBK"/>
          <w:b w:val="0"/>
          <w:bCs w:val="0"/>
          <w:sz w:val="32"/>
          <w:szCs w:val="32"/>
          <w:highlight w:val="none"/>
          <w:shd w:val="clear" w:color="auto" w:fill="FFFFFF"/>
          <w:lang w:eastAsia="zh-CN" w:bidi="ar"/>
        </w:rPr>
      </w:pPr>
      <w:r>
        <w:rPr>
          <w:rFonts w:hint="eastAsia" w:ascii="方正仿宋_GBK" w:hAnsi="方正仿宋_GBK" w:eastAsia="方正仿宋_GBK" w:cs="方正仿宋_GBK"/>
          <w:b w:val="0"/>
          <w:bCs w:val="0"/>
          <w:sz w:val="32"/>
          <w:szCs w:val="32"/>
          <w:highlight w:val="none"/>
          <w:shd w:val="clear" w:color="auto" w:fill="FFFFFF"/>
          <w:lang w:eastAsia="zh-CN" w:bidi="ar"/>
        </w:rPr>
        <w:t>我部门未组织开展绩效评价。</w:t>
      </w:r>
    </w:p>
    <w:p>
      <w:pPr>
        <w:pStyle w:val="13"/>
        <w:keepNext w:val="0"/>
        <w:keepLines w:val="0"/>
        <w:pageBreakBefore w:val="0"/>
        <w:widowControl/>
        <w:kinsoku/>
        <w:wordWrap/>
        <w:overflowPunct/>
        <w:topLinePunct w:val="0"/>
        <w:autoSpaceDE w:val="0"/>
        <w:autoSpaceDN/>
        <w:bidi w:val="0"/>
        <w:adjustRightInd/>
        <w:spacing w:line="560" w:lineRule="exact"/>
        <w:ind w:firstLine="64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10"/>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eastAsia="zh-CN" w:bidi="ar"/>
        </w:rPr>
        <w:t>县财政局未委托第三方对我部门开展绩效评价。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二</w:t>
      </w:r>
      <w:r>
        <w:rPr>
          <w:rFonts w:hint="eastAsia" w:ascii="方正仿宋_GBK" w:hAnsi="方正仿宋_GBK" w:eastAsia="方正仿宋_GBK" w:cs="方正仿宋_GBK"/>
          <w:b/>
          <w:bCs/>
          <w:sz w:val="32"/>
          <w:szCs w:val="32"/>
          <w:shd w:val="clear" w:color="auto" w:fill="FFFFFF"/>
        </w:rPr>
        <w:t>）年初结转和结余：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三</w:t>
      </w:r>
      <w:r>
        <w:rPr>
          <w:rFonts w:hint="eastAsia" w:ascii="方正仿宋_GBK" w:hAnsi="方正仿宋_GBK" w:eastAsia="方正仿宋_GBK" w:cs="方正仿宋_GBK"/>
          <w:b/>
          <w:bCs/>
          <w:sz w:val="32"/>
          <w:szCs w:val="32"/>
          <w:shd w:val="clear" w:color="auto" w:fill="FFFFFF"/>
        </w:rPr>
        <w:t>）年末结转和结余：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四</w:t>
      </w:r>
      <w:r>
        <w:rPr>
          <w:rFonts w:hint="eastAsia" w:ascii="方正仿宋_GBK" w:hAnsi="方正仿宋_GBK" w:eastAsia="方正仿宋_GBK" w:cs="方正仿宋_GBK"/>
          <w:b/>
          <w:bCs/>
          <w:sz w:val="32"/>
          <w:szCs w:val="32"/>
          <w:shd w:val="clear" w:color="auto" w:fill="FFFFFF"/>
        </w:rPr>
        <w:t>）基本支出：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五</w:t>
      </w:r>
      <w:r>
        <w:rPr>
          <w:rFonts w:hint="eastAsia" w:ascii="方正仿宋_GBK" w:hAnsi="方正仿宋_GBK" w:eastAsia="方正仿宋_GBK" w:cs="方正仿宋_GBK"/>
          <w:b/>
          <w:bCs/>
          <w:sz w:val="32"/>
          <w:szCs w:val="32"/>
          <w:shd w:val="clear" w:color="auto" w:fill="FFFFFF"/>
        </w:rPr>
        <w:t>）项目支出：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六</w:t>
      </w:r>
      <w:r>
        <w:rPr>
          <w:rFonts w:hint="eastAsia" w:ascii="方正仿宋_GBK" w:hAnsi="方正仿宋_GBK" w:eastAsia="方正仿宋_GBK" w:cs="方正仿宋_GBK"/>
          <w:b/>
          <w:bCs/>
          <w:sz w:val="32"/>
          <w:szCs w:val="32"/>
          <w:shd w:val="clear" w:color="auto" w:fill="FFFFFF"/>
        </w:rPr>
        <w:t>）“三公”经费：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七</w:t>
      </w:r>
      <w:r>
        <w:rPr>
          <w:rFonts w:hint="eastAsia" w:ascii="方正仿宋_GBK" w:hAnsi="方正仿宋_GBK" w:eastAsia="方正仿宋_GBK" w:cs="方正仿宋_GBK"/>
          <w:b/>
          <w:bCs/>
          <w:sz w:val="32"/>
          <w:szCs w:val="32"/>
          <w:shd w:val="clear" w:color="auto" w:fill="FFFFFF"/>
        </w:rPr>
        <w:t>）机关运行经费：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八</w:t>
      </w:r>
      <w:r>
        <w:rPr>
          <w:rFonts w:hint="eastAsia" w:ascii="方正仿宋_GBK" w:hAnsi="方正仿宋_GBK" w:eastAsia="方正仿宋_GBK" w:cs="方正仿宋_GBK"/>
          <w:b/>
          <w:bCs/>
          <w:sz w:val="32"/>
          <w:szCs w:val="32"/>
          <w:shd w:val="clear" w:color="auto" w:fill="FFFFFF"/>
        </w:rPr>
        <w:t>）工资福利支出（支出经济分类科目类级）：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w:t>
      </w:r>
      <w:r>
        <w:rPr>
          <w:rFonts w:hint="eastAsia" w:ascii="方正仿宋_GBK" w:hAnsi="方正仿宋_GBK" w:eastAsia="方正仿宋_GBK" w:cs="方正仿宋_GBK"/>
          <w:b/>
          <w:bCs/>
          <w:sz w:val="32"/>
          <w:szCs w:val="32"/>
          <w:shd w:val="clear" w:color="auto" w:fill="FFFFFF"/>
          <w:lang w:eastAsia="zh-CN"/>
        </w:rPr>
        <w:t>九</w:t>
      </w:r>
      <w:r>
        <w:rPr>
          <w:rFonts w:hint="eastAsia" w:ascii="方正仿宋_GBK" w:hAnsi="方正仿宋_GBK" w:eastAsia="方正仿宋_GBK" w:cs="方正仿宋_GBK"/>
          <w:b/>
          <w:bCs/>
          <w:sz w:val="32"/>
          <w:szCs w:val="32"/>
          <w:shd w:val="clear" w:color="auto" w:fill="FFFFFF"/>
        </w:rPr>
        <w:t>）商品和服务支出（支出经济分类科目类级）：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（十）对个人和家庭的补助（支出经济分类科目类级）：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（十</w:t>
      </w:r>
      <w:r>
        <w:rPr>
          <w:rFonts w:hint="eastAsia" w:ascii="方正仿宋_GBK" w:hAnsi="方正仿宋_GBK" w:eastAsia="方正仿宋_GBK" w:cs="方正仿宋_GBK"/>
          <w:b/>
          <w:bCs/>
          <w:sz w:val="32"/>
          <w:szCs w:val="32"/>
          <w:shd w:val="clear" w:color="auto" w:fill="FFFFFF"/>
          <w:lang w:eastAsia="zh-CN"/>
        </w:rPr>
        <w:t>一</w:t>
      </w:r>
      <w:r>
        <w:rPr>
          <w:rFonts w:hint="eastAsia" w:ascii="方正仿宋_GBK" w:hAnsi="方正仿宋_GBK" w:eastAsia="方正仿宋_GBK" w:cs="方正仿宋_GBK"/>
          <w:b/>
          <w:bCs/>
          <w:sz w:val="32"/>
          <w:szCs w:val="32"/>
          <w:shd w:val="clear" w:color="auto" w:fill="FFFFFF"/>
        </w:rPr>
        <w:t>）其他资本性支出（支出经济分类科目类级）：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default" w:ascii="黑体" w:hAnsi="黑体" w:eastAsia="黑体" w:cs="黑体"/>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Times New Roman" w:hAnsi="Times New Roman" w:eastAsia="方正仿宋_GBK" w:cs="Times New Roman"/>
          <w:color w:val="auto"/>
          <w:sz w:val="32"/>
          <w:szCs w:val="32"/>
          <w:highlight w:val="none"/>
          <w:shd w:val="clear" w:color="auto" w:fill="FFFFFF"/>
          <w:lang w:val="en-US" w:eastAsia="zh-CN" w:bidi="ar-SA"/>
        </w:rPr>
        <w:t>023-76662856 余洁</w:t>
      </w:r>
      <w:bookmarkStart w:id="0" w:name="_GoBack"/>
      <w:bookmarkEnd w:id="0"/>
    </w:p>
    <w:p>
      <w:pPr>
        <w:pStyle w:val="13"/>
        <w:keepNext w:val="0"/>
        <w:keepLines w:val="0"/>
        <w:pageBreakBefore w:val="0"/>
        <w:widowControl/>
        <w:kinsoku/>
        <w:wordWrap/>
        <w:overflowPunct/>
        <w:topLinePunct w:val="0"/>
        <w:autoSpaceDE w:val="0"/>
        <w:autoSpaceDN/>
        <w:bidi w:val="0"/>
        <w:adjustRightInd/>
        <w:spacing w:line="560" w:lineRule="exact"/>
        <w:ind w:firstLine="640"/>
        <w:jc w:val="both"/>
        <w:textAlignment w:val="auto"/>
        <w:rPr>
          <w:rStyle w:val="10"/>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秀山土家族苗族自治县乡村振兴局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1,342.28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1,342.28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1,342.28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1,342.28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秀山土家族苗族自治县乡村振兴局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1,342.28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1,342.28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秀山土家族苗族自治县乡村振兴局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1,342.28</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317.77</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1,024.51</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1,262.18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1,258.98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秀山土家族苗族自治县乡村振兴局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秀山土家族苗族自治县乡村振兴局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1,342.28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317.77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1,024.51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1,262.18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1,258.98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1,003.24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秀山土家族苗族自治县乡村振兴局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242.32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秀山土家族苗族自治县乡村振兴局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秀山土家族苗族自治县乡村振兴局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秀山土家族苗族自治县乡村振兴局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D37AC0"/>
    <w:rsid w:val="01F3521E"/>
    <w:rsid w:val="03B87EA0"/>
    <w:rsid w:val="03E3214F"/>
    <w:rsid w:val="044C50BA"/>
    <w:rsid w:val="05BC6D49"/>
    <w:rsid w:val="06194FF1"/>
    <w:rsid w:val="06A2550B"/>
    <w:rsid w:val="06F80EE2"/>
    <w:rsid w:val="07001CCA"/>
    <w:rsid w:val="075678DB"/>
    <w:rsid w:val="079D7CC7"/>
    <w:rsid w:val="08051BCA"/>
    <w:rsid w:val="086C12F4"/>
    <w:rsid w:val="087B3940"/>
    <w:rsid w:val="08886F5E"/>
    <w:rsid w:val="08BA052C"/>
    <w:rsid w:val="08C96CD2"/>
    <w:rsid w:val="08DB07BA"/>
    <w:rsid w:val="0969353F"/>
    <w:rsid w:val="098305D0"/>
    <w:rsid w:val="098A0877"/>
    <w:rsid w:val="0A5C4B69"/>
    <w:rsid w:val="0A86124A"/>
    <w:rsid w:val="0AB54CC0"/>
    <w:rsid w:val="0B602DAB"/>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52F4368"/>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4A7707"/>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5F9A2D1F"/>
    <w:rsid w:val="60C74F6C"/>
    <w:rsid w:val="60F81AB5"/>
    <w:rsid w:val="61025A59"/>
    <w:rsid w:val="613B23FE"/>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10726</Words>
  <Characters>14201</Characters>
  <Lines>186</Lines>
  <Paragraphs>52</Paragraphs>
  <TotalTime>20</TotalTime>
  <ScaleCrop>false</ScaleCrop>
  <LinksUpToDate>false</LinksUpToDate>
  <CharactersWithSpaces>15390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农业科</cp:lastModifiedBy>
  <dcterms:modified xsi:type="dcterms:W3CDTF">2025-10-27T02:05:08Z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