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方正小标宋_GBK"/>
          <w:sz w:val="36"/>
          <w:szCs w:val="36"/>
        </w:rPr>
      </w:pPr>
      <w:r>
        <w:rPr>
          <w:rFonts w:ascii="Times New Roman" w:hAnsi="Times New Roman" w:eastAsia="方正小标宋_GBK" w:cs="方正小标宋_GBK"/>
          <w:sz w:val="36"/>
          <w:szCs w:val="36"/>
        </w:rPr>
        <w:t>秀山土家族苗族自治县卫生健康综合行政执法支队</w:t>
      </w:r>
      <w:r>
        <w:rPr>
          <w:rFonts w:hint="default" w:ascii="Times New Roman" w:hAnsi="Times New Roman" w:eastAsia="方正小标宋_GBK" w:cs="方正小标宋_GBK"/>
          <w:sz w:val="36"/>
          <w:szCs w:val="36"/>
        </w:rPr>
        <w:t>2024</w:t>
      </w:r>
      <w:r>
        <w:rPr>
          <w:rFonts w:ascii="Times New Roman" w:hAnsi="Times New Roman" w:eastAsia="方正小标宋_GBK" w:cs="方正小标宋_GBK"/>
          <w:sz w:val="36"/>
          <w:szCs w:val="36"/>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60" w:lineRule="exact"/>
        <w:ind w:firstLine="720" w:firstLineChars="200"/>
        <w:jc w:val="both"/>
        <w:textAlignment w:val="auto"/>
        <w:outlineLvl w:val="9"/>
        <w:rPr>
          <w:rFonts w:hint="default" w:ascii="Times New Roman" w:hAnsi="Times New Roman" w:eastAsia="方正小标宋_GBK" w:cs="方正小标宋_GBK"/>
          <w:sz w:val="36"/>
          <w:szCs w:val="36"/>
        </w:rPr>
      </w:pP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一、单位基本情况</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楷体_GBK" w:cs="方正楷体_GBK"/>
          <w:bCs/>
          <w:sz w:val="32"/>
          <w:szCs w:val="32"/>
        </w:rPr>
      </w:pPr>
      <w:r>
        <w:rPr>
          <w:rStyle w:val="11"/>
          <w:rFonts w:ascii="Times New Roman" w:hAnsi="Times New Roman" w:eastAsia="方正楷体_GBK" w:cs="方正楷体_GBK"/>
          <w:b w:val="0"/>
          <w:bCs/>
          <w:sz w:val="32"/>
          <w:szCs w:val="32"/>
          <w:shd w:val="clear" w:color="auto" w:fill="FFFFFF"/>
        </w:rPr>
        <w:t>（一）职能职责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1.负责宣传贯彻执行国家、市、县有关卫生健康方面的法律法规、政策规定，为人民群众提供卫生健康行政执法保障。</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2.承担公共场所卫生管理相关法律、法规、规章规定的行政处罚权及与之相关的行政检查、行政强制权等行政执法职责。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3.承担生活饮用水卫生管理相关法律、法规、规章规定的行政处罚权及与之相关的行政检查、行政强制权等行政执法职责。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4.承担涉及饮用水卫生安全产品管理相关法律、法规、规章规定的行政处罚权及与之相关的行政检查、行政强制权等行政执法职责。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5.承担学校卫生管理相关法律、法规、规章规定的行政处罚权及与之相关的行政检查、行政强制权等行政执法职责。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6.承担消毒产品管理相关法律、法规、规章规定的行政处罚权及与之相关的行政检查、行政强制权等行政执法职责。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7.承担餐饮具集中消毒管理相关法律、法规、规章规定的行政处罚权及与之相关的行政检查、行政强制权等行政执法职责。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8.承担传染病防治管理相关法律、法规、规章规定的行政处罚权及与之相关的行政检查、行政强制权等行政执法职责。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9.承担放射诊疗、放射卫生技术机构管理相关法律、法规、规章规定的行政处罚权及与之相关的行政检查、行政强制权等行政执法职责。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10.承担职业卫生、职业健康检查机构、职业病诊断机构、放射卫生技术机构管理相关法律、法规、规章规定的行政处罚权及与之相关的行政检查、行政强制权等行政执法职责。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11.承担医疗卫生管理相关法律、法规、规章规定的行政处罚权及与之相关的行政检查、行政强制权等行政执法职责。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12.承担中医管理相关法律、法规、规章规定的行政处罚权及与之相关的行政检查、行政强制权等行政执法职责。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13.承担血液安全管理相关法律、法规、规章规定的行政处罚权及与之相关的行政检查、行政强制权等行政执法职责。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14.承担计划生育管理相关法律、法规、规章规定的行政处罚权及与之相关的行政检查、行政强制权等行政执法职责。</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15.负责指导培训各公共卫生服务机构开展卫生健康监督协管工作。</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16.负责卫生健康综合执法信息化工作及行政区域内卫生健康综合行政执法信息收集、核实和上报。</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17.负责开展卫生健康综合行政执法稽查工作，负责卫生健康违法行为投诉、举报的查处。</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18.负责指导乡镇（街道）综合行政执法工作。</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19.承担县委、县政府及县卫生健康委交办的其他事项。</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20.承担职责范围内的卫生健康应急处置相关工作。</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本部门为秀山土家族苗族自治县卫生健康综合行政执法支队一级预算单位，无下级预算单位。本部门6个内设科室：综合科；法制稽查科；一大队；二大队；三大队；四大队。</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二、单位决算收支情况说明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2024</w:t>
      </w:r>
      <w:r>
        <w:rPr>
          <w:rFonts w:ascii="Times New Roman" w:hAnsi="Times New Roman" w:eastAsia="方正仿宋_GBK" w:cs="方正仿宋_GBK"/>
          <w:sz w:val="32"/>
          <w:szCs w:val="32"/>
        </w:rPr>
        <w:t>年度收、支总计均为</w:t>
      </w:r>
      <w:r>
        <w:rPr>
          <w:rFonts w:hint="default" w:ascii="Times New Roman" w:hAnsi="Times New Roman" w:eastAsia="方正仿宋_GBK" w:cs="方正仿宋_GBK"/>
          <w:sz w:val="32"/>
          <w:szCs w:val="32"/>
        </w:rPr>
        <w:t>738.06</w:t>
      </w:r>
      <w:r>
        <w:rPr>
          <w:rFonts w:ascii="Times New Roman" w:hAnsi="Times New Roman" w:eastAsia="方正仿宋_GBK" w:cs="方正仿宋_GBK"/>
          <w:sz w:val="32"/>
          <w:szCs w:val="32"/>
        </w:rPr>
        <w:t>万元。</w:t>
      </w:r>
      <w:r>
        <w:rPr>
          <w:rFonts w:hint="default" w:ascii="Times New Roman" w:hAnsi="Times New Roman" w:eastAsia="方正仿宋_GBK" w:cs="方正仿宋_GBK"/>
          <w:sz w:val="32"/>
          <w:szCs w:val="32"/>
        </w:rPr>
        <w:t>收、支与2023年度相比，减少205.14万元，下降21.8%</w:t>
      </w:r>
      <w:r>
        <w:rPr>
          <w:rFonts w:ascii="Times New Roman" w:hAnsi="Times New Roman" w:eastAsia="方正仿宋_GBK" w:cs="方正仿宋_GBK"/>
          <w:sz w:val="32"/>
          <w:szCs w:val="32"/>
        </w:rPr>
        <w:t>，主要原因是本年度我单位因机构改革和人员减少，</w:t>
      </w:r>
      <w:r>
        <w:rPr>
          <w:rFonts w:hint="default" w:ascii="Times New Roman" w:hAnsi="Times New Roman" w:eastAsia="方正仿宋_GBK" w:cs="方正仿宋_GBK"/>
          <w:sz w:val="32"/>
          <w:szCs w:val="32"/>
        </w:rPr>
        <w:t>在职人员11月至12月工资及五险一金由秀山县疾病预防控制中心支出，</w:t>
      </w:r>
      <w:r>
        <w:rPr>
          <w:rFonts w:ascii="Times New Roman" w:hAnsi="Times New Roman" w:eastAsia="方正仿宋_GBK" w:cs="方正仿宋_GBK"/>
          <w:sz w:val="32"/>
          <w:szCs w:val="32"/>
        </w:rPr>
        <w:t>导致2024年收、支较2023年减少。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1.收入情况。2024年度收入合计738.06万元，与2023年度相比，减少147.74万元，下降16.7%，主要原因是本年度我单位因机构改革和人员减少，在职人员11月至12月工资及五险一金由秀山县疾病预防控制中心支出，财政拨款收入减少，导致2024年收入较2023年减少。其中：财政拨款收入738.06万元，占100.0%；事业收入0.00万元，占0.0%；经营收入0.00万元，占0.0%；其他收入0.00万元，占0.0%。此外，使用非财政拨款结余（含专用结余）0.00万元，年初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支出情况。2024年度支出合计738.06万元，与2023年度相比，减少205.14万元，下降21.8%，主要原因是本年度我单位因机构改革和人员减少，在职人员11月至12月工资及五险一金由秀山县疾病预防控制中心支出，导致2024年支出较2023年减少。其中：基本支出677.57万元，占91.8%；项目支出60.49万元，占8.2%；经营支出0.00万元，占0.0%。此外，结余分配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 xml:space="preserve">3.结转结余情况。2024年度年末结转和结余0.00万元，与2023年度相比，无增减，主要原因是本年度资金使用完成，年末无结转和结余资金。 </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color w:val="FF0000"/>
          <w:sz w:val="32"/>
          <w:szCs w:val="32"/>
          <w:shd w:val="clear" w:color="auto" w:fill="FFFFFF"/>
        </w:rPr>
      </w:pPr>
      <w:r>
        <w:rPr>
          <w:rFonts w:hint="default" w:ascii="Times New Roman" w:hAnsi="Times New Roman" w:eastAsia="方正仿宋_GBK" w:cs="方正仿宋_GBK"/>
          <w:sz w:val="32"/>
          <w:szCs w:val="32"/>
        </w:rPr>
        <w:t>2024年度财政拨款收、支总计均为738.06万元。与2023年度相比，财政拨款收、支总计各减少205.14万元，下降21.8%。主要原因是本年度我单位因机构改革和人员减少，在职人员11月至12月工资及五险一金由秀山县疾病预防控制中心支出，导致2024年财政拨款收支较2023年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1.收入情况。2024年度一般公共预算财政拨款收入738.06万元，与2023年度相比，减少147.74万元，下降16.7%。主要原因是本年度我单位因机构改革和人员减少，在职人员11月至12月工资及五险一金由秀山县疾病预防控制中心支出，导致2024年一般公共预算财政拨款收入较2023年减少。较年初预算数减少185.36万元，下降20.1%。主要原因是本年度我单位因机构改革和人员减少，在职人员11月至12月工资及五险一金由秀山县疾病预防控制中心支出，年初预算数大于实际支付数。此外，年初财政拨款结转和结余0.00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支出情况。2024年度一般公共预算财政拨款支出738.06万元，与2023年度相比，减少205.14万元，下降21.8%。主要原因是本年度我单位因机构改革和人员减少，在职人员11月至12月工资及五险一金由秀山县疾病预防控制中心支出，人员经费支出减少，导致2024年一般公共预算财政拨款支出较2023年减少。较年初预算数减少185.36万元，下降20.1%。主要原因是本年度我单位因机构改革和人员减少，年初预算数大于实际支付数。</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一般公共预算财政拨款支出主要用途如下：</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1）社会保障和就业支出97.79万元，占13.3%，较年初预算数减少22.05万元，下降18.4%，主要原因是本年度我单位因机构改革和人员减少，在职人员11月至12月工资及五险一金由秀山县疾病预防控制中心支出，导致社会保障和就业支出较年初预算数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卫生健康支出595.07万元，占80.6%，较年初预算数减少151.21万元，下降20.3%，主要原因是本年度我单位因机构改革和人员减少，在职人员11月至12月工资及五险一金由秀山县疾病预防控制中心支出，导致卫生健康支出较年初预算数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3）住房保障支出45.19万元，占6.1%，较年初预算数减少12.11万元，下降21.1%，主要原因是本年度我单位因机构改革和人员减少，在职人员11月至12月工资及五险一金由秀山县疾病预防控制中心支出，导致住房保障支出较年初预算数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3.结转结余情况。2024年度年末一般公共预算财政拨款结转和结余0.00万元，与2023年度相比，无增减，主要原因是本年度资金使用完成，年末无结转和结余资金</w:t>
      </w:r>
      <w:r>
        <w:rPr>
          <w:rFonts w:hint="default" w:ascii="Times New Roman" w:hAnsi="Times New Roman" w:eastAsia="方正仿宋_GBK"/>
          <w:sz w:val="32"/>
          <w:szCs w:val="32"/>
          <w:shd w:val="clear" w:color="auto" w:fill="FFFFFF"/>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2024年度一般公共财政拨款基本支出677.57万元。其中：</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人员经费582.24万元，与2023年度相比，减少202.96万元，下降25.9%，主要原因是本年度我单位因机构改革和人员减少，在职人员11月至12月工资及五险一金由秀山县疾病预防控制中心支出，导致人员经费与2023年相比减少。人员经费用途主要包括人员社会保障、工资、绩效、津补贴支出等。</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公用经费95.33万元，与2023年度相比，增加16.25万元，增长20.6%，主要原因是办公费用支出增加。公用经费用途主要包括日常办公支出、印刷支出、会议支出、培训支出、差旅支出、水电支出、物管支出等。</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（五）政府性基金预算收支决算情况说明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本部门</w:t>
      </w:r>
      <w:r>
        <w:rPr>
          <w:rFonts w:hint="default" w:ascii="Times New Roman" w:hAnsi="Times New Roman" w:eastAsia="方正仿宋_GBK" w:cs="方正仿宋_GBK"/>
          <w:sz w:val="32"/>
          <w:szCs w:val="32"/>
        </w:rPr>
        <w:t>2024年度无政府性基金预算财政拨款收支。</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ascii="Times New Roman" w:hAnsi="Times New Roman" w:eastAsia="方正仿宋_GBK" w:cs="方正仿宋_GBK"/>
          <w:sz w:val="32"/>
          <w:szCs w:val="32"/>
        </w:rPr>
        <w:t>本部门</w:t>
      </w:r>
      <w:r>
        <w:rPr>
          <w:rFonts w:hint="default" w:ascii="Times New Roman" w:hAnsi="Times New Roman" w:eastAsia="方正仿宋_GBK" w:cs="方正仿宋_GBK"/>
          <w:sz w:val="32"/>
          <w:szCs w:val="32"/>
        </w:rPr>
        <w:t>2024年度无国有资本经营预算财政拨款支出。</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三、财政拨款“三公”经费情况说明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（一）“三公”经费支出总体情况说明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2024年度“三公”经费支出共计5.26万元，较年初预算数减少4.74万元，下降47.4%，主要原因是节约开支。较上年支出数减少1.95万元，下降27.1%，主要原因是车辆维修支出减少。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（二）“三公”经费分项支出情况</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2024年度本部门因公出国（境）费用0.00万元，主要是用于因公出国（境）。费用支出0.00万元，主要原因是本部门2024年度未发生因公出国（境）费用支出。较上年支出数无增减，主要原因是本部门2024年度未发生因公出国（境）费用支出。</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公务车购置费0.00万元，主要用于公务车辆购置。费用支出0.00万元，主要原因是本部门2024年度未发生公务车购置费用支出。较上年支出数无增减，主要原因是本部门2024年度未发生公务车购置费用支出。</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公务用车运行维护费5.26万元，主要用于车辆燃料费、保险费、维修保养费、过路过桥费、其他费用等。费用支出较年初预算数减少3.74万元，下降41.6%，主要原因是节约开支。较上年支出数减少1.75万元，下降25.0%，主要原因是车辆维修支出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 xml:space="preserve">公务接待费0.00万元，本年度未产生接待。费用支出较年初预算数减少1.00万元，下降100.0%，主要原因是本年度未发生接待支出。较上年支出数减少0.21万元，下降100.0%，主要原因是本年度未产生接待。 </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（三）“三公”经费实物量情况</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2024年度</w:t>
      </w:r>
      <w:r>
        <w:rPr>
          <w:rFonts w:ascii="Times New Roman" w:hAnsi="Times New Roman" w:eastAsia="方正仿宋_GBK" w:cs="方正仿宋_GBK"/>
          <w:sz w:val="32"/>
          <w:szCs w:val="32"/>
        </w:rPr>
        <w:t>本部门</w:t>
      </w:r>
      <w:r>
        <w:rPr>
          <w:rFonts w:hint="default" w:ascii="Times New Roman" w:hAnsi="Times New Roman" w:eastAsia="方正仿宋_GBK" w:cs="方正仿宋_GBK"/>
          <w:sz w:val="32"/>
          <w:szCs w:val="32"/>
        </w:rPr>
        <w:t>因公出国（境）共计0个团组，0人；公务用车购置0辆，公务车保有量为4辆；国内公务接待0批次0人，其中：国内外事接待0批次，0人；国（境）外公务接待0批次，0人。2024年</w:t>
      </w:r>
      <w:r>
        <w:rPr>
          <w:rFonts w:ascii="Times New Roman" w:hAnsi="Times New Roman" w:eastAsia="方正仿宋_GBK" w:cs="方正仿宋_GBK"/>
          <w:sz w:val="32"/>
          <w:szCs w:val="32"/>
        </w:rPr>
        <w:t>本部门</w:t>
      </w:r>
      <w:r>
        <w:rPr>
          <w:rFonts w:hint="default" w:ascii="Times New Roman" w:hAnsi="Times New Roman" w:eastAsia="方正仿宋_GBK" w:cs="方正仿宋_GBK"/>
          <w:sz w:val="32"/>
          <w:szCs w:val="32"/>
        </w:rPr>
        <w:t>人均接待费0元，车均购置费0万元，车均维护费1.32万元。</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（一）财政拨款会议费、培训费和差旅费情况说明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本年度会议费支出0.00万元，与2023年度相比，减少0.31万元，下降100.0%，主要原因是本年度我单位无会议支出。本年度培训费支出0.83万元，与2023年度相比，减少3.16万元，下降79.2%，主要原因是我单位节约开支，外部培训减少。本年度差旅费支出1.20万元，与2023年度相比，减少1.23万元，下降50.6%，主要原因是我单位节约开支，出差频次减少。</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（二）机关运行经费情况说明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2024年度</w:t>
      </w:r>
      <w:r>
        <w:rPr>
          <w:rFonts w:ascii="Times New Roman" w:hAnsi="Times New Roman" w:eastAsia="方正仿宋_GBK" w:cs="方正仿宋_GBK"/>
          <w:sz w:val="32"/>
          <w:szCs w:val="32"/>
        </w:rPr>
        <w:t>本部门</w:t>
      </w:r>
      <w:r>
        <w:rPr>
          <w:rFonts w:hint="default" w:ascii="Times New Roman" w:hAnsi="Times New Roman" w:eastAsia="方正仿宋_GBK" w:cs="方正仿宋_GBK"/>
          <w:sz w:val="32"/>
          <w:szCs w:val="32"/>
        </w:rPr>
        <w:t>机关运行经费支出95.33万元，机关运行经费主要用于开支日常办公支出、印刷费支出、水电支出、物管费支出、邮电费支出、差旅费支出、维修（维护）费支出、会议费支出、培训费支出、公务接待费支出、工会支出、福利费支出、公务用车运行维护费支出、其他交通费用支出。机关运行经费较上年支出数增加16.25万元，增长20.6%，主要原因是办公经费支出增加。</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Fonts w:hint="default" w:ascii="Times New Roman" w:hAnsi="Times New Roman" w:eastAsia="方正仿宋_GBK" w:cs="方正仿宋_GBK"/>
          <w:sz w:val="32"/>
          <w:szCs w:val="32"/>
        </w:rPr>
        <w:t>截至2024年12月31日，</w:t>
      </w:r>
      <w:r>
        <w:rPr>
          <w:rFonts w:ascii="Times New Roman" w:hAnsi="Times New Roman" w:eastAsia="方正仿宋_GBK" w:cs="方正仿宋_GBK"/>
          <w:sz w:val="32"/>
          <w:szCs w:val="32"/>
        </w:rPr>
        <w:t>本部门</w:t>
      </w:r>
      <w:r>
        <w:rPr>
          <w:rFonts w:hint="default" w:ascii="Times New Roman" w:hAnsi="Times New Roman" w:eastAsia="方正仿宋_GBK" w:cs="方正仿宋_GBK"/>
          <w:sz w:val="32"/>
          <w:szCs w:val="32"/>
        </w:rPr>
        <w:t>共有车辆4辆，其中，副部（省）级及以上领导用车0辆、主要负责人用车0辆、机要通信用车0辆、应急保障用车4辆、执法执勤用车0辆，特种专业技术用车0辆，离退休干部用车0辆。单价100万元（含）以上专用设备0台（套）。</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（四）政府采购支出情况说明</w:t>
      </w:r>
    </w:p>
    <w:p>
      <w:pPr>
        <w:pStyle w:val="14"/>
        <w:keepNext w:val="0"/>
        <w:keepLines w:val="0"/>
        <w:pageBreakBefore w:val="0"/>
        <w:widowControl/>
        <w:kinsoku/>
        <w:wordWrap/>
        <w:overflowPunct/>
        <w:topLinePunct w:val="0"/>
        <w:autoSpaceDE w:val="0"/>
        <w:autoSpaceDN/>
        <w:bidi w:val="0"/>
        <w:adjustRightInd/>
        <w:spacing w:line="560" w:lineRule="exact"/>
        <w:ind w:firstLine="640" w:firstLineChars="200"/>
        <w:jc w:val="both"/>
        <w:textAlignment w:val="auto"/>
        <w:outlineLvl w:val="9"/>
        <w:rPr>
          <w:rFonts w:ascii="Times New Roman" w:hAnsi="Times New Roman" w:eastAsia="方正仿宋_GBK" w:cs="方正仿宋_GBK"/>
          <w:sz w:val="32"/>
          <w:szCs w:val="32"/>
        </w:rPr>
      </w:pPr>
      <w:r>
        <w:rPr>
          <w:rFonts w:ascii="Times New Roman" w:hAnsi="Times New Roman" w:eastAsia="方正仿宋_GBK" w:cs="方正仿宋_GBK"/>
          <w:sz w:val="32"/>
          <w:szCs w:val="32"/>
        </w:rPr>
        <w:t>2024年度</w:t>
      </w:r>
      <w:r>
        <w:rPr>
          <w:rFonts w:hint="eastAsia" w:ascii="Times New Roman" w:hAnsi="Times New Roman" w:eastAsia="方正仿宋_GBK" w:cs="方正仿宋_GBK"/>
          <w:sz w:val="32"/>
          <w:szCs w:val="32"/>
        </w:rPr>
        <w:t>本部门</w:t>
      </w:r>
      <w:r>
        <w:rPr>
          <w:rFonts w:ascii="Times New Roman" w:hAnsi="Times New Roman" w:eastAsia="方正仿宋_GBK" w:cs="方正仿宋_GBK"/>
          <w:sz w:val="32"/>
          <w:szCs w:val="32"/>
        </w:rPr>
        <w:t>政府采购支出总额6.09万元，其中：政府采购货物支出6.09万元、政府采购工程支出0.00万元、政府采购服务支出0.00万元。授予中小企业合同金额6.09万元，占政府采购支出总额的100.0%，其中：授予小微企业合同金额6.09万元，占政府采购支出总额的100.0 %。主要用于采购便携式计算机</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台式机</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办公用复印纸</w:t>
      </w:r>
      <w:r>
        <w:rPr>
          <w:rFonts w:hint="eastAsia" w:ascii="Times New Roman" w:hAnsi="Times New Roman" w:eastAsia="方正仿宋_GBK" w:cs="方正仿宋_GBK"/>
          <w:sz w:val="32"/>
          <w:szCs w:val="32"/>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五、预算绩效管理情况说明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（一）单位自评情况</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outlineLvl w:val="9"/>
        <w:rPr>
          <w:rFonts w:ascii="Times New Roman" w:hAnsi="Times New Roman" w:eastAsia="方正仿宋_GBK" w:cs="方正仿宋_GBK"/>
          <w:sz w:val="32"/>
          <w:szCs w:val="32"/>
          <w:shd w:val="clear" w:color="auto" w:fill="FFFFFF"/>
        </w:rPr>
      </w:pPr>
      <w:r>
        <w:rPr>
          <w:rFonts w:ascii="Times New Roman" w:hAnsi="Times New Roman" w:eastAsia="方正仿宋_GBK"/>
          <w:sz w:val="32"/>
          <w:szCs w:val="32"/>
        </w:rPr>
        <w:t>根据预算绩效管理要求，我单位对单位整体和</w:t>
      </w:r>
      <w:r>
        <w:rPr>
          <w:rFonts w:hint="eastAsia" w:ascii="Times New Roman" w:hAnsi="Times New Roman" w:eastAsia="方正仿宋_GBK"/>
          <w:sz w:val="32"/>
          <w:szCs w:val="32"/>
        </w:rPr>
        <w:t>3</w:t>
      </w:r>
      <w:r>
        <w:rPr>
          <w:rFonts w:ascii="Times New Roman" w:hAnsi="Times New Roman" w:eastAsia="方正仿宋_GBK"/>
          <w:sz w:val="32"/>
          <w:szCs w:val="32"/>
        </w:rPr>
        <w:t>个</w:t>
      </w:r>
      <w:r>
        <w:rPr>
          <w:rFonts w:hint="eastAsia" w:ascii="Times New Roman" w:hAnsi="Times New Roman" w:eastAsia="方正仿宋_GBK"/>
          <w:sz w:val="32"/>
          <w:szCs w:val="32"/>
        </w:rPr>
        <w:t>二级</w:t>
      </w:r>
      <w:r>
        <w:rPr>
          <w:rFonts w:ascii="Times New Roman" w:hAnsi="Times New Roman" w:eastAsia="方正仿宋_GBK"/>
          <w:sz w:val="32"/>
          <w:szCs w:val="32"/>
        </w:rPr>
        <w:t>项目开展了绩效自评，其中，以填报自评表形式开展自评</w:t>
      </w:r>
      <w:r>
        <w:rPr>
          <w:rFonts w:hint="eastAsia" w:ascii="Times New Roman" w:hAnsi="Times New Roman" w:eastAsia="方正仿宋_GBK"/>
          <w:sz w:val="32"/>
          <w:szCs w:val="32"/>
        </w:rPr>
        <w:t>3</w:t>
      </w:r>
      <w:r>
        <w:rPr>
          <w:rFonts w:ascii="Times New Roman" w:hAnsi="Times New Roman" w:eastAsia="方正仿宋_GBK"/>
          <w:sz w:val="32"/>
          <w:szCs w:val="32"/>
        </w:rPr>
        <w:t>项，涉及</w:t>
      </w:r>
      <w:r>
        <w:rPr>
          <w:rFonts w:ascii="Times New Roman" w:hAnsi="Times New Roman" w:eastAsia="方正仿宋_GBK"/>
          <w:sz w:val="32"/>
          <w:szCs w:val="32"/>
          <w:shd w:val="clear" w:color="auto" w:fill="FFFFFF"/>
        </w:rPr>
        <w:t>财政拨款支出</w:t>
      </w:r>
      <w:r>
        <w:rPr>
          <w:rFonts w:ascii="Times New Roman" w:hAnsi="Times New Roman" w:eastAsia="方正仿宋_GBK"/>
          <w:sz w:val="32"/>
          <w:szCs w:val="32"/>
        </w:rPr>
        <w:t>资金</w:t>
      </w:r>
      <w:r>
        <w:rPr>
          <w:rFonts w:hint="eastAsia" w:ascii="Times New Roman" w:hAnsi="Times New Roman" w:eastAsia="方正仿宋_GBK"/>
          <w:sz w:val="32"/>
          <w:szCs w:val="32"/>
        </w:rPr>
        <w:t>66.07</w:t>
      </w:r>
      <w:r>
        <w:rPr>
          <w:rFonts w:ascii="Times New Roman" w:hAnsi="Times New Roman" w:eastAsia="方正仿宋_GBK"/>
          <w:sz w:val="32"/>
          <w:szCs w:val="32"/>
        </w:rPr>
        <w:t>万元；从评价情况来看，严格按照预算绩效管理要求执行，所考核的绩效指标客观、规范，从而促进工作取得实效。</w:t>
      </w:r>
    </w:p>
    <w:p>
      <w:pPr>
        <w:pStyle w:val="15"/>
        <w:keepNext w:val="0"/>
        <w:keepLines w:val="0"/>
        <w:pageBreakBefore w:val="0"/>
        <w:widowControl/>
        <w:numPr>
          <w:ilvl w:val="0"/>
          <w:numId w:val="1"/>
        </w:numPr>
        <w:kinsoku/>
        <w:wordWrap/>
        <w:overflowPunct/>
        <w:topLinePunct w:val="0"/>
        <w:autoSpaceDE w:val="0"/>
        <w:autoSpaceDN/>
        <w:bidi w:val="0"/>
        <w:adjustRightInd/>
        <w:spacing w:beforeAutospacing="0" w:afterAutospacing="0" w:line="560" w:lineRule="exact"/>
        <w:ind w:firstLine="640" w:firstLineChars="200"/>
        <w:jc w:val="both"/>
        <w:textAlignment w:val="auto"/>
        <w:outlineLvl w:val="9"/>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部门整体绩效自评表：</w:t>
      </w:r>
    </w:p>
    <w:p>
      <w:pPr>
        <w:jc w:val="center"/>
        <w:textAlignment w:val="center"/>
        <w:rPr>
          <w:rFonts w:hint="default" w:ascii="Times New Roman" w:hAnsi="Times New Roman" w:eastAsia="方正小标宋_GBK"/>
          <w:color w:val="000000"/>
          <w:sz w:val="36"/>
          <w:szCs w:val="36"/>
        </w:rPr>
      </w:pPr>
      <w:r>
        <w:rPr>
          <w:rFonts w:hint="default" w:ascii="Times New Roman" w:hAnsi="Times New Roman" w:eastAsia="方正小标宋_GBK"/>
          <w:color w:val="000000"/>
          <w:sz w:val="36"/>
          <w:szCs w:val="36"/>
        </w:rPr>
        <w:t>秀山土家族苗族自治县卫生</w:t>
      </w:r>
      <w:r>
        <w:rPr>
          <w:rFonts w:ascii="Times New Roman" w:hAnsi="Times New Roman" w:eastAsia="方正小标宋_GBK"/>
          <w:color w:val="000000"/>
          <w:sz w:val="36"/>
          <w:szCs w:val="36"/>
        </w:rPr>
        <w:t>健康综合行政执法支队</w:t>
      </w:r>
      <w:r>
        <w:rPr>
          <w:rFonts w:hint="default" w:ascii="Times New Roman" w:hAnsi="Times New Roman" w:eastAsia="方正小标宋_GBK"/>
          <w:color w:val="000000"/>
          <w:sz w:val="36"/>
          <w:szCs w:val="36"/>
        </w:rPr>
        <w:t>202</w:t>
      </w:r>
      <w:r>
        <w:rPr>
          <w:rFonts w:ascii="Times New Roman" w:hAnsi="Times New Roman" w:eastAsia="方正小标宋_GBK"/>
          <w:color w:val="000000"/>
          <w:sz w:val="36"/>
          <w:szCs w:val="36"/>
        </w:rPr>
        <w:t>4</w:t>
      </w:r>
      <w:r>
        <w:rPr>
          <w:rFonts w:hint="default" w:ascii="Times New Roman" w:hAnsi="Times New Roman" w:eastAsia="方正小标宋_GBK"/>
          <w:color w:val="000000"/>
          <w:sz w:val="36"/>
          <w:szCs w:val="36"/>
        </w:rPr>
        <w:t>年度部门整体绩效自评表</w:t>
      </w:r>
    </w:p>
    <w:p>
      <w:pPr>
        <w:pStyle w:val="2"/>
        <w:ind w:firstLine="240"/>
        <w:rPr>
          <w:rFonts w:hint="default"/>
        </w:rPr>
      </w:pPr>
    </w:p>
    <w:tbl>
      <w:tblPr>
        <w:tblStyle w:val="12"/>
        <w:tblW w:w="8520" w:type="dxa"/>
        <w:jc w:val="center"/>
        <w:tblInd w:w="0" w:type="dxa"/>
        <w:tblLayout w:type="fixed"/>
        <w:tblCellMar>
          <w:top w:w="15" w:type="dxa"/>
          <w:left w:w="15" w:type="dxa"/>
          <w:bottom w:w="15" w:type="dxa"/>
          <w:right w:w="15" w:type="dxa"/>
        </w:tblCellMar>
      </w:tblPr>
      <w:tblGrid>
        <w:gridCol w:w="1111"/>
        <w:gridCol w:w="1117"/>
        <w:gridCol w:w="75"/>
        <w:gridCol w:w="602"/>
        <w:gridCol w:w="655"/>
        <w:gridCol w:w="1549"/>
        <w:gridCol w:w="587"/>
        <w:gridCol w:w="628"/>
        <w:gridCol w:w="494"/>
        <w:gridCol w:w="447"/>
        <w:gridCol w:w="90"/>
        <w:gridCol w:w="582"/>
        <w:gridCol w:w="583"/>
      </w:tblGrid>
      <w:tr>
        <w:tblPrEx>
          <w:tblLayout w:type="fixed"/>
          <w:tblCellMar>
            <w:top w:w="15" w:type="dxa"/>
            <w:left w:w="15" w:type="dxa"/>
            <w:bottom w:w="15" w:type="dxa"/>
            <w:right w:w="15" w:type="dxa"/>
          </w:tblCellMar>
        </w:tblPrEx>
        <w:trPr>
          <w:cantSplit/>
          <w:trHeight w:val="454" w:hRule="atLeast"/>
          <w:jc w:val="center"/>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主管部门</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县财政局</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部门编码</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192</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自评总分（分）</w:t>
            </w:r>
          </w:p>
        </w:tc>
        <w:tc>
          <w:tcPr>
            <w:tcW w:w="34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97.79</w:t>
            </w:r>
          </w:p>
        </w:tc>
      </w:tr>
      <w:tr>
        <w:tblPrEx>
          <w:tblLayout w:type="fixed"/>
          <w:tblCellMar>
            <w:top w:w="15" w:type="dxa"/>
            <w:left w:w="15" w:type="dxa"/>
            <w:bottom w:w="15" w:type="dxa"/>
            <w:right w:w="15" w:type="dxa"/>
          </w:tblCellMar>
        </w:tblPrEx>
        <w:trPr>
          <w:cantSplit/>
          <w:trHeight w:val="454" w:hRule="atLeast"/>
          <w:jc w:val="center"/>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部门联系人</w:t>
            </w:r>
          </w:p>
        </w:tc>
        <w:tc>
          <w:tcPr>
            <w:tcW w:w="24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文娟</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联系人电话</w:t>
            </w:r>
          </w:p>
        </w:tc>
        <w:tc>
          <w:tcPr>
            <w:tcW w:w="34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18996968935</w:t>
            </w:r>
          </w:p>
        </w:tc>
      </w:tr>
      <w:tr>
        <w:tblPrEx>
          <w:tblLayout w:type="fixed"/>
          <w:tblCellMar>
            <w:top w:w="15" w:type="dxa"/>
            <w:left w:w="15" w:type="dxa"/>
            <w:bottom w:w="15" w:type="dxa"/>
            <w:right w:w="15" w:type="dxa"/>
          </w:tblCellMar>
        </w:tblPrEx>
        <w:trPr>
          <w:cantSplit/>
          <w:trHeight w:val="454" w:hRule="atLeast"/>
          <w:jc w:val="center"/>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年初预算数</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全年（调整）预算数</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全年执行数</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执行率</w:t>
            </w:r>
            <w:r>
              <w:rPr>
                <w:rFonts w:hint="default" w:ascii="Times New Roman" w:hAnsi="Times New Roman" w:eastAsia="方正仿宋_GBK"/>
              </w:rPr>
              <w:br w:type="textWrapping"/>
            </w:r>
            <w:r>
              <w:rPr>
                <w:rFonts w:hint="default" w:ascii="Times New Roman" w:hAnsi="Times New Roman" w:eastAsia="方正仿宋_GBK"/>
              </w:rPr>
              <w:t>（%）</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执行率</w:t>
            </w:r>
            <w:r>
              <w:rPr>
                <w:rFonts w:hint="default" w:ascii="Times New Roman" w:hAnsi="Times New Roman" w:eastAsia="方正仿宋_GBK"/>
              </w:rPr>
              <w:br w:type="textWrapping"/>
            </w:r>
            <w:r>
              <w:rPr>
                <w:rFonts w:hint="default" w:ascii="Times New Roman" w:hAnsi="Times New Roman" w:eastAsia="方正仿宋_GBK"/>
              </w:rPr>
              <w:t>权重</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执行率得分</w:t>
            </w:r>
            <w:r>
              <w:rPr>
                <w:rFonts w:hint="default" w:ascii="Times New Roman" w:hAnsi="Times New Roman" w:eastAsia="方正仿宋_GBK"/>
              </w:rPr>
              <w:br w:type="textWrapping"/>
            </w:r>
            <w:r>
              <w:rPr>
                <w:rFonts w:hint="default" w:ascii="Times New Roman" w:hAnsi="Times New Roman" w:eastAsia="方正仿宋_GBK"/>
              </w:rPr>
              <w:t>（分）</w:t>
            </w:r>
          </w:p>
        </w:tc>
      </w:tr>
      <w:tr>
        <w:tblPrEx>
          <w:tblLayout w:type="fixed"/>
          <w:tblCellMar>
            <w:top w:w="15" w:type="dxa"/>
            <w:left w:w="15" w:type="dxa"/>
            <w:bottom w:w="15" w:type="dxa"/>
            <w:right w:w="15" w:type="dxa"/>
          </w:tblCellMar>
        </w:tblPrEx>
        <w:trPr>
          <w:cantSplit/>
          <w:trHeight w:val="454" w:hRule="atLeast"/>
          <w:jc w:val="center"/>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年度总金额</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9234215.21</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7380557.14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7380557.14</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454" w:hRule="atLeast"/>
          <w:jc w:val="center"/>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其中：财政拨款</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9234215.21</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7380557.14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7380557.14</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100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10</w:t>
            </w: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10</w:t>
            </w:r>
          </w:p>
        </w:tc>
      </w:tr>
      <w:tr>
        <w:tblPrEx>
          <w:tblLayout w:type="fixed"/>
          <w:tblCellMar>
            <w:top w:w="15" w:type="dxa"/>
            <w:left w:w="15" w:type="dxa"/>
            <w:bottom w:w="15" w:type="dxa"/>
            <w:right w:w="15" w:type="dxa"/>
          </w:tblCellMar>
        </w:tblPrEx>
        <w:trPr>
          <w:cantSplit/>
          <w:trHeight w:val="454" w:hRule="atLeast"/>
          <w:jc w:val="center"/>
        </w:trPr>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一般公共预算</w:t>
            </w:r>
          </w:p>
        </w:tc>
        <w:tc>
          <w:tcPr>
            <w:tcW w:w="1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9234215.21</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7380557.14</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7380557.14</w:t>
            </w:r>
          </w:p>
        </w:tc>
        <w:tc>
          <w:tcPr>
            <w:tcW w:w="12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r>
              <w:rPr>
                <w:rFonts w:hint="default" w:ascii="Times New Roman" w:hAnsi="Times New Roman" w:eastAsia="方正仿宋_GBK"/>
              </w:rPr>
              <w:t>100</w:t>
            </w:r>
          </w:p>
        </w:tc>
        <w:tc>
          <w:tcPr>
            <w:tcW w:w="9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25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454" w:hRule="atLeast"/>
          <w:jc w:val="center"/>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当年绩效目标</w:t>
            </w:r>
          </w:p>
        </w:tc>
        <w:tc>
          <w:tcPr>
            <w:tcW w:w="24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年初绩效目标</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全年（调整）绩效目标</w:t>
            </w:r>
          </w:p>
        </w:tc>
        <w:tc>
          <w:tcPr>
            <w:tcW w:w="34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全年目标实际完成情况</w:t>
            </w:r>
          </w:p>
        </w:tc>
      </w:tr>
      <w:tr>
        <w:tblPrEx>
          <w:tblLayout w:type="fixed"/>
          <w:tblCellMar>
            <w:top w:w="15" w:type="dxa"/>
            <w:left w:w="15" w:type="dxa"/>
            <w:bottom w:w="15" w:type="dxa"/>
            <w:right w:w="15" w:type="dxa"/>
          </w:tblCellMar>
        </w:tblPrEx>
        <w:trPr>
          <w:cantSplit/>
          <w:trHeight w:val="1635"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24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textAlignment w:val="center"/>
              <w:rPr>
                <w:rFonts w:hint="default" w:ascii="Times New Roman" w:hAnsi="Times New Roman" w:eastAsia="方正仿宋_GBK"/>
                <w:color w:val="000000"/>
                <w:sz w:val="18"/>
                <w:szCs w:val="18"/>
              </w:rPr>
            </w:pPr>
            <w:r>
              <w:rPr>
                <w:rFonts w:hint="default" w:ascii="Times New Roman" w:hAnsi="Times New Roman" w:eastAsia="方正仿宋_GBK"/>
                <w:color w:val="000000"/>
                <w:sz w:val="18"/>
                <w:szCs w:val="18"/>
              </w:rPr>
              <w:t>1.规范卫生健康综合行政执法人员着装管理，加强队伍建设，充分展示卫生健康执法人员形象与良好的精神风貌。</w:t>
            </w:r>
          </w:p>
          <w:p>
            <w:pPr>
              <w:adjustRightInd w:val="0"/>
              <w:snapToGrid w:val="0"/>
              <w:textAlignment w:val="center"/>
              <w:rPr>
                <w:rFonts w:hint="default" w:ascii="Times New Roman" w:hAnsi="Times New Roman" w:eastAsia="方正仿宋_GBK"/>
                <w:color w:val="000000"/>
                <w:sz w:val="18"/>
                <w:szCs w:val="18"/>
              </w:rPr>
            </w:pPr>
            <w:r>
              <w:rPr>
                <w:rFonts w:hint="default" w:ascii="Times New Roman" w:hAnsi="Times New Roman" w:eastAsia="方正仿宋_GBK"/>
                <w:color w:val="000000"/>
                <w:sz w:val="18"/>
                <w:szCs w:val="18"/>
              </w:rPr>
              <w:t>2.加强卫生健康综合监督行政执法维护群众健康权益保障。</w:t>
            </w:r>
          </w:p>
          <w:p>
            <w:pPr>
              <w:adjustRightInd w:val="0"/>
              <w:snapToGrid w:val="0"/>
              <w:textAlignment w:val="center"/>
              <w:rPr>
                <w:rFonts w:hint="default" w:ascii="Times New Roman" w:hAnsi="Times New Roman" w:eastAsia="方正仿宋_GBK"/>
                <w:color w:val="000000"/>
                <w:sz w:val="18"/>
                <w:szCs w:val="18"/>
              </w:rPr>
            </w:pPr>
            <w:r>
              <w:rPr>
                <w:rFonts w:hint="default" w:ascii="Times New Roman" w:hAnsi="Times New Roman" w:eastAsia="方正仿宋_GBK"/>
                <w:color w:val="000000"/>
                <w:sz w:val="18"/>
                <w:szCs w:val="18"/>
              </w:rPr>
              <w:t>3.完成国家和市级部署的各类专项执法检查行动。</w:t>
            </w:r>
          </w:p>
          <w:p>
            <w:pPr>
              <w:adjustRightInd w:val="0"/>
              <w:snapToGrid w:val="0"/>
              <w:textAlignment w:val="center"/>
              <w:rPr>
                <w:rFonts w:hint="default" w:ascii="Times New Roman" w:hAnsi="Times New Roman" w:eastAsia="方正仿宋_GBK"/>
              </w:rPr>
            </w:pPr>
            <w:r>
              <w:rPr>
                <w:rFonts w:hint="default" w:ascii="Times New Roman" w:hAnsi="Times New Roman" w:eastAsia="方正仿宋_GBK"/>
                <w:color w:val="000000"/>
                <w:sz w:val="18"/>
                <w:szCs w:val="18"/>
              </w:rPr>
              <w:t>4.完成国家双随机监督及抽检任务。</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p>
        </w:tc>
        <w:tc>
          <w:tcPr>
            <w:tcW w:w="341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rPr>
                <w:rFonts w:hint="default" w:ascii="Times New Roman" w:hAnsi="Times New Roman" w:eastAsia="方正仿宋_GBK"/>
                <w:color w:val="000000"/>
                <w:sz w:val="18"/>
                <w:szCs w:val="18"/>
              </w:rPr>
            </w:pPr>
            <w:r>
              <w:rPr>
                <w:rFonts w:hint="default" w:ascii="Times New Roman" w:hAnsi="Times New Roman" w:eastAsia="方正仿宋_GBK"/>
                <w:color w:val="000000"/>
                <w:sz w:val="18"/>
                <w:szCs w:val="18"/>
              </w:rPr>
              <w:t>1.规范卫生健康综合行政执法人员着装管理，加强队伍建设，充分展示卫生健康执法人员形象与良好的精神风貌。</w:t>
            </w:r>
          </w:p>
          <w:p>
            <w:pPr>
              <w:adjustRightInd w:val="0"/>
              <w:snapToGrid w:val="0"/>
              <w:rPr>
                <w:rFonts w:hint="default" w:ascii="Times New Roman" w:hAnsi="Times New Roman" w:eastAsia="方正仿宋_GBK"/>
                <w:color w:val="000000"/>
                <w:sz w:val="18"/>
                <w:szCs w:val="18"/>
              </w:rPr>
            </w:pPr>
            <w:r>
              <w:rPr>
                <w:rFonts w:hint="default" w:ascii="Times New Roman" w:hAnsi="Times New Roman" w:eastAsia="方正仿宋_GBK"/>
                <w:color w:val="000000"/>
                <w:sz w:val="18"/>
                <w:szCs w:val="18"/>
              </w:rPr>
              <w:t>2.加强卫生健康综合监督行政执法维护群众健康权益保障。</w:t>
            </w:r>
          </w:p>
          <w:p>
            <w:pPr>
              <w:adjustRightInd w:val="0"/>
              <w:snapToGrid w:val="0"/>
              <w:rPr>
                <w:rFonts w:hint="default" w:ascii="Times New Roman" w:hAnsi="Times New Roman" w:eastAsia="方正仿宋_GBK"/>
                <w:color w:val="000000"/>
                <w:sz w:val="18"/>
                <w:szCs w:val="18"/>
              </w:rPr>
            </w:pPr>
            <w:r>
              <w:rPr>
                <w:rFonts w:hint="default" w:ascii="Times New Roman" w:hAnsi="Times New Roman" w:eastAsia="方正仿宋_GBK"/>
                <w:color w:val="000000"/>
                <w:sz w:val="18"/>
                <w:szCs w:val="18"/>
              </w:rPr>
              <w:t>3.完成国家和市级部署的各类专项执法检查行动。</w:t>
            </w:r>
          </w:p>
          <w:p>
            <w:pPr>
              <w:adjustRightInd w:val="0"/>
              <w:snapToGrid w:val="0"/>
              <w:rPr>
                <w:rFonts w:hint="default" w:ascii="Times New Roman" w:hAnsi="Times New Roman" w:eastAsia="方正仿宋_GBK"/>
              </w:rPr>
            </w:pPr>
            <w:r>
              <w:rPr>
                <w:rFonts w:hint="default" w:ascii="Times New Roman" w:hAnsi="Times New Roman" w:eastAsia="方正仿宋_GBK"/>
                <w:color w:val="000000"/>
                <w:sz w:val="18"/>
                <w:szCs w:val="18"/>
              </w:rPr>
              <w:t>4.完成国家双随机监督及抽检任务。</w:t>
            </w:r>
          </w:p>
        </w:tc>
      </w:tr>
      <w:tr>
        <w:tblPrEx>
          <w:tblLayout w:type="fixed"/>
          <w:tblCellMar>
            <w:top w:w="15" w:type="dxa"/>
            <w:left w:w="15" w:type="dxa"/>
            <w:bottom w:w="15" w:type="dxa"/>
            <w:right w:w="15" w:type="dxa"/>
          </w:tblCellMar>
        </w:tblPrEx>
        <w:trPr>
          <w:cantSplit/>
          <w:trHeight w:val="1313" w:hRule="atLeast"/>
          <w:jc w:val="center"/>
        </w:trPr>
        <w:tc>
          <w:tcPr>
            <w:tcW w:w="11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绩效指标</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指标名称</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计量单位</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指标性质</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指标值</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全年完成值</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偏离度（%）</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得分系数（%）</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指标权重（分）</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指标得分（分）</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rPr>
              <w:t>说明</w:t>
            </w:r>
          </w:p>
        </w:tc>
      </w:tr>
      <w:tr>
        <w:tblPrEx>
          <w:tblLayout w:type="fixed"/>
          <w:tblCellMar>
            <w:top w:w="15" w:type="dxa"/>
            <w:left w:w="15" w:type="dxa"/>
            <w:bottom w:w="15" w:type="dxa"/>
            <w:right w:w="15" w:type="dxa"/>
          </w:tblCellMar>
        </w:tblPrEx>
        <w:trPr>
          <w:cantSplit/>
          <w:trHeight w:val="669"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国家双随机抽检任务</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次</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183</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180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1.64</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83.6</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12.54</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454"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检查对象数量</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次</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1434</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1801</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25.59</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454"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color w:val="000000"/>
              </w:rPr>
            </w:pPr>
            <w:r>
              <w:rPr>
                <w:rFonts w:hint="default" w:ascii="Times New Roman" w:hAnsi="Times New Roman" w:eastAsia="方正仿宋_GBK"/>
                <w:color w:val="000000"/>
              </w:rPr>
              <w:t>开展卫生执法专项监督数量</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次</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8</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669"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color w:val="000000"/>
              </w:rPr>
            </w:pPr>
            <w:r>
              <w:rPr>
                <w:rFonts w:hint="default" w:ascii="Times New Roman" w:hAnsi="Times New Roman" w:eastAsia="方正仿宋_GBK"/>
                <w:color w:val="000000"/>
              </w:rPr>
              <w:t>开展卫生执法专项行动</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次</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8</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15</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669"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color w:val="000000"/>
              </w:rPr>
            </w:pPr>
            <w:r>
              <w:rPr>
                <w:rFonts w:hint="default" w:ascii="Times New Roman" w:hAnsi="Times New Roman" w:eastAsia="方正仿宋_GBK"/>
                <w:color w:val="000000"/>
              </w:rPr>
              <w:t>年度检查任务按时完成率</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98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8.89</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454"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开展社会媒体宣传</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次</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4</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8</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454"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问题整改落实率</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90</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11.11</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669" w:hRule="atLeast"/>
          <w:jc w:val="center"/>
        </w:trPr>
        <w:tc>
          <w:tcPr>
            <w:tcW w:w="11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检查人员被投诉次数</w:t>
            </w:r>
          </w:p>
        </w:tc>
        <w:tc>
          <w:tcPr>
            <w:tcW w:w="6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次</w:t>
            </w: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w:t>
            </w:r>
          </w:p>
        </w:tc>
        <w:tc>
          <w:tcPr>
            <w:tcW w:w="1549"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w:t>
            </w:r>
          </w:p>
        </w:tc>
        <w:tc>
          <w:tcPr>
            <w:tcW w:w="587"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49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100</w:t>
            </w:r>
          </w:p>
        </w:tc>
        <w:tc>
          <w:tcPr>
            <w:tcW w:w="5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textAlignment w:val="center"/>
              <w:rPr>
                <w:rFonts w:hint="default" w:ascii="Times New Roman" w:hAnsi="Times New Roman" w:eastAsia="方正仿宋_GBK"/>
              </w:rPr>
            </w:pPr>
            <w:r>
              <w:rPr>
                <w:rFonts w:hint="default" w:ascii="Times New Roman" w:hAnsi="Times New Roman" w:eastAsia="方正仿宋_GBK"/>
                <w:color w:val="000000"/>
              </w:rPr>
              <w:t>10</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jc w:val="center"/>
              <w:rPr>
                <w:rFonts w:hint="default" w:ascii="Times New Roman" w:hAnsi="Times New Roman" w:eastAsia="方正仿宋_GBK"/>
              </w:rPr>
            </w:pPr>
          </w:p>
        </w:tc>
      </w:tr>
      <w:tr>
        <w:tblPrEx>
          <w:tblLayout w:type="fixed"/>
          <w:tblCellMar>
            <w:top w:w="15" w:type="dxa"/>
            <w:left w:w="15" w:type="dxa"/>
            <w:bottom w:w="15" w:type="dxa"/>
            <w:right w:w="15" w:type="dxa"/>
          </w:tblCellMar>
        </w:tblPrEx>
        <w:trPr>
          <w:cantSplit/>
          <w:trHeight w:val="714" w:hRule="atLeast"/>
          <w:jc w:val="center"/>
        </w:trPr>
        <w:tc>
          <w:tcPr>
            <w:tcW w:w="1111" w:type="dxa"/>
            <w:tcBorders>
              <w:top w:val="single" w:color="auto" w:sz="4" w:space="0"/>
              <w:left w:val="single" w:color="auto" w:sz="4" w:space="0"/>
              <w:bottom w:val="single" w:color="auto" w:sz="4" w:space="0"/>
              <w:right w:val="single" w:color="000000" w:sz="4" w:space="0"/>
            </w:tcBorders>
            <w:shd w:val="clear" w:color="auto" w:fill="auto"/>
            <w:vAlign w:val="center"/>
          </w:tcPr>
          <w:p>
            <w:pPr>
              <w:adjustRightInd w:val="0"/>
              <w:snapToGrid w:val="0"/>
              <w:textAlignment w:val="center"/>
              <w:rPr>
                <w:rFonts w:hint="default" w:ascii="Times New Roman" w:hAnsi="Times New Roman" w:eastAsia="方正仿宋_GBK"/>
              </w:rPr>
            </w:pPr>
            <w:r>
              <w:rPr>
                <w:rFonts w:hint="default" w:ascii="Times New Roman" w:hAnsi="Times New Roman" w:eastAsia="方正仿宋_GBK"/>
              </w:rPr>
              <w:t>总体说明</w:t>
            </w:r>
          </w:p>
        </w:tc>
        <w:tc>
          <w:tcPr>
            <w:tcW w:w="7409" w:type="dxa"/>
            <w:gridSpan w:val="12"/>
            <w:tcBorders>
              <w:top w:val="single" w:color="auto" w:sz="4" w:space="0"/>
              <w:left w:val="single" w:color="000000" w:sz="4" w:space="0"/>
              <w:bottom w:val="single" w:color="auto" w:sz="4" w:space="0"/>
              <w:right w:val="single" w:color="auto" w:sz="4" w:space="0"/>
            </w:tcBorders>
            <w:shd w:val="clear" w:color="auto" w:fill="auto"/>
            <w:vAlign w:val="center"/>
          </w:tcPr>
          <w:p>
            <w:pPr>
              <w:adjustRightInd w:val="0"/>
              <w:snapToGrid w:val="0"/>
              <w:textAlignment w:val="center"/>
              <w:rPr>
                <w:rFonts w:hint="default" w:ascii="Times New Roman" w:hAnsi="Times New Roman" w:eastAsia="方正仿宋_GBK"/>
              </w:rPr>
            </w:pPr>
          </w:p>
        </w:tc>
      </w:tr>
    </w:tbl>
    <w:p>
      <w:pPr>
        <w:pStyle w:val="14"/>
        <w:autoSpaceDE w:val="0"/>
        <w:spacing w:line="560" w:lineRule="exact"/>
        <w:ind w:firstLine="321" w:firstLineChars="100"/>
        <w:rPr>
          <w:rFonts w:ascii="Times New Roman" w:hAnsi="Times New Roman" w:eastAsia="方正仿宋_GBK"/>
          <w:b/>
          <w:bCs/>
          <w:sz w:val="32"/>
          <w:szCs w:val="32"/>
        </w:rPr>
      </w:pPr>
    </w:p>
    <w:p>
      <w:pPr>
        <w:pStyle w:val="14"/>
        <w:autoSpaceDE w:val="0"/>
        <w:spacing w:line="560" w:lineRule="exact"/>
        <w:ind w:firstLine="643"/>
        <w:rPr>
          <w:rFonts w:ascii="Times New Roman" w:hAnsi="Times New Roman" w:eastAsia="方正仿宋_GBK"/>
          <w:b/>
          <w:bCs/>
          <w:sz w:val="32"/>
          <w:szCs w:val="32"/>
        </w:rPr>
      </w:pPr>
      <w:r>
        <w:rPr>
          <w:rFonts w:hint="eastAsia" w:ascii="Times New Roman" w:hAnsi="Times New Roman" w:eastAsia="方正仿宋_GBK"/>
          <w:b/>
          <w:bCs/>
          <w:sz w:val="32"/>
          <w:szCs w:val="32"/>
        </w:rPr>
        <w:t>2.</w:t>
      </w:r>
      <w:r>
        <w:rPr>
          <w:rFonts w:hint="eastAsia" w:ascii="Times New Roman" w:hAnsi="Times New Roman" w:eastAsia="方正仿宋_GBK" w:cs="方正仿宋_GBK"/>
          <w:sz w:val="32"/>
          <w:szCs w:val="32"/>
        </w:rPr>
        <w:t>项目支出绩效自评表（二级项目）：</w:t>
      </w:r>
    </w:p>
    <w:tbl>
      <w:tblPr>
        <w:tblStyle w:val="12"/>
        <w:tblpPr w:leftFromText="180" w:rightFromText="180" w:vertAnchor="text" w:horzAnchor="page" w:tblpX="1798" w:tblpY="543"/>
        <w:tblOverlap w:val="never"/>
        <w:tblW w:w="8301" w:type="dxa"/>
        <w:tblInd w:w="0" w:type="dxa"/>
        <w:tblLayout w:type="fixed"/>
        <w:tblCellMar>
          <w:top w:w="15" w:type="dxa"/>
          <w:left w:w="15" w:type="dxa"/>
          <w:bottom w:w="15" w:type="dxa"/>
          <w:right w:w="15" w:type="dxa"/>
        </w:tblCellMar>
      </w:tblPr>
      <w:tblGrid>
        <w:gridCol w:w="525"/>
        <w:gridCol w:w="1034"/>
        <w:gridCol w:w="1443"/>
        <w:gridCol w:w="645"/>
        <w:gridCol w:w="645"/>
        <w:gridCol w:w="645"/>
        <w:gridCol w:w="645"/>
        <w:gridCol w:w="645"/>
        <w:gridCol w:w="645"/>
        <w:gridCol w:w="645"/>
        <w:gridCol w:w="784"/>
      </w:tblGrid>
      <w:tr>
        <w:tblPrEx>
          <w:tblLayout w:type="fixed"/>
          <w:tblCellMar>
            <w:top w:w="15" w:type="dxa"/>
            <w:left w:w="15" w:type="dxa"/>
            <w:bottom w:w="15" w:type="dxa"/>
            <w:right w:w="15" w:type="dxa"/>
          </w:tblCellMar>
        </w:tblPrEx>
        <w:trPr>
          <w:trHeight w:val="1381" w:hRule="atLeast"/>
        </w:trPr>
        <w:tc>
          <w:tcPr>
            <w:tcW w:w="8301" w:type="dxa"/>
            <w:gridSpan w:val="11"/>
            <w:shd w:val="clear" w:color="auto" w:fill="auto"/>
            <w:vAlign w:val="center"/>
          </w:tcPr>
          <w:p>
            <w:pPr>
              <w:jc w:val="center"/>
              <w:textAlignment w:val="center"/>
              <w:rPr>
                <w:rFonts w:hint="default" w:ascii="Times New Roman" w:hAnsi="Times New Roman" w:eastAsia="方正小标宋_GBK"/>
                <w:b/>
                <w:color w:val="000000"/>
                <w:sz w:val="36"/>
                <w:szCs w:val="36"/>
              </w:rPr>
            </w:pPr>
            <w:r>
              <w:rPr>
                <w:rFonts w:hint="default" w:ascii="Times New Roman" w:hAnsi="Times New Roman" w:eastAsia="方正小标宋_GBK"/>
                <w:b/>
                <w:color w:val="000000"/>
                <w:sz w:val="36"/>
                <w:szCs w:val="36"/>
              </w:rPr>
              <w:t>秀山土家族苗族自治县卫生</w:t>
            </w:r>
            <w:r>
              <w:rPr>
                <w:rFonts w:ascii="Times New Roman" w:hAnsi="Times New Roman" w:eastAsia="方正小标宋_GBK"/>
                <w:b/>
                <w:color w:val="000000"/>
                <w:sz w:val="36"/>
                <w:szCs w:val="36"/>
              </w:rPr>
              <w:t>健康综合行政执法支队</w:t>
            </w:r>
            <w:r>
              <w:rPr>
                <w:rFonts w:hint="default" w:ascii="Times New Roman" w:hAnsi="Times New Roman" w:eastAsia="方正小标宋_GBK"/>
                <w:b/>
                <w:color w:val="000000"/>
                <w:sz w:val="36"/>
                <w:szCs w:val="36"/>
              </w:rPr>
              <w:t>202</w:t>
            </w:r>
            <w:r>
              <w:rPr>
                <w:rFonts w:ascii="Times New Roman" w:hAnsi="Times New Roman" w:eastAsia="方正小标宋_GBK"/>
                <w:b/>
                <w:color w:val="000000"/>
                <w:sz w:val="36"/>
                <w:szCs w:val="36"/>
              </w:rPr>
              <w:t>4</w:t>
            </w:r>
            <w:r>
              <w:rPr>
                <w:rFonts w:hint="default" w:ascii="Times New Roman" w:hAnsi="Times New Roman" w:eastAsia="方正小标宋_GBK"/>
                <w:b/>
                <w:color w:val="000000"/>
                <w:sz w:val="36"/>
                <w:szCs w:val="36"/>
              </w:rPr>
              <w:t>年度项目支出绩效自评情况表</w:t>
            </w:r>
          </w:p>
          <w:p>
            <w:pPr>
              <w:jc w:val="center"/>
              <w:textAlignment w:val="center"/>
              <w:rPr>
                <w:rFonts w:hint="default" w:ascii="Times New Roman" w:hAnsi="Times New Roman" w:cs="宋体"/>
                <w:b/>
                <w:color w:val="000000"/>
                <w:sz w:val="32"/>
                <w:szCs w:val="32"/>
              </w:rPr>
            </w:pPr>
            <w:r>
              <w:rPr>
                <w:rFonts w:hint="default" w:ascii="Times New Roman" w:hAnsi="Times New Roman" w:eastAsia="方正小标宋_GBK"/>
                <w:b/>
                <w:color w:val="000000"/>
                <w:sz w:val="36"/>
                <w:szCs w:val="36"/>
              </w:rPr>
              <w:t>（二级项目）</w:t>
            </w:r>
          </w:p>
        </w:tc>
      </w:tr>
      <w:tr>
        <w:tblPrEx>
          <w:tblLayout w:type="fixed"/>
          <w:tblCellMar>
            <w:top w:w="15" w:type="dxa"/>
            <w:left w:w="15" w:type="dxa"/>
            <w:bottom w:w="15" w:type="dxa"/>
            <w:right w:w="15" w:type="dxa"/>
          </w:tblCellMar>
        </w:tblPrEx>
        <w:trPr>
          <w:trHeight w:val="1396"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序号</w:t>
            </w:r>
          </w:p>
        </w:tc>
        <w:tc>
          <w:tcPr>
            <w:tcW w:w="1034"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项目名称</w:t>
            </w:r>
          </w:p>
        </w:tc>
        <w:tc>
          <w:tcPr>
            <w:tcW w:w="14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指标名称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指标性质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指标值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计量单位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指标权重</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全年完成值</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指标得分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说明</w:t>
            </w:r>
          </w:p>
        </w:tc>
        <w:tc>
          <w:tcPr>
            <w:tcW w:w="78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自评得分</w:t>
            </w:r>
          </w:p>
        </w:tc>
      </w:tr>
      <w:tr>
        <w:tblPrEx>
          <w:tblLayout w:type="fixed"/>
          <w:tblCellMar>
            <w:top w:w="15" w:type="dxa"/>
            <w:left w:w="15" w:type="dxa"/>
            <w:bottom w:w="15" w:type="dxa"/>
            <w:right w:w="15" w:type="dxa"/>
          </w:tblCellMar>
        </w:tblPrEx>
        <w:trPr>
          <w:trHeight w:val="852" w:hRule="atLeast"/>
        </w:trPr>
        <w:tc>
          <w:tcPr>
            <w:tcW w:w="525"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1</w:t>
            </w:r>
          </w:p>
        </w:tc>
        <w:tc>
          <w:tcPr>
            <w:tcW w:w="103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2023年医疗服务与保障能力提升（医疗卫生机构能力建设、卫生健康人才培养）中央补助资金（卫生监督机构能力建设）</w:t>
            </w:r>
          </w:p>
        </w:tc>
        <w:tc>
          <w:tcPr>
            <w:tcW w:w="144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硬件采购数量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个</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232</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100</w:t>
            </w:r>
          </w:p>
        </w:tc>
      </w:tr>
      <w:tr>
        <w:tblPrEx>
          <w:tblLayout w:type="fixed"/>
          <w:tblCellMar>
            <w:top w:w="15" w:type="dxa"/>
            <w:left w:w="15" w:type="dxa"/>
            <w:bottom w:w="15" w:type="dxa"/>
            <w:right w:w="15" w:type="dxa"/>
          </w:tblCellMar>
        </w:tblPrEx>
        <w:trPr>
          <w:trHeight w:val="738" w:hRule="atLeast"/>
        </w:trPr>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44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政府采购率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80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r>
      <w:tr>
        <w:tblPrEx>
          <w:tblLayout w:type="fixed"/>
          <w:tblCellMar>
            <w:top w:w="15" w:type="dxa"/>
            <w:left w:w="15" w:type="dxa"/>
            <w:bottom w:w="15" w:type="dxa"/>
            <w:right w:w="15" w:type="dxa"/>
          </w:tblCellMar>
        </w:tblPrEx>
        <w:trPr>
          <w:trHeight w:val="801" w:hRule="atLeast"/>
        </w:trPr>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44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设备利用率</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w:t>
            </w:r>
            <w:r>
              <w:rPr>
                <w:rFonts w:hint="default" w:ascii="Times New Roman" w:hAnsi="Times New Roman" w:eastAsia="方正仿宋_GBK"/>
                <w:color w:val="000000"/>
                <w:kern w:val="2"/>
                <w:sz w:val="18"/>
                <w:szCs w:val="18"/>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r>
      <w:tr>
        <w:tblPrEx>
          <w:tblLayout w:type="fixed"/>
          <w:tblCellMar>
            <w:top w:w="15" w:type="dxa"/>
            <w:left w:w="15" w:type="dxa"/>
            <w:bottom w:w="15" w:type="dxa"/>
            <w:right w:w="15" w:type="dxa"/>
          </w:tblCellMar>
        </w:tblPrEx>
        <w:trPr>
          <w:trHeight w:val="697" w:hRule="atLeast"/>
        </w:trPr>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44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设备购置成本</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45</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万元</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43.08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r>
      <w:tr>
        <w:tblPrEx>
          <w:tblLayout w:type="fixed"/>
          <w:tblCellMar>
            <w:top w:w="15" w:type="dxa"/>
            <w:left w:w="15" w:type="dxa"/>
            <w:bottom w:w="15" w:type="dxa"/>
            <w:right w:w="15" w:type="dxa"/>
          </w:tblCellMar>
        </w:tblPrEx>
        <w:trPr>
          <w:trHeight w:val="697" w:hRule="atLeast"/>
        </w:trPr>
        <w:tc>
          <w:tcPr>
            <w:tcW w:w="525" w:type="dxa"/>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03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1443" w:type="dxa"/>
            <w:tcBorders>
              <w:top w:val="single" w:color="000000" w:sz="4" w:space="0"/>
              <w:left w:val="single" w:color="auto"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服务对象满意度</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hint="default" w:ascii="Times New Roman" w:hAnsi="Times New Roman" w:eastAsia="方正仿宋_GBK"/>
                <w:color w:val="000000"/>
                <w:kern w:val="2"/>
                <w:sz w:val="18"/>
                <w:szCs w:val="18"/>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1</w:t>
            </w:r>
            <w:r>
              <w:rPr>
                <w:rFonts w:hint="default" w:ascii="Times New Roman" w:hAnsi="Times New Roman" w:eastAsia="方正仿宋_GBK"/>
                <w:color w:val="000000"/>
                <w:kern w:val="2"/>
                <w:sz w:val="18"/>
                <w:szCs w:val="18"/>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98</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r>
              <w:rPr>
                <w:rFonts w:ascii="Times New Roman" w:hAnsi="Times New Roman" w:eastAsia="方正仿宋_GBK"/>
                <w:color w:val="000000"/>
                <w:kern w:val="2"/>
                <w:sz w:val="18"/>
                <w:szCs w:val="18"/>
              </w:rPr>
              <w:t>1</w:t>
            </w:r>
            <w:r>
              <w:rPr>
                <w:rFonts w:hint="default" w:ascii="Times New Roman" w:hAnsi="Times New Roman" w:eastAsia="方正仿宋_GBK"/>
                <w:color w:val="000000"/>
                <w:kern w:val="2"/>
                <w:sz w:val="18"/>
                <w:szCs w:val="18"/>
              </w:rPr>
              <w:t>0</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560" w:lineRule="exact"/>
              <w:jc w:val="center"/>
              <w:textAlignment w:val="center"/>
              <w:rPr>
                <w:rFonts w:hint="default" w:ascii="Times New Roman" w:hAnsi="Times New Roman" w:eastAsia="方正仿宋_GBK"/>
                <w:color w:val="000000"/>
                <w:kern w:val="2"/>
                <w:sz w:val="18"/>
                <w:szCs w:val="18"/>
              </w:rPr>
            </w:pPr>
          </w:p>
        </w:tc>
      </w:tr>
    </w:tbl>
    <w:p>
      <w:pPr>
        <w:pStyle w:val="15"/>
        <w:spacing w:before="0" w:beforeAutospacing="0" w:line="560" w:lineRule="exact"/>
        <w:ind w:firstLine="720" w:firstLineChars="200"/>
        <w:jc w:val="both"/>
        <w:rPr>
          <w:rFonts w:ascii="Times New Roman" w:hAnsi="Times New Roman" w:eastAsia="方正小标宋_GBK" w:cs="方正小标宋_GBK"/>
          <w:sz w:val="36"/>
          <w:szCs w:val="36"/>
          <w:shd w:val="clear" w:color="auto" w:fill="FFFFFF"/>
        </w:rPr>
      </w:pP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ascii="Times New Roman" w:hAnsi="Times New Roman" w:eastAsia="方正楷体_GBK" w:cs="方正楷体_GBK"/>
          <w:b w:val="0"/>
          <w:bCs/>
          <w:sz w:val="32"/>
          <w:szCs w:val="32"/>
          <w:shd w:val="clear" w:color="auto" w:fill="FFFFFF"/>
        </w:rPr>
        <w:t>（二）单位绩效评价情况</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rPr>
        <w:t>1.绩效目标完成情况：2024年绩效目标完成情况较好的有2023年医疗服务与保障能力提升（医疗卫生机构能力建设、卫生健康人才培养）中央补助资金（卫生监督机构能力建设）经费支出项目，全年圆满完成规范化建设相关设备采购服务工作，自评得分为100分，评价等级为优秀；该项目在绩效目标设置上符合规范化执法机构建设实际，在项目完成上按时达标，设备质量合格率100%，设备购置成本符合要求，设备利用率100%，服务对象满意率100%，主要经验做法为做好前期准备工作，认真对比服务提供方产品效用；2024年绩效目标完成情况较差的有2022年深化医疗卫生体制改革市级补助（规范化监督执法机构创建）-渝财社〔2022〕70号项目，自评得分为60，因该项目主要用于规范化文化墙建设及相关设备维护支出，故本年度未开展相关设备采购工作。</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rPr>
        <w:t>2.存在的问题：一是绩效目标设置不够科学。因设定依据和深度不够，缺乏更高的科学性，实际执行与项目预算绩效存在一定偏差。；二是预算执行进度不均衡，执行效率待加强。因资金拨付以及工作开展等因素，项目资金存在一定时间内较集中支付的现象。</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rPr>
        <w:t>3.下一步工作措施及建议：</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sz w:val="32"/>
          <w:szCs w:val="32"/>
        </w:rPr>
      </w:pPr>
      <w:r>
        <w:rPr>
          <w:rFonts w:hint="default" w:ascii="Times New Roman" w:hAnsi="Times New Roman" w:eastAsia="方正仿宋_GBK"/>
          <w:sz w:val="32"/>
          <w:szCs w:val="32"/>
        </w:rPr>
        <w:t>（1）进一步严格执行预算绩效管理进度。定期做好支出财务分析，及时对预算执行情况进行通报和预警。加强项目实施进度的跟踪，开展项目绩效评价，加强对绩效管理工作的跟踪督查，做到绩效管理有依据、有奖惩，实现绩效管理规范化、常态化，确保项目绩效目标的完成，发挥资金的使用效益，压减年末结余资金规模，提高预算完成率。</w:t>
      </w:r>
    </w:p>
    <w:p>
      <w:pPr>
        <w:keepNext w:val="0"/>
        <w:keepLines w:val="0"/>
        <w:pageBreakBefore w:val="0"/>
        <w:widowControl w:val="0"/>
        <w:kinsoku/>
        <w:wordWrap/>
        <w:overflowPunct/>
        <w:topLinePunct w:val="0"/>
        <w:autoSpaceDN/>
        <w:bidi w:val="0"/>
        <w:adjustRightInd/>
        <w:spacing w:line="560" w:lineRule="exact"/>
        <w:ind w:firstLine="640" w:firstLineChars="200"/>
        <w:jc w:val="both"/>
        <w:textAlignment w:val="auto"/>
        <w:outlineLvl w:val="9"/>
        <w:rPr>
          <w:rFonts w:hint="default" w:ascii="Times New Roman" w:hAnsi="Times New Roman" w:eastAsia="方正仿宋_GBK"/>
        </w:rPr>
      </w:pPr>
      <w:r>
        <w:rPr>
          <w:rFonts w:hint="default" w:ascii="Times New Roman" w:hAnsi="Times New Roman" w:eastAsia="方正仿宋_GBK"/>
          <w:sz w:val="32"/>
          <w:szCs w:val="32"/>
        </w:rPr>
        <w:t>（2）进一步科学编制项目资金预算。结合单位职能职责，按照“保质保效保提升”原则，科学合理编制</w:t>
      </w:r>
      <w:r>
        <w:rPr>
          <w:rFonts w:ascii="Times New Roman" w:hAnsi="Times New Roman" w:eastAsia="方正仿宋_GBK"/>
          <w:sz w:val="32"/>
          <w:szCs w:val="32"/>
        </w:rPr>
        <w:t>本部门</w:t>
      </w:r>
      <w:r>
        <w:rPr>
          <w:rFonts w:hint="default" w:ascii="Times New Roman" w:hAnsi="Times New Roman" w:eastAsia="方正仿宋_GBK"/>
          <w:sz w:val="32"/>
          <w:szCs w:val="32"/>
        </w:rPr>
        <w:t>资金预算，广泛征求单位干部职工以及项目服务对象等意见，确保预算科学合理。</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方正楷体_GBK"/>
          <w:b w:val="0"/>
          <w:bCs/>
          <w:sz w:val="32"/>
          <w:szCs w:val="32"/>
          <w:shd w:val="clear" w:color="auto" w:fill="FFFFFF"/>
        </w:rPr>
      </w:pPr>
      <w:r>
        <w:rPr>
          <w:rStyle w:val="11"/>
          <w:rFonts w:hint="default" w:ascii="Times New Roman" w:hAnsi="Times New Roman" w:eastAsia="方正楷体_GBK" w:cs="方正楷体_GBK"/>
          <w:b w:val="0"/>
          <w:bCs/>
          <w:sz w:val="32"/>
          <w:szCs w:val="32"/>
          <w:shd w:val="clear" w:color="auto" w:fill="FFFFFF"/>
        </w:rPr>
        <w:t>（三）财政绩效评价情况</w:t>
      </w:r>
    </w:p>
    <w:p>
      <w:pPr>
        <w:pStyle w:val="14"/>
        <w:keepNext w:val="0"/>
        <w:keepLines w:val="0"/>
        <w:pageBreakBefore w:val="0"/>
        <w:kinsoku/>
        <w:wordWrap/>
        <w:overflowPunct/>
        <w:topLinePunct w:val="0"/>
        <w:autoSpaceDE w:val="0"/>
        <w:autoSpaceDN/>
        <w:bidi w:val="0"/>
        <w:adjustRightInd/>
        <w:spacing w:line="560" w:lineRule="exact"/>
        <w:ind w:firstLine="640"/>
        <w:jc w:val="both"/>
        <w:textAlignment w:val="auto"/>
        <w:outlineLvl w:val="9"/>
        <w:rPr>
          <w:rStyle w:val="11"/>
          <w:rFonts w:ascii="Times New Roman" w:hAnsi="Times New Roman" w:eastAsia="黑体" w:cs="黑体"/>
          <w:sz w:val="32"/>
          <w:szCs w:val="32"/>
          <w:shd w:val="clear" w:color="auto" w:fill="FFFFFF"/>
        </w:rPr>
      </w:pPr>
      <w:r>
        <w:rPr>
          <w:rFonts w:ascii="Times New Roman" w:hAnsi="Times New Roman" w:eastAsia="方正仿宋_GBK"/>
          <w:sz w:val="32"/>
          <w:szCs w:val="32"/>
          <w:shd w:val="clear" w:color="auto" w:fill="FFFFFF"/>
        </w:rPr>
        <w:t>市财政局未委托第三方对我</w:t>
      </w:r>
      <w:r>
        <w:rPr>
          <w:rFonts w:hint="eastAsia" w:ascii="Times New Roman" w:hAnsi="Times New Roman" w:eastAsia="方正仿宋_GBK"/>
          <w:sz w:val="32"/>
          <w:szCs w:val="32"/>
          <w:shd w:val="clear" w:color="auto" w:fill="FFFFFF"/>
        </w:rPr>
        <w:t>单位</w:t>
      </w:r>
      <w:r>
        <w:rPr>
          <w:rFonts w:ascii="Times New Roman" w:hAnsi="Times New Roman" w:eastAsia="方正仿宋_GBK"/>
          <w:sz w:val="32"/>
          <w:szCs w:val="32"/>
          <w:shd w:val="clear" w:color="auto" w:fill="FFFFFF"/>
        </w:rPr>
        <w:t>开展绩效评价。</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六、专业名词解释</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（一）财政拨款收入：</w:t>
      </w:r>
      <w:r>
        <w:rPr>
          <w:rFonts w:ascii="Times New Roman" w:hAnsi="Times New Roman" w:eastAsia="方正仿宋_GBK" w:cs="方正仿宋_GBK"/>
          <w:sz w:val="32"/>
          <w:szCs w:val="32"/>
          <w:shd w:val="clear" w:color="auto" w:fill="FFFFFF"/>
        </w:rPr>
        <w:t>指本年度从本级财政部门取得的财政拨款。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（二）事业收入：</w:t>
      </w:r>
      <w:r>
        <w:rPr>
          <w:rFonts w:ascii="Times New Roman" w:hAnsi="Times New Roman" w:eastAsia="方正仿宋_GBK" w:cs="方正仿宋_GBK"/>
          <w:sz w:val="32"/>
          <w:szCs w:val="32"/>
          <w:shd w:val="clear" w:color="auto" w:fill="FFFFFF"/>
        </w:rPr>
        <w:t>指事业单位开展专业业务活动及其辅助活动取得的收入。</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（三）经营收入：</w:t>
      </w:r>
      <w:r>
        <w:rPr>
          <w:rFonts w:ascii="Times New Roman" w:hAnsi="Times New Roman" w:eastAsia="方正仿宋_GBK" w:cs="方正仿宋_GBK"/>
          <w:sz w:val="32"/>
          <w:szCs w:val="32"/>
          <w:shd w:val="clear" w:color="auto" w:fill="FFFFFF"/>
        </w:rPr>
        <w:t>指事业单位在专业业务活动及其辅助活动之外开展非独立核算经营活动取得的收入。</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（四）其他收入：</w:t>
      </w:r>
      <w:r>
        <w:rPr>
          <w:rFonts w:ascii="Times New Roman" w:hAnsi="Times New Roman"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（五）使用非财政拨款结余（含专用结余）：</w:t>
      </w:r>
      <w:r>
        <w:rPr>
          <w:rFonts w:ascii="Times New Roman" w:hAnsi="Times New Roman" w:eastAsia="方正仿宋_GBK" w:cs="方正仿宋_GBK"/>
          <w:sz w:val="32"/>
          <w:szCs w:val="32"/>
          <w:shd w:val="clear" w:color="auto" w:fill="FFFFFF"/>
        </w:rPr>
        <w:t>指事业单位按照预算管理要求使用非财政拨款结余弥补收支差额的金额，以及使用专用结余安排支出的金额。</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（六）年初结转和结余：</w:t>
      </w:r>
      <w:r>
        <w:rPr>
          <w:rFonts w:ascii="Times New Roman" w:hAnsi="Times New Roman" w:eastAsia="方正仿宋_GBK" w:cs="方正仿宋_GBK"/>
          <w:sz w:val="32"/>
          <w:szCs w:val="32"/>
          <w:shd w:val="clear" w:color="auto" w:fill="FFFFFF"/>
        </w:rPr>
        <w:t>指单位上年结转本年使用的基本支出结转、项目支出结转和结余、经营结余。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（七）结余分配：</w:t>
      </w:r>
      <w:r>
        <w:rPr>
          <w:rFonts w:ascii="Times New Roman" w:hAnsi="Times New Roman" w:eastAsia="方正仿宋_GBK" w:cs="方正仿宋_GBK"/>
          <w:sz w:val="32"/>
          <w:szCs w:val="32"/>
          <w:shd w:val="clear" w:color="auto" w:fill="FFFFFF"/>
        </w:rPr>
        <w:t>指单位按照国家有关规定，缴纳所得税、提取专用基金、转入非财政拨款结余等当年结余的分配情况。</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（八）年末结转和结余：</w:t>
      </w:r>
      <w:r>
        <w:rPr>
          <w:rFonts w:ascii="Times New Roman" w:hAnsi="Times New Roman" w:eastAsia="方正仿宋_GBK" w:cs="方正仿宋_GBK"/>
          <w:sz w:val="32"/>
          <w:szCs w:val="32"/>
          <w:shd w:val="clear" w:color="auto" w:fill="FFFFFF"/>
        </w:rPr>
        <w:t>指单位结转下年的基本支出结转、项目支出结转和结余、经营结余。</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（九）基本支出：</w:t>
      </w:r>
      <w:r>
        <w:rPr>
          <w:rFonts w:ascii="Times New Roman" w:hAnsi="Times New Roman"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（十）项目支出：</w:t>
      </w:r>
      <w:r>
        <w:rPr>
          <w:rFonts w:ascii="Times New Roman" w:hAnsi="Times New Roman" w:eastAsia="方正仿宋_GBK" w:cs="方正仿宋_GBK"/>
          <w:sz w:val="32"/>
          <w:szCs w:val="32"/>
          <w:shd w:val="clear" w:color="auto" w:fill="FFFFFF"/>
        </w:rPr>
        <w:t>指在基本支出之外为完成特定行政任务和事业发展目标所发生的支出。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（十一）经营支出：</w:t>
      </w:r>
      <w:r>
        <w:rPr>
          <w:rFonts w:ascii="Times New Roman" w:hAnsi="Times New Roman" w:eastAsia="方正仿宋_GBK" w:cs="方正仿宋_GBK"/>
          <w:sz w:val="32"/>
          <w:szCs w:val="32"/>
          <w:shd w:val="clear" w:color="auto" w:fill="FFFFFF"/>
        </w:rPr>
        <w:t>指事业单位在专业业务活动及其辅助活动之外开展非独立核算经营活动发生的支出。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（十二）“三公”经费：</w:t>
      </w:r>
      <w:r>
        <w:rPr>
          <w:rFonts w:ascii="Times New Roman" w:hAnsi="Times New Roman"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（十三）机关运行经费：</w:t>
      </w:r>
      <w:r>
        <w:rPr>
          <w:rFonts w:ascii="Times New Roman" w:hAnsi="Times New Roman"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（十四）工资福利支出（支出经济分类科目类级）：</w:t>
      </w:r>
      <w:r>
        <w:rPr>
          <w:rFonts w:ascii="Times New Roman" w:hAnsi="Times New Roman"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（十五）商品和服务支出（支出经济分类科目类级）：</w:t>
      </w:r>
      <w:r>
        <w:rPr>
          <w:rFonts w:ascii="Times New Roman" w:hAnsi="Times New Roman" w:eastAsia="方正仿宋_GBK" w:cs="方正仿宋_GBK"/>
          <w:sz w:val="32"/>
          <w:szCs w:val="32"/>
          <w:shd w:val="clear" w:color="auto" w:fill="FFFFFF"/>
        </w:rPr>
        <w:t>反映单位购买商品和服务的支出（不包括用于购置固定资产的支出、战略性和应急储备支出）。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rPr>
      </w:pPr>
      <w:r>
        <w:rPr>
          <w:rStyle w:val="11"/>
          <w:rFonts w:ascii="Times New Roman" w:hAnsi="Times New Roman" w:eastAsia="方正楷体_GBK" w:cs="方正楷体_GBK"/>
          <w:b w:val="0"/>
          <w:bCs/>
          <w:sz w:val="32"/>
          <w:szCs w:val="32"/>
          <w:shd w:val="clear" w:color="auto" w:fill="FFFFFF"/>
        </w:rPr>
        <w:t>（十六）对个人和家庭的补助（支出经济分类科目类级）：</w:t>
      </w:r>
      <w:r>
        <w:rPr>
          <w:rFonts w:ascii="Times New Roman" w:hAnsi="Times New Roman" w:eastAsia="方正仿宋_GBK" w:cs="方正仿宋_GBK"/>
          <w:sz w:val="32"/>
          <w:szCs w:val="32"/>
          <w:shd w:val="clear" w:color="auto" w:fill="FFFFFF"/>
        </w:rPr>
        <w:t>反映用于对个人和家庭的补助支出。</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方正仿宋_GBK"/>
          <w:sz w:val="32"/>
          <w:szCs w:val="32"/>
          <w:shd w:val="clear" w:color="auto" w:fill="FFFFFF"/>
        </w:rPr>
      </w:pPr>
      <w:r>
        <w:rPr>
          <w:rStyle w:val="11"/>
          <w:rFonts w:ascii="Times New Roman" w:hAnsi="Times New Roman" w:eastAsia="方正楷体_GBK" w:cs="方正楷体_GBK"/>
          <w:b w:val="0"/>
          <w:bCs/>
          <w:sz w:val="32"/>
          <w:szCs w:val="32"/>
          <w:shd w:val="clear" w:color="auto" w:fill="FFFFFF"/>
        </w:rPr>
        <w:t>（十七）其他资本性支出（支出经济分类科目类级）：</w:t>
      </w:r>
      <w:r>
        <w:rPr>
          <w:rFonts w:ascii="Times New Roman" w:hAnsi="Times New Roman"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方正黑体_GBK"/>
          <w:b w:val="0"/>
          <w:bCs/>
          <w:sz w:val="32"/>
          <w:szCs w:val="32"/>
          <w:shd w:val="clear" w:color="auto" w:fill="FFFFFF"/>
        </w:rPr>
      </w:pPr>
      <w:r>
        <w:rPr>
          <w:rStyle w:val="11"/>
          <w:rFonts w:ascii="Times New Roman" w:hAnsi="Times New Roman" w:eastAsia="方正黑体_GBK" w:cs="方正黑体_GBK"/>
          <w:b w:val="0"/>
          <w:bCs/>
          <w:sz w:val="32"/>
          <w:szCs w:val="32"/>
          <w:shd w:val="clear" w:color="auto" w:fill="FFFFFF"/>
        </w:rPr>
        <w:t>七、决算公开联系方式及信息反馈渠道</w:t>
      </w:r>
    </w:p>
    <w:p>
      <w:pPr>
        <w:pStyle w:val="9"/>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仿宋_GBK" w:cs="方正仿宋_GBK"/>
          <w:sz w:val="32"/>
          <w:szCs w:val="32"/>
          <w:shd w:val="clear" w:color="auto" w:fill="FFFF00"/>
        </w:rPr>
      </w:pPr>
      <w:r>
        <w:rPr>
          <w:rFonts w:ascii="Times New Roman" w:hAnsi="Times New Roman" w:eastAsia="方正仿宋_GBK" w:cs="方正仿宋_GBK"/>
          <w:sz w:val="32"/>
          <w:szCs w:val="32"/>
          <w:shd w:val="clear" w:color="auto" w:fill="FFFFFF"/>
        </w:rPr>
        <w:t>本部门决算公开信息反馈和联系方式：</w:t>
      </w:r>
    </w:p>
    <w:p>
      <w:pPr>
        <w:pStyle w:val="14"/>
        <w:keepNext w:val="0"/>
        <w:keepLines w:val="0"/>
        <w:pageBreakBefore w:val="0"/>
        <w:kinsoku/>
        <w:wordWrap/>
        <w:overflowPunct/>
        <w:topLinePunct w:val="0"/>
        <w:autoSpaceDE w:val="0"/>
        <w:autoSpaceDN/>
        <w:bidi w:val="0"/>
        <w:adjustRightInd/>
        <w:spacing w:line="560" w:lineRule="exact"/>
        <w:ind w:firstLine="640"/>
        <w:jc w:val="both"/>
        <w:textAlignment w:val="auto"/>
        <w:outlineLvl w:val="9"/>
        <w:rPr>
          <w:rFonts w:ascii="Times New Roman" w:hAnsi="Times New Roman"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Times New Roman" w:hAnsi="Times New Roman" w:eastAsia="方正仿宋_GBK" w:cs="方正仿宋_GBK"/>
          <w:sz w:val="32"/>
          <w:szCs w:val="32"/>
          <w:shd w:val="clear" w:color="auto" w:fill="FFFFFF"/>
        </w:rPr>
        <w:t>文娟  18996968935</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部门：</w:t>
            </w:r>
            <w:r>
              <w:rPr>
                <w:sz w:val="20"/>
              </w:rPr>
              <w:t>秀山土家族苗族自治县卫生健康综合行政执法支队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738.06</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97.79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595.07</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45.19</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738.06</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738.06</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738.06</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738.06</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sz w:val="20"/>
              </w:rPr>
              <w:t>秀山土家族苗族自治县卫生健康综合行政执法支队</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738.06</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738.06</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53.54</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595.07</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595.07</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554.53</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554.53</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卫生监督机构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554.53</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554.53</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45.19</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45.19</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秀山土家族苗族自治县卫生健康综合行政执法支队</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738.06</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677.57</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60.49</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97.79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53.54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26.77</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595.07</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534.58</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554.53</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494.05</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60.49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卫生监督机构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554.53</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494.05</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60.49</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40.54</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32.62</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7.92</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45.19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45.19</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45.19</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秀山土家族苗族自治县卫生健康综合行政执法支队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97.79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97.79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595.07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595.07</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45.19</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738.06</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738.06</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秀山土家族苗族自治县卫生健康综合行政执法支队</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738.06</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677.57</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60.49</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97.79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97.79</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97.79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97.79</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17.49</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53.54</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53.54</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26.77</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26.77</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595.07</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534.58</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60.49</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公共卫生</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554.53</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494.05</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60.49</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2100402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卫生监督机构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554.53</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494.05</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60.49</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40.54</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32.62</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32.62</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7.92</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45.19</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45.19</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45.19</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45.19</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rPr>
              <w:t>秀山土家族苗族自治县卫生健康综合行政执法支队</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557.23</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95.33</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120.26</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33.40</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109.81</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0.03</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145.17</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53.54</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6.57</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26.77</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14.33</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32.62</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4.99</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0.82</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45.19</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7.92</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14.94</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25.01</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0.65</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23.05</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1.79</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5.26</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23.99</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582.24</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95.33</w:t>
            </w:r>
          </w:p>
        </w:tc>
      </w:tr>
    </w:tbl>
    <w:p>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秀山土家族苗族自治县卫生健康综合行政执法支队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rPr>
              <w:t>秀山土家族苗族自治县卫生健康综合行政执法支队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rPr>
              <w:t>秀山土家族苗族自治县卫生健康综合行政执法支队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95.33</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5.26</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5.26</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95.33</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5.26</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5.26</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5.26</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5.26</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6.09</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6.09</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6.09</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6.09</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0.83</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1.20</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pPr>
        <w:pStyle w:val="9"/>
        <w:shd w:val="clear" w:color="auto" w:fill="FFFFFF"/>
        <w:rPr>
          <w:rFonts w:hint="default" w:cs="宋体"/>
          <w:sz w:val="18"/>
          <w:szCs w:val="18"/>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31" o:spid="_x0000_s103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5" o:spid="_x0000_s1035" o:spt="202" type="#_x0000_t202" style="position:absolute;left:0pt;margin-top:0pt;height:144pt;width:144pt;mso-position-horizontal:center;mso-position-horizontal-relative:margin;mso-wrap-style:none;z-index:251664384;mso-width-relative:page;mso-height-relative:page;" filled="f" stroked="f" coordsize="21600,21600" o:allowoverlap="f">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PAGE   \* MERGEFORMAT</w:instrText>
                </w:r>
                <w:r>
                  <w:fldChar w:fldCharType="separate"/>
                </w:r>
                <w:r>
                  <w:rPr>
                    <w:rFonts w:hint="default"/>
                    <w:lang w:val="zh-CN"/>
                  </w:rPr>
                  <w:t>-</w:t>
                </w:r>
                <w:r>
                  <w:rPr>
                    <w:rFonts w:hint="default"/>
                  </w:rPr>
                  <w:t xml:space="preserve"> 26 -</w:t>
                </w:r>
                <w:r>
                  <w:fldChar w:fldCharType="end"/>
                </w:r>
              </w:p>
            </w:txbxContent>
          </v:textbox>
        </v:shape>
      </w:pict>
    </w:r>
    <w:r>
      <w:rPr>
        <w:rFonts w:hint="default"/>
      </w:rPr>
      <w:pict>
        <v:shape id="_x0000_s1034" o:spid="_x0000_s1034"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6237FB"/>
    <w:multiLevelType w:val="singleLevel"/>
    <w:tmpl w:val="CB6237F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1F371F"/>
    <w:rsid w:val="00261065"/>
    <w:rsid w:val="002D0E5A"/>
    <w:rsid w:val="002D71F4"/>
    <w:rsid w:val="002E5443"/>
    <w:rsid w:val="0032196C"/>
    <w:rsid w:val="004852DA"/>
    <w:rsid w:val="004C12FF"/>
    <w:rsid w:val="004D0390"/>
    <w:rsid w:val="004F7B6C"/>
    <w:rsid w:val="00550ABE"/>
    <w:rsid w:val="005B023C"/>
    <w:rsid w:val="00600322"/>
    <w:rsid w:val="006137D7"/>
    <w:rsid w:val="00634FA8"/>
    <w:rsid w:val="0063613A"/>
    <w:rsid w:val="0068170B"/>
    <w:rsid w:val="00683E62"/>
    <w:rsid w:val="006A6266"/>
    <w:rsid w:val="006E2034"/>
    <w:rsid w:val="00732392"/>
    <w:rsid w:val="00792285"/>
    <w:rsid w:val="007A0D2E"/>
    <w:rsid w:val="007A3314"/>
    <w:rsid w:val="007B419D"/>
    <w:rsid w:val="007C5C5B"/>
    <w:rsid w:val="007D1631"/>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41C2A"/>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58DB"/>
    <w:rsid w:val="00FB7EF0"/>
    <w:rsid w:val="01474EBF"/>
    <w:rsid w:val="01F3521E"/>
    <w:rsid w:val="021D3936"/>
    <w:rsid w:val="03B87EA0"/>
    <w:rsid w:val="03E3214F"/>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2234D33"/>
    <w:rsid w:val="52261ABA"/>
    <w:rsid w:val="522F6E0C"/>
    <w:rsid w:val="52463BA1"/>
    <w:rsid w:val="5298794F"/>
    <w:rsid w:val="52F163D4"/>
    <w:rsid w:val="531A2DB4"/>
    <w:rsid w:val="5326676D"/>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FB2E76"/>
    <w:rsid w:val="702D0B90"/>
    <w:rsid w:val="708F6F7F"/>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pPr>
      <w:spacing w:after="120"/>
    </w:pPr>
  </w:style>
  <w:style w:type="paragraph" w:styleId="4">
    <w:name w:val="Date"/>
    <w:basedOn w:val="1"/>
    <w:next w:val="1"/>
    <w:qFormat/>
    <w:uiPriority w:val="0"/>
    <w:pPr>
      <w:ind w:left="100" w:leftChars="2500"/>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列出段落3"/>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1"/>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26</Pages>
  <Words>11190</Words>
  <Characters>5090</Characters>
  <Lines>42</Lines>
  <Paragraphs>32</Paragraphs>
  <TotalTime>11</TotalTime>
  <ScaleCrop>false</ScaleCrop>
  <LinksUpToDate>false</LinksUpToDate>
  <CharactersWithSpaces>16248</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2025-10-24T07:00:00Z</dcterms:created>
  <dc:creator>Administrator</dc:creator>
  <cp:lastModifiedBy>冉淇元</cp:lastModifiedBy>
  <dcterms:modified xsi:type="dcterms:W3CDTF">2025-10-28T11:20:53Z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