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eastAsia" w:ascii="方正小标宋_GBK" w:hAnsi="方正小标宋_GBK" w:eastAsia="方正小标宋_GBK" w:cs="方正小标宋_GBK"/>
          <w:sz w:val="44"/>
          <w:szCs w:val="44"/>
          <w:shd w:val="clear" w:color="auto" w:fill="FFFFFF"/>
        </w:rPr>
      </w:pPr>
      <w:bookmarkStart w:id="0" w:name="_GoBack"/>
      <w:bookmarkEnd w:id="0"/>
      <w:r>
        <w:rPr>
          <w:rFonts w:hint="eastAsia" w:ascii="方正小标宋_GBK" w:hAnsi="方正小标宋_GBK" w:eastAsia="方正小标宋_GBK" w:cs="方正小标宋_GBK"/>
          <w:sz w:val="44"/>
          <w:szCs w:val="44"/>
        </w:rPr>
        <w:t>秀山土家族苗族自治县医疗保障事务中心</w:t>
      </w:r>
      <w:r>
        <w:rPr>
          <w:rFonts w:hint="eastAsia" w:ascii="方正小标宋_GBK" w:hAnsi="方正小标宋_GBK" w:eastAsia="方正小标宋_GBK" w:cs="方正小标宋_GBK"/>
          <w:sz w:val="44"/>
          <w:szCs w:val="44"/>
          <w:shd w:val="clear" w:color="auto" w:fill="FFFFFF"/>
        </w:rPr>
        <w:t>2024年度决算公开说明</w:t>
      </w:r>
    </w:p>
    <w:p>
      <w:pPr>
        <w:pStyle w:val="8"/>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eastAsia" w:ascii="方正小标宋_GBK" w:hAnsi="方正小标宋_GBK" w:eastAsia="方正小标宋_GBK" w:cs="方正小标宋_GBK"/>
          <w:sz w:val="44"/>
          <w:szCs w:val="44"/>
          <w:shd w:val="clear" w:color="auto" w:fill="FFFFFF"/>
        </w:rPr>
      </w:pP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2"/>
          <w:rFonts w:hint="eastAsia" w:ascii="方正黑体_GBK" w:hAnsi="方正黑体_GBK" w:eastAsia="方正黑体_GBK" w:cs="方正黑体_GBK"/>
          <w:b w:val="0"/>
          <w:bCs/>
          <w:color w:val="auto"/>
          <w:sz w:val="32"/>
          <w:szCs w:val="32"/>
          <w:shd w:val="clear" w:color="auto" w:fill="FFFFFF"/>
        </w:rPr>
      </w:pPr>
      <w:r>
        <w:rPr>
          <w:rStyle w:val="12"/>
          <w:rFonts w:hint="eastAsia" w:ascii="方正黑体_GBK" w:hAnsi="方正黑体_GBK" w:eastAsia="方正黑体_GBK" w:cs="方正黑体_GBK"/>
          <w:b w:val="0"/>
          <w:bCs/>
          <w:color w:val="auto"/>
          <w:sz w:val="32"/>
          <w:szCs w:val="32"/>
          <w:shd w:val="clear" w:color="auto" w:fill="FFFFFF"/>
        </w:rPr>
        <w:t>一、</w:t>
      </w:r>
      <w:r>
        <w:rPr>
          <w:rStyle w:val="12"/>
          <w:rFonts w:hint="eastAsia" w:ascii="方正黑体_GBK" w:hAnsi="方正黑体_GBK" w:eastAsia="方正黑体_GBK" w:cs="方正黑体_GBK"/>
          <w:b w:val="0"/>
          <w:bCs/>
          <w:color w:val="auto"/>
          <w:sz w:val="32"/>
          <w:szCs w:val="32"/>
          <w:shd w:val="clear" w:color="auto" w:fill="FFFFFF"/>
          <w:lang w:eastAsia="zh-CN"/>
        </w:rPr>
        <w:t>单位</w:t>
      </w:r>
      <w:r>
        <w:rPr>
          <w:rStyle w:val="12"/>
          <w:rFonts w:hint="eastAsia" w:ascii="方正黑体_GBK" w:hAnsi="方正黑体_GBK" w:eastAsia="方正黑体_GBK" w:cs="方正黑体_GBK"/>
          <w:b w:val="0"/>
          <w:bCs/>
          <w:color w:val="auto"/>
          <w:sz w:val="32"/>
          <w:szCs w:val="32"/>
          <w:shd w:val="clear" w:color="auto" w:fill="FFFFFF"/>
        </w:rPr>
        <w:t>基本情况</w:t>
      </w:r>
    </w:p>
    <w:p>
      <w:pPr>
        <w:pStyle w:val="8"/>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60" w:lineRule="exact"/>
        <w:ind w:left="0" w:firstLine="640" w:firstLineChars="200"/>
        <w:jc w:val="both"/>
        <w:textAlignment w:val="auto"/>
        <w:outlineLvl w:val="9"/>
        <w:rPr>
          <w:rFonts w:hint="eastAsia" w:ascii="Times New Roman" w:hAnsi="Times New Roman" w:eastAsia="方正楷体_GBK" w:cs="方正楷体_GBK"/>
          <w:b w:val="0"/>
          <w:bCs/>
          <w:color w:val="auto"/>
          <w:sz w:val="32"/>
          <w:szCs w:val="32"/>
          <w:shd w:val="clear" w:color="auto" w:fill="auto"/>
        </w:rPr>
      </w:pPr>
      <w:r>
        <w:rPr>
          <w:rStyle w:val="12"/>
          <w:rFonts w:hint="eastAsia" w:ascii="Times New Roman" w:hAnsi="Times New Roman" w:eastAsia="方正楷体_GBK" w:cs="方正楷体_GBK"/>
          <w:b w:val="0"/>
          <w:bCs/>
          <w:color w:val="auto"/>
          <w:sz w:val="32"/>
          <w:szCs w:val="32"/>
          <w:shd w:val="clear" w:color="auto" w:fill="auto"/>
        </w:rPr>
        <w:t>（一）职能职责</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i w:val="0"/>
          <w:iCs w:val="0"/>
          <w:caps w:val="0"/>
          <w:color w:val="auto"/>
          <w:spacing w:val="0"/>
          <w:kern w:val="0"/>
          <w:sz w:val="32"/>
          <w:szCs w:val="32"/>
          <w:u w:val="none"/>
          <w:shd w:val="clear" w:color="auto" w:fill="auto"/>
          <w:lang w:val="en-US" w:eastAsia="zh-CN" w:bidi="ar"/>
        </w:rPr>
      </w:pPr>
      <w:r>
        <w:rPr>
          <w:rFonts w:hint="default" w:ascii="Times New Roman" w:hAnsi="Times New Roman" w:eastAsia="方正仿宋_GBK" w:cs="Times New Roman"/>
          <w:i w:val="0"/>
          <w:iCs w:val="0"/>
          <w:caps w:val="0"/>
          <w:color w:val="auto"/>
          <w:spacing w:val="0"/>
          <w:kern w:val="0"/>
          <w:sz w:val="32"/>
          <w:szCs w:val="32"/>
          <w:u w:val="none"/>
          <w:shd w:val="clear" w:color="auto" w:fill="auto"/>
          <w:lang w:val="en-US" w:eastAsia="zh-CN" w:bidi="ar"/>
        </w:rPr>
        <w:t>1.贯彻执行国家和重庆市医疗保障法律、法规、政策、规划和标准，负责医疗保险、生育保险、长期护理保险、医疗救助等业务经办，负责医疗保障政策宣传和业务培训工作，指导乡镇街道医疗保障业务经办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i w:val="0"/>
          <w:iCs w:val="0"/>
          <w:caps w:val="0"/>
          <w:color w:val="auto"/>
          <w:spacing w:val="0"/>
          <w:kern w:val="0"/>
          <w:sz w:val="32"/>
          <w:szCs w:val="32"/>
          <w:u w:val="none"/>
          <w:shd w:val="clear" w:color="auto" w:fill="auto"/>
          <w:lang w:val="en-US" w:eastAsia="zh-CN" w:bidi="ar"/>
        </w:rPr>
      </w:pPr>
      <w:r>
        <w:rPr>
          <w:rFonts w:hint="default" w:ascii="Times New Roman" w:hAnsi="Times New Roman" w:eastAsia="方正仿宋_GBK" w:cs="Times New Roman"/>
          <w:i w:val="0"/>
          <w:iCs w:val="0"/>
          <w:caps w:val="0"/>
          <w:color w:val="auto"/>
          <w:spacing w:val="0"/>
          <w:kern w:val="0"/>
          <w:sz w:val="32"/>
          <w:szCs w:val="32"/>
          <w:u w:val="none"/>
          <w:shd w:val="clear" w:color="auto" w:fill="auto"/>
          <w:lang w:val="en-US" w:eastAsia="zh-CN" w:bidi="ar"/>
        </w:rPr>
        <w:t>2.负责拟定并组织实施医疗保障业务、财务、安全和风险管理制度及年度经办工作计划、实施方案；贯彻执行重庆市医疗保障资金监管有关规定和年度基金预、决算方案，承担辖县医疗保障资金财务核算工作，负责实施医疗保障资金支付方式改革。</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i w:val="0"/>
          <w:iCs w:val="0"/>
          <w:caps w:val="0"/>
          <w:color w:val="auto"/>
          <w:spacing w:val="0"/>
          <w:kern w:val="0"/>
          <w:sz w:val="32"/>
          <w:szCs w:val="32"/>
          <w:u w:val="none"/>
          <w:shd w:val="clear" w:color="auto" w:fill="auto"/>
          <w:lang w:val="en-US" w:eastAsia="zh-CN" w:bidi="ar"/>
        </w:rPr>
      </w:pPr>
      <w:r>
        <w:rPr>
          <w:rFonts w:hint="default" w:ascii="Times New Roman" w:hAnsi="Times New Roman" w:eastAsia="方正仿宋_GBK" w:cs="Times New Roman"/>
          <w:i w:val="0"/>
          <w:iCs w:val="0"/>
          <w:caps w:val="0"/>
          <w:color w:val="auto"/>
          <w:spacing w:val="0"/>
          <w:kern w:val="0"/>
          <w:sz w:val="32"/>
          <w:szCs w:val="32"/>
          <w:u w:val="none"/>
          <w:shd w:val="clear" w:color="auto" w:fill="auto"/>
          <w:lang w:val="en-US" w:eastAsia="zh-CN" w:bidi="ar"/>
        </w:rPr>
        <w:t>3.负责医疗保险、生育保险、长期护理保险等参保对象的参保登记和业务办理、个人权益记录、关系转接、参保人员信息维护、统计等管理工作；按职责做好困难群众（含医疗救助对象）的参保登记和资助工作。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i w:val="0"/>
          <w:iCs w:val="0"/>
          <w:caps w:val="0"/>
          <w:color w:val="auto"/>
          <w:spacing w:val="0"/>
          <w:kern w:val="0"/>
          <w:sz w:val="32"/>
          <w:szCs w:val="32"/>
          <w:u w:val="none"/>
          <w:shd w:val="clear" w:color="auto" w:fill="auto"/>
          <w:lang w:val="en-US" w:eastAsia="zh-CN" w:bidi="ar"/>
        </w:rPr>
      </w:pPr>
      <w:r>
        <w:rPr>
          <w:rFonts w:hint="default" w:ascii="Times New Roman" w:hAnsi="Times New Roman" w:eastAsia="方正仿宋_GBK" w:cs="Times New Roman"/>
          <w:i w:val="0"/>
          <w:iCs w:val="0"/>
          <w:caps w:val="0"/>
          <w:color w:val="auto"/>
          <w:spacing w:val="0"/>
          <w:kern w:val="0"/>
          <w:sz w:val="32"/>
          <w:szCs w:val="32"/>
          <w:u w:val="none"/>
          <w:shd w:val="clear" w:color="auto" w:fill="auto"/>
          <w:lang w:val="en-US" w:eastAsia="zh-CN" w:bidi="ar"/>
        </w:rPr>
        <w:t>4.按职责做好医疗保障扶贫相关工作。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i w:val="0"/>
          <w:iCs w:val="0"/>
          <w:caps w:val="0"/>
          <w:color w:val="auto"/>
          <w:spacing w:val="0"/>
          <w:kern w:val="0"/>
          <w:sz w:val="32"/>
          <w:szCs w:val="32"/>
          <w:u w:val="none"/>
          <w:shd w:val="clear" w:color="auto" w:fill="auto"/>
          <w:lang w:val="en-US" w:eastAsia="zh-CN" w:bidi="ar"/>
        </w:rPr>
      </w:pPr>
      <w:r>
        <w:rPr>
          <w:rFonts w:hint="default" w:ascii="Times New Roman" w:hAnsi="Times New Roman" w:eastAsia="方正仿宋_GBK" w:cs="Times New Roman"/>
          <w:i w:val="0"/>
          <w:iCs w:val="0"/>
          <w:caps w:val="0"/>
          <w:color w:val="auto"/>
          <w:spacing w:val="0"/>
          <w:kern w:val="0"/>
          <w:sz w:val="32"/>
          <w:szCs w:val="32"/>
          <w:u w:val="none"/>
          <w:shd w:val="clear" w:color="auto" w:fill="auto"/>
          <w:lang w:val="en-US" w:eastAsia="zh-CN" w:bidi="ar"/>
        </w:rPr>
        <w:t>5.负责按规定审核支付基本医疗保险、生育保险、长期护理保险、医疗救助待遇工作；负责异地就医管理服务和特殊疾病患者认定管理相关工作；承担医疗机构、药店医保协议管理具体事务。</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i w:val="0"/>
          <w:iCs w:val="0"/>
          <w:caps w:val="0"/>
          <w:color w:val="auto"/>
          <w:spacing w:val="0"/>
          <w:kern w:val="0"/>
          <w:sz w:val="32"/>
          <w:szCs w:val="32"/>
          <w:u w:val="none"/>
          <w:shd w:val="clear" w:color="auto" w:fill="auto"/>
          <w:lang w:val="en-US" w:eastAsia="zh-CN" w:bidi="ar"/>
        </w:rPr>
      </w:pPr>
      <w:r>
        <w:rPr>
          <w:rFonts w:hint="default" w:ascii="Times New Roman" w:hAnsi="Times New Roman" w:eastAsia="方正仿宋_GBK" w:cs="Times New Roman"/>
          <w:i w:val="0"/>
          <w:iCs w:val="0"/>
          <w:caps w:val="0"/>
          <w:color w:val="auto"/>
          <w:spacing w:val="0"/>
          <w:kern w:val="0"/>
          <w:sz w:val="32"/>
          <w:szCs w:val="32"/>
          <w:u w:val="none"/>
          <w:shd w:val="clear" w:color="auto" w:fill="auto"/>
          <w:lang w:val="en-US" w:eastAsia="zh-CN" w:bidi="ar"/>
        </w:rPr>
        <w:t>6.负责公务员医疗补助的经办管理，根据授权办理县级财政供养特殊人群医疗费用支付工作。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i w:val="0"/>
          <w:iCs w:val="0"/>
          <w:caps w:val="0"/>
          <w:color w:val="auto"/>
          <w:spacing w:val="0"/>
          <w:kern w:val="0"/>
          <w:sz w:val="32"/>
          <w:szCs w:val="32"/>
          <w:u w:val="none"/>
          <w:shd w:val="clear" w:color="auto" w:fill="auto"/>
          <w:lang w:val="en-US" w:eastAsia="zh-CN" w:bidi="ar"/>
        </w:rPr>
      </w:pPr>
      <w:r>
        <w:rPr>
          <w:rFonts w:hint="default" w:ascii="Times New Roman" w:hAnsi="Times New Roman" w:eastAsia="方正仿宋_GBK" w:cs="Times New Roman"/>
          <w:i w:val="0"/>
          <w:iCs w:val="0"/>
          <w:caps w:val="0"/>
          <w:color w:val="auto"/>
          <w:spacing w:val="0"/>
          <w:kern w:val="0"/>
          <w:sz w:val="32"/>
          <w:szCs w:val="32"/>
          <w:u w:val="none"/>
          <w:shd w:val="clear" w:color="auto" w:fill="auto"/>
          <w:lang w:val="en-US" w:eastAsia="zh-CN" w:bidi="ar"/>
        </w:rPr>
        <w:t>7.负责全县医疗保障信息管理系统建设和运行维护、数据分析运用、信息统计上报和医疗保障各类业务档案管理工作。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i w:val="0"/>
          <w:iCs w:val="0"/>
          <w:caps w:val="0"/>
          <w:color w:val="auto"/>
          <w:spacing w:val="0"/>
          <w:kern w:val="0"/>
          <w:sz w:val="32"/>
          <w:szCs w:val="32"/>
          <w:u w:val="none"/>
          <w:shd w:val="clear" w:color="auto" w:fill="auto"/>
          <w:lang w:val="en-US" w:eastAsia="zh-CN" w:bidi="ar"/>
        </w:rPr>
      </w:pPr>
      <w:r>
        <w:rPr>
          <w:rFonts w:hint="default" w:ascii="Times New Roman" w:hAnsi="Times New Roman" w:eastAsia="方正仿宋_GBK" w:cs="Times New Roman"/>
          <w:i w:val="0"/>
          <w:iCs w:val="0"/>
          <w:caps w:val="0"/>
          <w:color w:val="auto"/>
          <w:spacing w:val="0"/>
          <w:kern w:val="0"/>
          <w:sz w:val="32"/>
          <w:szCs w:val="32"/>
          <w:u w:val="none"/>
          <w:shd w:val="clear" w:color="auto" w:fill="auto"/>
          <w:lang w:val="en-US" w:eastAsia="zh-CN" w:bidi="ar"/>
        </w:rPr>
        <w:t>8.负责医疗保障业务咨询、查询，负责医疗保险稽核工作，受理和处理本机构职责范围内的举报投诉和定点医药机构的申诉。</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i w:val="0"/>
          <w:iCs w:val="0"/>
          <w:caps w:val="0"/>
          <w:color w:val="auto"/>
          <w:spacing w:val="0"/>
          <w:kern w:val="0"/>
          <w:sz w:val="32"/>
          <w:szCs w:val="32"/>
          <w:u w:val="none"/>
          <w:shd w:val="clear" w:color="auto" w:fill="auto"/>
          <w:lang w:val="en-US" w:eastAsia="zh-CN" w:bidi="ar"/>
        </w:rPr>
      </w:pPr>
      <w:r>
        <w:rPr>
          <w:rFonts w:hint="default" w:ascii="Times New Roman" w:hAnsi="Times New Roman" w:eastAsia="方正仿宋_GBK" w:cs="Times New Roman"/>
          <w:i w:val="0"/>
          <w:iCs w:val="0"/>
          <w:caps w:val="0"/>
          <w:color w:val="auto"/>
          <w:spacing w:val="0"/>
          <w:kern w:val="0"/>
          <w:sz w:val="32"/>
          <w:szCs w:val="32"/>
          <w:u w:val="none"/>
          <w:shd w:val="clear" w:color="auto" w:fill="auto"/>
          <w:lang w:val="en-US" w:eastAsia="zh-CN" w:bidi="ar"/>
        </w:rPr>
        <w:t>9.负责贯彻执行国市药品、医用耗材、医疗服务项目、医疗服务设施等医保目录和支付标准。</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i w:val="0"/>
          <w:iCs w:val="0"/>
          <w:caps w:val="0"/>
          <w:color w:val="auto"/>
          <w:spacing w:val="0"/>
          <w:kern w:val="0"/>
          <w:sz w:val="32"/>
          <w:szCs w:val="32"/>
          <w:u w:val="none"/>
          <w:shd w:val="clear" w:color="auto" w:fill="auto"/>
          <w:lang w:val="en-US" w:eastAsia="zh-CN" w:bidi="ar"/>
        </w:rPr>
      </w:pPr>
      <w:r>
        <w:rPr>
          <w:rFonts w:hint="default" w:ascii="Times New Roman" w:hAnsi="Times New Roman" w:eastAsia="方正仿宋_GBK" w:cs="Times New Roman"/>
          <w:i w:val="0"/>
          <w:iCs w:val="0"/>
          <w:caps w:val="0"/>
          <w:color w:val="auto"/>
          <w:spacing w:val="0"/>
          <w:kern w:val="0"/>
          <w:sz w:val="32"/>
          <w:szCs w:val="32"/>
          <w:u w:val="none"/>
          <w:shd w:val="clear" w:color="auto" w:fill="auto"/>
          <w:lang w:val="en-US" w:eastAsia="zh-CN" w:bidi="ar"/>
        </w:rPr>
        <w:t>10.负责对承办城镇职工大额医疗保险和城乡居民大病医疗保险的机构业务指导和监督管理。</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i w:val="0"/>
          <w:iCs w:val="0"/>
          <w:caps w:val="0"/>
          <w:color w:val="auto"/>
          <w:spacing w:val="0"/>
          <w:kern w:val="0"/>
          <w:sz w:val="32"/>
          <w:szCs w:val="32"/>
          <w:u w:val="none"/>
          <w:shd w:val="clear" w:color="auto" w:fill="auto"/>
          <w:lang w:val="en-US" w:eastAsia="zh-CN" w:bidi="ar"/>
        </w:rPr>
      </w:pPr>
      <w:r>
        <w:rPr>
          <w:rFonts w:hint="default" w:ascii="Times New Roman" w:hAnsi="Times New Roman" w:eastAsia="方正仿宋_GBK" w:cs="Times New Roman"/>
          <w:i w:val="0"/>
          <w:iCs w:val="0"/>
          <w:caps w:val="0"/>
          <w:color w:val="auto"/>
          <w:spacing w:val="0"/>
          <w:kern w:val="0"/>
          <w:sz w:val="32"/>
          <w:szCs w:val="32"/>
          <w:u w:val="none"/>
          <w:shd w:val="clear" w:color="auto" w:fill="auto"/>
          <w:lang w:val="en-US" w:eastAsia="zh-CN" w:bidi="ar"/>
        </w:rPr>
        <w:t>11.承办主管部门交办的其他工作。</w:t>
      </w:r>
    </w:p>
    <w:p>
      <w:pPr>
        <w:pStyle w:val="8"/>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60" w:lineRule="exact"/>
        <w:ind w:left="0" w:firstLine="640" w:firstLineChars="200"/>
        <w:jc w:val="both"/>
        <w:textAlignment w:val="auto"/>
        <w:outlineLvl w:val="9"/>
        <w:rPr>
          <w:rStyle w:val="12"/>
          <w:rFonts w:hint="default" w:ascii="Times New Roman" w:hAnsi="Times New Roman" w:eastAsia="方正楷体_GBK" w:cs="方正楷体_GBK"/>
          <w:b w:val="0"/>
          <w:bCs/>
          <w:color w:val="auto"/>
          <w:sz w:val="32"/>
          <w:szCs w:val="32"/>
          <w:shd w:val="clear" w:color="auto" w:fill="auto"/>
        </w:rPr>
      </w:pPr>
      <w:r>
        <w:rPr>
          <w:rStyle w:val="12"/>
          <w:rFonts w:hint="default" w:ascii="Times New Roman" w:hAnsi="Times New Roman" w:eastAsia="方正楷体_GBK" w:cs="方正楷体_GBK"/>
          <w:b w:val="0"/>
          <w:bCs/>
          <w:color w:val="auto"/>
          <w:sz w:val="32"/>
          <w:szCs w:val="32"/>
          <w:shd w:val="clear" w:color="auto" w:fill="auto"/>
        </w:rPr>
        <w:t>（二）机构设置</w:t>
      </w:r>
    </w:p>
    <w:p>
      <w:pPr>
        <w:pStyle w:val="8"/>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60" w:lineRule="exact"/>
        <w:ind w:left="0" w:firstLine="640" w:firstLineChars="200"/>
        <w:jc w:val="both"/>
        <w:textAlignment w:val="auto"/>
        <w:outlineLvl w:val="9"/>
        <w:rPr>
          <w:rFonts w:hint="default" w:ascii="Times New Roman" w:hAnsi="Times New Roman" w:eastAsia="方正仿宋_GBK" w:cs="Times New Roman"/>
          <w:i w:val="0"/>
          <w:iCs w:val="0"/>
          <w:caps w:val="0"/>
          <w:color w:val="auto"/>
          <w:spacing w:val="0"/>
          <w:kern w:val="0"/>
          <w:sz w:val="32"/>
          <w:szCs w:val="32"/>
          <w:u w:val="none"/>
          <w:shd w:val="clear" w:color="auto" w:fill="auto"/>
          <w:lang w:val="en-US" w:eastAsia="zh-CN" w:bidi="ar"/>
        </w:rPr>
      </w:pPr>
      <w:r>
        <w:rPr>
          <w:rFonts w:hint="default" w:ascii="Times New Roman" w:hAnsi="Times New Roman" w:eastAsia="方正仿宋_GBK" w:cs="Times New Roman"/>
          <w:b w:val="0"/>
          <w:bCs w:val="0"/>
          <w:i w:val="0"/>
          <w:iCs w:val="0"/>
          <w:caps w:val="0"/>
          <w:color w:val="auto"/>
          <w:spacing w:val="0"/>
          <w:kern w:val="0"/>
          <w:sz w:val="32"/>
          <w:szCs w:val="32"/>
          <w:u w:val="none"/>
          <w:shd w:val="clear" w:color="auto" w:fill="auto"/>
          <w:lang w:val="en-US" w:eastAsia="zh-CN" w:bidi="ar"/>
        </w:rPr>
        <w:t>1.综合科。</w:t>
      </w:r>
      <w:r>
        <w:rPr>
          <w:rFonts w:hint="default" w:ascii="Times New Roman" w:hAnsi="Times New Roman" w:eastAsia="方正仿宋_GBK" w:cs="Times New Roman"/>
          <w:i w:val="0"/>
          <w:iCs w:val="0"/>
          <w:caps w:val="0"/>
          <w:color w:val="auto"/>
          <w:spacing w:val="0"/>
          <w:kern w:val="0"/>
          <w:sz w:val="32"/>
          <w:szCs w:val="32"/>
          <w:u w:val="none"/>
          <w:shd w:val="clear" w:color="auto" w:fill="auto"/>
          <w:lang w:val="en-US" w:eastAsia="zh-CN" w:bidi="ar"/>
        </w:rPr>
        <w:t>负责中心日常运转、综合协调、公文处理，承担综治、安全、应急、保密、宣传、信访、档案、督查和目标考核、资产管理、政务公开、网络舆情处置和业务大厅日常管理等工作；负责中心内部管理制度、工作计划的拟订并组织实施，牵头承担综合调研、政务信息任务，办理人大代表建议、政协委员提案；负责党的组织建设、纪检监察和工青妇工作，承担人事管理、教育培训、队伍建设等工作；其他相关工作事项。</w:t>
      </w:r>
    </w:p>
    <w:p>
      <w:pPr>
        <w:pStyle w:val="8"/>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60" w:lineRule="exact"/>
        <w:ind w:left="0" w:firstLine="640" w:firstLineChars="200"/>
        <w:jc w:val="both"/>
        <w:textAlignment w:val="auto"/>
        <w:outlineLvl w:val="9"/>
        <w:rPr>
          <w:rFonts w:hint="default" w:ascii="Times New Roman" w:hAnsi="Times New Roman" w:eastAsia="方正仿宋_GBK" w:cs="Times New Roman"/>
          <w:i w:val="0"/>
          <w:iCs w:val="0"/>
          <w:caps w:val="0"/>
          <w:color w:val="auto"/>
          <w:spacing w:val="0"/>
          <w:kern w:val="0"/>
          <w:sz w:val="32"/>
          <w:szCs w:val="32"/>
          <w:u w:val="none"/>
          <w:shd w:val="clear" w:color="auto" w:fill="auto"/>
          <w:lang w:val="en-US" w:eastAsia="zh-CN" w:bidi="ar"/>
        </w:rPr>
      </w:pPr>
      <w:r>
        <w:rPr>
          <w:rFonts w:hint="default" w:ascii="Times New Roman" w:hAnsi="Times New Roman" w:eastAsia="方正仿宋_GBK" w:cs="Times New Roman"/>
          <w:i w:val="0"/>
          <w:iCs w:val="0"/>
          <w:caps w:val="0"/>
          <w:color w:val="auto"/>
          <w:spacing w:val="0"/>
          <w:kern w:val="0"/>
          <w:sz w:val="32"/>
          <w:szCs w:val="32"/>
          <w:u w:val="none"/>
          <w:shd w:val="clear" w:color="auto" w:fill="auto"/>
          <w:lang w:val="en-US" w:eastAsia="zh-CN" w:bidi="ar"/>
        </w:rPr>
        <w:t>2.基金财务科。负责经费年度预决算、会计核算、资产核算、政府采购、职工工资管理、津补贴发放等财务工作；负责医疗保险基金的年度预决算工作；负责医疗保险基金收入、支付、转移、退缴、结余等方面的会计核算和管理；负责医疗保险基金财务报表上报和运行分析；负责与基金征收机构、财政、基金开户行的财务核对；负责离退休干部、县级公务员医疗补助等资金的支付工作；负责农村贫困人口健康扶贫医疗基金的拨付工作；负责全县医疗救助及扶贫济困基金的拨付和收回工作；其他相关工作事项。</w:t>
      </w:r>
    </w:p>
    <w:p>
      <w:pPr>
        <w:pStyle w:val="8"/>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60" w:lineRule="exact"/>
        <w:ind w:left="0" w:firstLine="640" w:firstLineChars="200"/>
        <w:jc w:val="both"/>
        <w:textAlignment w:val="auto"/>
        <w:outlineLvl w:val="9"/>
        <w:rPr>
          <w:rFonts w:hint="default" w:ascii="Times New Roman" w:hAnsi="Times New Roman" w:eastAsia="方正仿宋_GBK" w:cs="Times New Roman"/>
          <w:i w:val="0"/>
          <w:iCs w:val="0"/>
          <w:caps w:val="0"/>
          <w:color w:val="auto"/>
          <w:spacing w:val="0"/>
          <w:kern w:val="0"/>
          <w:sz w:val="32"/>
          <w:szCs w:val="32"/>
          <w:u w:val="none"/>
          <w:shd w:val="clear" w:color="auto" w:fill="auto"/>
          <w:lang w:val="en-US" w:eastAsia="zh-CN" w:bidi="ar"/>
        </w:rPr>
      </w:pPr>
      <w:r>
        <w:rPr>
          <w:rFonts w:hint="default" w:ascii="Times New Roman" w:hAnsi="Times New Roman" w:eastAsia="方正仿宋_GBK" w:cs="Times New Roman"/>
          <w:i w:val="0"/>
          <w:iCs w:val="0"/>
          <w:caps w:val="0"/>
          <w:color w:val="auto"/>
          <w:spacing w:val="0"/>
          <w:kern w:val="0"/>
          <w:sz w:val="32"/>
          <w:szCs w:val="32"/>
          <w:u w:val="none"/>
          <w:shd w:val="clear" w:color="auto" w:fill="auto"/>
          <w:lang w:val="en-US" w:eastAsia="zh-CN" w:bidi="ar"/>
        </w:rPr>
        <w:t>3.参保管理科。负责医疗保险参保对象信息登记和变更、注销登记，承担参保信息采集、录入、维护等业务；负责核定医疗保险年度缴费基数和月征缴计划，承担参保关系的拆分、转移、中断、接续和重复参保清退工作；负责参保对象个人账户的分摊和清退；负责领取养老待遇人员医疗保险缴费年限的审核确认、费用清算，承担县级公务员医疗补助的人员增减维护、资金注入工作；负责医疗保险、生育保险、长期护理保险等险种的参保扩面工作，承担参保单位和个人缴费、账户等信息查询任务；牵头负责医疗保障扶贫工作；其他相关工作事项。</w:t>
      </w:r>
    </w:p>
    <w:p>
      <w:pPr>
        <w:pStyle w:val="8"/>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60" w:lineRule="exact"/>
        <w:ind w:left="0" w:firstLine="640" w:firstLineChars="200"/>
        <w:jc w:val="both"/>
        <w:textAlignment w:val="auto"/>
        <w:outlineLvl w:val="9"/>
        <w:rPr>
          <w:rFonts w:hint="default" w:ascii="Times New Roman" w:hAnsi="Times New Roman" w:eastAsia="方正仿宋_GBK" w:cs="Times New Roman"/>
          <w:i w:val="0"/>
          <w:iCs w:val="0"/>
          <w:caps w:val="0"/>
          <w:color w:val="auto"/>
          <w:spacing w:val="0"/>
          <w:kern w:val="0"/>
          <w:sz w:val="32"/>
          <w:szCs w:val="32"/>
          <w:u w:val="none"/>
          <w:shd w:val="clear" w:color="auto" w:fill="auto"/>
          <w:lang w:val="en-US" w:eastAsia="zh-CN" w:bidi="ar"/>
        </w:rPr>
      </w:pPr>
      <w:r>
        <w:rPr>
          <w:rFonts w:hint="default" w:ascii="Times New Roman" w:hAnsi="Times New Roman" w:eastAsia="方正仿宋_GBK" w:cs="Times New Roman"/>
          <w:i w:val="0"/>
          <w:iCs w:val="0"/>
          <w:caps w:val="0"/>
          <w:color w:val="auto"/>
          <w:spacing w:val="0"/>
          <w:kern w:val="0"/>
          <w:sz w:val="32"/>
          <w:szCs w:val="32"/>
          <w:u w:val="none"/>
          <w:shd w:val="clear" w:color="auto" w:fill="auto"/>
          <w:lang w:val="en-US" w:eastAsia="zh-CN" w:bidi="ar"/>
        </w:rPr>
        <w:t>4.职工医保待遇科。负责职工医疗保险、生育保险、长期护理保险费用的初审和结算管理、参保人员转诊转院和异地就医登记、大额保险经办管理工作，承担定点服务机构职工医保总额控制付费指标编制、运行分析和医疗保险总额控制付费年终清算；负责县级公务员医疗补助费用审核结算，承担财政供给的特殊人群医疗费用支付等工作；负责职工医保特殊疾病资格认定、信息维护和服务机构指导工作；其他相关工作事项。</w:t>
      </w:r>
    </w:p>
    <w:p>
      <w:pPr>
        <w:pStyle w:val="8"/>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60" w:lineRule="exact"/>
        <w:ind w:left="0" w:firstLine="640" w:firstLineChars="200"/>
        <w:jc w:val="both"/>
        <w:textAlignment w:val="auto"/>
        <w:outlineLvl w:val="9"/>
        <w:rPr>
          <w:rFonts w:hint="default" w:ascii="Times New Roman" w:hAnsi="Times New Roman" w:eastAsia="方正仿宋_GBK" w:cs="Times New Roman"/>
          <w:i w:val="0"/>
          <w:iCs w:val="0"/>
          <w:caps w:val="0"/>
          <w:color w:val="auto"/>
          <w:spacing w:val="0"/>
          <w:kern w:val="0"/>
          <w:sz w:val="32"/>
          <w:szCs w:val="32"/>
          <w:u w:val="none"/>
          <w:shd w:val="clear" w:color="auto" w:fill="auto"/>
          <w:lang w:val="en-US" w:eastAsia="zh-CN" w:bidi="ar"/>
        </w:rPr>
      </w:pPr>
      <w:r>
        <w:rPr>
          <w:rFonts w:hint="default" w:ascii="Times New Roman" w:hAnsi="Times New Roman" w:eastAsia="方正仿宋_GBK" w:cs="Times New Roman"/>
          <w:i w:val="0"/>
          <w:iCs w:val="0"/>
          <w:caps w:val="0"/>
          <w:color w:val="auto"/>
          <w:spacing w:val="0"/>
          <w:kern w:val="0"/>
          <w:sz w:val="32"/>
          <w:szCs w:val="32"/>
          <w:u w:val="none"/>
          <w:shd w:val="clear" w:color="auto" w:fill="auto"/>
          <w:lang w:val="en-US" w:eastAsia="zh-CN" w:bidi="ar"/>
        </w:rPr>
        <w:t>5.居民医保待遇科。负责居民医疗保险、长期护理保险费用的初审和结算管理、参保人员转诊转院和异地就医登记、大病保险经办管理工作，承担定点服务机构居民医保总额控制付费指标编制、运行分析和医疗保险总额控制付费年终清算；负责居民医保特殊疾病资格认定、信息维护和服务机构指导工作，完成医疗保障扶贫待遇保障相关工作；其他相关工作事项。</w:t>
      </w:r>
    </w:p>
    <w:p>
      <w:pPr>
        <w:pStyle w:val="8"/>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60" w:lineRule="exact"/>
        <w:ind w:left="0" w:firstLine="640" w:firstLineChars="200"/>
        <w:jc w:val="both"/>
        <w:textAlignment w:val="auto"/>
        <w:outlineLvl w:val="9"/>
        <w:rPr>
          <w:rFonts w:hint="default" w:ascii="Times New Roman" w:hAnsi="Times New Roman" w:eastAsia="方正仿宋_GBK" w:cs="Times New Roman"/>
          <w:i w:val="0"/>
          <w:iCs w:val="0"/>
          <w:caps w:val="0"/>
          <w:color w:val="auto"/>
          <w:spacing w:val="0"/>
          <w:kern w:val="0"/>
          <w:sz w:val="32"/>
          <w:szCs w:val="32"/>
          <w:u w:val="none"/>
          <w:shd w:val="clear" w:color="auto" w:fill="auto"/>
          <w:lang w:val="en-US" w:eastAsia="zh-CN" w:bidi="ar"/>
        </w:rPr>
      </w:pPr>
      <w:r>
        <w:rPr>
          <w:rFonts w:hint="default" w:ascii="Times New Roman" w:hAnsi="Times New Roman" w:eastAsia="方正仿宋_GBK" w:cs="Times New Roman"/>
          <w:i w:val="0"/>
          <w:iCs w:val="0"/>
          <w:caps w:val="0"/>
          <w:color w:val="auto"/>
          <w:spacing w:val="0"/>
          <w:kern w:val="0"/>
          <w:sz w:val="32"/>
          <w:szCs w:val="32"/>
          <w:u w:val="none"/>
          <w:shd w:val="clear" w:color="auto" w:fill="auto"/>
          <w:lang w:val="en-US" w:eastAsia="zh-CN" w:bidi="ar"/>
        </w:rPr>
        <w:t>6.医疗救助科。负责组织实施医疗救助政策，定期与民政、扶贫、退役军人事务、残联等部门比对医疗救助对象，实时维护更新信息；承担定点服务机构医疗救助资金结算、运行、分析；负责困难群众参加基本医疗保险资助管理；其他相关工作事项。</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default" w:ascii="Times New Roman" w:hAnsi="Times New Roman" w:eastAsia="方正仿宋_GBK" w:cs="Times New Roman"/>
          <w:i w:val="0"/>
          <w:iCs w:val="0"/>
          <w:caps w:val="0"/>
          <w:color w:val="auto"/>
          <w:spacing w:val="0"/>
          <w:kern w:val="0"/>
          <w:sz w:val="32"/>
          <w:szCs w:val="32"/>
          <w:u w:val="none"/>
          <w:shd w:val="clear" w:color="auto" w:fill="auto"/>
          <w:lang w:val="en-US" w:eastAsia="zh-CN" w:bidi="ar"/>
        </w:rPr>
      </w:pPr>
      <w:r>
        <w:rPr>
          <w:rFonts w:hint="default" w:ascii="Times New Roman" w:hAnsi="Times New Roman" w:eastAsia="方正仿宋_GBK" w:cs="Times New Roman"/>
          <w:i w:val="0"/>
          <w:iCs w:val="0"/>
          <w:caps w:val="0"/>
          <w:color w:val="auto"/>
          <w:spacing w:val="0"/>
          <w:kern w:val="0"/>
          <w:sz w:val="32"/>
          <w:szCs w:val="32"/>
          <w:u w:val="none"/>
          <w:shd w:val="clear" w:color="auto" w:fill="auto"/>
          <w:lang w:val="en-US" w:eastAsia="zh-CN" w:bidi="ar"/>
        </w:rPr>
        <w:t>7.稽核内审科。承担定点医药机构协议管理具体事务，负责医疗机构、药店医保定点的申请受理、审查、评估等准入和退出管理事务；负责督促、指导定点医药机构履行服务协议，牵头承担医疗保障业务培训、指导工作；配合做好医疗保障资金监督管理违法违规案件查处，承担举报投诉受理、核查、回复等工作，受理定点医药机构对费用审减的复核、申诉；承担医保医师（药师）信息登记、维护工作；负责健全和组织实施医疗保障业务内控制度，负责对中心经办业务实施监督检查和内审工作；负责组织实施医疗保险费缴费情况和待遇支付情况进行核查；负责组织实施医疗保险外包服务及委托第三方审核等工作；其他相关工作事项。</w:t>
      </w:r>
    </w:p>
    <w:p>
      <w:pPr>
        <w:pStyle w:val="8"/>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60" w:lineRule="exact"/>
        <w:ind w:left="0" w:firstLine="640" w:firstLineChars="200"/>
        <w:jc w:val="both"/>
        <w:textAlignment w:val="auto"/>
        <w:outlineLvl w:val="9"/>
        <w:rPr>
          <w:rFonts w:hint="default" w:ascii="Times New Roman" w:hAnsi="Times New Roman" w:eastAsia="方正仿宋_GBK" w:cs="Times New Roman"/>
          <w:i w:val="0"/>
          <w:iCs w:val="0"/>
          <w:caps w:val="0"/>
          <w:color w:val="auto"/>
          <w:spacing w:val="0"/>
          <w:kern w:val="0"/>
          <w:sz w:val="32"/>
          <w:szCs w:val="32"/>
          <w:u w:val="none"/>
          <w:shd w:val="clear" w:color="auto" w:fill="auto"/>
          <w:lang w:val="en-US" w:eastAsia="zh-CN" w:bidi="ar"/>
        </w:rPr>
      </w:pPr>
      <w:r>
        <w:rPr>
          <w:rFonts w:hint="default" w:ascii="Times New Roman" w:hAnsi="Times New Roman" w:eastAsia="方正仿宋_GBK" w:cs="Times New Roman"/>
          <w:i w:val="0"/>
          <w:iCs w:val="0"/>
          <w:caps w:val="0"/>
          <w:color w:val="auto"/>
          <w:spacing w:val="0"/>
          <w:kern w:val="0"/>
          <w:sz w:val="32"/>
          <w:szCs w:val="32"/>
          <w:u w:val="none"/>
          <w:shd w:val="clear" w:color="auto" w:fill="auto"/>
          <w:lang w:val="en-US" w:eastAsia="zh-CN" w:bidi="ar"/>
        </w:rPr>
        <w:t>8.信息统计科。负责医疗保障网络系统和设备的安全运行维护及管理；负责业务科室工作人员、乡镇街道医保工作人员系统权限分配和管理；负责医疗保险药品目录、医疗服务项目等信息维护工作；负责医疗保障信息化建设，承担大数据管理和医疗保障业务统计、数据分析工作；其他相关工作事项。</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2"/>
          <w:rFonts w:hint="default" w:ascii="方正黑体_GBK" w:hAnsi="方正黑体_GBK" w:eastAsia="方正黑体_GBK" w:cs="方正黑体_GBK"/>
          <w:b w:val="0"/>
          <w:bCs/>
          <w:color w:val="auto"/>
          <w:sz w:val="32"/>
          <w:szCs w:val="32"/>
          <w:shd w:val="clear" w:color="auto" w:fill="FFFFFF"/>
          <w:lang w:eastAsia="zh-CN"/>
        </w:rPr>
      </w:pPr>
      <w:r>
        <w:rPr>
          <w:rStyle w:val="12"/>
          <w:rFonts w:hint="default" w:ascii="方正黑体_GBK" w:hAnsi="方正黑体_GBK" w:eastAsia="方正黑体_GBK" w:cs="方正黑体_GBK"/>
          <w:b w:val="0"/>
          <w:bCs/>
          <w:color w:val="auto"/>
          <w:sz w:val="32"/>
          <w:szCs w:val="32"/>
          <w:shd w:val="clear" w:color="auto" w:fill="FFFFFF"/>
          <w:lang w:eastAsia="zh-CN"/>
        </w:rPr>
        <w:t>二、单位决算收支情况说明</w:t>
      </w:r>
    </w:p>
    <w:p>
      <w:pPr>
        <w:pStyle w:val="8"/>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60" w:lineRule="exact"/>
        <w:ind w:left="0" w:firstLine="640" w:firstLineChars="200"/>
        <w:jc w:val="both"/>
        <w:textAlignment w:val="auto"/>
        <w:outlineLvl w:val="9"/>
        <w:rPr>
          <w:rStyle w:val="12"/>
          <w:rFonts w:hint="default" w:ascii="Times New Roman" w:hAnsi="Times New Roman" w:eastAsia="方正楷体_GBK" w:cs="方正楷体_GBK"/>
          <w:b w:val="0"/>
          <w:bCs/>
          <w:color w:val="auto"/>
          <w:sz w:val="32"/>
          <w:szCs w:val="32"/>
          <w:shd w:val="clear" w:color="auto" w:fill="auto"/>
        </w:rPr>
      </w:pPr>
      <w:r>
        <w:rPr>
          <w:rStyle w:val="12"/>
          <w:rFonts w:hint="default" w:ascii="Times New Roman" w:hAnsi="Times New Roman" w:eastAsia="方正楷体_GBK" w:cs="方正楷体_GBK"/>
          <w:b w:val="0"/>
          <w:bCs/>
          <w:color w:val="auto"/>
          <w:sz w:val="32"/>
          <w:szCs w:val="32"/>
          <w:shd w:val="clear" w:color="auto" w:fill="auto"/>
        </w:rPr>
        <w:t>（一）收入支出决算总体情况说明</w:t>
      </w:r>
    </w:p>
    <w:p>
      <w:pPr>
        <w:pStyle w:val="8"/>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2024年度收</w:t>
      </w:r>
      <w:r>
        <w:rPr>
          <w:rFonts w:hint="default" w:ascii="Times New Roman" w:hAnsi="Times New Roman" w:eastAsia="方正仿宋_GBK" w:cs="Times New Roman"/>
          <w:color w:val="auto"/>
          <w:sz w:val="32"/>
          <w:szCs w:val="32"/>
          <w:shd w:val="clear" w:color="auto" w:fill="FFFFFF"/>
          <w:lang w:eastAsia="zh-CN"/>
        </w:rPr>
        <w:t>、支</w:t>
      </w:r>
      <w:r>
        <w:rPr>
          <w:rFonts w:hint="default" w:ascii="Times New Roman" w:hAnsi="Times New Roman" w:eastAsia="方正仿宋_GBK" w:cs="Times New Roman"/>
          <w:color w:val="auto"/>
          <w:sz w:val="32"/>
          <w:szCs w:val="32"/>
          <w:shd w:val="clear" w:color="auto" w:fill="FFFFFF"/>
        </w:rPr>
        <w:t>总计</w:t>
      </w:r>
      <w:r>
        <w:rPr>
          <w:rFonts w:hint="default" w:ascii="Times New Roman" w:hAnsi="Times New Roman" w:eastAsia="方正仿宋_GBK" w:cs="Times New Roman"/>
          <w:color w:val="auto"/>
          <w:sz w:val="32"/>
          <w:szCs w:val="32"/>
          <w:shd w:val="clear" w:color="auto" w:fill="FFFFFF"/>
          <w:lang w:eastAsia="zh-CN"/>
        </w:rPr>
        <w:t>均为</w:t>
      </w:r>
      <w:r>
        <w:rPr>
          <w:rFonts w:hint="default" w:ascii="Times New Roman" w:hAnsi="Times New Roman" w:eastAsia="方正仿宋_GBK" w:cs="Times New Roman"/>
          <w:color w:val="auto"/>
          <w:sz w:val="32"/>
          <w:szCs w:val="32"/>
          <w:shd w:val="clear" w:color="auto" w:fill="FFFFFF"/>
        </w:rPr>
        <w:t>459.87万元。收、支与2023年度相比，增加35.59万元，增长8.4%，主要原因是</w:t>
      </w:r>
      <w:r>
        <w:rPr>
          <w:rFonts w:hint="default" w:ascii="Times New Roman" w:hAnsi="Times New Roman" w:eastAsia="方正仿宋_GBK" w:cs="Times New Roman"/>
          <w:color w:val="auto"/>
          <w:sz w:val="32"/>
          <w:szCs w:val="32"/>
          <w:shd w:val="clear" w:color="auto" w:fill="FFFFFF"/>
          <w:lang w:eastAsia="zh-CN"/>
        </w:rPr>
        <w:t>社会保障和就业支出与卫生健康支出收支增加。</w:t>
      </w:r>
    </w:p>
    <w:p>
      <w:pPr>
        <w:pStyle w:val="8"/>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Style w:val="12"/>
          <w:rFonts w:hint="default" w:ascii="Times New Roman" w:hAnsi="Times New Roman" w:eastAsia="方正仿宋_GBK" w:cs="Times New Roman"/>
          <w:b/>
          <w:bCs w:val="0"/>
          <w:color w:val="auto"/>
          <w:sz w:val="32"/>
          <w:szCs w:val="32"/>
          <w:shd w:val="clear" w:color="auto" w:fill="FFFFFF"/>
          <w:lang w:val="en-US" w:eastAsia="zh-CN"/>
        </w:rPr>
        <w:t>1</w:t>
      </w:r>
      <w:r>
        <w:rPr>
          <w:rStyle w:val="12"/>
          <w:rFonts w:hint="default" w:ascii="Times New Roman" w:hAnsi="Times New Roman" w:eastAsia="方正仿宋_GBK" w:cs="Times New Roman"/>
          <w:b/>
          <w:bCs w:val="0"/>
          <w:color w:val="auto"/>
          <w:sz w:val="32"/>
          <w:szCs w:val="32"/>
          <w:shd w:val="clear" w:color="auto" w:fill="FFFFFF"/>
        </w:rPr>
        <w:t>.收入情况。</w:t>
      </w:r>
      <w:r>
        <w:rPr>
          <w:rFonts w:hint="default" w:ascii="Times New Roman" w:hAnsi="Times New Roman" w:eastAsia="方正仿宋_GBK" w:cs="Times New Roman"/>
          <w:b w:val="0"/>
          <w:bCs/>
          <w:color w:val="auto"/>
          <w:sz w:val="32"/>
          <w:szCs w:val="32"/>
          <w:shd w:val="clear" w:color="auto" w:fill="FFFFFF"/>
        </w:rPr>
        <w:t>2024年度收入合计459.87万元，与2023年度相比，增加35.59万元，增长8.4%，主要原因是</w:t>
      </w:r>
      <w:r>
        <w:rPr>
          <w:rFonts w:hint="default" w:ascii="Times New Roman" w:hAnsi="Times New Roman" w:eastAsia="方正仿宋_GBK" w:cs="Times New Roman"/>
          <w:b w:val="0"/>
          <w:bCs/>
          <w:color w:val="auto"/>
          <w:sz w:val="32"/>
          <w:szCs w:val="32"/>
          <w:shd w:val="clear" w:color="auto" w:fill="FFFFFF"/>
          <w:lang w:eastAsia="zh-CN"/>
        </w:rPr>
        <w:t>社会保障和就业支出与卫生健康支出收入增加。</w:t>
      </w:r>
      <w:r>
        <w:rPr>
          <w:rFonts w:hint="default" w:ascii="Times New Roman" w:hAnsi="Times New Roman" w:eastAsia="方正仿宋_GBK" w:cs="Times New Roman"/>
          <w:b w:val="0"/>
          <w:bCs/>
          <w:color w:val="auto"/>
          <w:sz w:val="32"/>
          <w:szCs w:val="32"/>
          <w:shd w:val="clear" w:color="auto" w:fill="FFFFFF"/>
        </w:rPr>
        <w:t>其中：财政拨款收入459.87万元，占100.0%；事业收入0.00万元，占0.0%；经营收入0.00万元，占0.0%；其他收入0.00万元，占0.0%。此外，使用非财政拨款结余（含专用结余）0.00万元，年初结转和结余0.00万元。</w:t>
      </w:r>
    </w:p>
    <w:p>
      <w:pPr>
        <w:pStyle w:val="8"/>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Style w:val="12"/>
          <w:rFonts w:hint="default" w:ascii="Times New Roman" w:hAnsi="Times New Roman" w:eastAsia="方正仿宋_GBK" w:cs="Times New Roman"/>
          <w:b/>
          <w:bCs w:val="0"/>
          <w:color w:val="auto"/>
          <w:sz w:val="32"/>
          <w:szCs w:val="32"/>
          <w:shd w:val="clear" w:color="auto" w:fill="FFFFFF"/>
          <w:lang w:val="en-US" w:eastAsia="zh-CN"/>
        </w:rPr>
        <w:t>2.支出情况。</w:t>
      </w:r>
      <w:r>
        <w:rPr>
          <w:rFonts w:hint="default" w:ascii="Times New Roman" w:hAnsi="Times New Roman" w:eastAsia="方正仿宋_GBK" w:cs="Times New Roman"/>
          <w:b w:val="0"/>
          <w:bCs/>
          <w:color w:val="auto"/>
          <w:sz w:val="32"/>
          <w:szCs w:val="32"/>
          <w:shd w:val="clear" w:color="auto" w:fill="FFFFFF"/>
        </w:rPr>
        <w:t>2024年度支出合计459.87万元，与2023年度相比，增加35.59万元，增长8.4%，主要原因是</w:t>
      </w:r>
      <w:r>
        <w:rPr>
          <w:rFonts w:hint="default" w:ascii="Times New Roman" w:hAnsi="Times New Roman" w:eastAsia="方正仿宋_GBK" w:cs="Times New Roman"/>
          <w:b w:val="0"/>
          <w:bCs/>
          <w:color w:val="auto"/>
          <w:sz w:val="32"/>
          <w:szCs w:val="32"/>
          <w:shd w:val="clear" w:color="auto" w:fill="FFFFFF"/>
          <w:lang w:eastAsia="zh-CN"/>
        </w:rPr>
        <w:t>社会保障和就业支出与卫生健康支出增加。</w:t>
      </w:r>
      <w:r>
        <w:rPr>
          <w:rFonts w:hint="default" w:ascii="Times New Roman" w:hAnsi="Times New Roman" w:eastAsia="方正仿宋_GBK" w:cs="Times New Roman"/>
          <w:b w:val="0"/>
          <w:bCs/>
          <w:color w:val="auto"/>
          <w:sz w:val="32"/>
          <w:szCs w:val="32"/>
          <w:shd w:val="clear" w:color="auto" w:fill="FFFFFF"/>
        </w:rPr>
        <w:t>其中：基本支出459.87万元，占100.0%；项目支出0.00万元，占0.0%；经营支出</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万元，占0.0%。此外，结余分配0.00万元。</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b w:val="0"/>
          <w:bCs/>
          <w:color w:val="auto"/>
          <w:sz w:val="32"/>
          <w:szCs w:val="32"/>
          <w:lang w:val="en-US" w:eastAsia="zh-CN"/>
        </w:rPr>
      </w:pPr>
      <w:r>
        <w:rPr>
          <w:rStyle w:val="12"/>
          <w:rFonts w:hint="default" w:ascii="Times New Roman" w:hAnsi="Times New Roman" w:eastAsia="方正仿宋_GBK" w:cs="Times New Roman"/>
          <w:b/>
          <w:bCs w:val="0"/>
          <w:color w:val="auto"/>
          <w:sz w:val="32"/>
          <w:szCs w:val="32"/>
          <w:shd w:val="clear" w:color="auto" w:fill="FFFFFF"/>
          <w:lang w:val="en-US" w:eastAsia="zh-CN"/>
        </w:rPr>
        <w:t>3.结转结余情况。</w:t>
      </w:r>
      <w:r>
        <w:rPr>
          <w:rFonts w:hint="default" w:ascii="Times New Roman" w:hAnsi="Times New Roman" w:eastAsia="方正仿宋_GBK" w:cs="Times New Roman"/>
          <w:b w:val="0"/>
          <w:bCs/>
          <w:color w:val="auto"/>
          <w:sz w:val="32"/>
          <w:szCs w:val="32"/>
          <w:shd w:val="clear" w:color="auto" w:fill="FFFFFF"/>
        </w:rPr>
        <w:t>2024年度年末结转和结余0.00万元，与2023年度相比，无增减</w:t>
      </w:r>
      <w:r>
        <w:rPr>
          <w:rFonts w:hint="default" w:ascii="Times New Roman" w:hAnsi="Times New Roman" w:eastAsia="方正仿宋_GBK" w:cs="Times New Roman"/>
          <w:b w:val="0"/>
          <w:bCs/>
          <w:color w:val="auto"/>
          <w:sz w:val="32"/>
          <w:szCs w:val="32"/>
          <w:shd w:val="clear" w:color="auto" w:fill="FFFFFF"/>
          <w:lang w:eastAsia="zh-CN"/>
        </w:rPr>
        <w:t>。</w:t>
      </w:r>
    </w:p>
    <w:p>
      <w:pPr>
        <w:pStyle w:val="8"/>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60" w:lineRule="exact"/>
        <w:ind w:left="0" w:firstLine="640" w:firstLineChars="200"/>
        <w:jc w:val="both"/>
        <w:textAlignment w:val="auto"/>
        <w:outlineLvl w:val="9"/>
        <w:rPr>
          <w:rStyle w:val="12"/>
          <w:rFonts w:hint="default" w:ascii="Times New Roman" w:hAnsi="Times New Roman" w:eastAsia="方正楷体_GBK" w:cs="方正楷体_GBK"/>
          <w:b w:val="0"/>
          <w:bCs/>
          <w:color w:val="auto"/>
          <w:sz w:val="32"/>
          <w:szCs w:val="32"/>
          <w:shd w:val="clear" w:color="auto" w:fill="auto"/>
        </w:rPr>
      </w:pPr>
      <w:r>
        <w:rPr>
          <w:rStyle w:val="12"/>
          <w:rFonts w:hint="default" w:ascii="Times New Roman" w:hAnsi="Times New Roman" w:eastAsia="方正楷体_GBK" w:cs="方正楷体_GBK"/>
          <w:b w:val="0"/>
          <w:bCs/>
          <w:color w:val="auto"/>
          <w:sz w:val="32"/>
          <w:szCs w:val="32"/>
          <w:shd w:val="clear" w:color="auto" w:fill="auto"/>
        </w:rPr>
        <w:t>（二）财政拨款收入支出决算总体情况说明</w:t>
      </w:r>
    </w:p>
    <w:p>
      <w:pPr>
        <w:pStyle w:val="8"/>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2024年度财政拨款收、支总计均为459.87万元。与2023年</w:t>
      </w:r>
      <w:r>
        <w:rPr>
          <w:rFonts w:hint="default" w:ascii="Times New Roman" w:hAnsi="Times New Roman" w:eastAsia="方正仿宋_GBK" w:cs="Times New Roman"/>
          <w:color w:val="auto"/>
          <w:sz w:val="32"/>
          <w:szCs w:val="32"/>
          <w:shd w:val="clear" w:color="auto" w:fill="FFFFFF"/>
          <w:lang w:eastAsia="zh-CN"/>
        </w:rPr>
        <w:t>度</w:t>
      </w:r>
      <w:r>
        <w:rPr>
          <w:rFonts w:hint="default" w:ascii="Times New Roman" w:hAnsi="Times New Roman" w:eastAsia="方正仿宋_GBK" w:cs="Times New Roman"/>
          <w:color w:val="auto"/>
          <w:sz w:val="32"/>
          <w:szCs w:val="32"/>
          <w:shd w:val="clear" w:color="auto" w:fill="FFFFFF"/>
        </w:rPr>
        <w:t>相比，财政拨款收、支总计各增加35.59万元，增长8.4%。主要原因是</w:t>
      </w:r>
      <w:r>
        <w:rPr>
          <w:rFonts w:hint="default" w:ascii="Times New Roman" w:hAnsi="Times New Roman" w:eastAsia="方正仿宋_GBK" w:cs="Times New Roman"/>
          <w:color w:val="auto"/>
          <w:sz w:val="32"/>
          <w:szCs w:val="32"/>
          <w:shd w:val="clear" w:color="auto" w:fill="FFFFFF"/>
          <w:lang w:eastAsia="zh-CN"/>
        </w:rPr>
        <w:t>社会保障和就业支出与卫生健康支出收支增加。</w:t>
      </w:r>
    </w:p>
    <w:p>
      <w:pPr>
        <w:pStyle w:val="13"/>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Style w:val="12"/>
          <w:rFonts w:hint="default" w:ascii="Times New Roman" w:hAnsi="Times New Roman" w:eastAsia="方正楷体_GBK" w:cs="方正楷体_GBK"/>
          <w:b w:val="0"/>
          <w:bCs/>
          <w:color w:val="auto"/>
          <w:sz w:val="32"/>
          <w:szCs w:val="32"/>
          <w:shd w:val="clear" w:color="auto" w:fill="auto"/>
          <w:lang w:val="en-US" w:eastAsia="zh-CN" w:bidi="ar-SA"/>
        </w:rPr>
      </w:pPr>
      <w:r>
        <w:rPr>
          <w:rStyle w:val="12"/>
          <w:rFonts w:hint="default" w:ascii="Times New Roman" w:hAnsi="Times New Roman" w:eastAsia="方正楷体_GBK" w:cs="方正楷体_GBK"/>
          <w:b w:val="0"/>
          <w:bCs/>
          <w:color w:val="auto"/>
          <w:sz w:val="32"/>
          <w:szCs w:val="32"/>
          <w:shd w:val="clear" w:color="auto" w:fill="auto"/>
          <w:lang w:val="en-US" w:eastAsia="zh-CN" w:bidi="ar-SA"/>
        </w:rPr>
        <w:t>（三）一般公共预算财政拨款收入支出决算情况说明</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Style w:val="12"/>
          <w:rFonts w:hint="default" w:ascii="Times New Roman" w:hAnsi="Times New Roman" w:eastAsia="方正仿宋_GBK" w:cs="Times New Roman"/>
          <w:b/>
          <w:bCs w:val="0"/>
          <w:color w:val="auto"/>
          <w:sz w:val="32"/>
          <w:szCs w:val="32"/>
          <w:shd w:val="clear" w:color="auto" w:fill="FFFFFF"/>
          <w:lang w:val="en-US" w:eastAsia="zh-CN"/>
        </w:rPr>
        <w:t>1.收入情况。</w:t>
      </w:r>
      <w:r>
        <w:rPr>
          <w:rFonts w:hint="default" w:ascii="Times New Roman" w:hAnsi="Times New Roman" w:eastAsia="方正仿宋_GBK" w:cs="Times New Roman"/>
          <w:b w:val="0"/>
          <w:bCs/>
          <w:color w:val="auto"/>
          <w:sz w:val="32"/>
          <w:szCs w:val="32"/>
          <w:shd w:val="clear" w:color="auto" w:fill="FFFFFF"/>
        </w:rPr>
        <w:t>2024年度一般公共预算财政拨款收入459.87万元，与2023年度相比，增加35.59万元，增长8.4%。主要原因是</w:t>
      </w:r>
      <w:r>
        <w:rPr>
          <w:rFonts w:hint="default" w:ascii="Times New Roman" w:hAnsi="Times New Roman" w:eastAsia="方正仿宋_GBK" w:cs="Times New Roman"/>
          <w:b w:val="0"/>
          <w:bCs/>
          <w:color w:val="auto"/>
          <w:sz w:val="32"/>
          <w:szCs w:val="32"/>
          <w:shd w:val="clear" w:color="auto" w:fill="FFFFFF"/>
          <w:lang w:eastAsia="zh-CN"/>
        </w:rPr>
        <w:t>社会保障和就业支出与卫生健康支出收入增加。</w:t>
      </w:r>
      <w:r>
        <w:rPr>
          <w:rFonts w:hint="default" w:ascii="Times New Roman" w:hAnsi="Times New Roman" w:eastAsia="方正仿宋_GBK" w:cs="Times New Roman"/>
          <w:b w:val="0"/>
          <w:bCs/>
          <w:color w:val="auto"/>
          <w:sz w:val="32"/>
          <w:szCs w:val="32"/>
          <w:shd w:val="clear" w:color="auto" w:fill="FFFFFF"/>
        </w:rPr>
        <w:t>较年初预算数增加6.30万元，增长1.4%。主要原因是</w:t>
      </w:r>
      <w:r>
        <w:rPr>
          <w:rFonts w:hint="default" w:ascii="Times New Roman" w:hAnsi="Times New Roman" w:eastAsia="方正仿宋_GBK" w:cs="Times New Roman"/>
          <w:b w:val="0"/>
          <w:bCs/>
          <w:color w:val="auto"/>
          <w:sz w:val="32"/>
          <w:szCs w:val="32"/>
          <w:shd w:val="clear" w:color="auto" w:fill="FFFFFF"/>
          <w:lang w:eastAsia="zh-CN"/>
        </w:rPr>
        <w:t>在职人员薪资调整。</w:t>
      </w:r>
      <w:r>
        <w:rPr>
          <w:rFonts w:hint="default" w:ascii="Times New Roman" w:hAnsi="Times New Roman" w:eastAsia="方正仿宋_GBK" w:cs="Times New Roman"/>
          <w:b w:val="0"/>
          <w:bCs/>
          <w:color w:val="auto"/>
          <w:sz w:val="32"/>
          <w:szCs w:val="32"/>
          <w:shd w:val="clear" w:color="auto" w:fill="FFFFFF"/>
        </w:rPr>
        <w:t>此外，年初财政拨款结转和结余0.00万元。</w:t>
      </w:r>
    </w:p>
    <w:p>
      <w:pPr>
        <w:pStyle w:val="8"/>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color w:val="auto"/>
          <w:sz w:val="32"/>
          <w:szCs w:val="32"/>
        </w:rPr>
      </w:pPr>
      <w:r>
        <w:rPr>
          <w:rStyle w:val="12"/>
          <w:rFonts w:hint="default" w:ascii="Times New Roman" w:hAnsi="Times New Roman" w:eastAsia="方正仿宋_GBK" w:cs="Times New Roman"/>
          <w:b/>
          <w:bCs w:val="0"/>
          <w:color w:val="auto"/>
          <w:sz w:val="32"/>
          <w:szCs w:val="32"/>
          <w:shd w:val="clear" w:color="auto" w:fill="FFFFFF"/>
          <w:lang w:val="en-US" w:eastAsia="zh-CN"/>
        </w:rPr>
        <w:t>2.支出情况。</w:t>
      </w:r>
      <w:r>
        <w:rPr>
          <w:rFonts w:hint="default" w:ascii="Times New Roman" w:hAnsi="Times New Roman" w:eastAsia="方正仿宋_GBK" w:cs="Times New Roman"/>
          <w:color w:val="auto"/>
          <w:sz w:val="32"/>
          <w:szCs w:val="32"/>
          <w:shd w:val="clear" w:color="auto" w:fill="FFFFFF"/>
        </w:rPr>
        <w:t>2024年度一般公共预算财政拨款支出459.87万元，与2023年度相比，增加35.59万元，增长8.4%。主要原因是</w:t>
      </w:r>
      <w:r>
        <w:rPr>
          <w:rFonts w:hint="default" w:ascii="Times New Roman" w:hAnsi="Times New Roman" w:eastAsia="方正仿宋_GBK" w:cs="Times New Roman"/>
          <w:color w:val="auto"/>
          <w:sz w:val="32"/>
          <w:szCs w:val="32"/>
          <w:shd w:val="clear" w:color="auto" w:fill="FFFFFF"/>
          <w:lang w:eastAsia="zh-CN"/>
        </w:rPr>
        <w:t>社会保障和就业支出与卫生健康支出收支增加。</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较年初预算数增加6.30万元，增长1.4%。主要原因是</w:t>
      </w:r>
      <w:r>
        <w:rPr>
          <w:rFonts w:hint="default" w:ascii="Times New Roman" w:hAnsi="Times New Roman" w:eastAsia="方正仿宋_GBK" w:cs="Times New Roman"/>
          <w:color w:val="auto"/>
          <w:sz w:val="32"/>
          <w:szCs w:val="32"/>
          <w:shd w:val="clear" w:color="auto" w:fill="FFFFFF"/>
          <w:lang w:eastAsia="zh-CN"/>
        </w:rPr>
        <w:t>在职人员薪资调整。</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一般公共预算财政拨款支出主要</w:t>
      </w:r>
      <w:r>
        <w:rPr>
          <w:rFonts w:hint="default" w:ascii="Times New Roman" w:hAnsi="Times New Roman" w:eastAsia="方正仿宋_GBK" w:cs="Times New Roman"/>
          <w:color w:val="auto"/>
          <w:sz w:val="32"/>
          <w:szCs w:val="32"/>
          <w:highlight w:val="none"/>
          <w:shd w:val="clear" w:color="auto" w:fill="FFFFFF"/>
          <w:lang w:eastAsia="zh-CN"/>
        </w:rPr>
        <w:t>用途如下</w:t>
      </w:r>
      <w:r>
        <w:rPr>
          <w:rFonts w:hint="default" w:ascii="Times New Roman" w:hAnsi="Times New Roman" w:eastAsia="方正仿宋_GBK" w:cs="Times New Roman"/>
          <w:color w:val="auto"/>
          <w:sz w:val="32"/>
          <w:szCs w:val="32"/>
          <w:highlight w:val="none"/>
          <w:shd w:val="clear" w:color="auto" w:fill="FFFFFF"/>
        </w:rPr>
        <w:t>：</w:t>
      </w:r>
    </w:p>
    <w:p>
      <w:pPr>
        <w:pStyle w:val="8"/>
        <w:keepNext w:val="0"/>
        <w:keepLines w:val="0"/>
        <w:pageBreakBefore w:val="0"/>
        <w:widowControl w:val="0"/>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1</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社会保障</w:t>
      </w:r>
      <w:r>
        <w:rPr>
          <w:rFonts w:hint="default" w:ascii="Times New Roman" w:hAnsi="Times New Roman" w:eastAsia="方正仿宋_GBK" w:cs="Times New Roman"/>
          <w:color w:val="auto"/>
          <w:sz w:val="32"/>
          <w:szCs w:val="32"/>
          <w:shd w:val="clear" w:color="auto" w:fill="FFFFFF"/>
          <w:lang w:eastAsia="zh-CN"/>
        </w:rPr>
        <w:t>和</w:t>
      </w:r>
      <w:r>
        <w:rPr>
          <w:rFonts w:hint="default" w:ascii="Times New Roman" w:hAnsi="Times New Roman" w:eastAsia="方正仿宋_GBK" w:cs="Times New Roman"/>
          <w:color w:val="auto"/>
          <w:sz w:val="32"/>
          <w:szCs w:val="32"/>
          <w:shd w:val="clear" w:color="auto" w:fill="FFFFFF"/>
        </w:rPr>
        <w:t>就业支出61.99万元，占13.5%，较年初预算数无增减</w:t>
      </w:r>
      <w:r>
        <w:rPr>
          <w:rFonts w:hint="default" w:ascii="Times New Roman" w:hAnsi="Times New Roman" w:eastAsia="方正仿宋_GBK" w:cs="Times New Roman"/>
          <w:color w:val="auto"/>
          <w:sz w:val="32"/>
          <w:szCs w:val="32"/>
          <w:shd w:val="clear" w:color="auto" w:fill="FFFFFF"/>
          <w:lang w:eastAsia="zh-CN"/>
        </w:rPr>
        <w:t>。</w:t>
      </w:r>
    </w:p>
    <w:p>
      <w:pPr>
        <w:pStyle w:val="8"/>
        <w:keepNext w:val="0"/>
        <w:keepLines w:val="0"/>
        <w:pageBreakBefore w:val="0"/>
        <w:widowControl w:val="0"/>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2</w:t>
      </w:r>
      <w:r>
        <w:rPr>
          <w:rFonts w:hint="default" w:ascii="Times New Roman" w:hAnsi="Times New Roman" w:eastAsia="方正仿宋_GBK" w:cs="Times New Roman"/>
          <w:color w:val="auto"/>
          <w:sz w:val="32"/>
          <w:szCs w:val="32"/>
          <w:shd w:val="clear" w:color="auto" w:fill="FFFFFF"/>
        </w:rPr>
        <w:t>）卫生健康支出364.39万元，占79.2%，较年初预算数增加6.30万元，增长1.8%，主要原因是</w:t>
      </w:r>
      <w:r>
        <w:rPr>
          <w:rFonts w:hint="default" w:ascii="Times New Roman" w:hAnsi="Times New Roman" w:eastAsia="方正仿宋_GBK" w:cs="Times New Roman"/>
          <w:color w:val="auto"/>
          <w:sz w:val="32"/>
          <w:szCs w:val="32"/>
          <w:shd w:val="clear" w:color="auto" w:fill="FFFFFF"/>
          <w:lang w:eastAsia="zh-CN"/>
        </w:rPr>
        <w:t>在职人员薪资调整。</w:t>
      </w:r>
    </w:p>
    <w:p>
      <w:pPr>
        <w:keepNext w:val="0"/>
        <w:keepLines w:val="0"/>
        <w:pageBreakBefore w:val="0"/>
        <w:widowControl w:val="0"/>
        <w:kinsoku/>
        <w:wordWrap/>
        <w:overflowPunct/>
        <w:topLinePunct w:val="0"/>
        <w:autoSpaceDN/>
        <w:bidi w:val="0"/>
        <w:adjustRightInd/>
        <w:spacing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3</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rPr>
        <w:t>住房保障支出</w:t>
      </w:r>
      <w:r>
        <w:rPr>
          <w:rFonts w:hint="default" w:ascii="Times New Roman" w:hAnsi="Times New Roman" w:eastAsia="方正仿宋_GBK" w:cs="Times New Roman"/>
          <w:color w:val="auto"/>
          <w:sz w:val="32"/>
          <w:szCs w:val="32"/>
          <w:shd w:val="clear" w:color="auto" w:fill="FFFFFF"/>
        </w:rPr>
        <w:t>33.49万元，占7.3%，较年初预算数无增减</w:t>
      </w:r>
      <w:r>
        <w:rPr>
          <w:rFonts w:hint="default" w:ascii="Times New Roman" w:hAnsi="Times New Roman" w:eastAsia="方正仿宋_GBK" w:cs="Times New Roman"/>
          <w:color w:val="auto"/>
          <w:sz w:val="32"/>
          <w:szCs w:val="32"/>
          <w:shd w:val="clear" w:color="auto" w:fill="FFFFFF"/>
          <w:lang w:eastAsia="zh-CN"/>
        </w:rPr>
        <w:t>。</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color w:val="auto"/>
          <w:sz w:val="32"/>
          <w:szCs w:val="32"/>
          <w:shd w:val="clear" w:color="auto" w:fill="FFFFFF"/>
          <w:lang w:eastAsia="zh-CN"/>
        </w:rPr>
      </w:pPr>
      <w:r>
        <w:rPr>
          <w:rStyle w:val="12"/>
          <w:rFonts w:hint="default" w:ascii="Times New Roman" w:hAnsi="Times New Roman" w:eastAsia="方正仿宋_GBK" w:cs="Times New Roman"/>
          <w:b/>
          <w:bCs w:val="0"/>
          <w:color w:val="auto"/>
          <w:sz w:val="32"/>
          <w:szCs w:val="32"/>
          <w:shd w:val="clear" w:color="auto" w:fill="FFFFFF"/>
          <w:lang w:val="en-US" w:eastAsia="zh-CN"/>
        </w:rPr>
        <w:t>3.结转结余情况。</w:t>
      </w:r>
      <w:r>
        <w:rPr>
          <w:rFonts w:hint="default" w:ascii="Times New Roman" w:hAnsi="Times New Roman" w:eastAsia="方正仿宋_GBK" w:cs="Times New Roman"/>
          <w:color w:val="auto"/>
          <w:sz w:val="32"/>
          <w:szCs w:val="32"/>
          <w:shd w:val="clear" w:color="auto" w:fill="FFFFFF"/>
        </w:rPr>
        <w:t>2024年度年末一般公共预算财政拨款结转和结余0.00万元，与2023年度相比</w:t>
      </w:r>
      <w:r>
        <w:rPr>
          <w:rFonts w:hint="default" w:ascii="Times New Roman" w:hAnsi="Times New Roman" w:eastAsia="方正仿宋_GBK" w:cs="Times New Roman"/>
          <w:color w:val="auto"/>
          <w:sz w:val="32"/>
          <w:szCs w:val="32"/>
          <w:shd w:val="clear" w:color="auto" w:fill="FFFFFF"/>
          <w:lang w:eastAsia="zh-CN"/>
        </w:rPr>
        <w:t>。</w:t>
      </w:r>
    </w:p>
    <w:p>
      <w:pPr>
        <w:pStyle w:val="13"/>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Style w:val="12"/>
          <w:rFonts w:hint="default" w:ascii="Times New Roman" w:hAnsi="Times New Roman" w:eastAsia="方正楷体_GBK" w:cs="方正楷体_GBK"/>
          <w:b w:val="0"/>
          <w:bCs/>
          <w:color w:val="auto"/>
          <w:sz w:val="32"/>
          <w:szCs w:val="32"/>
          <w:shd w:val="clear" w:color="auto" w:fill="auto"/>
          <w:lang w:val="en-US" w:eastAsia="zh-CN" w:bidi="ar-SA"/>
        </w:rPr>
      </w:pPr>
      <w:r>
        <w:rPr>
          <w:rStyle w:val="12"/>
          <w:rFonts w:hint="default" w:ascii="Times New Roman" w:hAnsi="Times New Roman" w:eastAsia="方正楷体_GBK" w:cs="方正楷体_GBK"/>
          <w:b w:val="0"/>
          <w:bCs/>
          <w:color w:val="auto"/>
          <w:sz w:val="32"/>
          <w:szCs w:val="32"/>
          <w:shd w:val="clear" w:color="auto" w:fill="auto"/>
          <w:lang w:val="en-US" w:eastAsia="zh-CN" w:bidi="ar-SA"/>
        </w:rPr>
        <w:t>（四）一般公共预算财政拨款基本支出决算情况说明</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2024年度一般公共财政拨款基本支出459.87万元。</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jc w:val="both"/>
        <w:textAlignment w:val="auto"/>
        <w:rPr>
          <w:rFonts w:hint="eastAsia"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其中</w:t>
      </w:r>
      <w:r>
        <w:rPr>
          <w:rFonts w:hint="eastAsia" w:ascii="Times New Roman" w:hAnsi="Times New Roman" w:eastAsia="方正仿宋_GBK" w:cs="Times New Roman"/>
          <w:color w:val="auto"/>
          <w:sz w:val="32"/>
          <w:szCs w:val="32"/>
          <w:shd w:val="clear" w:color="auto" w:fill="FFFFFF"/>
          <w:lang w:eastAsia="zh-CN"/>
        </w:rPr>
        <w:t>：</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auto"/>
        </w:rPr>
      </w:pPr>
      <w:r>
        <w:rPr>
          <w:rFonts w:hint="default" w:ascii="Times New Roman" w:hAnsi="Times New Roman" w:eastAsia="方正仿宋_GBK" w:cs="Times New Roman"/>
          <w:color w:val="auto"/>
          <w:sz w:val="32"/>
          <w:szCs w:val="32"/>
          <w:shd w:val="clear" w:color="auto" w:fill="FFFFFF"/>
        </w:rPr>
        <w:t>人员经费411.18万元，与2023年度相比，增加33.83万元，增长9.0%，主要原因是</w:t>
      </w:r>
      <w:r>
        <w:rPr>
          <w:rFonts w:hint="default" w:ascii="Times New Roman" w:hAnsi="Times New Roman" w:eastAsia="方正仿宋_GBK" w:cs="Times New Roman"/>
          <w:color w:val="auto"/>
          <w:sz w:val="32"/>
          <w:szCs w:val="32"/>
          <w:shd w:val="clear" w:color="auto" w:fill="FFFFFF"/>
          <w:lang w:eastAsia="zh-CN"/>
        </w:rPr>
        <w:t>在职人员社保缴费基数调整。</w:t>
      </w:r>
      <w:r>
        <w:rPr>
          <w:rFonts w:hint="default" w:ascii="Times New Roman" w:hAnsi="Times New Roman" w:eastAsia="方正仿宋_GBK" w:cs="Times New Roman"/>
          <w:color w:val="auto"/>
          <w:sz w:val="32"/>
          <w:szCs w:val="32"/>
          <w:shd w:val="clear" w:color="auto" w:fill="FFFFFF"/>
        </w:rPr>
        <w:t>人员经费用途主要包括</w:t>
      </w:r>
      <w:r>
        <w:rPr>
          <w:rFonts w:hint="default" w:ascii="Times New Roman" w:hAnsi="Times New Roman" w:eastAsia="方正仿宋_GBK" w:cs="Times New Roman"/>
          <w:color w:val="auto"/>
          <w:kern w:val="0"/>
          <w:sz w:val="32"/>
          <w:szCs w:val="32"/>
          <w:shd w:val="clear" w:color="auto" w:fill="auto"/>
          <w:lang w:bidi="ar-SA"/>
        </w:rPr>
        <w:t>工资、津补贴、奖金、社会保险缴费、住房公积金等</w:t>
      </w:r>
      <w:r>
        <w:rPr>
          <w:rFonts w:hint="default" w:ascii="Times New Roman" w:hAnsi="Times New Roman" w:eastAsia="方正仿宋_GBK" w:cs="Times New Roman"/>
          <w:color w:val="auto"/>
          <w:sz w:val="32"/>
          <w:szCs w:val="32"/>
          <w:shd w:val="clear" w:color="auto" w:fill="auto"/>
        </w:rPr>
        <w:t>。</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公用经费48.69万元，与2023年度相比，增加1.76万元，增长3.8%，主要原因是</w:t>
      </w:r>
      <w:r>
        <w:rPr>
          <w:rFonts w:hint="default" w:ascii="Times New Roman" w:hAnsi="Times New Roman" w:eastAsia="方正仿宋_GBK" w:cs="Times New Roman"/>
          <w:color w:val="auto"/>
          <w:sz w:val="32"/>
          <w:szCs w:val="32"/>
          <w:lang w:val="en-US" w:eastAsia="zh-CN"/>
        </w:rPr>
        <w:t>市局会议增加以及</w:t>
      </w:r>
      <w:r>
        <w:rPr>
          <w:rFonts w:hint="eastAsia" w:ascii="Times New Roman" w:hAnsi="Times New Roman" w:eastAsia="方正仿宋_GBK" w:cs="Times New Roman"/>
          <w:color w:val="auto"/>
          <w:sz w:val="32"/>
          <w:szCs w:val="32"/>
          <w:lang w:val="en-US" w:eastAsia="zh-CN"/>
        </w:rPr>
        <w:t>自2024年起</w:t>
      </w:r>
      <w:r>
        <w:rPr>
          <w:rFonts w:hint="default" w:ascii="Times New Roman" w:hAnsi="Times New Roman" w:eastAsia="方正仿宋_GBK" w:cs="Times New Roman"/>
          <w:color w:val="auto"/>
          <w:sz w:val="32"/>
          <w:szCs w:val="32"/>
          <w:lang w:val="en-US" w:eastAsia="zh-CN"/>
        </w:rPr>
        <w:t>基金飞行检查费用由各单位自行承担</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shd w:val="clear" w:color="auto" w:fill="FFFFFF"/>
        </w:rPr>
        <w:t>公用经费用途主要包括</w:t>
      </w:r>
      <w:r>
        <w:rPr>
          <w:rFonts w:hint="default" w:ascii="Times New Roman" w:hAnsi="Times New Roman" w:eastAsia="方正仿宋_GBK" w:cs="Times New Roman"/>
          <w:color w:val="auto"/>
          <w:kern w:val="0"/>
          <w:sz w:val="32"/>
          <w:szCs w:val="32"/>
          <w:shd w:val="clear" w:color="auto" w:fill="auto"/>
          <w:lang w:bidi="ar-SA"/>
        </w:rPr>
        <w:t>办公费、差旅费、邮电费、印刷费</w:t>
      </w:r>
      <w:r>
        <w:rPr>
          <w:rFonts w:hint="default" w:ascii="Times New Roman" w:hAnsi="Times New Roman" w:eastAsia="方正仿宋_GBK" w:cs="Times New Roman"/>
          <w:color w:val="auto"/>
          <w:kern w:val="0"/>
          <w:sz w:val="32"/>
          <w:szCs w:val="32"/>
          <w:shd w:val="clear" w:color="auto" w:fill="auto"/>
          <w:lang w:eastAsia="zh-CN" w:bidi="ar-SA"/>
        </w:rPr>
        <w:t>、物业管理费、公务接待费</w:t>
      </w:r>
      <w:r>
        <w:rPr>
          <w:rFonts w:hint="default" w:ascii="Times New Roman" w:hAnsi="Times New Roman" w:eastAsia="方正仿宋_GBK" w:cs="Times New Roman"/>
          <w:color w:val="auto"/>
          <w:kern w:val="0"/>
          <w:sz w:val="32"/>
          <w:szCs w:val="32"/>
          <w:shd w:val="clear" w:color="auto" w:fill="auto"/>
          <w:lang w:bidi="ar-SA"/>
        </w:rPr>
        <w:t>等</w:t>
      </w:r>
      <w:r>
        <w:rPr>
          <w:rFonts w:hint="default" w:ascii="Times New Roman" w:hAnsi="Times New Roman" w:eastAsia="方正仿宋_GBK" w:cs="Times New Roman"/>
          <w:color w:val="auto"/>
          <w:sz w:val="32"/>
          <w:szCs w:val="32"/>
          <w:shd w:val="clear" w:color="auto" w:fill="auto"/>
        </w:rPr>
        <w:t>。</w:t>
      </w:r>
    </w:p>
    <w:p>
      <w:pPr>
        <w:pStyle w:val="13"/>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Style w:val="12"/>
          <w:rFonts w:hint="default" w:ascii="Times New Roman" w:hAnsi="Times New Roman" w:eastAsia="方正楷体_GBK" w:cs="方正楷体_GBK"/>
          <w:b w:val="0"/>
          <w:bCs/>
          <w:color w:val="auto"/>
          <w:sz w:val="32"/>
          <w:szCs w:val="32"/>
          <w:shd w:val="clear" w:color="auto" w:fill="auto"/>
          <w:lang w:val="en-US" w:eastAsia="zh-CN" w:bidi="ar-SA"/>
        </w:rPr>
      </w:pPr>
      <w:r>
        <w:rPr>
          <w:rStyle w:val="12"/>
          <w:rFonts w:hint="default" w:ascii="Times New Roman" w:hAnsi="Times New Roman" w:eastAsia="方正楷体_GBK" w:cs="方正楷体_GBK"/>
          <w:b w:val="0"/>
          <w:bCs/>
          <w:color w:val="auto"/>
          <w:sz w:val="32"/>
          <w:szCs w:val="32"/>
          <w:shd w:val="clear" w:color="auto" w:fill="auto"/>
          <w:lang w:val="en-US" w:eastAsia="zh-CN" w:bidi="ar-SA"/>
        </w:rPr>
        <w:t>（五）政府性基金预算收支决算情况说明</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firstLine="640" w:firstLineChars="200"/>
        <w:jc w:val="both"/>
        <w:textAlignment w:val="auto"/>
        <w:outlineLvl w:val="9"/>
        <w:rPr>
          <w:rFonts w:hint="default" w:ascii="Times New Roman" w:hAnsi="Times New Roman" w:eastAsia="方正仿宋_GBK" w:cs="Times New Roman"/>
          <w:b w:val="0"/>
          <w:bCs/>
          <w:color w:val="auto"/>
          <w:sz w:val="32"/>
          <w:szCs w:val="32"/>
          <w:shd w:val="clear" w:color="auto" w:fill="auto"/>
        </w:rPr>
      </w:pPr>
      <w:r>
        <w:rPr>
          <w:rStyle w:val="12"/>
          <w:rFonts w:hint="default" w:ascii="Times New Roman" w:hAnsi="Times New Roman" w:eastAsia="方正仿宋_GBK" w:cs="Times New Roman"/>
          <w:b w:val="0"/>
          <w:bCs/>
          <w:color w:val="auto"/>
          <w:sz w:val="32"/>
          <w:szCs w:val="32"/>
          <w:shd w:val="clear" w:color="auto" w:fill="auto"/>
        </w:rPr>
        <w:t>本单位202</w:t>
      </w:r>
      <w:r>
        <w:rPr>
          <w:rStyle w:val="12"/>
          <w:rFonts w:hint="default" w:ascii="Times New Roman" w:hAnsi="Times New Roman" w:eastAsia="方正仿宋_GBK" w:cs="Times New Roman"/>
          <w:b w:val="0"/>
          <w:bCs/>
          <w:color w:val="auto"/>
          <w:sz w:val="32"/>
          <w:szCs w:val="32"/>
          <w:shd w:val="clear" w:color="auto" w:fill="auto"/>
          <w:lang w:val="en-US" w:eastAsia="zh-CN"/>
        </w:rPr>
        <w:t>4</w:t>
      </w:r>
      <w:r>
        <w:rPr>
          <w:rStyle w:val="12"/>
          <w:rFonts w:hint="default" w:ascii="Times New Roman" w:hAnsi="Times New Roman" w:eastAsia="方正仿宋_GBK" w:cs="Times New Roman"/>
          <w:b w:val="0"/>
          <w:bCs/>
          <w:color w:val="auto"/>
          <w:sz w:val="32"/>
          <w:szCs w:val="32"/>
          <w:shd w:val="clear" w:color="auto" w:fill="auto"/>
        </w:rPr>
        <w:t>年度无政府性基金预算财政拨款收支。</w:t>
      </w:r>
    </w:p>
    <w:p>
      <w:pPr>
        <w:pStyle w:val="13"/>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Style w:val="12"/>
          <w:rFonts w:hint="default" w:ascii="Times New Roman" w:hAnsi="Times New Roman" w:eastAsia="方正楷体_GBK" w:cs="方正楷体_GBK"/>
          <w:b w:val="0"/>
          <w:bCs/>
          <w:color w:val="auto"/>
          <w:sz w:val="32"/>
          <w:szCs w:val="32"/>
          <w:shd w:val="clear" w:color="auto" w:fill="auto"/>
          <w:lang w:val="en-US" w:eastAsia="zh-CN" w:bidi="ar-SA"/>
        </w:rPr>
      </w:pPr>
      <w:r>
        <w:rPr>
          <w:rStyle w:val="12"/>
          <w:rFonts w:hint="default" w:ascii="Times New Roman" w:hAnsi="Times New Roman" w:eastAsia="方正楷体_GBK" w:cs="方正楷体_GBK"/>
          <w:b w:val="0"/>
          <w:bCs/>
          <w:color w:val="auto"/>
          <w:sz w:val="32"/>
          <w:szCs w:val="32"/>
          <w:shd w:val="clear" w:color="auto" w:fill="auto"/>
          <w:lang w:val="en-US" w:eastAsia="zh-CN" w:bidi="ar-SA"/>
        </w:rPr>
        <w:t>（六）国有资本经营预算财政拨款支出决算情况说明</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Style w:val="12"/>
          <w:rFonts w:hint="default" w:ascii="Times New Roman" w:hAnsi="Times New Roman" w:eastAsia="方正仿宋_GBK" w:cs="Times New Roman"/>
          <w:b w:val="0"/>
          <w:bCs/>
          <w:color w:val="auto"/>
          <w:sz w:val="32"/>
          <w:szCs w:val="32"/>
          <w:shd w:val="clear" w:color="auto" w:fill="auto"/>
        </w:rPr>
        <w:t>本单位202</w:t>
      </w:r>
      <w:r>
        <w:rPr>
          <w:rStyle w:val="12"/>
          <w:rFonts w:hint="default" w:ascii="Times New Roman" w:hAnsi="Times New Roman" w:eastAsia="方正仿宋_GBK" w:cs="Times New Roman"/>
          <w:b w:val="0"/>
          <w:bCs/>
          <w:color w:val="auto"/>
          <w:sz w:val="32"/>
          <w:szCs w:val="32"/>
          <w:shd w:val="clear" w:color="auto" w:fill="auto"/>
          <w:lang w:val="en-US" w:eastAsia="zh-CN"/>
        </w:rPr>
        <w:t>4</w:t>
      </w:r>
      <w:r>
        <w:rPr>
          <w:rStyle w:val="12"/>
          <w:rFonts w:hint="default" w:ascii="Times New Roman" w:hAnsi="Times New Roman" w:eastAsia="方正仿宋_GBK" w:cs="Times New Roman"/>
          <w:b w:val="0"/>
          <w:bCs/>
          <w:color w:val="auto"/>
          <w:sz w:val="32"/>
          <w:szCs w:val="32"/>
          <w:shd w:val="clear" w:color="auto" w:fill="auto"/>
        </w:rPr>
        <w:t>年度无国有资本经营预算财政拨款支出。</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2"/>
          <w:rFonts w:hint="default" w:ascii="方正黑体_GBK" w:hAnsi="方正黑体_GBK" w:eastAsia="方正黑体_GBK" w:cs="方正黑体_GBK"/>
          <w:b w:val="0"/>
          <w:bCs/>
          <w:color w:val="auto"/>
          <w:sz w:val="32"/>
          <w:szCs w:val="32"/>
          <w:shd w:val="clear" w:color="auto" w:fill="FFFFFF"/>
          <w:lang w:eastAsia="zh-CN"/>
        </w:rPr>
      </w:pPr>
      <w:r>
        <w:rPr>
          <w:rStyle w:val="12"/>
          <w:rFonts w:hint="default" w:ascii="方正黑体_GBK" w:hAnsi="方正黑体_GBK" w:eastAsia="方正黑体_GBK" w:cs="方正黑体_GBK"/>
          <w:b w:val="0"/>
          <w:bCs/>
          <w:color w:val="auto"/>
          <w:sz w:val="32"/>
          <w:szCs w:val="32"/>
          <w:shd w:val="clear" w:color="auto" w:fill="FFFFFF"/>
          <w:lang w:eastAsia="zh-CN"/>
        </w:rPr>
        <w:t>三、财政拨款“三公”经费情况说明</w:t>
      </w:r>
    </w:p>
    <w:p>
      <w:pPr>
        <w:pStyle w:val="13"/>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Style w:val="12"/>
          <w:rFonts w:hint="default" w:ascii="Times New Roman" w:hAnsi="Times New Roman" w:eastAsia="方正楷体_GBK" w:cs="方正楷体_GBK"/>
          <w:b w:val="0"/>
          <w:bCs/>
          <w:color w:val="auto"/>
          <w:sz w:val="32"/>
          <w:szCs w:val="32"/>
          <w:shd w:val="clear" w:color="auto" w:fill="auto"/>
          <w:lang w:val="en-US" w:eastAsia="zh-CN" w:bidi="ar-SA"/>
        </w:rPr>
      </w:pPr>
      <w:r>
        <w:rPr>
          <w:rStyle w:val="12"/>
          <w:rFonts w:hint="default" w:ascii="Times New Roman" w:hAnsi="Times New Roman" w:eastAsia="方正楷体_GBK" w:cs="方正楷体_GBK"/>
          <w:b w:val="0"/>
          <w:bCs/>
          <w:color w:val="auto"/>
          <w:sz w:val="32"/>
          <w:szCs w:val="32"/>
          <w:shd w:val="clear" w:color="auto" w:fill="auto"/>
          <w:lang w:val="en-US" w:eastAsia="zh-CN" w:bidi="ar-SA"/>
        </w:rPr>
        <w:t>（一）“三公”经费支出总体情况说明</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shd w:val="clear" w:color="auto" w:fill="FFFFFF"/>
        </w:rPr>
        <w:t>2024年度“三公”经费支出共计0.00万元，较年初预算数无增减</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较上年支出数减少0.80万元，下降100.0%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eastAsia="zh-CN"/>
        </w:rPr>
        <w:t>本年度无公务接待。</w:t>
      </w:r>
    </w:p>
    <w:p>
      <w:pPr>
        <w:pStyle w:val="13"/>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Style w:val="12"/>
          <w:rFonts w:hint="default" w:ascii="Times New Roman" w:hAnsi="Times New Roman" w:eastAsia="方正楷体_GBK" w:cs="方正楷体_GBK"/>
          <w:b w:val="0"/>
          <w:bCs/>
          <w:color w:val="auto"/>
          <w:sz w:val="32"/>
          <w:szCs w:val="32"/>
          <w:shd w:val="clear" w:color="auto" w:fill="auto"/>
          <w:lang w:val="en-US" w:eastAsia="zh-CN" w:bidi="ar-SA"/>
        </w:rPr>
      </w:pPr>
      <w:r>
        <w:rPr>
          <w:rStyle w:val="12"/>
          <w:rFonts w:hint="default" w:ascii="Times New Roman" w:hAnsi="Times New Roman" w:eastAsia="方正楷体_GBK" w:cs="方正楷体_GBK"/>
          <w:b w:val="0"/>
          <w:bCs/>
          <w:color w:val="auto"/>
          <w:sz w:val="32"/>
          <w:szCs w:val="32"/>
          <w:shd w:val="clear" w:color="auto" w:fill="auto"/>
          <w:lang w:val="en-US" w:eastAsia="zh-CN" w:bidi="ar-SA"/>
        </w:rPr>
        <w:t>（二）“三公”经费分项支出情况</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2024年度本</w:t>
      </w:r>
      <w:r>
        <w:rPr>
          <w:rFonts w:hint="eastAsia" w:ascii="Times New Roman" w:hAnsi="Times New Roman" w:eastAsia="方正仿宋_GBK" w:cs="Times New Roman"/>
          <w:color w:val="auto"/>
          <w:sz w:val="32"/>
          <w:szCs w:val="32"/>
          <w:shd w:val="clear" w:color="auto" w:fill="FFFFFF"/>
          <w:lang w:eastAsia="zh-CN"/>
        </w:rPr>
        <w:t>单位</w:t>
      </w:r>
      <w:r>
        <w:rPr>
          <w:rFonts w:hint="default" w:ascii="Times New Roman" w:hAnsi="Times New Roman" w:eastAsia="方正仿宋_GBK" w:cs="Times New Roman"/>
          <w:color w:val="auto"/>
          <w:sz w:val="32"/>
          <w:szCs w:val="32"/>
          <w:shd w:val="clear" w:color="auto" w:fill="FFFFFF"/>
        </w:rPr>
        <w:t>因公出国（境）费用0.00万元，费用支出较年初预算数无增减，较上年支出数无增减</w:t>
      </w:r>
      <w:r>
        <w:rPr>
          <w:rFonts w:hint="default" w:ascii="Times New Roman" w:hAnsi="Times New Roman" w:eastAsia="方正仿宋_GBK" w:cs="Times New Roman"/>
          <w:color w:val="auto"/>
          <w:sz w:val="32"/>
          <w:szCs w:val="32"/>
          <w:shd w:val="clear" w:color="auto" w:fill="FFFFFF"/>
          <w:lang w:eastAsia="zh-CN"/>
        </w:rPr>
        <w:t>。</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公务</w:t>
      </w:r>
      <w:r>
        <w:rPr>
          <w:rFonts w:hint="default" w:ascii="Times New Roman" w:hAnsi="Times New Roman" w:eastAsia="方正仿宋_GBK" w:cs="Times New Roman"/>
          <w:color w:val="auto"/>
          <w:sz w:val="32"/>
          <w:szCs w:val="32"/>
          <w:shd w:val="clear" w:color="auto" w:fill="FFFFFF"/>
          <w:lang w:eastAsia="zh-CN"/>
        </w:rPr>
        <w:t>用</w:t>
      </w:r>
      <w:r>
        <w:rPr>
          <w:rFonts w:hint="default" w:ascii="Times New Roman" w:hAnsi="Times New Roman" w:eastAsia="方正仿宋_GBK" w:cs="Times New Roman"/>
          <w:color w:val="auto"/>
          <w:sz w:val="32"/>
          <w:szCs w:val="32"/>
          <w:shd w:val="clear" w:color="auto" w:fill="FFFFFF"/>
        </w:rPr>
        <w:t>车购置费0.00万元，费用支出较年初预算数无增减，较上年支出数无增减</w:t>
      </w:r>
      <w:r>
        <w:rPr>
          <w:rFonts w:hint="default" w:ascii="Times New Roman" w:hAnsi="Times New Roman" w:eastAsia="方正仿宋_GBK" w:cs="Times New Roman"/>
          <w:color w:val="auto"/>
          <w:sz w:val="32"/>
          <w:szCs w:val="32"/>
          <w:shd w:val="clear" w:color="auto" w:fill="FFFFFF"/>
          <w:lang w:eastAsia="zh-CN"/>
        </w:rPr>
        <w:t>。</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公务</w:t>
      </w:r>
      <w:r>
        <w:rPr>
          <w:rFonts w:hint="default" w:ascii="Times New Roman" w:hAnsi="Times New Roman" w:eastAsia="方正仿宋_GBK" w:cs="Times New Roman"/>
          <w:color w:val="auto"/>
          <w:sz w:val="32"/>
          <w:szCs w:val="32"/>
          <w:shd w:val="clear" w:color="auto" w:fill="FFFFFF"/>
          <w:lang w:eastAsia="zh-CN"/>
        </w:rPr>
        <w:t>用</w:t>
      </w:r>
      <w:r>
        <w:rPr>
          <w:rFonts w:hint="default" w:ascii="Times New Roman" w:hAnsi="Times New Roman" w:eastAsia="方正仿宋_GBK" w:cs="Times New Roman"/>
          <w:color w:val="auto"/>
          <w:sz w:val="32"/>
          <w:szCs w:val="32"/>
          <w:shd w:val="clear" w:color="auto" w:fill="FFFFFF"/>
        </w:rPr>
        <w:t>车运行维护费0.00万元，费用支出较年初预算数无增减，较上年支出数无增减</w:t>
      </w:r>
      <w:r>
        <w:rPr>
          <w:rFonts w:hint="default" w:ascii="Times New Roman" w:hAnsi="Times New Roman" w:eastAsia="方正仿宋_GBK" w:cs="Times New Roman"/>
          <w:color w:val="auto"/>
          <w:sz w:val="32"/>
          <w:szCs w:val="32"/>
          <w:shd w:val="clear" w:color="auto" w:fill="FFFFFF"/>
          <w:lang w:eastAsia="zh-CN"/>
        </w:rPr>
        <w:t>。</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shd w:val="clear" w:color="auto" w:fill="FFFFFF"/>
        </w:rPr>
        <w:t>公务接待费0.00万元，费用支出较年初预算数无增减，较上年支出数减少0.80万元，下降100.0%，主要原因</w:t>
      </w:r>
      <w:r>
        <w:rPr>
          <w:rFonts w:hint="eastAsia" w:ascii="Times New Roman" w:hAnsi="Times New Roman" w:eastAsia="方正仿宋_GBK" w:cs="Times New Roman"/>
          <w:color w:val="auto"/>
          <w:sz w:val="32"/>
          <w:szCs w:val="32"/>
          <w:shd w:val="clear" w:color="auto" w:fill="FFFFFF"/>
          <w:lang w:eastAsia="zh-CN"/>
        </w:rPr>
        <w:t>是本年度无公务接待。</w:t>
      </w:r>
    </w:p>
    <w:p>
      <w:pPr>
        <w:pStyle w:val="13"/>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Style w:val="12"/>
          <w:rFonts w:hint="default" w:ascii="Times New Roman" w:hAnsi="Times New Roman" w:eastAsia="方正楷体_GBK" w:cs="方正楷体_GBK"/>
          <w:b w:val="0"/>
          <w:bCs/>
          <w:color w:val="auto"/>
          <w:sz w:val="32"/>
          <w:szCs w:val="32"/>
          <w:shd w:val="clear" w:color="auto" w:fill="auto"/>
          <w:lang w:val="en-US" w:eastAsia="zh-CN" w:bidi="ar-SA"/>
        </w:rPr>
      </w:pPr>
      <w:r>
        <w:rPr>
          <w:rStyle w:val="12"/>
          <w:rFonts w:hint="default" w:ascii="Times New Roman" w:hAnsi="Times New Roman" w:eastAsia="方正楷体_GBK" w:cs="方正楷体_GBK"/>
          <w:b w:val="0"/>
          <w:bCs/>
          <w:color w:val="auto"/>
          <w:sz w:val="32"/>
          <w:szCs w:val="32"/>
          <w:shd w:val="clear" w:color="auto" w:fill="auto"/>
          <w:lang w:val="en-US" w:eastAsia="zh-CN" w:bidi="ar-SA"/>
        </w:rPr>
        <w:t>（三）“三公”经费实物量情况</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2024年度本</w:t>
      </w:r>
      <w:r>
        <w:rPr>
          <w:rFonts w:hint="eastAsia" w:ascii="Times New Roman" w:hAnsi="Times New Roman" w:eastAsia="方正仿宋_GBK" w:cs="Times New Roman"/>
          <w:color w:val="auto"/>
          <w:sz w:val="32"/>
          <w:szCs w:val="32"/>
          <w:shd w:val="clear" w:color="auto" w:fill="FFFFFF"/>
          <w:lang w:eastAsia="zh-CN"/>
        </w:rPr>
        <w:t>单位</w:t>
      </w:r>
      <w:r>
        <w:rPr>
          <w:rFonts w:hint="default" w:ascii="Times New Roman" w:hAnsi="Times New Roman" w:eastAsia="方正仿宋_GBK" w:cs="Times New Roman"/>
          <w:color w:val="auto"/>
          <w:sz w:val="32"/>
          <w:szCs w:val="32"/>
          <w:shd w:val="clear" w:color="auto" w:fill="FFFFFF"/>
        </w:rPr>
        <w:t>因公出国（境）共计0个团组，0人；公务用车购置0辆，公务车保有量为0辆；国内公务接待0批次0人，其中：国内外事接待0批次，0人；国（境）外公务接待0批次，0人。2024年本</w:t>
      </w:r>
      <w:r>
        <w:rPr>
          <w:rFonts w:hint="eastAsia" w:ascii="Times New Roman" w:hAnsi="Times New Roman" w:eastAsia="方正仿宋_GBK" w:cs="Times New Roman"/>
          <w:color w:val="auto"/>
          <w:sz w:val="32"/>
          <w:szCs w:val="32"/>
          <w:shd w:val="clear" w:color="auto" w:fill="FFFFFF"/>
          <w:lang w:eastAsia="zh-CN"/>
        </w:rPr>
        <w:t>单位</w:t>
      </w:r>
      <w:r>
        <w:rPr>
          <w:rFonts w:hint="default" w:ascii="Times New Roman" w:hAnsi="Times New Roman" w:eastAsia="方正仿宋_GBK" w:cs="Times New Roman"/>
          <w:color w:val="auto"/>
          <w:sz w:val="32"/>
          <w:szCs w:val="32"/>
          <w:shd w:val="clear" w:color="auto" w:fill="FFFFFF"/>
        </w:rPr>
        <w:t>人均接待费0元，车均购置费0万元，车均维护费0万元。</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2"/>
          <w:rFonts w:hint="default" w:ascii="方正黑体_GBK" w:hAnsi="方正黑体_GBK" w:eastAsia="方正黑体_GBK" w:cs="方正黑体_GBK"/>
          <w:b w:val="0"/>
          <w:bCs/>
          <w:color w:val="auto"/>
          <w:sz w:val="32"/>
          <w:szCs w:val="32"/>
          <w:shd w:val="clear" w:color="auto" w:fill="FFFFFF"/>
          <w:lang w:eastAsia="zh-CN"/>
        </w:rPr>
      </w:pPr>
      <w:r>
        <w:rPr>
          <w:rStyle w:val="12"/>
          <w:rFonts w:hint="default" w:ascii="方正黑体_GBK" w:hAnsi="方正黑体_GBK" w:eastAsia="方正黑体_GBK" w:cs="方正黑体_GBK"/>
          <w:b w:val="0"/>
          <w:bCs/>
          <w:color w:val="auto"/>
          <w:sz w:val="32"/>
          <w:szCs w:val="32"/>
          <w:shd w:val="clear" w:color="auto" w:fill="FFFFFF"/>
          <w:lang w:eastAsia="zh-CN"/>
        </w:rPr>
        <w:t>四、其他需要说明的事项</w:t>
      </w:r>
    </w:p>
    <w:p>
      <w:pPr>
        <w:pStyle w:val="13"/>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Style w:val="12"/>
          <w:rFonts w:hint="default" w:ascii="Times New Roman" w:hAnsi="Times New Roman" w:eastAsia="方正楷体_GBK" w:cs="方正楷体_GBK"/>
          <w:b w:val="0"/>
          <w:bCs/>
          <w:color w:val="auto"/>
          <w:sz w:val="32"/>
          <w:szCs w:val="32"/>
          <w:shd w:val="clear" w:color="auto" w:fill="auto"/>
          <w:lang w:val="en-US" w:eastAsia="zh-CN" w:bidi="ar-SA"/>
        </w:rPr>
      </w:pPr>
      <w:r>
        <w:rPr>
          <w:rStyle w:val="12"/>
          <w:rFonts w:hint="default" w:ascii="Times New Roman" w:hAnsi="Times New Roman" w:eastAsia="方正楷体_GBK" w:cs="方正楷体_GBK"/>
          <w:b w:val="0"/>
          <w:bCs/>
          <w:color w:val="auto"/>
          <w:sz w:val="32"/>
          <w:szCs w:val="32"/>
          <w:shd w:val="clear" w:color="auto" w:fill="auto"/>
          <w:lang w:val="en-US" w:eastAsia="zh-CN" w:bidi="ar-SA"/>
        </w:rPr>
        <w:t>（一）财政拨款会议费、培训费和差旅费情况说明</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本年度会议费支出0.00万元，与2023年度相比，无增减，本年度培训费支出0.00万元，与2023年度相比，减少0.47万元，下降100.0%，主要原因是</w:t>
      </w:r>
      <w:r>
        <w:rPr>
          <w:rFonts w:hint="default" w:ascii="Times New Roman" w:hAnsi="Times New Roman" w:eastAsia="方正仿宋_GBK" w:cs="Times New Roman"/>
          <w:color w:val="auto"/>
          <w:sz w:val="32"/>
          <w:szCs w:val="32"/>
          <w:shd w:val="clear" w:color="auto" w:fill="FFFFFF"/>
          <w:lang w:eastAsia="zh-CN"/>
        </w:rPr>
        <w:t>本年度未举办培训。</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本年度差旅费支出1.78</w:t>
      </w:r>
      <w:r>
        <w:rPr>
          <w:rFonts w:hint="default" w:ascii="Times New Roman" w:hAnsi="Times New Roman" w:eastAsia="方正仿宋_GBK" w:cs="Times New Roman"/>
          <w:color w:val="auto"/>
          <w:sz w:val="32"/>
          <w:szCs w:val="32"/>
        </w:rPr>
        <w:t>万元，</w:t>
      </w:r>
      <w:r>
        <w:rPr>
          <w:rFonts w:hint="default" w:ascii="Times New Roman" w:hAnsi="Times New Roman" w:eastAsia="方正仿宋_GBK" w:cs="Times New Roman"/>
          <w:color w:val="auto"/>
          <w:sz w:val="32"/>
          <w:szCs w:val="32"/>
          <w:shd w:val="clear" w:color="auto" w:fill="FFFFFF"/>
        </w:rPr>
        <w:t>与2023年度相比，增加1.64万元，增长1171.4%，主要原因是</w:t>
      </w:r>
      <w:r>
        <w:rPr>
          <w:rFonts w:hint="default" w:ascii="Times New Roman" w:hAnsi="Times New Roman" w:eastAsia="方正仿宋_GBK" w:cs="Times New Roman"/>
          <w:color w:val="auto"/>
          <w:sz w:val="32"/>
          <w:szCs w:val="32"/>
          <w:lang w:val="en-US" w:eastAsia="zh-CN"/>
        </w:rPr>
        <w:t>市局会议增加以及基金飞行检查费用由各单位自行承担</w:t>
      </w:r>
      <w:r>
        <w:rPr>
          <w:rFonts w:hint="default" w:ascii="Times New Roman" w:hAnsi="Times New Roman" w:eastAsia="方正仿宋_GBK" w:cs="Times New Roman"/>
          <w:color w:val="auto"/>
          <w:sz w:val="32"/>
          <w:szCs w:val="32"/>
          <w:highlight w:val="none"/>
        </w:rPr>
        <w:t>。</w:t>
      </w:r>
    </w:p>
    <w:p>
      <w:pPr>
        <w:pStyle w:val="13"/>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Style w:val="12"/>
          <w:rFonts w:hint="default" w:ascii="Times New Roman" w:hAnsi="Times New Roman" w:eastAsia="方正楷体_GBK" w:cs="方正楷体_GBK"/>
          <w:b w:val="0"/>
          <w:bCs/>
          <w:color w:val="auto"/>
          <w:sz w:val="32"/>
          <w:szCs w:val="32"/>
          <w:shd w:val="clear" w:color="auto" w:fill="auto"/>
          <w:lang w:val="en-US" w:eastAsia="zh-CN" w:bidi="ar-SA"/>
        </w:rPr>
      </w:pPr>
      <w:r>
        <w:rPr>
          <w:rStyle w:val="12"/>
          <w:rFonts w:hint="default" w:ascii="Times New Roman" w:hAnsi="Times New Roman" w:eastAsia="方正楷体_GBK" w:cs="方正楷体_GBK"/>
          <w:b w:val="0"/>
          <w:bCs/>
          <w:color w:val="auto"/>
          <w:sz w:val="32"/>
          <w:szCs w:val="32"/>
          <w:shd w:val="clear" w:color="auto" w:fill="auto"/>
          <w:lang w:val="en-US" w:eastAsia="zh-CN" w:bidi="ar-SA"/>
        </w:rPr>
        <w:t>（二）机关运行经费情况说明</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2024年度本</w:t>
      </w:r>
      <w:r>
        <w:rPr>
          <w:rFonts w:hint="eastAsia" w:ascii="Times New Roman" w:hAnsi="Times New Roman" w:eastAsia="方正仿宋_GBK" w:cs="Times New Roman"/>
          <w:color w:val="auto"/>
          <w:sz w:val="32"/>
          <w:szCs w:val="32"/>
          <w:shd w:val="clear" w:color="auto" w:fill="FFFFFF"/>
          <w:lang w:eastAsia="zh-CN"/>
        </w:rPr>
        <w:t>单位</w:t>
      </w:r>
      <w:r>
        <w:rPr>
          <w:rFonts w:hint="default" w:ascii="Times New Roman" w:hAnsi="Times New Roman" w:eastAsia="方正仿宋_GBK" w:cs="Times New Roman"/>
          <w:color w:val="auto"/>
          <w:sz w:val="32"/>
          <w:szCs w:val="32"/>
          <w:shd w:val="clear" w:color="auto" w:fill="FFFFFF"/>
        </w:rPr>
        <w:t>机关运行经费支出48.69万元，机关运行经费主要用于开支</w:t>
      </w:r>
      <w:r>
        <w:rPr>
          <w:rFonts w:hint="default" w:ascii="Times New Roman" w:hAnsi="Times New Roman" w:eastAsia="方正仿宋_GBK" w:cs="Times New Roman"/>
          <w:color w:val="auto"/>
          <w:kern w:val="0"/>
          <w:sz w:val="32"/>
          <w:szCs w:val="32"/>
          <w:shd w:val="clear" w:color="auto" w:fill="auto"/>
          <w:lang w:eastAsia="zh-CN" w:bidi="ar-SA"/>
        </w:rPr>
        <w:t>办公费、物业管理费、邮电费、维修（护）费、培训费、工会经费、公务接待费等</w:t>
      </w:r>
      <w:r>
        <w:rPr>
          <w:rFonts w:hint="default" w:ascii="Times New Roman" w:hAnsi="Times New Roman" w:eastAsia="方正仿宋_GBK" w:cs="Times New Roman"/>
          <w:color w:val="auto"/>
          <w:kern w:val="0"/>
          <w:sz w:val="32"/>
          <w:szCs w:val="32"/>
          <w:shd w:val="clear" w:color="auto" w:fill="auto"/>
          <w:lang w:bidi="ar-SA"/>
        </w:rPr>
        <w:t>。</w:t>
      </w:r>
      <w:r>
        <w:rPr>
          <w:rFonts w:hint="default" w:ascii="Times New Roman" w:hAnsi="Times New Roman" w:eastAsia="方正仿宋_GBK" w:cs="Times New Roman"/>
          <w:color w:val="auto"/>
          <w:sz w:val="32"/>
          <w:szCs w:val="32"/>
          <w:shd w:val="clear" w:color="auto" w:fill="FFFFFF"/>
        </w:rPr>
        <w:t>机关运行经费较上年支出数增加1.76万元，增长3.8%，主要原因是</w:t>
      </w:r>
      <w:r>
        <w:rPr>
          <w:rFonts w:hint="default" w:ascii="Times New Roman" w:hAnsi="Times New Roman" w:eastAsia="方正仿宋_GBK" w:cs="Times New Roman"/>
          <w:color w:val="auto"/>
          <w:sz w:val="32"/>
          <w:szCs w:val="32"/>
          <w:lang w:val="en-US" w:eastAsia="zh-CN"/>
        </w:rPr>
        <w:t>市局会议增加以及基金飞行检查费用自2024年起由各单位自行承担</w:t>
      </w:r>
      <w:r>
        <w:rPr>
          <w:rFonts w:hint="default" w:ascii="Times New Roman" w:hAnsi="Times New Roman" w:eastAsia="方正仿宋_GBK" w:cs="Times New Roman"/>
          <w:color w:val="auto"/>
          <w:sz w:val="32"/>
          <w:szCs w:val="32"/>
          <w:highlight w:val="none"/>
        </w:rPr>
        <w:t>。</w:t>
      </w:r>
    </w:p>
    <w:p>
      <w:pPr>
        <w:pStyle w:val="13"/>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Style w:val="12"/>
          <w:rFonts w:hint="default" w:ascii="Times New Roman" w:hAnsi="Times New Roman" w:eastAsia="方正楷体_GBK" w:cs="方正楷体_GBK"/>
          <w:b w:val="0"/>
          <w:bCs/>
          <w:color w:val="auto"/>
          <w:sz w:val="32"/>
          <w:szCs w:val="32"/>
          <w:shd w:val="clear" w:color="auto" w:fill="auto"/>
          <w:lang w:val="en-US" w:eastAsia="zh-CN" w:bidi="ar-SA"/>
        </w:rPr>
      </w:pPr>
      <w:r>
        <w:rPr>
          <w:rStyle w:val="12"/>
          <w:rFonts w:hint="default" w:ascii="Times New Roman" w:hAnsi="Times New Roman" w:eastAsia="方正楷体_GBK" w:cs="方正楷体_GBK"/>
          <w:b w:val="0"/>
          <w:bCs/>
          <w:color w:val="auto"/>
          <w:sz w:val="32"/>
          <w:szCs w:val="32"/>
          <w:shd w:val="clear" w:color="auto" w:fill="auto"/>
          <w:lang w:val="en-US" w:eastAsia="zh-CN" w:bidi="ar-SA"/>
        </w:rPr>
        <w:t>（三）国有资产占用情况说明</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截至2024年12月31日，本</w:t>
      </w:r>
      <w:r>
        <w:rPr>
          <w:rFonts w:hint="eastAsia" w:ascii="Times New Roman" w:hAnsi="Times New Roman" w:eastAsia="方正仿宋_GBK" w:cs="Times New Roman"/>
          <w:color w:val="auto"/>
          <w:sz w:val="32"/>
          <w:szCs w:val="32"/>
          <w:shd w:val="clear" w:color="auto" w:fill="FFFFFF"/>
          <w:lang w:eastAsia="zh-CN"/>
        </w:rPr>
        <w:t>单位</w:t>
      </w:r>
      <w:r>
        <w:rPr>
          <w:rFonts w:hint="default" w:ascii="Times New Roman" w:hAnsi="Times New Roman" w:eastAsia="方正仿宋_GBK" w:cs="Times New Roman"/>
          <w:color w:val="auto"/>
          <w:sz w:val="32"/>
          <w:szCs w:val="32"/>
          <w:shd w:val="clear" w:color="auto" w:fill="FFFFFF"/>
        </w:rPr>
        <w:t>共有车辆0辆，其中，副部（省）级及以上领导用车0辆、主要负责人用车0辆、机要通信用车0辆、应急保障用车0辆、执法执勤用车0辆，特种专业技术用车0辆，离退休干部用车0辆。单价100万元（含）以上专用设备0台（套）。</w:t>
      </w:r>
    </w:p>
    <w:p>
      <w:pPr>
        <w:pStyle w:val="13"/>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Style w:val="12"/>
          <w:rFonts w:hint="default" w:ascii="Times New Roman" w:hAnsi="Times New Roman" w:eastAsia="方正楷体_GBK" w:cs="方正楷体_GBK"/>
          <w:b w:val="0"/>
          <w:bCs/>
          <w:color w:val="auto"/>
          <w:sz w:val="32"/>
          <w:szCs w:val="32"/>
          <w:shd w:val="clear" w:color="auto" w:fill="auto"/>
          <w:lang w:val="en-US" w:eastAsia="zh-CN" w:bidi="ar-SA"/>
        </w:rPr>
      </w:pPr>
      <w:r>
        <w:rPr>
          <w:rStyle w:val="12"/>
          <w:rFonts w:hint="default" w:ascii="Times New Roman" w:hAnsi="Times New Roman" w:eastAsia="方正楷体_GBK" w:cs="方正楷体_GBK"/>
          <w:b w:val="0"/>
          <w:bCs/>
          <w:color w:val="auto"/>
          <w:sz w:val="32"/>
          <w:szCs w:val="32"/>
          <w:shd w:val="clear" w:color="auto" w:fill="auto"/>
          <w:lang w:val="en-US" w:eastAsia="zh-CN" w:bidi="ar-SA"/>
        </w:rPr>
        <w:t>（四）政府采购支出情况说明</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firstLine="640" w:firstLineChars="200"/>
        <w:jc w:val="both"/>
        <w:textAlignment w:val="auto"/>
        <w:outlineLvl w:val="9"/>
        <w:rPr>
          <w:rFonts w:hint="default" w:ascii="Times New Roman" w:hAnsi="Times New Roman" w:eastAsia="方正仿宋_GBK" w:cs="Times New Roman"/>
          <w:color w:val="auto"/>
          <w:sz w:val="32"/>
          <w:szCs w:val="32"/>
          <w:shd w:val="clear" w:color="auto" w:fill="auto"/>
        </w:rPr>
      </w:pPr>
      <w:r>
        <w:rPr>
          <w:rFonts w:hint="default" w:ascii="Times New Roman" w:hAnsi="Times New Roman" w:eastAsia="方正仿宋_GBK" w:cs="Times New Roman"/>
          <w:color w:val="auto"/>
          <w:sz w:val="32"/>
          <w:szCs w:val="32"/>
          <w:shd w:val="clear" w:color="auto" w:fill="auto"/>
        </w:rPr>
        <w:t>202</w:t>
      </w:r>
      <w:r>
        <w:rPr>
          <w:rFonts w:hint="default" w:ascii="Times New Roman" w:hAnsi="Times New Roman" w:eastAsia="方正仿宋_GBK" w:cs="Times New Roman"/>
          <w:color w:val="auto"/>
          <w:sz w:val="32"/>
          <w:szCs w:val="32"/>
          <w:shd w:val="clear" w:color="auto" w:fill="auto"/>
          <w:lang w:val="en-US" w:eastAsia="zh-CN"/>
        </w:rPr>
        <w:t>4</w:t>
      </w:r>
      <w:r>
        <w:rPr>
          <w:rFonts w:hint="default" w:ascii="Times New Roman" w:hAnsi="Times New Roman" w:eastAsia="方正仿宋_GBK" w:cs="Times New Roman"/>
          <w:color w:val="auto"/>
          <w:sz w:val="32"/>
          <w:szCs w:val="32"/>
          <w:shd w:val="clear" w:color="auto" w:fill="auto"/>
        </w:rPr>
        <w:t>年度我单位未发生政府采购事项，无相关经费支出。</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2"/>
          <w:rFonts w:hint="default" w:ascii="方正黑体_GBK" w:hAnsi="方正黑体_GBK" w:eastAsia="方正黑体_GBK" w:cs="方正黑体_GBK"/>
          <w:b w:val="0"/>
          <w:bCs/>
          <w:color w:val="auto"/>
          <w:sz w:val="32"/>
          <w:szCs w:val="32"/>
          <w:shd w:val="clear" w:color="auto" w:fill="FFFFFF"/>
          <w:lang w:eastAsia="zh-CN"/>
        </w:rPr>
      </w:pPr>
      <w:r>
        <w:rPr>
          <w:rStyle w:val="12"/>
          <w:rFonts w:hint="default" w:ascii="方正黑体_GBK" w:hAnsi="方正黑体_GBK" w:eastAsia="方正黑体_GBK" w:cs="方正黑体_GBK"/>
          <w:b w:val="0"/>
          <w:bCs/>
          <w:color w:val="auto"/>
          <w:sz w:val="32"/>
          <w:szCs w:val="32"/>
          <w:shd w:val="clear" w:color="auto" w:fill="FFFFFF"/>
          <w:lang w:eastAsia="zh-CN"/>
        </w:rPr>
        <w:t>五、预算</w:t>
      </w:r>
      <w:r>
        <w:rPr>
          <w:rStyle w:val="12"/>
          <w:rFonts w:hint="default" w:ascii="方正黑体_GBK" w:hAnsi="方正黑体_GBK" w:eastAsia="方正黑体_GBK" w:cs="方正黑体_GBK"/>
          <w:b w:val="0"/>
          <w:bCs/>
          <w:color w:val="auto"/>
          <w:sz w:val="32"/>
          <w:szCs w:val="32"/>
          <w:shd w:val="clear" w:color="auto" w:fill="FFFFFF"/>
          <w:lang w:val="en-US" w:eastAsia="zh-CN"/>
        </w:rPr>
        <w:t>绩效管理情况说明</w:t>
      </w:r>
    </w:p>
    <w:p>
      <w:pPr>
        <w:pStyle w:val="13"/>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Style w:val="12"/>
          <w:rFonts w:hint="default" w:ascii="Times New Roman" w:hAnsi="Times New Roman" w:eastAsia="方正楷体_GBK" w:cs="方正楷体_GBK"/>
          <w:b w:val="0"/>
          <w:bCs/>
          <w:color w:val="auto"/>
          <w:sz w:val="32"/>
          <w:szCs w:val="32"/>
          <w:shd w:val="clear" w:color="auto" w:fill="auto"/>
          <w:lang w:val="en-US" w:eastAsia="zh-CN" w:bidi="ar-SA"/>
        </w:rPr>
      </w:pPr>
      <w:r>
        <w:rPr>
          <w:rStyle w:val="12"/>
          <w:rFonts w:hint="default" w:ascii="Times New Roman" w:hAnsi="Times New Roman" w:eastAsia="方正楷体_GBK" w:cs="方正楷体_GBK"/>
          <w:b w:val="0"/>
          <w:bCs/>
          <w:color w:val="auto"/>
          <w:sz w:val="32"/>
          <w:szCs w:val="32"/>
          <w:shd w:val="clear" w:color="auto" w:fill="auto"/>
          <w:lang w:val="en-US" w:eastAsia="zh-CN" w:bidi="ar-SA"/>
        </w:rPr>
        <w:t>（一）单位自评情况</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eastAsia="zh-CN"/>
        </w:rPr>
        <w:t>本单位隶属秀山土家族苗族自治县医疗保障局，所有项目均在本级实施，故无需开展自评。</w:t>
      </w:r>
    </w:p>
    <w:p>
      <w:pPr>
        <w:pStyle w:val="13"/>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Style w:val="12"/>
          <w:rFonts w:hint="default" w:ascii="Times New Roman" w:hAnsi="Times New Roman" w:eastAsia="方正楷体_GBK" w:cs="方正楷体_GBK"/>
          <w:b w:val="0"/>
          <w:bCs/>
          <w:color w:val="auto"/>
          <w:sz w:val="32"/>
          <w:szCs w:val="32"/>
          <w:shd w:val="clear" w:color="auto" w:fill="auto"/>
          <w:lang w:val="en-US" w:eastAsia="zh-CN" w:bidi="ar-SA"/>
        </w:rPr>
      </w:pPr>
      <w:r>
        <w:rPr>
          <w:rStyle w:val="12"/>
          <w:rFonts w:hint="default" w:ascii="Times New Roman" w:hAnsi="Times New Roman" w:eastAsia="方正楷体_GBK" w:cs="方正楷体_GBK"/>
          <w:b w:val="0"/>
          <w:bCs/>
          <w:color w:val="auto"/>
          <w:sz w:val="32"/>
          <w:szCs w:val="32"/>
          <w:shd w:val="clear" w:color="auto" w:fill="auto"/>
          <w:lang w:val="en-US" w:eastAsia="zh-CN" w:bidi="ar-SA"/>
        </w:rPr>
        <w:t>（二）单位绩效评价情况</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firstLine="640" w:firstLineChars="200"/>
        <w:jc w:val="both"/>
        <w:textAlignment w:val="auto"/>
        <w:outlineLvl w:val="9"/>
        <w:rPr>
          <w:rFonts w:hint="default" w:ascii="Times New Roman" w:hAnsi="Times New Roman" w:eastAsia="方正仿宋_GBK" w:cs="Times New Roman"/>
          <w:color w:val="auto"/>
          <w:sz w:val="32"/>
          <w:szCs w:val="32"/>
          <w:shd w:val="clear" w:color="auto" w:fill="auto"/>
        </w:rPr>
      </w:pPr>
      <w:r>
        <w:rPr>
          <w:rFonts w:hint="default" w:ascii="Times New Roman" w:hAnsi="Times New Roman" w:eastAsia="方正仿宋_GBK" w:cs="Times New Roman"/>
          <w:color w:val="auto"/>
          <w:sz w:val="32"/>
          <w:szCs w:val="32"/>
          <w:shd w:val="clear" w:color="auto" w:fill="auto"/>
        </w:rPr>
        <w:t>我单位未组织开展绩效评价。</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2"/>
          <w:rFonts w:hint="default" w:ascii="方正黑体_GBK" w:hAnsi="方正黑体_GBK" w:eastAsia="方正黑体_GBK" w:cs="方正黑体_GBK"/>
          <w:b w:val="0"/>
          <w:bCs/>
          <w:color w:val="auto"/>
          <w:sz w:val="32"/>
          <w:szCs w:val="32"/>
          <w:shd w:val="clear" w:color="auto" w:fill="FFFFFF"/>
          <w:lang w:eastAsia="zh-CN"/>
        </w:rPr>
      </w:pPr>
      <w:r>
        <w:rPr>
          <w:rStyle w:val="12"/>
          <w:rFonts w:hint="default" w:ascii="方正黑体_GBK" w:hAnsi="方正黑体_GBK" w:eastAsia="方正黑体_GBK" w:cs="方正黑体_GBK"/>
          <w:b w:val="0"/>
          <w:bCs/>
          <w:color w:val="auto"/>
          <w:sz w:val="32"/>
          <w:szCs w:val="32"/>
          <w:shd w:val="clear" w:color="auto" w:fill="FFFFFF"/>
          <w:lang w:eastAsia="zh-CN"/>
        </w:rPr>
        <w:t>六、专业名词解释</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Style w:val="12"/>
          <w:rFonts w:hint="eastAsia" w:ascii="方正楷体_GBK" w:hAnsi="方正楷体_GBK" w:eastAsia="方正楷体_GBK" w:cs="方正楷体_GBK"/>
          <w:b w:val="0"/>
          <w:bCs/>
          <w:color w:val="auto"/>
          <w:sz w:val="32"/>
          <w:szCs w:val="32"/>
          <w:shd w:val="clear" w:color="auto" w:fill="auto"/>
          <w:lang w:val="en-US" w:eastAsia="zh-CN" w:bidi="ar-SA"/>
        </w:rPr>
        <w:t>（一）财政拨款收入：</w:t>
      </w:r>
      <w:r>
        <w:rPr>
          <w:rFonts w:hint="default" w:ascii="Times New Roman" w:hAnsi="Times New Roman" w:eastAsia="方正仿宋_GBK" w:cs="Times New Roman"/>
          <w:color w:val="auto"/>
          <w:sz w:val="32"/>
          <w:szCs w:val="32"/>
          <w:shd w:val="clear" w:color="auto" w:fill="FFFFFF"/>
        </w:rPr>
        <w:t>指本年度从本级财政部门取得的财政拨款。</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Style w:val="12"/>
          <w:rFonts w:hint="default" w:ascii="方正楷体_GBK" w:hAnsi="方正楷体_GBK" w:eastAsia="方正楷体_GBK" w:cs="方正楷体_GBK"/>
          <w:b w:val="0"/>
          <w:bCs/>
          <w:color w:val="auto"/>
          <w:sz w:val="32"/>
          <w:szCs w:val="32"/>
          <w:shd w:val="clear" w:color="auto" w:fill="auto"/>
          <w:lang w:val="en-US" w:eastAsia="zh-CN" w:bidi="ar-SA"/>
        </w:rPr>
        <w:t>（二）事业收入：</w:t>
      </w:r>
      <w:r>
        <w:rPr>
          <w:rFonts w:hint="default" w:ascii="Times New Roman" w:hAnsi="Times New Roman" w:eastAsia="方正仿宋_GBK" w:cs="Times New Roman"/>
          <w:color w:val="auto"/>
          <w:sz w:val="32"/>
          <w:szCs w:val="32"/>
          <w:shd w:val="clear" w:color="auto" w:fill="FFFFFF"/>
        </w:rPr>
        <w:t>指事业单位开展专业业务活动及其辅助活动取得的</w:t>
      </w:r>
      <w:r>
        <w:rPr>
          <w:rFonts w:hint="default" w:ascii="Times New Roman" w:hAnsi="Times New Roman" w:eastAsia="方正仿宋_GBK" w:cs="Times New Roman"/>
          <w:color w:val="auto"/>
          <w:sz w:val="32"/>
          <w:szCs w:val="32"/>
          <w:shd w:val="clear" w:color="auto" w:fill="FFFFFF"/>
          <w:lang w:eastAsia="zh-CN"/>
        </w:rPr>
        <w:t>收入</w:t>
      </w:r>
      <w:r>
        <w:rPr>
          <w:rFonts w:hint="default" w:ascii="Times New Roman" w:hAnsi="Times New Roman" w:eastAsia="方正仿宋_GBK" w:cs="Times New Roman"/>
          <w:color w:val="auto"/>
          <w:sz w:val="32"/>
          <w:szCs w:val="32"/>
          <w:shd w:val="clear" w:color="auto" w:fill="FFFFFF"/>
        </w:rPr>
        <w:t>。</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Style w:val="12"/>
          <w:rFonts w:hint="default" w:ascii="方正楷体_GBK" w:hAnsi="方正楷体_GBK" w:eastAsia="方正楷体_GBK" w:cs="方正楷体_GBK"/>
          <w:b w:val="0"/>
          <w:bCs/>
          <w:color w:val="auto"/>
          <w:sz w:val="32"/>
          <w:szCs w:val="32"/>
          <w:shd w:val="clear" w:color="auto" w:fill="auto"/>
          <w:lang w:val="en-US" w:eastAsia="zh-CN" w:bidi="ar-SA"/>
        </w:rPr>
        <w:t>（三）经营收入：</w:t>
      </w:r>
      <w:r>
        <w:rPr>
          <w:rFonts w:hint="default" w:ascii="Times New Roman" w:hAnsi="Times New Roman" w:eastAsia="方正仿宋_GBK" w:cs="Times New Roman"/>
          <w:color w:val="auto"/>
          <w:sz w:val="32"/>
          <w:szCs w:val="32"/>
          <w:shd w:val="clear" w:color="auto" w:fill="FFFFFF"/>
        </w:rPr>
        <w:t>指事业单位在专业业务活动及其辅助活动之外开展非独立核算经营活动取得的</w:t>
      </w:r>
      <w:r>
        <w:rPr>
          <w:rFonts w:hint="default" w:ascii="Times New Roman" w:hAnsi="Times New Roman" w:eastAsia="方正仿宋_GBK" w:cs="Times New Roman"/>
          <w:color w:val="auto"/>
          <w:sz w:val="32"/>
          <w:szCs w:val="32"/>
          <w:shd w:val="clear" w:color="auto" w:fill="FFFFFF"/>
          <w:lang w:eastAsia="zh-CN"/>
        </w:rPr>
        <w:t>收入</w:t>
      </w:r>
      <w:r>
        <w:rPr>
          <w:rFonts w:hint="default" w:ascii="Times New Roman" w:hAnsi="Times New Roman" w:eastAsia="方正仿宋_GBK" w:cs="Times New Roman"/>
          <w:color w:val="auto"/>
          <w:sz w:val="32"/>
          <w:szCs w:val="32"/>
          <w:shd w:val="clear" w:color="auto" w:fill="FFFFFF"/>
        </w:rPr>
        <w:t>。</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Style w:val="12"/>
          <w:rFonts w:hint="default" w:ascii="方正楷体_GBK" w:hAnsi="方正楷体_GBK" w:eastAsia="方正楷体_GBK" w:cs="方正楷体_GBK"/>
          <w:b w:val="0"/>
          <w:bCs/>
          <w:color w:val="auto"/>
          <w:sz w:val="32"/>
          <w:szCs w:val="32"/>
          <w:shd w:val="clear" w:color="auto" w:fill="auto"/>
          <w:lang w:val="en-US" w:eastAsia="zh-CN" w:bidi="ar-SA"/>
        </w:rPr>
        <w:t>（四）其他收入：</w:t>
      </w:r>
      <w:r>
        <w:rPr>
          <w:rFonts w:hint="default" w:ascii="Times New Roman" w:hAnsi="Times New Roman" w:eastAsia="方正仿宋_GBK" w:cs="Times New Roman"/>
          <w:color w:val="auto"/>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Style w:val="12"/>
          <w:rFonts w:hint="default" w:ascii="方正楷体_GBK" w:hAnsi="方正楷体_GBK" w:eastAsia="方正楷体_GBK" w:cs="方正楷体_GBK"/>
          <w:b w:val="0"/>
          <w:bCs/>
          <w:color w:val="auto"/>
          <w:sz w:val="32"/>
          <w:szCs w:val="32"/>
          <w:shd w:val="clear" w:color="auto" w:fill="auto"/>
          <w:lang w:val="en-US" w:eastAsia="zh-CN" w:bidi="ar-SA"/>
        </w:rPr>
        <w:t>（五）使用非财政拨款结余（含专用结余）：</w:t>
      </w:r>
      <w:r>
        <w:rPr>
          <w:rFonts w:hint="default" w:ascii="Times New Roman" w:hAnsi="Times New Roman" w:eastAsia="方正仿宋_GBK" w:cs="Times New Roman"/>
          <w:color w:val="auto"/>
          <w:sz w:val="32"/>
          <w:szCs w:val="32"/>
          <w:shd w:val="clear" w:color="auto" w:fill="FFFFFF"/>
        </w:rPr>
        <w:t>指</w:t>
      </w:r>
      <w:r>
        <w:rPr>
          <w:rFonts w:hint="default" w:ascii="Times New Roman" w:hAnsi="Times New Roman" w:eastAsia="方正仿宋_GBK" w:cs="Times New Roman"/>
          <w:color w:val="auto"/>
          <w:sz w:val="32"/>
          <w:szCs w:val="32"/>
          <w:shd w:val="clear" w:color="auto" w:fill="FFFFFF"/>
          <w:lang w:eastAsia="zh-CN"/>
        </w:rPr>
        <w:t>事业单位按照预算管理要求使用非财政拨款结余弥补收支差额的金额，以及使用专用结余安排支出的金额。</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Style w:val="12"/>
          <w:rFonts w:hint="default" w:ascii="方正楷体_GBK" w:hAnsi="方正楷体_GBK" w:eastAsia="方正楷体_GBK" w:cs="方正楷体_GBK"/>
          <w:b w:val="0"/>
          <w:bCs/>
          <w:color w:val="auto"/>
          <w:sz w:val="32"/>
          <w:szCs w:val="32"/>
          <w:shd w:val="clear" w:color="auto" w:fill="auto"/>
          <w:lang w:val="en-US" w:eastAsia="zh-CN" w:bidi="ar-SA"/>
        </w:rPr>
        <w:t>（六）年初结转和结余：</w:t>
      </w:r>
      <w:r>
        <w:rPr>
          <w:rFonts w:hint="default" w:ascii="Times New Roman" w:hAnsi="Times New Roman" w:eastAsia="方正仿宋_GBK" w:cs="Times New Roman"/>
          <w:color w:val="auto"/>
          <w:sz w:val="32"/>
          <w:szCs w:val="32"/>
          <w:shd w:val="clear" w:color="auto" w:fill="FFFFFF"/>
        </w:rPr>
        <w:t>指单位上年结转本年使用的基本支出结转、项目支出结转和结余、经营结余。</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Style w:val="12"/>
          <w:rFonts w:hint="default" w:ascii="方正楷体_GBK" w:hAnsi="方正楷体_GBK" w:eastAsia="方正楷体_GBK" w:cs="方正楷体_GBK"/>
          <w:b w:val="0"/>
          <w:bCs/>
          <w:color w:val="auto"/>
          <w:sz w:val="32"/>
          <w:szCs w:val="32"/>
          <w:shd w:val="clear" w:color="auto" w:fill="auto"/>
          <w:lang w:val="en-US" w:eastAsia="zh-CN" w:bidi="ar-SA"/>
        </w:rPr>
        <w:t>（七）结余分配：</w:t>
      </w:r>
      <w:r>
        <w:rPr>
          <w:rFonts w:hint="default" w:ascii="Times New Roman" w:hAnsi="Times New Roman" w:eastAsia="方正仿宋_GBK" w:cs="Times New Roman"/>
          <w:color w:val="auto"/>
          <w:sz w:val="32"/>
          <w:szCs w:val="32"/>
          <w:shd w:val="clear" w:color="auto" w:fill="FFFFFF"/>
        </w:rPr>
        <w:t>指单位按照国家有关规定，缴纳所得税、提取专用基金、转入非财政拨款结余等当年结余的分配情况。</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Style w:val="12"/>
          <w:rFonts w:hint="default" w:ascii="方正楷体_GBK" w:hAnsi="方正楷体_GBK" w:eastAsia="方正楷体_GBK" w:cs="方正楷体_GBK"/>
          <w:b w:val="0"/>
          <w:bCs/>
          <w:color w:val="auto"/>
          <w:sz w:val="32"/>
          <w:szCs w:val="32"/>
          <w:shd w:val="clear" w:color="auto" w:fill="auto"/>
          <w:lang w:val="en-US" w:eastAsia="zh-CN" w:bidi="ar-SA"/>
        </w:rPr>
        <w:t>（八）年末结转和结余：</w:t>
      </w:r>
      <w:r>
        <w:rPr>
          <w:rFonts w:hint="default" w:ascii="Times New Roman" w:hAnsi="Times New Roman" w:eastAsia="方正仿宋_GBK" w:cs="Times New Roman"/>
          <w:color w:val="auto"/>
          <w:sz w:val="32"/>
          <w:szCs w:val="32"/>
          <w:shd w:val="clear" w:color="auto" w:fill="FFFFFF"/>
        </w:rPr>
        <w:t>指单位结转下年的基本支出结转、项目支出结转和结余、经营结余。</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Style w:val="12"/>
          <w:rFonts w:hint="default" w:ascii="方正楷体_GBK" w:hAnsi="方正楷体_GBK" w:eastAsia="方正楷体_GBK" w:cs="方正楷体_GBK"/>
          <w:b w:val="0"/>
          <w:bCs/>
          <w:color w:val="auto"/>
          <w:sz w:val="32"/>
          <w:szCs w:val="32"/>
          <w:shd w:val="clear" w:color="auto" w:fill="auto"/>
          <w:lang w:val="en-US" w:eastAsia="zh-CN" w:bidi="ar-SA"/>
        </w:rPr>
        <w:t>（九）基本支出：</w:t>
      </w:r>
      <w:r>
        <w:rPr>
          <w:rFonts w:hint="default" w:ascii="Times New Roman" w:hAnsi="Times New Roman" w:eastAsia="方正仿宋_GBK" w:cs="Times New Roman"/>
          <w:color w:val="auto"/>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Style w:val="12"/>
          <w:rFonts w:hint="default" w:ascii="方正楷体_GBK" w:hAnsi="方正楷体_GBK" w:eastAsia="方正楷体_GBK" w:cs="方正楷体_GBK"/>
          <w:b w:val="0"/>
          <w:bCs/>
          <w:color w:val="auto"/>
          <w:sz w:val="32"/>
          <w:szCs w:val="32"/>
          <w:shd w:val="clear" w:color="auto" w:fill="auto"/>
          <w:lang w:val="en-US" w:eastAsia="zh-CN" w:bidi="ar-SA"/>
        </w:rPr>
        <w:t>（十）项目支出：</w:t>
      </w:r>
      <w:r>
        <w:rPr>
          <w:rFonts w:hint="default" w:ascii="Times New Roman" w:hAnsi="Times New Roman" w:eastAsia="方正仿宋_GBK" w:cs="Times New Roman"/>
          <w:color w:val="auto"/>
          <w:sz w:val="32"/>
          <w:szCs w:val="32"/>
          <w:shd w:val="clear" w:color="auto" w:fill="FFFFFF"/>
        </w:rPr>
        <w:t>指在基本支出之外为完成特定行政任务和事业发展目标所发生的支出。</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Style w:val="12"/>
          <w:rFonts w:hint="default" w:ascii="方正楷体_GBK" w:hAnsi="方正楷体_GBK" w:eastAsia="方正楷体_GBK" w:cs="方正楷体_GBK"/>
          <w:b w:val="0"/>
          <w:bCs/>
          <w:color w:val="auto"/>
          <w:sz w:val="32"/>
          <w:szCs w:val="32"/>
          <w:shd w:val="clear" w:color="auto" w:fill="auto"/>
          <w:lang w:val="en-US" w:eastAsia="zh-CN" w:bidi="ar-SA"/>
        </w:rPr>
        <w:t>（十一）经营支出：</w:t>
      </w:r>
      <w:r>
        <w:rPr>
          <w:rFonts w:hint="default" w:ascii="Times New Roman" w:hAnsi="Times New Roman" w:eastAsia="方正仿宋_GBK" w:cs="Times New Roman"/>
          <w:color w:val="auto"/>
          <w:sz w:val="32"/>
          <w:szCs w:val="32"/>
          <w:shd w:val="clear" w:color="auto" w:fill="FFFFFF"/>
        </w:rPr>
        <w:t>指事业单位在专业业务活动及其辅助活动之外开展非独立核算经营活动发生的支出。</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Style w:val="12"/>
          <w:rFonts w:hint="default" w:ascii="方正楷体_GBK" w:hAnsi="方正楷体_GBK" w:eastAsia="方正楷体_GBK" w:cs="方正楷体_GBK"/>
          <w:b w:val="0"/>
          <w:bCs/>
          <w:color w:val="auto"/>
          <w:sz w:val="32"/>
          <w:szCs w:val="32"/>
          <w:shd w:val="clear" w:color="auto" w:fill="auto"/>
          <w:lang w:val="en-US" w:eastAsia="zh-CN" w:bidi="ar-SA"/>
        </w:rPr>
        <w:t>（十二）“三公”经费：</w:t>
      </w:r>
      <w:r>
        <w:rPr>
          <w:rFonts w:hint="default" w:ascii="Times New Roman" w:hAnsi="Times New Roman" w:eastAsia="方正仿宋_GBK" w:cs="Times New Roman"/>
          <w:color w:val="auto"/>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Style w:val="12"/>
          <w:rFonts w:hint="default" w:ascii="方正楷体_GBK" w:hAnsi="方正楷体_GBK" w:eastAsia="方正楷体_GBK" w:cs="方正楷体_GBK"/>
          <w:b w:val="0"/>
          <w:bCs/>
          <w:color w:val="auto"/>
          <w:sz w:val="32"/>
          <w:szCs w:val="32"/>
          <w:shd w:val="clear" w:color="auto" w:fill="auto"/>
          <w:lang w:val="en-US" w:eastAsia="zh-CN" w:bidi="ar-SA"/>
        </w:rPr>
        <w:t>（十三）机关运行经费：</w:t>
      </w:r>
      <w:r>
        <w:rPr>
          <w:rFonts w:hint="default" w:ascii="Times New Roman" w:hAnsi="Times New Roman" w:eastAsia="方正仿宋_GBK" w:cs="Times New Roman"/>
          <w:color w:val="auto"/>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Style w:val="12"/>
          <w:rFonts w:hint="default" w:ascii="方正楷体_GBK" w:hAnsi="方正楷体_GBK" w:eastAsia="方正楷体_GBK" w:cs="方正楷体_GBK"/>
          <w:b w:val="0"/>
          <w:bCs/>
          <w:color w:val="auto"/>
          <w:sz w:val="32"/>
          <w:szCs w:val="32"/>
          <w:shd w:val="clear" w:color="auto" w:fill="auto"/>
          <w:lang w:val="en-US" w:eastAsia="zh-CN" w:bidi="ar-SA"/>
        </w:rPr>
        <w:t>（十四）工资福利支出（支出经济分类科目类级）：</w:t>
      </w:r>
      <w:r>
        <w:rPr>
          <w:rFonts w:hint="default" w:ascii="Times New Roman" w:hAnsi="Times New Roman" w:eastAsia="方正仿宋_GBK" w:cs="Times New Roman"/>
          <w:color w:val="auto"/>
          <w:sz w:val="32"/>
          <w:szCs w:val="32"/>
          <w:shd w:val="clear" w:color="auto" w:fill="FFFFFF"/>
        </w:rPr>
        <w:t>反映单位开支的在职职工和编制外长期聘用人员的各类劳动报酬，以及为上述人员缴纳的各项社会保险费等。</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Style w:val="12"/>
          <w:rFonts w:hint="default" w:ascii="方正楷体_GBK" w:hAnsi="方正楷体_GBK" w:eastAsia="方正楷体_GBK" w:cs="方正楷体_GBK"/>
          <w:b w:val="0"/>
          <w:bCs/>
          <w:color w:val="auto"/>
          <w:sz w:val="32"/>
          <w:szCs w:val="32"/>
          <w:shd w:val="clear" w:color="auto" w:fill="auto"/>
          <w:lang w:val="en-US" w:eastAsia="zh-CN" w:bidi="ar-SA"/>
        </w:rPr>
        <w:t>（十五）商品和服务支出（支出经济分类科目类级）：</w:t>
      </w:r>
      <w:r>
        <w:rPr>
          <w:rFonts w:hint="default" w:ascii="Times New Roman" w:hAnsi="Times New Roman" w:eastAsia="方正仿宋_GBK" w:cs="Times New Roman"/>
          <w:color w:val="auto"/>
          <w:sz w:val="32"/>
          <w:szCs w:val="32"/>
          <w:shd w:val="clear" w:color="auto" w:fill="FFFFFF"/>
        </w:rPr>
        <w:t>反映单位购买商品和服务的支出（不包括用于购置固定资产的支出、战略性和应急储备支出）。</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Style w:val="12"/>
          <w:rFonts w:hint="default" w:ascii="方正楷体_GBK" w:hAnsi="方正楷体_GBK" w:eastAsia="方正楷体_GBK" w:cs="方正楷体_GBK"/>
          <w:b w:val="0"/>
          <w:bCs/>
          <w:color w:val="auto"/>
          <w:sz w:val="32"/>
          <w:szCs w:val="32"/>
          <w:shd w:val="clear" w:color="auto" w:fill="auto"/>
          <w:lang w:val="en-US" w:eastAsia="zh-CN" w:bidi="ar-SA"/>
        </w:rPr>
        <w:t>（十六）对个人和家庭的补助（支出经济分类科目类级）：</w:t>
      </w:r>
      <w:r>
        <w:rPr>
          <w:rFonts w:hint="default" w:ascii="Times New Roman" w:hAnsi="Times New Roman" w:eastAsia="方正仿宋_GBK" w:cs="Times New Roman"/>
          <w:color w:val="auto"/>
          <w:sz w:val="32"/>
          <w:szCs w:val="32"/>
          <w:shd w:val="clear" w:color="auto" w:fill="FFFFFF"/>
        </w:rPr>
        <w:t>反映用于对个人和家庭的补助支出。</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Style w:val="12"/>
          <w:rFonts w:hint="default" w:ascii="方正楷体_GBK" w:hAnsi="方正楷体_GBK" w:eastAsia="方正楷体_GBK" w:cs="方正楷体_GBK"/>
          <w:b w:val="0"/>
          <w:bCs/>
          <w:color w:val="auto"/>
          <w:sz w:val="32"/>
          <w:szCs w:val="32"/>
          <w:shd w:val="clear" w:color="auto" w:fill="auto"/>
          <w:lang w:val="en-US" w:eastAsia="zh-CN" w:bidi="ar-SA"/>
        </w:rPr>
        <w:t>（十七）其他资本性支出（支出经济分类科目类级）：</w:t>
      </w:r>
      <w:r>
        <w:rPr>
          <w:rFonts w:hint="default" w:ascii="Times New Roman" w:hAnsi="Times New Roman" w:eastAsia="方正仿宋_GBK" w:cs="Times New Roman"/>
          <w:color w:val="auto"/>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2"/>
          <w:rFonts w:hint="eastAsia" w:ascii="方正黑体_GBK" w:hAnsi="方正黑体_GBK" w:eastAsia="方正黑体_GBK" w:cs="方正黑体_GBK"/>
          <w:b w:val="0"/>
          <w:bCs/>
          <w:color w:val="auto"/>
          <w:sz w:val="32"/>
          <w:szCs w:val="32"/>
          <w:shd w:val="clear" w:color="auto" w:fill="FFFFFF"/>
        </w:rPr>
      </w:pPr>
      <w:r>
        <w:rPr>
          <w:rStyle w:val="12"/>
          <w:rFonts w:hint="eastAsia" w:ascii="方正黑体_GBK" w:hAnsi="方正黑体_GBK" w:eastAsia="方正黑体_GBK" w:cs="方正黑体_GBK"/>
          <w:b w:val="0"/>
          <w:bCs/>
          <w:color w:val="auto"/>
          <w:sz w:val="32"/>
          <w:szCs w:val="32"/>
          <w:shd w:val="clear" w:color="auto" w:fill="FFFFFF"/>
          <w:lang w:eastAsia="zh-CN"/>
        </w:rPr>
        <w:t>七</w:t>
      </w:r>
      <w:r>
        <w:rPr>
          <w:rStyle w:val="12"/>
          <w:rFonts w:hint="eastAsia" w:ascii="方正黑体_GBK" w:hAnsi="方正黑体_GBK" w:eastAsia="方正黑体_GBK" w:cs="方正黑体_GBK"/>
          <w:b w:val="0"/>
          <w:bCs/>
          <w:color w:val="auto"/>
          <w:sz w:val="32"/>
          <w:szCs w:val="32"/>
          <w:shd w:val="clear" w:color="auto" w:fill="FFFFFF"/>
        </w:rPr>
        <w:t>、决算公开联系方式及信息反馈渠道</w:t>
      </w:r>
    </w:p>
    <w:p>
      <w:pPr>
        <w:pStyle w:val="13"/>
        <w:keepNext w:val="0"/>
        <w:keepLines w:val="0"/>
        <w:pageBreakBefore w:val="0"/>
        <w:widowControl w:val="0"/>
        <w:kinsoku/>
        <w:wordWrap/>
        <w:overflowPunct/>
        <w:topLinePunct w:val="0"/>
        <w:autoSpaceDE w:val="0"/>
        <w:autoSpaceDN/>
        <w:bidi w:val="0"/>
        <w:adjustRightInd/>
        <w:spacing w:beforeAutospacing="0" w:afterAutospacing="0" w:line="560" w:lineRule="exact"/>
        <w:ind w:firstLine="640" w:firstLineChars="200"/>
        <w:jc w:val="both"/>
        <w:textAlignment w:val="auto"/>
        <w:rPr>
          <w:rStyle w:val="12"/>
          <w:rFonts w:hint="default" w:ascii="Times New Roman" w:hAnsi="Times New Roman" w:eastAsia="方正仿宋_GBK" w:cs="Times New Roman"/>
          <w:color w:val="auto"/>
          <w:sz w:val="32"/>
          <w:szCs w:val="32"/>
          <w:shd w:val="clear" w:color="auto" w:fill="FFFF00"/>
          <w:lang w:val="en-US" w:eastAsia="zh-CN"/>
        </w:rPr>
        <w:sectPr>
          <w:footerReference r:id="rId3" w:type="default"/>
          <w:pgSz w:w="11915" w:h="16840"/>
          <w:pgMar w:top="2098" w:right="1474" w:bottom="1984" w:left="1587" w:header="851" w:footer="992" w:gutter="0"/>
          <w:pgNumType w:fmt="numberInDash"/>
          <w:cols w:space="720" w:num="1"/>
          <w:docGrid w:type="lines" w:linePitch="312" w:charSpace="0"/>
        </w:sectPr>
      </w:pPr>
      <w:r>
        <w:rPr>
          <w:rFonts w:hint="default" w:ascii="Times New Roman" w:hAnsi="Times New Roman" w:eastAsia="方正仿宋_GBK" w:cs="Times New Roman"/>
          <w:color w:val="auto"/>
          <w:sz w:val="32"/>
          <w:szCs w:val="32"/>
          <w:shd w:val="clear" w:color="auto" w:fill="FFFFFF"/>
        </w:rPr>
        <w:t>本</w:t>
      </w:r>
      <w:r>
        <w:rPr>
          <w:rFonts w:hint="default" w:ascii="Times New Roman" w:hAnsi="Times New Roman" w:eastAsia="方正仿宋_GBK" w:cs="Times New Roman"/>
          <w:color w:val="auto"/>
          <w:sz w:val="32"/>
          <w:szCs w:val="32"/>
          <w:shd w:val="clear" w:color="auto" w:fill="FFFFFF"/>
          <w:lang w:eastAsia="zh-CN"/>
        </w:rPr>
        <w:t>单位</w:t>
      </w:r>
      <w:r>
        <w:rPr>
          <w:rFonts w:hint="default" w:ascii="Times New Roman" w:hAnsi="Times New Roman" w:eastAsia="方正仿宋_GBK" w:cs="Times New Roman"/>
          <w:color w:val="auto"/>
          <w:sz w:val="32"/>
          <w:szCs w:val="32"/>
          <w:shd w:val="clear" w:color="auto" w:fill="FFFFFF"/>
        </w:rPr>
        <w:t>决算公开信息反馈和联系方式：</w:t>
      </w:r>
      <w:r>
        <w:rPr>
          <w:rFonts w:hint="default" w:ascii="Times New Roman" w:hAnsi="Times New Roman" w:eastAsia="方正仿宋_GBK" w:cs="Times New Roman"/>
          <w:color w:val="auto"/>
          <w:sz w:val="32"/>
          <w:szCs w:val="32"/>
          <w:shd w:val="clear" w:color="auto" w:fill="FFFFFF"/>
          <w:lang w:eastAsia="zh-CN"/>
        </w:rPr>
        <w:t>陈聪</w:t>
      </w:r>
      <w:r>
        <w:rPr>
          <w:rFonts w:hint="default" w:ascii="Times New Roman" w:hAnsi="Times New Roman" w:eastAsia="方正仿宋_GBK" w:cs="Times New Roman"/>
          <w:color w:val="auto"/>
          <w:sz w:val="32"/>
          <w:szCs w:val="32"/>
          <w:shd w:val="clear" w:color="auto" w:fill="FFFFFF"/>
          <w:lang w:val="en-US" w:eastAsia="zh-CN"/>
        </w:rPr>
        <w:t xml:space="preserve"> 023-76668145。</w:t>
      </w:r>
    </w:p>
    <w:tbl>
      <w:tblPr>
        <w:tblStyle w:val="9"/>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u w:color="auto"/>
              </w:rPr>
              <w:t>秀山土家族苗族自治县医疗保障事务中心</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459.87</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61.99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364.39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459.87</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459.87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459.87</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459.87</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9"/>
        <w:tblW w:w="14939" w:type="dxa"/>
        <w:tblInd w:w="0" w:type="dxa"/>
        <w:tblLayout w:type="fixed"/>
        <w:tblCellMar>
          <w:top w:w="0" w:type="dxa"/>
          <w:left w:w="0" w:type="dxa"/>
          <w:bottom w:w="0" w:type="dxa"/>
          <w:right w:w="0" w:type="dxa"/>
        </w:tblCellMar>
      </w:tblPr>
      <w:tblGrid>
        <w:gridCol w:w="1637"/>
        <w:gridCol w:w="3075"/>
        <w:gridCol w:w="1308"/>
        <w:gridCol w:w="1367"/>
        <w:gridCol w:w="1257"/>
        <w:gridCol w:w="1257"/>
        <w:gridCol w:w="1320"/>
        <w:gridCol w:w="1259"/>
        <w:gridCol w:w="1392"/>
        <w:gridCol w:w="1067"/>
      </w:tblGrid>
      <w:tr>
        <w:tblPrEx>
          <w:tblLayout w:type="fixed"/>
          <w:tblCellMar>
            <w:top w:w="0" w:type="dxa"/>
            <w:left w:w="0" w:type="dxa"/>
            <w:bottom w:w="0" w:type="dxa"/>
            <w:right w:w="0" w:type="dxa"/>
          </w:tblCellMar>
        </w:tblPrEx>
        <w:trPr>
          <w:trHeight w:val="641" w:hRule="atLeast"/>
        </w:trPr>
        <w:tc>
          <w:tcPr>
            <w:tcW w:w="14939"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6020"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u w:color="auto"/>
              </w:rPr>
              <w:t>秀山土家族苗族自治县医疗保障事务中心</w:t>
            </w:r>
          </w:p>
        </w:tc>
        <w:tc>
          <w:tcPr>
            <w:tcW w:w="136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067"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6020"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6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067"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71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075"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7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459.87</w:t>
            </w:r>
            <w:r>
              <w:rPr>
                <w:rFonts w:ascii="Times New Roman" w:hAnsi="Times New Roman"/>
                <w:b/>
                <w:color w:val="000000"/>
                <w:sz w:val="20"/>
                <w:u w:color="auto"/>
              </w:rPr>
              <w:t xml:space="preserve"> </w:t>
            </w:r>
          </w:p>
        </w:tc>
        <w:tc>
          <w:tcPr>
            <w:tcW w:w="13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459.87</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61.99</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61.99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61.99</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61.99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39.61</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39.61</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364.39</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364.39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29.14</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29.14</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24.34</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24.34</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335.25</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335.25</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335.25</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335.25</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33.49</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33.49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33.49</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33.49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33.49</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33.49</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p>
    <w:p>
      <w:pPr>
        <w:rPr>
          <w:rFonts w:hint="default" w:cs="宋体"/>
          <w:sz w:val="20"/>
          <w:szCs w:val="20"/>
        </w:rPr>
      </w:pPr>
      <w:r>
        <w:rPr>
          <w:rFonts w:cs="宋体"/>
          <w:sz w:val="20"/>
          <w:szCs w:val="20"/>
        </w:rPr>
        <w:br w:type="page"/>
      </w:r>
    </w:p>
    <w:tbl>
      <w:tblPr>
        <w:tblStyle w:val="9"/>
        <w:tblW w:w="14857" w:type="dxa"/>
        <w:tblInd w:w="0" w:type="dxa"/>
        <w:tblLayout w:type="fixed"/>
        <w:tblCellMar>
          <w:top w:w="0" w:type="dxa"/>
          <w:left w:w="0" w:type="dxa"/>
          <w:bottom w:w="0" w:type="dxa"/>
          <w:right w:w="0" w:type="dxa"/>
        </w:tblCellMar>
      </w:tblPr>
      <w:tblGrid>
        <w:gridCol w:w="1637"/>
        <w:gridCol w:w="3530"/>
        <w:gridCol w:w="1645"/>
        <w:gridCol w:w="1694"/>
        <w:gridCol w:w="1627"/>
        <w:gridCol w:w="1559"/>
        <w:gridCol w:w="1694"/>
        <w:gridCol w:w="1471"/>
      </w:tblGrid>
      <w:tr>
        <w:tblPrEx>
          <w:tblLayout w:type="fixed"/>
          <w:tblCellMar>
            <w:top w:w="0" w:type="dxa"/>
            <w:left w:w="0" w:type="dxa"/>
            <w:bottom w:w="0" w:type="dxa"/>
            <w:right w:w="0" w:type="dxa"/>
          </w:tblCellMar>
        </w:tblPrEx>
        <w:trPr>
          <w:trHeight w:val="654" w:hRule="atLeast"/>
        </w:trPr>
        <w:tc>
          <w:tcPr>
            <w:tcW w:w="14857"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81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秀山土家族苗族自治县医疗保障事务中心 </w:t>
            </w: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7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81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7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4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30"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459.87</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459.87</w:t>
            </w:r>
            <w:r>
              <w:rPr>
                <w:rFonts w:ascii="Times New Roman" w:hAnsi="Times New Roman"/>
                <w:b/>
                <w:color w:val="000000"/>
                <w:sz w:val="20"/>
                <w:u w:color="auto"/>
              </w:rPr>
              <w:t xml:space="preserve"> </w:t>
            </w:r>
          </w:p>
        </w:tc>
        <w:tc>
          <w:tcPr>
            <w:tcW w:w="16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61.99</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61.99</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61.99</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61.99</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39.61</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39.61</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364.39</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364.39</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29.14</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29.14</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24.34</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24.34</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335.25</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335.25</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335.25</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335.25</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33.49</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33.49</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33.49</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33.49</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33.49</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33.49</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9"/>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秀山土家族苗族自治县医疗保障事务中心</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459.87</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61.99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61.99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364.39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364.39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33.49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33.49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459.87</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459.87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459.87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459.87</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459.87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459.87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4939" w:type="dxa"/>
        <w:tblInd w:w="0" w:type="dxa"/>
        <w:tblLayout w:type="fixed"/>
        <w:tblCellMar>
          <w:top w:w="0" w:type="dxa"/>
          <w:left w:w="0" w:type="dxa"/>
          <w:bottom w:w="0" w:type="dxa"/>
          <w:right w:w="0" w:type="dxa"/>
        </w:tblCellMar>
      </w:tblPr>
      <w:tblGrid>
        <w:gridCol w:w="1486"/>
        <w:gridCol w:w="3895"/>
        <w:gridCol w:w="3306"/>
        <w:gridCol w:w="3300"/>
        <w:gridCol w:w="2952"/>
      </w:tblGrid>
      <w:tr>
        <w:tblPrEx>
          <w:tblLayout w:type="fixed"/>
          <w:tblCellMar>
            <w:top w:w="0" w:type="dxa"/>
            <w:left w:w="0" w:type="dxa"/>
            <w:bottom w:w="0" w:type="dxa"/>
            <w:right w:w="0" w:type="dxa"/>
          </w:tblCellMar>
        </w:tblPrEx>
        <w:trPr>
          <w:trHeight w:val="510" w:hRule="atLeast"/>
        </w:trPr>
        <w:tc>
          <w:tcPr>
            <w:tcW w:w="14939"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秀山土家族苗族自治县医疗保障事务中心</w:t>
            </w: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952"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952"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558"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295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5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5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459.87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459.87</w:t>
            </w:r>
            <w:r>
              <w:rPr>
                <w:rFonts w:ascii="Times New Roman" w:hAnsi="Times New Roman"/>
                <w:b/>
                <w:color w:val="000000"/>
                <w:sz w:val="20"/>
                <w:u w:color="auto"/>
              </w:rPr>
              <w:t xml:space="preserve"> </w:t>
            </w:r>
          </w:p>
        </w:tc>
        <w:tc>
          <w:tcPr>
            <w:tcW w:w="29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61.99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61.99</w:t>
            </w:r>
            <w:r>
              <w:rPr>
                <w:rFonts w:ascii="Times New Roman" w:hAnsi="Times New Roman"/>
                <w:b/>
                <w:color w:val="000000"/>
                <w:sz w:val="20"/>
                <w:u w:color="auto"/>
              </w:rPr>
              <w:t xml:space="preserve"> </w:t>
            </w:r>
          </w:p>
        </w:tc>
        <w:tc>
          <w:tcPr>
            <w:tcW w:w="29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61.99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61.99</w:t>
            </w:r>
            <w:r>
              <w:rPr>
                <w:rFonts w:ascii="Times New Roman" w:hAnsi="Times New Roman"/>
                <w:b/>
                <w:color w:val="000000"/>
                <w:sz w:val="20"/>
                <w:u w:color="auto"/>
              </w:rPr>
              <w:t xml:space="preserve"> </w:t>
            </w:r>
          </w:p>
        </w:tc>
        <w:tc>
          <w:tcPr>
            <w:tcW w:w="29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2.58</w:t>
            </w:r>
            <w:r>
              <w:rPr>
                <w:rFonts w:ascii="Times New Roman" w:hAnsi="Times New Roman"/>
                <w:color w:val="000000"/>
                <w:sz w:val="20"/>
                <w:u w:color="auto"/>
              </w:rPr>
              <w:t xml:space="preserve"> </w:t>
            </w:r>
          </w:p>
        </w:tc>
        <w:tc>
          <w:tcPr>
            <w:tcW w:w="29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39.61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39.61</w:t>
            </w:r>
            <w:r>
              <w:rPr>
                <w:rFonts w:ascii="Times New Roman" w:hAnsi="Times New Roman"/>
                <w:color w:val="000000"/>
                <w:sz w:val="20"/>
                <w:u w:color="auto"/>
              </w:rPr>
              <w:t xml:space="preserve"> </w:t>
            </w:r>
          </w:p>
        </w:tc>
        <w:tc>
          <w:tcPr>
            <w:tcW w:w="29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19.80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19.80</w:t>
            </w:r>
            <w:r>
              <w:rPr>
                <w:rFonts w:ascii="Times New Roman" w:hAnsi="Times New Roman"/>
                <w:color w:val="000000"/>
                <w:sz w:val="20"/>
                <w:u w:color="auto"/>
              </w:rPr>
              <w:t xml:space="preserve"> </w:t>
            </w:r>
          </w:p>
        </w:tc>
        <w:tc>
          <w:tcPr>
            <w:tcW w:w="29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364.39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364.39</w:t>
            </w:r>
            <w:r>
              <w:rPr>
                <w:rFonts w:ascii="Times New Roman" w:hAnsi="Times New Roman"/>
                <w:b/>
                <w:color w:val="000000"/>
                <w:sz w:val="20"/>
                <w:u w:color="auto"/>
              </w:rPr>
              <w:t xml:space="preserve"> </w:t>
            </w:r>
          </w:p>
        </w:tc>
        <w:tc>
          <w:tcPr>
            <w:tcW w:w="29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29.14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29.14</w:t>
            </w:r>
            <w:r>
              <w:rPr>
                <w:rFonts w:ascii="Times New Roman" w:hAnsi="Times New Roman"/>
                <w:b/>
                <w:color w:val="000000"/>
                <w:sz w:val="20"/>
                <w:u w:color="auto"/>
              </w:rPr>
              <w:t xml:space="preserve"> </w:t>
            </w:r>
          </w:p>
        </w:tc>
        <w:tc>
          <w:tcPr>
            <w:tcW w:w="29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24.34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24.34</w:t>
            </w:r>
            <w:r>
              <w:rPr>
                <w:rFonts w:ascii="Times New Roman" w:hAnsi="Times New Roman"/>
                <w:color w:val="000000"/>
                <w:sz w:val="20"/>
                <w:u w:color="auto"/>
              </w:rPr>
              <w:t xml:space="preserve"> </w:t>
            </w:r>
          </w:p>
        </w:tc>
        <w:tc>
          <w:tcPr>
            <w:tcW w:w="29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c>
          <w:tcPr>
            <w:tcW w:w="29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335.25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335.25</w:t>
            </w:r>
            <w:r>
              <w:rPr>
                <w:rFonts w:ascii="Times New Roman" w:hAnsi="Times New Roman"/>
                <w:b/>
                <w:color w:val="000000"/>
                <w:sz w:val="20"/>
                <w:u w:color="auto"/>
              </w:rPr>
              <w:t xml:space="preserve"> </w:t>
            </w:r>
          </w:p>
        </w:tc>
        <w:tc>
          <w:tcPr>
            <w:tcW w:w="29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335.25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335.25</w:t>
            </w:r>
            <w:r>
              <w:rPr>
                <w:rFonts w:ascii="Times New Roman" w:hAnsi="Times New Roman"/>
                <w:color w:val="000000"/>
                <w:sz w:val="20"/>
                <w:u w:color="auto"/>
              </w:rPr>
              <w:t xml:space="preserve"> </w:t>
            </w:r>
          </w:p>
        </w:tc>
        <w:tc>
          <w:tcPr>
            <w:tcW w:w="29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33.49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33.49</w:t>
            </w:r>
            <w:r>
              <w:rPr>
                <w:rFonts w:ascii="Times New Roman" w:hAnsi="Times New Roman"/>
                <w:b/>
                <w:color w:val="000000"/>
                <w:sz w:val="20"/>
                <w:u w:color="auto"/>
              </w:rPr>
              <w:t xml:space="preserve"> </w:t>
            </w:r>
          </w:p>
        </w:tc>
        <w:tc>
          <w:tcPr>
            <w:tcW w:w="29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33.49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33.49</w:t>
            </w:r>
            <w:r>
              <w:rPr>
                <w:rFonts w:ascii="Times New Roman" w:hAnsi="Times New Roman"/>
                <w:b/>
                <w:color w:val="000000"/>
                <w:sz w:val="20"/>
                <w:u w:color="auto"/>
              </w:rPr>
              <w:t xml:space="preserve"> </w:t>
            </w:r>
          </w:p>
        </w:tc>
        <w:tc>
          <w:tcPr>
            <w:tcW w:w="29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33.49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33.49</w:t>
            </w:r>
            <w:r>
              <w:rPr>
                <w:rFonts w:ascii="Times New Roman" w:hAnsi="Times New Roman"/>
                <w:color w:val="000000"/>
                <w:sz w:val="20"/>
                <w:u w:color="auto"/>
              </w:rPr>
              <w:t xml:space="preserve"> </w:t>
            </w:r>
          </w:p>
        </w:tc>
        <w:tc>
          <w:tcPr>
            <w:tcW w:w="29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9"/>
        <w:tblW w:w="14939"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517"/>
      </w:tblGrid>
      <w:tr>
        <w:tblPrEx>
          <w:tblLayout w:type="fixed"/>
          <w:tblCellMar>
            <w:top w:w="0" w:type="dxa"/>
            <w:left w:w="0" w:type="dxa"/>
            <w:bottom w:w="0" w:type="dxa"/>
            <w:right w:w="0" w:type="dxa"/>
          </w:tblCellMar>
        </w:tblPrEx>
        <w:trPr>
          <w:trHeight w:val="90" w:hRule="atLeast"/>
        </w:trPr>
        <w:tc>
          <w:tcPr>
            <w:tcW w:w="14939"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秀山土家族苗族自治县医疗保障事务中心</w:t>
            </w: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517"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517"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235"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408.60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48.69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93.95</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80.91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110.95</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0.56</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39.61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24.34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33.49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0.26</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17.58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411.18</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5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48.69</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4966"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477"/>
      </w:tblGrid>
      <w:tr>
        <w:tblPrEx>
          <w:tblLayout w:type="fixed"/>
          <w:tblCellMar>
            <w:top w:w="0" w:type="dxa"/>
            <w:left w:w="0" w:type="dxa"/>
            <w:bottom w:w="0" w:type="dxa"/>
            <w:right w:w="0" w:type="dxa"/>
          </w:tblCellMar>
        </w:tblPrEx>
        <w:trPr>
          <w:trHeight w:val="644" w:hRule="atLeast"/>
        </w:trPr>
        <w:tc>
          <w:tcPr>
            <w:tcW w:w="14966"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秀山土家族苗族自治县医疗保障事务中心</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77"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77"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4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4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9"/>
        <w:tblW w:w="14953" w:type="dxa"/>
        <w:tblInd w:w="0" w:type="dxa"/>
        <w:tblLayout w:type="fixed"/>
        <w:tblCellMar>
          <w:top w:w="0" w:type="dxa"/>
          <w:left w:w="0" w:type="dxa"/>
          <w:bottom w:w="0" w:type="dxa"/>
          <w:right w:w="0" w:type="dxa"/>
        </w:tblCellMar>
      </w:tblPr>
      <w:tblGrid>
        <w:gridCol w:w="2001"/>
        <w:gridCol w:w="2917"/>
        <w:gridCol w:w="3264"/>
        <w:gridCol w:w="199"/>
        <w:gridCol w:w="3463"/>
        <w:gridCol w:w="77"/>
        <w:gridCol w:w="3032"/>
      </w:tblGrid>
      <w:tr>
        <w:tblPrEx>
          <w:tblLayout w:type="fixed"/>
          <w:tblCellMar>
            <w:top w:w="0" w:type="dxa"/>
            <w:left w:w="0" w:type="dxa"/>
            <w:bottom w:w="0" w:type="dxa"/>
            <w:right w:w="0" w:type="dxa"/>
          </w:tblCellMar>
        </w:tblPrEx>
        <w:trPr>
          <w:trHeight w:val="650" w:hRule="atLeast"/>
        </w:trPr>
        <w:tc>
          <w:tcPr>
            <w:tcW w:w="14953"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秀山土家族苗族自治县医疗保障事务中心</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032"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032"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03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109"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09"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09"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09"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10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10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9"/>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秀山土家族苗族自治县医疗保障事务中心</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48.69</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48.69</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1.78</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5"/>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w:rPr>
        <w:rFonts w:hint="default"/>
      </w:rPr>
      <mc:AlternateContent>
        <mc:Choice Requires="wps">
          <w:drawing>
            <wp:anchor distT="0" distB="0" distL="114300" distR="114300" simplePos="0" relativeHeight="251664384"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3360"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3360;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5B1480"/>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6E2DA9"/>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9961DCA"/>
    <w:rsid w:val="09B1218B"/>
    <w:rsid w:val="0A3317EA"/>
    <w:rsid w:val="0A5C4B69"/>
    <w:rsid w:val="0A86124A"/>
    <w:rsid w:val="0AB54CC0"/>
    <w:rsid w:val="0B44679A"/>
    <w:rsid w:val="0B9335CE"/>
    <w:rsid w:val="0BF2311A"/>
    <w:rsid w:val="0C7927C4"/>
    <w:rsid w:val="0C9B098C"/>
    <w:rsid w:val="0D673E11"/>
    <w:rsid w:val="0DDA54E4"/>
    <w:rsid w:val="0E3A5F83"/>
    <w:rsid w:val="0F836721"/>
    <w:rsid w:val="0FA25D96"/>
    <w:rsid w:val="0FBD3C60"/>
    <w:rsid w:val="10531C8B"/>
    <w:rsid w:val="107B59E5"/>
    <w:rsid w:val="10C57F2B"/>
    <w:rsid w:val="10EC0126"/>
    <w:rsid w:val="10F70B9A"/>
    <w:rsid w:val="111445C7"/>
    <w:rsid w:val="114278C6"/>
    <w:rsid w:val="1158083A"/>
    <w:rsid w:val="11643A4B"/>
    <w:rsid w:val="11AD7EE9"/>
    <w:rsid w:val="11ED0F98"/>
    <w:rsid w:val="11F03528"/>
    <w:rsid w:val="12C921C4"/>
    <w:rsid w:val="13871C70"/>
    <w:rsid w:val="13A71CB4"/>
    <w:rsid w:val="13AF1D43"/>
    <w:rsid w:val="13CE1647"/>
    <w:rsid w:val="13FD55AB"/>
    <w:rsid w:val="14200702"/>
    <w:rsid w:val="14370EA1"/>
    <w:rsid w:val="145D6F41"/>
    <w:rsid w:val="163A6CEE"/>
    <w:rsid w:val="173708E3"/>
    <w:rsid w:val="17C374FC"/>
    <w:rsid w:val="182E4AB6"/>
    <w:rsid w:val="189079DC"/>
    <w:rsid w:val="189B0D0B"/>
    <w:rsid w:val="18B43F7C"/>
    <w:rsid w:val="191C433B"/>
    <w:rsid w:val="194A1770"/>
    <w:rsid w:val="19B906A4"/>
    <w:rsid w:val="1A6C4359"/>
    <w:rsid w:val="1B6F15B6"/>
    <w:rsid w:val="1BAA2EDC"/>
    <w:rsid w:val="1C2B7B75"/>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215B28"/>
    <w:rsid w:val="20642787"/>
    <w:rsid w:val="21556F04"/>
    <w:rsid w:val="22403BD3"/>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B821C91"/>
    <w:rsid w:val="2BF81A22"/>
    <w:rsid w:val="2C636760"/>
    <w:rsid w:val="2C6762A3"/>
    <w:rsid w:val="2DF41D09"/>
    <w:rsid w:val="2FCA4B37"/>
    <w:rsid w:val="2FE029D7"/>
    <w:rsid w:val="2FF06E00"/>
    <w:rsid w:val="30586FEC"/>
    <w:rsid w:val="30C27C07"/>
    <w:rsid w:val="315F0B22"/>
    <w:rsid w:val="31D84415"/>
    <w:rsid w:val="31F34372"/>
    <w:rsid w:val="32285F6F"/>
    <w:rsid w:val="32770556"/>
    <w:rsid w:val="329C0913"/>
    <w:rsid w:val="32AA0460"/>
    <w:rsid w:val="3337290D"/>
    <w:rsid w:val="33E31118"/>
    <w:rsid w:val="33EF7674"/>
    <w:rsid w:val="342D7BC6"/>
    <w:rsid w:val="349E6F78"/>
    <w:rsid w:val="352930DB"/>
    <w:rsid w:val="35573069"/>
    <w:rsid w:val="355F6038"/>
    <w:rsid w:val="358C217E"/>
    <w:rsid w:val="36C9128A"/>
    <w:rsid w:val="370C285D"/>
    <w:rsid w:val="37841E99"/>
    <w:rsid w:val="37BF1123"/>
    <w:rsid w:val="383C3F15"/>
    <w:rsid w:val="38BE4696"/>
    <w:rsid w:val="3939115E"/>
    <w:rsid w:val="39703B19"/>
    <w:rsid w:val="39AB7AFE"/>
    <w:rsid w:val="39B82A39"/>
    <w:rsid w:val="39C42CA8"/>
    <w:rsid w:val="39DC4FD6"/>
    <w:rsid w:val="39F03D7A"/>
    <w:rsid w:val="39F33306"/>
    <w:rsid w:val="3A2C1C67"/>
    <w:rsid w:val="3A2C6DA1"/>
    <w:rsid w:val="3A6A77C9"/>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087711"/>
    <w:rsid w:val="3F4C52C6"/>
    <w:rsid w:val="3F694D83"/>
    <w:rsid w:val="3F885DCC"/>
    <w:rsid w:val="3FCD675E"/>
    <w:rsid w:val="4004000C"/>
    <w:rsid w:val="40BD5482"/>
    <w:rsid w:val="411B6CE5"/>
    <w:rsid w:val="412070D7"/>
    <w:rsid w:val="41314E40"/>
    <w:rsid w:val="41E0734B"/>
    <w:rsid w:val="426C1EA8"/>
    <w:rsid w:val="42736402"/>
    <w:rsid w:val="42E86A87"/>
    <w:rsid w:val="43307B09"/>
    <w:rsid w:val="436860DC"/>
    <w:rsid w:val="436D44AF"/>
    <w:rsid w:val="439A3EB9"/>
    <w:rsid w:val="43A2191B"/>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1576B5"/>
    <w:rsid w:val="4B7951CB"/>
    <w:rsid w:val="4B7C315C"/>
    <w:rsid w:val="4C9316A8"/>
    <w:rsid w:val="4D1F53CA"/>
    <w:rsid w:val="4DAC4ACA"/>
    <w:rsid w:val="4DBE01D2"/>
    <w:rsid w:val="4F0C6BA3"/>
    <w:rsid w:val="4F186D58"/>
    <w:rsid w:val="506B25F7"/>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4D0D9A"/>
    <w:rsid w:val="56530F5D"/>
    <w:rsid w:val="567700D3"/>
    <w:rsid w:val="569D5729"/>
    <w:rsid w:val="569E5A73"/>
    <w:rsid w:val="56FF7E9E"/>
    <w:rsid w:val="578867FC"/>
    <w:rsid w:val="58280628"/>
    <w:rsid w:val="5842572D"/>
    <w:rsid w:val="5A3B59D6"/>
    <w:rsid w:val="5AD134D8"/>
    <w:rsid w:val="5BD27D0A"/>
    <w:rsid w:val="5BF41F67"/>
    <w:rsid w:val="5C263CE4"/>
    <w:rsid w:val="5C5D2777"/>
    <w:rsid w:val="5CF66BF3"/>
    <w:rsid w:val="5D290C69"/>
    <w:rsid w:val="5DA80C2C"/>
    <w:rsid w:val="5DFA7591"/>
    <w:rsid w:val="5F2D4A41"/>
    <w:rsid w:val="60C74F6C"/>
    <w:rsid w:val="61015958"/>
    <w:rsid w:val="61025A59"/>
    <w:rsid w:val="613D5BBC"/>
    <w:rsid w:val="61536C39"/>
    <w:rsid w:val="61894431"/>
    <w:rsid w:val="627E6CEC"/>
    <w:rsid w:val="62944DD7"/>
    <w:rsid w:val="6319381F"/>
    <w:rsid w:val="63C25DC5"/>
    <w:rsid w:val="63C62057"/>
    <w:rsid w:val="64571EF5"/>
    <w:rsid w:val="64FB113D"/>
    <w:rsid w:val="656152C6"/>
    <w:rsid w:val="6587477F"/>
    <w:rsid w:val="658C3A08"/>
    <w:rsid w:val="658E26D2"/>
    <w:rsid w:val="65C031CA"/>
    <w:rsid w:val="65CE6852"/>
    <w:rsid w:val="66267C04"/>
    <w:rsid w:val="663F505A"/>
    <w:rsid w:val="66AF5D7C"/>
    <w:rsid w:val="66EE5541"/>
    <w:rsid w:val="67924660"/>
    <w:rsid w:val="68407834"/>
    <w:rsid w:val="6883293E"/>
    <w:rsid w:val="688412AD"/>
    <w:rsid w:val="68EB1B71"/>
    <w:rsid w:val="696C0310"/>
    <w:rsid w:val="6A4C63E2"/>
    <w:rsid w:val="6A6C7940"/>
    <w:rsid w:val="6A9F1565"/>
    <w:rsid w:val="6AAD2300"/>
    <w:rsid w:val="6B474EF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72E1EBA"/>
    <w:rsid w:val="781926BC"/>
    <w:rsid w:val="796D60A4"/>
    <w:rsid w:val="797A664A"/>
    <w:rsid w:val="79A031D5"/>
    <w:rsid w:val="79B47FDF"/>
    <w:rsid w:val="79E569A9"/>
    <w:rsid w:val="7A1525F7"/>
    <w:rsid w:val="7A790DF1"/>
    <w:rsid w:val="7B420052"/>
    <w:rsid w:val="7B686F5B"/>
    <w:rsid w:val="7BD06A28"/>
    <w:rsid w:val="7C3A7C0B"/>
    <w:rsid w:val="7C5248E4"/>
    <w:rsid w:val="7C566698"/>
    <w:rsid w:val="7C5866A3"/>
    <w:rsid w:val="7C8F0860"/>
    <w:rsid w:val="7D7406BB"/>
    <w:rsid w:val="7DE94331"/>
    <w:rsid w:val="7EED4BB9"/>
    <w:rsid w:val="7F446A19"/>
    <w:rsid w:val="7F7452B9"/>
    <w:rsid w:val="7FC95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0"/>
    <w:pPr>
      <w:widowControl/>
      <w:spacing w:before="100" w:beforeAutospacing="1" w:after="100" w:afterAutospacing="1"/>
      <w:jc w:val="left"/>
    </w:pPr>
    <w:rPr>
      <w:rFonts w:ascii="宋体" w:hAnsi="宋体" w:cs="宋体"/>
      <w:kern w:val="0"/>
      <w:sz w:val="24"/>
    </w:rPr>
  </w:style>
  <w:style w:type="paragraph" w:styleId="3">
    <w:name w:val="Date"/>
    <w:basedOn w:val="1"/>
    <w:next w:val="1"/>
    <w:qFormat/>
    <w:uiPriority w:val="99"/>
    <w:pPr>
      <w:ind w:left="100" w:leftChars="2500"/>
    </w:p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2">
    <w:name w:val="Strong"/>
    <w:qFormat/>
    <w:uiPriority w:val="0"/>
    <w:rPr>
      <w:b/>
    </w:r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qFormat/>
    <w:uiPriority w:val="0"/>
    <w:rPr>
      <w:rFonts w:hint="default" w:ascii="Wingdings" w:hAnsi="Wingdings" w:cs="Wingdings"/>
      <w:b/>
      <w:bCs/>
    </w:rPr>
  </w:style>
  <w:style w:type="paragraph" w:customStyle="1" w:styleId="16">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批注框文本 Char"/>
    <w:basedOn w:val="11"/>
    <w:link w:val="4"/>
    <w:qFormat/>
    <w:uiPriority w:val="0"/>
    <w:rPr>
      <w:rFonts w:ascii="宋体" w:hAnsi="宋体"/>
      <w:sz w:val="18"/>
      <w:szCs w:val="18"/>
    </w:rPr>
  </w:style>
  <w:style w:type="paragraph" w:customStyle="1" w:styleId="18">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TotalTime>1</TotalTime>
  <ScaleCrop>false</ScaleCrop>
  <LinksUpToDate>false</LinksUpToDate>
  <CharactersWithSpaces>26313</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cp:lastPrinted>2025-09-26T04:32:00Z</cp:lastPrinted>
  <dcterms:modified xsi:type="dcterms:W3CDTF">2025-10-11T09:28:43Z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BB46EABDBB2749749395447164B066B3_12</vt:lpwstr>
  </property>
</Properties>
</file>