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秀山土家族苗族自治县医疗保障局（本级）</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方正黑体_GBK" w:hAnsi="方正黑体_GBK" w:eastAsia="方正黑体_GBK" w:cs="方正黑体_GBK"/>
          <w:b w:val="0"/>
          <w:bCs/>
          <w:color w:val="auto"/>
          <w:sz w:val="32"/>
          <w:szCs w:val="32"/>
          <w:highlight w:val="none"/>
          <w:shd w:val="clear" w:color="auto" w:fill="FFFFFF"/>
        </w:rPr>
      </w:pPr>
      <w:r>
        <w:rPr>
          <w:rStyle w:val="10"/>
          <w:rFonts w:hint="eastAsia" w:ascii="方正黑体_GBK" w:hAnsi="方正黑体_GBK" w:eastAsia="方正黑体_GBK" w:cs="方正黑体_GBK"/>
          <w:b w:val="0"/>
          <w:bCs/>
          <w:color w:val="auto"/>
          <w:sz w:val="32"/>
          <w:szCs w:val="32"/>
          <w:highlight w:val="none"/>
          <w:shd w:val="clear" w:color="auto" w:fill="FFFFFF"/>
        </w:rPr>
        <w:t>一、</w:t>
      </w:r>
      <w:r>
        <w:rPr>
          <w:rStyle w:val="10"/>
          <w:rFonts w:hint="eastAsia" w:ascii="方正黑体_GBK" w:hAnsi="方正黑体_GBK" w:eastAsia="方正黑体_GBK" w:cs="方正黑体_GBK"/>
          <w:b w:val="0"/>
          <w:bCs/>
          <w:color w:val="auto"/>
          <w:sz w:val="32"/>
          <w:szCs w:val="32"/>
          <w:highlight w:val="none"/>
          <w:shd w:val="clear" w:color="auto" w:fill="FFFFFF"/>
          <w:lang w:eastAsia="zh-CN"/>
        </w:rPr>
        <w:t>单位</w:t>
      </w:r>
      <w:r>
        <w:rPr>
          <w:rStyle w:val="10"/>
          <w:rFonts w:hint="eastAsia" w:ascii="方正黑体_GBK" w:hAnsi="方正黑体_GBK" w:eastAsia="方正黑体_GBK" w:cs="方正黑体_GBK"/>
          <w:b w:val="0"/>
          <w:bCs/>
          <w:color w:val="auto"/>
          <w:sz w:val="32"/>
          <w:szCs w:val="32"/>
          <w:highlight w:val="none"/>
          <w:shd w:val="clear" w:color="auto" w:fill="FFFFFF"/>
        </w:rPr>
        <w:t>基本情况</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方正楷体_GBK" w:hAnsi="方正楷体_GBK" w:eastAsia="方正楷体_GBK" w:cs="方正楷体_GBK"/>
          <w:b w:val="0"/>
          <w:bCs/>
          <w:color w:val="auto"/>
          <w:sz w:val="32"/>
          <w:szCs w:val="32"/>
          <w:highlight w:val="none"/>
        </w:rPr>
      </w:pPr>
      <w:r>
        <w:rPr>
          <w:rStyle w:val="10"/>
          <w:rFonts w:hint="eastAsia" w:ascii="方正楷体_GBK" w:hAnsi="方正楷体_GBK" w:eastAsia="方正楷体_GBK" w:cs="方正楷体_GBK"/>
          <w:b w:val="0"/>
          <w:bCs/>
          <w:color w:val="auto"/>
          <w:sz w:val="32"/>
          <w:szCs w:val="32"/>
          <w:highlight w:val="none"/>
          <w:shd w:val="clear" w:color="auto" w:fill="FFFFFF"/>
        </w:rPr>
        <w:t>（一）职能职责</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1.贯彻执行国家及重庆市医疗保险、生育保险、医疗救助等医疗保障制度的法律法规、政策、规划和标准。</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2.贯彻执行医疗保障筹资和待遇政策。适时实施长期护理保险制度改革。</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3.贯彻执行药品、医用耗材、医疗服务项目、医疗服务设施等医保目录和支付标准。</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4.负责医疗保障经办管理、公共服务体系和信息化建设。落实异地就医管理和费用结算政策。落实医疗保障关系转移接续制度。</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5.贯彻执行药品、医用耗材价格和医疗服务项目、医疗服务设施收费等政策。实施医保支付医药服务价格合理确定和动态调整机制，推动建立市场主导的社会医药服务价格机制、价格信息监测和信息公开制度。</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6.贯彻执行药品、医用耗材的招标采购政策。</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7.负责城乡居民医疗救助工作。经办医疗救助业务，组织开展城乡居民医疗救助政策宣传和相关培训，推进城乡居民医疗救助信息系统建设。</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8.贯彻执行医疗保障基金监督管理办法，建立健全医疗保障基金安全防控机制，实施医疗保障基金支付方式改革。</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9.贯彻执行定点医药机构协议和支付管理办法，建立健全医疗保障信用评价体系和信息披露制度，监督管理纳入医保范围内的医疗服务行为和医疗费用，依法查处医疗保障领域违法违规行为。</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10.职能转变。秀山土家族苗族自治县医疗保障局要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11.与有关部门的职责分工。秀山土家族苗族自治县医疗保障局要建立与县发展和改革委员会、县卫生健康委员会、县市场监督管理局、国家税务总局重庆市秀山土家族苗族自治县税务局等部门的沟通协商机制，加强制度、政策衔接，协同推进改革，提高医疗资源使用效率和医疗保障水平。</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t>12.完成县委县政府交办的其他任务。</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bidi="ar-SA"/>
        </w:rPr>
      </w:pPr>
      <w:r>
        <w:rPr>
          <w:rFonts w:hint="default" w:ascii="Times New Roman" w:hAnsi="Times New Roman" w:eastAsia="方正仿宋_GBK" w:cs="Times New Roman"/>
          <w:color w:val="auto"/>
          <w:kern w:val="0"/>
          <w:sz w:val="32"/>
          <w:szCs w:val="32"/>
          <w:highlight w:val="none"/>
          <w:lang w:bidi="ar-SA"/>
        </w:rPr>
        <w:t>1.办公室。负责机关日常运转管理。承担公文处理、人事管理、机构编制、教育培训、队伍建设、退休人员管理、党群、安全、保密、信访、机要、信息、档案、宣传、政务公开和后勤保障等工作，承担行政复议、行政应诉等相关工作。负责基金财务管理。承担医疗保障基金年度预决算编制、审核，建立健全财务管理制度。承担医疗保障信息化建设和统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bidi="ar-SA"/>
        </w:rPr>
      </w:pPr>
      <w:r>
        <w:rPr>
          <w:rFonts w:hint="default" w:ascii="Times New Roman" w:hAnsi="Times New Roman" w:eastAsia="方正仿宋_GBK" w:cs="Times New Roman"/>
          <w:color w:val="auto"/>
          <w:kern w:val="0"/>
          <w:sz w:val="32"/>
          <w:szCs w:val="32"/>
          <w:highlight w:val="none"/>
          <w:lang w:bidi="ar-SA"/>
        </w:rPr>
        <w:t>2.医疗保障科。负责全县医疗保障事业发展规划的拟定并组织实施。负责医疗待遇保障管理。执行医疗保险、生育保险和长期护理保险参保筹资及待遇政策。承担城乡医疗救助、城乡居民大病保险和其他各项补充保险的管理，建立健全覆盖全民、城乡统筹的多层次医疗保障体系。落实医疗保障关系转移接续制度、城镇职工基本医疗保险视同缴费年限的认定和医疗保障扶贫等工作。负责医药服务管理。执行医保目录和支付标准。执行定点医药机构医保协议和支付管理、异地就医管理办法和结算政策。执行药品、医用耗材价格和医疗服务项目、医疗服务设施收费政策，建立价格信息监测和公开制度。执行药品、医用耗材招标采购政策，实施医保支付方式改革。</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auto"/>
          <w:spacing w:val="0"/>
          <w:kern w:val="0"/>
          <w:sz w:val="32"/>
          <w:szCs w:val="32"/>
          <w:highlight w:val="none"/>
          <w:u w:val="none"/>
          <w:shd w:val="clear" w:fill="FFFFFF"/>
          <w:lang w:val="en-US" w:eastAsia="zh-CN" w:bidi="ar"/>
        </w:rPr>
      </w:pPr>
      <w:r>
        <w:rPr>
          <w:rFonts w:hint="default" w:ascii="Times New Roman" w:hAnsi="Times New Roman" w:eastAsia="方正仿宋_GBK" w:cs="Times New Roman"/>
          <w:color w:val="auto"/>
          <w:kern w:val="0"/>
          <w:sz w:val="32"/>
          <w:szCs w:val="32"/>
          <w:highlight w:val="none"/>
          <w:lang w:bidi="ar-SA"/>
        </w:rPr>
        <w:t>3.基金监管科（挂内审科牌子）。负责医疗保障基金监督管理。承担内控制度建设及监督管理。建立健全医疗保障基金安全防控机制，监督管理纳入医保支付范围的医疗服务行为和医疗费用，规范医保经办业务，负责医疗保障信用评价体系和信息披露制度的执行。承担医疗保障领域违法违规行为查处相关工作。承担机关和所属事业单位预决算、财务核算、资产管理等内部审计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二、</w:t>
      </w:r>
      <w:r>
        <w:rPr>
          <w:rStyle w:val="10"/>
          <w:rFonts w:hint="default" w:ascii="方正黑体_GBK" w:hAnsi="方正黑体_GBK" w:eastAsia="方正黑体_GBK" w:cs="方正黑体_GBK"/>
          <w:b w:val="0"/>
          <w:bCs/>
          <w:color w:val="auto"/>
          <w:sz w:val="32"/>
          <w:szCs w:val="32"/>
          <w:highlight w:val="none"/>
          <w:shd w:val="clear" w:color="auto" w:fill="FFFFFF"/>
          <w:lang w:eastAsia="zh-CN"/>
        </w:rPr>
        <w:t>单位</w:t>
      </w:r>
      <w:r>
        <w:rPr>
          <w:rStyle w:val="10"/>
          <w:rFonts w:hint="default" w:ascii="方正黑体_GBK" w:hAnsi="方正黑体_GBK" w:eastAsia="方正黑体_GBK" w:cs="方正黑体_GBK"/>
          <w:b w:val="0"/>
          <w:bCs/>
          <w:color w:val="auto"/>
          <w:sz w:val="32"/>
          <w:szCs w:val="32"/>
          <w:highlight w:val="none"/>
          <w:shd w:val="clear" w:color="auto" w:fill="FFFFFF"/>
        </w:rPr>
        <w:t>决算</w:t>
      </w:r>
      <w:r>
        <w:rPr>
          <w:rStyle w:val="10"/>
          <w:rFonts w:hint="default" w:ascii="方正黑体_GBK" w:hAnsi="方正黑体_GBK" w:eastAsia="方正黑体_GBK" w:cs="方正黑体_GBK"/>
          <w:b w:val="0"/>
          <w:bCs/>
          <w:color w:val="auto"/>
          <w:sz w:val="32"/>
          <w:szCs w:val="32"/>
          <w:highlight w:val="none"/>
          <w:shd w:val="clear" w:color="auto" w:fill="FFFFFF"/>
          <w:lang w:eastAsia="zh-CN"/>
        </w:rPr>
        <w:t>收支</w:t>
      </w:r>
      <w:r>
        <w:rPr>
          <w:rStyle w:val="10"/>
          <w:rFonts w:hint="default" w:ascii="方正黑体_GBK" w:hAnsi="方正黑体_GBK" w:eastAsia="方正黑体_GBK" w:cs="方正黑体_GBK"/>
          <w:b w:val="0"/>
          <w:bCs/>
          <w:color w:val="auto"/>
          <w:sz w:val="32"/>
          <w:szCs w:val="32"/>
          <w:highlight w:val="none"/>
          <w:shd w:val="clear" w:color="auto" w:fill="FFFFFF"/>
        </w:rPr>
        <w:t>情况说明</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（一）收入支出决算总体情况说明</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5066.01万元。收、支与2023年度相比，增加172.76万元，增长3.5%，主要原因</w:t>
      </w:r>
      <w:r>
        <w:rPr>
          <w:rFonts w:hint="eastAsia" w:ascii="Times New Roman" w:hAnsi="Times New Roman" w:eastAsia="方正仿宋_GBK" w:cs="Times New Roman"/>
          <w:color w:val="auto"/>
          <w:sz w:val="32"/>
          <w:szCs w:val="32"/>
          <w:highlight w:val="none"/>
          <w:shd w:val="clear" w:color="auto" w:fill="FFFFFF"/>
          <w:lang w:eastAsia="zh-CN"/>
        </w:rPr>
        <w:t>是</w:t>
      </w:r>
      <w:bookmarkStart w:id="0" w:name="_GoBack"/>
      <w:bookmarkEnd w:id="0"/>
      <w:r>
        <w:rPr>
          <w:rFonts w:hint="default" w:ascii="Times New Roman" w:hAnsi="Times New Roman" w:eastAsia="方正仿宋_GBK" w:cs="Times New Roman"/>
          <w:color w:val="auto"/>
          <w:sz w:val="32"/>
          <w:szCs w:val="32"/>
          <w:highlight w:val="none"/>
          <w:shd w:val="clear" w:color="auto" w:fill="FFFFFF"/>
          <w:lang w:eastAsia="zh-CN"/>
        </w:rPr>
        <w:t>医疗救助项目资金收支增加。</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lang w:val="en-US" w:eastAsia="zh-CN"/>
        </w:rPr>
        <w:t>1</w:t>
      </w:r>
      <w:r>
        <w:rPr>
          <w:rStyle w:val="10"/>
          <w:rFonts w:hint="default" w:ascii="Times New Roman" w:hAnsi="Times New Roman" w:eastAsia="方正仿宋_GBK" w:cs="Times New Roman"/>
          <w:b/>
          <w:bCs w:val="0"/>
          <w:color w:val="auto"/>
          <w:sz w:val="32"/>
          <w:szCs w:val="32"/>
          <w:highlight w:val="none"/>
          <w:shd w:val="clear" w:color="auto" w:fill="FFFFFF"/>
        </w:rPr>
        <w:t>.收入情况。</w:t>
      </w:r>
      <w:r>
        <w:rPr>
          <w:rFonts w:hint="default" w:ascii="Times New Roman" w:hAnsi="Times New Roman" w:eastAsia="方正仿宋_GBK" w:cs="Times New Roman"/>
          <w:b w:val="0"/>
          <w:bCs/>
          <w:color w:val="auto"/>
          <w:sz w:val="32"/>
          <w:szCs w:val="32"/>
          <w:highlight w:val="none"/>
          <w:shd w:val="clear" w:color="auto" w:fill="FFFFFF"/>
        </w:rPr>
        <w:t>2024年度收入合计5066.01万元，与2023年度相比，增加195.19万元，增长4.0%，主要原因是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医疗救助项目资金收入增加。</w:t>
      </w:r>
      <w:r>
        <w:rPr>
          <w:rFonts w:hint="default" w:ascii="Times New Roman" w:hAnsi="Times New Roman" w:eastAsia="方正仿宋_GBK" w:cs="Times New Roman"/>
          <w:b w:val="0"/>
          <w:bCs/>
          <w:color w:val="auto"/>
          <w:sz w:val="32"/>
          <w:szCs w:val="32"/>
          <w:highlight w:val="none"/>
          <w:shd w:val="clear" w:color="auto" w:fill="FFFFFF"/>
        </w:rPr>
        <w:t>其中：财政拨款收入5066.01万元，占100.0%；事业收入0.00万元，占0.0%；经营收入0.00万元，占0.0%；其他收入0.00万元，占0.0%。此外，使用非财政拨款结余（含专用结余）0.00万元，年初结转和结余0.00万元。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lang w:val="en-US" w:eastAsia="zh-CN"/>
        </w:rPr>
        <w:t>2.支出情况。</w:t>
      </w:r>
      <w:r>
        <w:rPr>
          <w:rFonts w:hint="default" w:ascii="Times New Roman" w:hAnsi="Times New Roman" w:eastAsia="方正仿宋_GBK" w:cs="Times New Roman"/>
          <w:b w:val="0"/>
          <w:bCs/>
          <w:color w:val="auto"/>
          <w:sz w:val="32"/>
          <w:szCs w:val="32"/>
          <w:highlight w:val="none"/>
          <w:shd w:val="clear" w:color="auto" w:fill="FFFFFF"/>
        </w:rPr>
        <w:t>2024年度支出合计5066.01万元，与2023年度相比，增加172.76万元，增长3.5%，主要原因是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医疗救助项目资金支出增加。</w:t>
      </w:r>
      <w:r>
        <w:rPr>
          <w:rFonts w:hint="default" w:ascii="Times New Roman" w:hAnsi="Times New Roman" w:eastAsia="方正仿宋_GBK" w:cs="Times New Roman"/>
          <w:b w:val="0"/>
          <w:bCs/>
          <w:color w:val="auto"/>
          <w:sz w:val="32"/>
          <w:szCs w:val="32"/>
          <w:highlight w:val="none"/>
          <w:shd w:val="clear" w:color="auto" w:fill="FFFFFF"/>
        </w:rPr>
        <w:t>其中：基本支出1143.86万元，占22.6%；项目支出3922.15万元，占77.4%；经营支出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万元，占0.0%。此外，结余分配0.00万元。</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Style w:val="10"/>
          <w:rFonts w:hint="default" w:ascii="Times New Roman" w:hAnsi="Times New Roman" w:eastAsia="方正仿宋_GBK" w:cs="Times New Roman"/>
          <w:b/>
          <w:bCs w:val="0"/>
          <w:color w:val="auto"/>
          <w:sz w:val="32"/>
          <w:szCs w:val="32"/>
          <w:highlight w:val="none"/>
          <w:shd w:val="clear" w:color="auto" w:fill="FFFFFF"/>
          <w:lang w:val="en-US" w:eastAsia="zh-CN"/>
        </w:rPr>
        <w:t>3.结转结余情况。</w:t>
      </w:r>
      <w:r>
        <w:rPr>
          <w:rFonts w:hint="default" w:ascii="Times New Roman" w:hAnsi="Times New Roman" w:eastAsia="方正仿宋_GBK" w:cs="Times New Roman"/>
          <w:color w:val="auto"/>
          <w:sz w:val="32"/>
          <w:szCs w:val="32"/>
          <w:highlight w:val="none"/>
          <w:shd w:val="clear" w:color="auto" w:fill="FFFFFF"/>
        </w:rPr>
        <w:t>2024年度年末结转和结余0.00万元，与2023年度相比，无增减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Style w:val="10"/>
          <w:rFonts w:hint="default" w:ascii="方正楷体_GBK" w:hAnsi="方正楷体_GBK" w:eastAsia="方正楷体_GBK" w:cs="方正楷体_GBK"/>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（二）财政拨款收入支出决算总体情况说明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2024年度财政拨款收、支总计均为5066.01万元。与2023年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相比，财政拨款收、支总计各增加172.76万元，增长3.5%。主要原因</w:t>
      </w:r>
      <w:r>
        <w:rPr>
          <w:rFonts w:hint="eastAsia" w:ascii="Times New Roman" w:hAnsi="Times New Roman" w:eastAsia="方正仿宋_GBK" w:cs="Times New Roman"/>
          <w:color w:val="auto"/>
          <w:sz w:val="32"/>
          <w:szCs w:val="32"/>
          <w:highlight w:val="none"/>
          <w:shd w:val="clear" w:color="auto" w:fill="FFFFFF"/>
          <w:lang w:eastAsia="zh-CN"/>
        </w:rPr>
        <w:t>是</w:t>
      </w:r>
      <w:r>
        <w:rPr>
          <w:rFonts w:hint="default" w:ascii="Times New Roman" w:hAnsi="Times New Roman" w:eastAsia="方正仿宋_GBK" w:cs="Times New Roman"/>
          <w:color w:val="auto"/>
          <w:sz w:val="32"/>
          <w:szCs w:val="32"/>
          <w:highlight w:val="none"/>
          <w:shd w:val="clear" w:color="auto" w:fill="FFFFFF"/>
          <w:lang w:eastAsia="zh-CN"/>
        </w:rPr>
        <w:t>医疗救助项目资金收支增加。</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pPr>
      <w:r>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Cs w:val="0"/>
          <w:color w:val="auto"/>
          <w:sz w:val="32"/>
          <w:szCs w:val="32"/>
          <w:highlight w:val="none"/>
          <w:shd w:val="clear" w:color="auto" w:fill="FFFFFF"/>
          <w:lang w:val="en-US" w:eastAsia="zh-CN" w:bidi="ar-SA"/>
        </w:rPr>
        <w:t>1.收入情况。</w:t>
      </w:r>
      <w:r>
        <w:rPr>
          <w:rFonts w:hint="default" w:ascii="Times New Roman" w:hAnsi="Times New Roman" w:eastAsia="方正仿宋_GBK" w:cs="Times New Roman"/>
          <w:b w:val="0"/>
          <w:bCs/>
          <w:color w:val="auto"/>
          <w:sz w:val="32"/>
          <w:szCs w:val="32"/>
          <w:highlight w:val="none"/>
          <w:shd w:val="clear" w:color="auto" w:fill="FFFFFF"/>
        </w:rPr>
        <w:t>2024年度一般公共预算财政拨款收入5066.01万元，与2023年度相比，增加195.19万元，增长4.0%。主要原因是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医疗救助项目资金收入增加</w:t>
      </w:r>
      <w:r>
        <w:rPr>
          <w:rFonts w:hint="default" w:ascii="Times New Roman" w:hAnsi="Times New Roman" w:eastAsia="方正仿宋_GBK" w:cs="Times New Roman"/>
          <w:b w:val="0"/>
          <w:bCs/>
          <w:color w:val="auto"/>
          <w:sz w:val="32"/>
          <w:szCs w:val="32"/>
          <w:highlight w:val="none"/>
          <w:shd w:val="clear" w:color="auto" w:fill="FFFFFF"/>
        </w:rPr>
        <w:t>。较年初预算数减少246.42万元，下降4.6%。主要原因是</w:t>
      </w:r>
      <w:r>
        <w:rPr>
          <w:rFonts w:hint="default" w:ascii="Times New Roman" w:hAnsi="Times New Roman" w:eastAsia="方正仿宋_GBK" w:cs="Times New Roman"/>
          <w:b w:val="0"/>
          <w:bCs/>
          <w:color w:val="auto"/>
          <w:sz w:val="32"/>
          <w:szCs w:val="32"/>
          <w:highlight w:val="none"/>
          <w:lang w:val="en-US" w:eastAsia="zh-CN"/>
        </w:rPr>
        <w:t>医疗救助项目资金较年初减少。</w:t>
      </w:r>
      <w:r>
        <w:rPr>
          <w:rFonts w:hint="default" w:ascii="Times New Roman" w:hAnsi="Times New Roman" w:eastAsia="方正仿宋_GBK" w:cs="Times New Roman"/>
          <w:b w:val="0"/>
          <w:bCs/>
          <w:color w:val="auto"/>
          <w:sz w:val="32"/>
          <w:szCs w:val="32"/>
          <w:highlight w:val="none"/>
          <w:shd w:val="clear" w:color="auto" w:fill="FFFFFF"/>
        </w:rPr>
        <w:t>此外，年初财政拨款结转和结余0.00万元。</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bCs w:val="0"/>
          <w:color w:val="auto"/>
          <w:sz w:val="32"/>
          <w:szCs w:val="32"/>
          <w:highlight w:val="none"/>
          <w:shd w:val="clear" w:color="auto" w:fill="FFFFFF"/>
          <w:lang w:val="en-US" w:eastAsia="zh-CN" w:bidi="ar-SA"/>
        </w:rPr>
        <w:t>2.支出情况。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2024年度一般公共预算财政拨款支出5066.01万元，与2023年度相比，增加172.76万元，增长3.5%。主要原因是主要原因</w:t>
      </w:r>
      <w:r>
        <w:rPr>
          <w:rFonts w:hint="default" w:ascii="Times New Roman" w:hAnsi="Times New Roman" w:eastAsia="方正仿宋_GBK" w:cs="Times New Roman"/>
          <w:color w:val="auto"/>
          <w:sz w:val="32"/>
          <w:szCs w:val="32"/>
          <w:highlight w:val="none"/>
          <w:shd w:val="clear" w:color="auto" w:fill="FFFFFF"/>
          <w:lang w:eastAsia="zh-CN"/>
        </w:rPr>
        <w:t>医疗救助项目资金支出增加</w:t>
      </w:r>
      <w:r>
        <w:rPr>
          <w:rFonts w:hint="default" w:ascii="Times New Roman" w:hAnsi="Times New Roman" w:eastAsia="方正仿宋_GBK" w:cs="Times New Roman"/>
          <w:color w:val="auto"/>
          <w:sz w:val="32"/>
          <w:szCs w:val="32"/>
          <w:highlight w:val="none"/>
          <w:shd w:val="clear" w:color="auto" w:fill="FFFFFF"/>
        </w:rPr>
        <w:t>。较年初预算数减少246.42万元，下降4.6%。主要原因是</w:t>
      </w:r>
      <w:r>
        <w:rPr>
          <w:rFonts w:hint="default" w:ascii="Times New Roman" w:hAnsi="Times New Roman" w:eastAsia="方正仿宋_GBK" w:cs="Times New Roman"/>
          <w:color w:val="auto"/>
          <w:sz w:val="32"/>
          <w:szCs w:val="32"/>
          <w:highlight w:val="none"/>
          <w:lang w:val="en-US" w:eastAsia="zh-CN"/>
        </w:rPr>
        <w:t>医疗救助项目资金较年初减少。</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一般公共服务支出0.90万元，占0.0%，较年初预算数增加0.90万元，增长100.0%，主要原因是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发放优秀公务员奖金。</w:t>
      </w:r>
    </w:p>
    <w:p>
      <w:pPr>
        <w:pStyle w:val="6"/>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就业支出16.56万元，占0.3%，较年初预算数减少201.70万元，下降92.4%，主要原因是</w:t>
      </w:r>
      <w:r>
        <w:rPr>
          <w:rFonts w:hint="default" w:ascii="Times New Roman" w:hAnsi="Times New Roman" w:eastAsia="方正仿宋_GBK" w:cs="Times New Roman"/>
          <w:color w:val="auto"/>
          <w:sz w:val="32"/>
          <w:szCs w:val="32"/>
          <w:highlight w:val="none"/>
          <w:shd w:val="clear" w:color="auto" w:fill="FFFFFF"/>
          <w:lang w:eastAsia="zh-CN"/>
        </w:rPr>
        <w:t>企业离退干部、老干部、伤残军人医疗补助项目调整到卫生健康支出。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）卫生健康支出4576.26万元，占90.3%，较年初预算数减少504.03万元，下降9.9%，主要原因是</w:t>
      </w:r>
      <w:r>
        <w:rPr>
          <w:rFonts w:hint="default" w:ascii="Times New Roman" w:hAnsi="Times New Roman" w:eastAsia="方正仿宋_GBK" w:cs="Times New Roman"/>
          <w:color w:val="auto"/>
          <w:sz w:val="32"/>
          <w:szCs w:val="32"/>
          <w:highlight w:val="none"/>
          <w:lang w:val="en-US" w:eastAsia="zh-CN"/>
        </w:rPr>
        <w:t>医疗救助项目资金较年初减少。</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）农林水支出463.26万元，占9.1%，较年初预算数增加459.67万元，增长12804.2%，主要原因是</w:t>
      </w:r>
      <w:r>
        <w:rPr>
          <w:rFonts w:hint="default" w:ascii="Times New Roman" w:hAnsi="Times New Roman" w:eastAsia="方正仿宋_GBK" w:cs="Times New Roman"/>
          <w:color w:val="auto"/>
          <w:sz w:val="32"/>
          <w:szCs w:val="32"/>
          <w:highlight w:val="none"/>
          <w:shd w:val="clear" w:color="auto" w:fill="FFFFFF"/>
          <w:lang w:eastAsia="zh-CN"/>
        </w:rPr>
        <w:t>扶贫济困资金与脱贫人口参保补贴资金支出增加。</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Style w:val="10"/>
          <w:rFonts w:hint="default" w:ascii="Times New Roman" w:hAnsi="Times New Roman" w:eastAsia="方正仿宋_GBK" w:cs="Times New Roman"/>
          <w:b/>
          <w:bCs w:val="0"/>
          <w:color w:val="auto"/>
          <w:sz w:val="32"/>
          <w:szCs w:val="32"/>
          <w:highlight w:val="none"/>
          <w:shd w:val="clear" w:color="auto" w:fill="FFFFFF"/>
          <w:lang w:val="en-US" w:eastAsia="zh-CN"/>
        </w:rPr>
        <w:t>3.结转结余情况。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2024年度年末一般公共预算财政拨款结转和结余0.00万元，与2023年度相比，无增减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（四）一般公共预算财政拨款基本支出决算情况说明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2024年度一般公共财政拨款基本支出1143.86万元。</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sz w:val="32"/>
          <w:szCs w:val="32"/>
          <w:highlight w:val="none"/>
          <w:shd w:val="clear" w:color="auto" w:fill="FFFFFF"/>
        </w:rPr>
        <w:t>人员经费1118.71万元，与2023年度相比，减少12.74万元，下降1.1%，主要原因是</w:t>
      </w:r>
      <w:r>
        <w:rPr>
          <w:rFonts w:hint="default" w:ascii="Times New Roman" w:hAnsi="Times New Roman" w:eastAsia="方正仿宋_GBK" w:cs="Times New Roman"/>
          <w:color w:val="auto"/>
          <w:sz w:val="32"/>
          <w:szCs w:val="32"/>
          <w:highlight w:val="none"/>
          <w:shd w:val="clear" w:color="auto" w:fill="FFFFFF"/>
          <w:lang w:val="en-US" w:eastAsia="zh-CN"/>
        </w:rPr>
        <w:t>2024年度7月份调出在编人员一名。</w:t>
      </w:r>
      <w:r>
        <w:rPr>
          <w:rFonts w:hint="default" w:ascii="Times New Roman" w:hAnsi="Times New Roman" w:eastAsia="方正仿宋_GBK" w:cs="Times New Roman"/>
          <w:color w:val="auto"/>
          <w:sz w:val="32"/>
          <w:szCs w:val="32"/>
          <w:highlight w:val="none"/>
          <w:shd w:val="clear" w:color="auto" w:fill="FFFFFF"/>
        </w:rPr>
        <w:t>人员经费用途主要包括包括</w:t>
      </w:r>
      <w:r>
        <w:rPr>
          <w:rFonts w:hint="default" w:ascii="Times New Roman" w:hAnsi="Times New Roman" w:eastAsia="方正仿宋_GBK" w:cs="Times New Roman"/>
          <w:color w:val="auto"/>
          <w:kern w:val="0"/>
          <w:sz w:val="32"/>
          <w:szCs w:val="32"/>
          <w:highlight w:val="none"/>
          <w:lang w:val="en-US" w:eastAsia="zh-CN" w:bidi="ar-SA"/>
        </w:rPr>
        <w:t>工资、津补贴、奖金、社会保险缴费、住房公积金、公务员医疗补助、伙食补助等。</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公用经费25.15万元，与2023年度相比，增加8.72万元，增长53.1%，主要原因是</w:t>
      </w:r>
      <w:r>
        <w:rPr>
          <w:rFonts w:hint="default" w:ascii="Times New Roman" w:hAnsi="Times New Roman" w:eastAsia="方正仿宋_GBK" w:cs="Times New Roman"/>
          <w:color w:val="auto"/>
          <w:sz w:val="32"/>
          <w:szCs w:val="32"/>
          <w:highlight w:val="none"/>
          <w:shd w:val="clear" w:color="auto" w:fill="FFFFFF"/>
          <w:lang w:eastAsia="zh-CN"/>
        </w:rPr>
        <w:t>各类培训参与及与市局进行工作对接等次数增加导致差旅费增加。</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color w:val="auto"/>
          <w:kern w:val="0"/>
          <w:sz w:val="32"/>
          <w:szCs w:val="32"/>
          <w:highlight w:val="none"/>
          <w:lang w:val="en-US" w:eastAsia="zh-CN" w:bidi="ar-SA"/>
        </w:rPr>
        <w:t>办公费、差旅费、水费、电费、邮电费、公务接待费等</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（五）政府性基金预算收支决算情况说明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无</w:t>
      </w:r>
      <w:r>
        <w:rPr>
          <w:rFonts w:hint="default" w:ascii="Times New Roman" w:hAnsi="Times New Roman" w:eastAsia="方正仿宋_GBK" w:cs="Times New Roman"/>
          <w:color w:val="auto"/>
          <w:sz w:val="32"/>
          <w:szCs w:val="32"/>
          <w:highlight w:val="none"/>
          <w:shd w:val="clear" w:color="auto" w:fill="FFFFFF"/>
        </w:rPr>
        <w:t>政府性基金预算财政拨款</w:t>
      </w:r>
      <w:r>
        <w:rPr>
          <w:rFonts w:hint="default" w:ascii="Times New Roman" w:hAnsi="Times New Roman" w:eastAsia="方正仿宋_GBK" w:cs="Times New Roman"/>
          <w:color w:val="auto"/>
          <w:sz w:val="32"/>
          <w:szCs w:val="32"/>
          <w:highlight w:val="none"/>
          <w:shd w:val="clear" w:color="auto" w:fill="FFFFFF"/>
          <w:lang w:eastAsia="zh-CN"/>
        </w:rPr>
        <w:t>收支。</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（六）国有资本经营预算财政拨款支出决算情况说明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rPr>
        <w:t>2024年度</w:t>
      </w:r>
      <w:r>
        <w:rPr>
          <w:rFonts w:hint="default" w:ascii="Times New Roman" w:hAnsi="Times New Roman" w:eastAsia="方正仿宋_GBK" w:cs="Times New Roman"/>
          <w:color w:val="auto"/>
          <w:sz w:val="32"/>
          <w:szCs w:val="32"/>
          <w:highlight w:val="none"/>
          <w:shd w:val="clear" w:color="auto" w:fill="FFFFFF"/>
          <w:lang w:eastAsia="zh-CN"/>
        </w:rPr>
        <w:t>无</w:t>
      </w:r>
      <w:r>
        <w:rPr>
          <w:rFonts w:hint="default" w:ascii="Times New Roman" w:hAnsi="Times New Roman" w:eastAsia="方正仿宋_GBK" w:cs="Times New Roman"/>
          <w:color w:val="auto"/>
          <w:sz w:val="32"/>
          <w:szCs w:val="32"/>
          <w:highlight w:val="none"/>
          <w:shd w:val="clear" w:color="auto" w:fill="FFFFFF"/>
        </w:rPr>
        <w:t>国有资本经营预算财政拨款支出</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三、</w:t>
      </w:r>
      <w:r>
        <w:rPr>
          <w:rStyle w:val="10"/>
          <w:rFonts w:hint="default" w:ascii="方正黑体_GBK" w:hAnsi="方正黑体_GBK" w:eastAsia="方正黑体_GBK" w:cs="方正黑体_GBK"/>
          <w:b w:val="0"/>
          <w:bCs/>
          <w:color w:val="auto"/>
          <w:sz w:val="32"/>
          <w:szCs w:val="32"/>
          <w:highlight w:val="none"/>
          <w:shd w:val="clear" w:color="auto" w:fill="FFFFFF"/>
          <w:lang w:eastAsia="zh-CN"/>
        </w:rPr>
        <w:t>财政拨款</w:t>
      </w:r>
      <w:r>
        <w:rPr>
          <w:rStyle w:val="10"/>
          <w:rFonts w:hint="default" w:ascii="方正黑体_GBK" w:hAnsi="方正黑体_GBK" w:eastAsia="方正黑体_GBK" w:cs="方正黑体_GBK"/>
          <w:b w:val="0"/>
          <w:bCs/>
          <w:color w:val="auto"/>
          <w:sz w:val="32"/>
          <w:szCs w:val="32"/>
          <w:highlight w:val="none"/>
          <w:shd w:val="clear" w:color="auto" w:fill="FFFFFF"/>
        </w:rPr>
        <w:t>“三公”经费情况说明</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（一）“三公”经费支出总体情况说明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2024年度“三公”经费支出共计2.46万元，较年初预算数减少4.04万元，下降62.2%，主要原因是</w:t>
      </w:r>
      <w:r>
        <w:rPr>
          <w:rFonts w:hint="default" w:ascii="Times New Roman" w:hAnsi="Times New Roman" w:eastAsia="方正仿宋_GBK" w:cs="Times New Roman"/>
          <w:color w:val="auto"/>
          <w:sz w:val="32"/>
          <w:szCs w:val="32"/>
          <w:highlight w:val="none"/>
          <w:shd w:val="clear" w:color="auto" w:fill="FFFFFF"/>
          <w:lang w:val="en-US" w:eastAsia="zh-CN"/>
        </w:rPr>
        <w:t>认真贯彻落实中央八项规定精神，从严控制“三公”经费</w:t>
      </w:r>
      <w:r>
        <w:rPr>
          <w:rFonts w:hint="default" w:ascii="Times New Roman" w:hAnsi="Times New Roman" w:eastAsia="方正仿宋_GBK" w:cs="Times New Roman"/>
          <w:color w:val="auto"/>
          <w:sz w:val="32"/>
          <w:szCs w:val="32"/>
          <w:highlight w:val="none"/>
          <w:shd w:val="clear" w:color="auto" w:fill="FFFFFF"/>
        </w:rPr>
        <w:t>。较上年支出数增加0.52万元，增长26.8%，主要原因是</w:t>
      </w:r>
      <w:r>
        <w:rPr>
          <w:rFonts w:hint="default" w:ascii="Times New Roman" w:hAnsi="Times New Roman" w:eastAsia="方正仿宋_GBK" w:cs="Times New Roman"/>
          <w:color w:val="auto"/>
          <w:sz w:val="32"/>
          <w:szCs w:val="32"/>
          <w:highlight w:val="none"/>
          <w:shd w:val="clear" w:color="auto" w:fill="FFFFFF"/>
          <w:lang w:eastAsia="zh-CN"/>
        </w:rPr>
        <w:t>向市局汇报工作及县外培训等次数增加。</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（二）“三公”经费分项支出情况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2024年度本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因公出国（境）费用0.00万元，费用支出较年初预算数无增减，较上年支出数无增减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车购置费0.00万元，费用支出较年初预算数无增减，较上年支出数无增减</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车运行维护费1.69万元，主要用于</w:t>
      </w:r>
      <w:r>
        <w:rPr>
          <w:rFonts w:hint="default" w:ascii="Times New Roman" w:hAnsi="Times New Roman" w:eastAsia="方正仿宋_GBK" w:cs="Times New Roman"/>
          <w:color w:val="auto"/>
          <w:sz w:val="32"/>
          <w:szCs w:val="32"/>
          <w:highlight w:val="none"/>
          <w:shd w:val="clear" w:color="auto" w:fill="FFFFFF"/>
          <w:lang w:eastAsia="zh-CN"/>
        </w:rPr>
        <w:t>公务车辆的维护。</w:t>
      </w:r>
      <w:r>
        <w:rPr>
          <w:rFonts w:hint="default" w:ascii="Times New Roman" w:hAnsi="Times New Roman" w:eastAsia="方正仿宋_GBK" w:cs="Times New Roman"/>
          <w:color w:val="auto"/>
          <w:sz w:val="32"/>
          <w:szCs w:val="32"/>
          <w:highlight w:val="none"/>
          <w:shd w:val="clear" w:color="auto" w:fill="FFFFFF"/>
        </w:rPr>
        <w:t>费用支出较年初预算数减少2.81万元，下降62.4%，主要原因是</w:t>
      </w:r>
      <w:r>
        <w:rPr>
          <w:rFonts w:hint="default" w:ascii="Times New Roman" w:hAnsi="Times New Roman" w:eastAsia="方正仿宋_GBK" w:cs="Times New Roman"/>
          <w:color w:val="auto"/>
          <w:sz w:val="32"/>
          <w:szCs w:val="32"/>
          <w:highlight w:val="none"/>
          <w:shd w:val="clear" w:color="auto" w:fill="FFFFFF"/>
          <w:lang w:eastAsia="zh-CN"/>
        </w:rPr>
        <w:t>落实公车使用规定，严控公务车的使用</w:t>
      </w:r>
      <w:r>
        <w:rPr>
          <w:rFonts w:hint="default" w:ascii="Times New Roman" w:hAnsi="Times New Roman" w:eastAsia="方正仿宋_GBK" w:cs="Times New Roman"/>
          <w:color w:val="auto"/>
          <w:sz w:val="32"/>
          <w:szCs w:val="32"/>
          <w:highlight w:val="none"/>
          <w:shd w:val="clear" w:color="auto" w:fill="FFFFFF"/>
        </w:rPr>
        <w:t>。较上年支出数增加0.15万元，增长9.7%，主要原因是</w:t>
      </w:r>
      <w:r>
        <w:rPr>
          <w:rFonts w:hint="default" w:ascii="Times New Roman" w:hAnsi="Times New Roman" w:eastAsia="方正仿宋_GBK" w:cs="Times New Roman"/>
          <w:color w:val="auto"/>
          <w:sz w:val="32"/>
          <w:szCs w:val="32"/>
          <w:highlight w:val="none"/>
          <w:shd w:val="clear" w:color="auto" w:fill="FFFFFF"/>
          <w:lang w:eastAsia="zh-CN"/>
        </w:rPr>
        <w:t>向市局汇报工作及县外培训等次数增加。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shd w:val="clear" w:color="auto" w:fill="FFFFFF"/>
        </w:rPr>
        <w:t>公务接待费0.77万元，主要用于接待</w:t>
      </w:r>
      <w:r>
        <w:rPr>
          <w:rFonts w:hint="default" w:ascii="Times New Roman" w:hAnsi="Times New Roman" w:eastAsia="方正仿宋_GBK" w:cs="Times New Roman"/>
          <w:color w:val="auto"/>
          <w:sz w:val="32"/>
          <w:szCs w:val="32"/>
          <w:highlight w:val="none"/>
          <w:shd w:val="clear" w:color="auto" w:fill="FFFFFF"/>
          <w:lang w:eastAsia="zh-CN"/>
        </w:rPr>
        <w:t>市级部门工作检查，各区县医保局工作交流</w:t>
      </w:r>
      <w:r>
        <w:rPr>
          <w:rFonts w:hint="default" w:ascii="Times New Roman" w:hAnsi="Times New Roman" w:eastAsia="方正仿宋_GBK" w:cs="Times New Roman"/>
          <w:color w:val="auto"/>
          <w:sz w:val="32"/>
          <w:szCs w:val="32"/>
          <w:highlight w:val="none"/>
          <w:shd w:val="clear" w:color="auto" w:fill="FFFFFF"/>
        </w:rPr>
        <w:t>。费用支出较年初预算数减少1.23万元，下降61.5%，主要原因</w:t>
      </w:r>
      <w:r>
        <w:rPr>
          <w:rFonts w:hint="eastAsia" w:ascii="Times New Roman" w:hAnsi="Times New Roman" w:eastAsia="方正仿宋_GBK" w:cs="Times New Roman"/>
          <w:color w:val="auto"/>
          <w:sz w:val="32"/>
          <w:szCs w:val="32"/>
          <w:highlight w:val="none"/>
          <w:shd w:val="clear" w:color="auto" w:fill="FFFFFF"/>
          <w:lang w:eastAsia="zh-CN"/>
        </w:rPr>
        <w:t>是</w:t>
      </w:r>
      <w:r>
        <w:rPr>
          <w:rFonts w:hint="default" w:ascii="Times New Roman" w:hAnsi="Times New Roman" w:eastAsia="方正仿宋_GBK" w:cs="Times New Roman"/>
          <w:color w:val="auto"/>
          <w:kern w:val="0"/>
          <w:sz w:val="32"/>
          <w:szCs w:val="32"/>
          <w:highlight w:val="none"/>
          <w:lang w:val="en-US" w:eastAsia="zh-CN" w:bidi="ar-SA"/>
        </w:rPr>
        <w:t>强化公务接待支出管理，严格遵守公务接待开支范围和开支标准</w:t>
      </w:r>
      <w:r>
        <w:rPr>
          <w:rFonts w:hint="default" w:ascii="Times New Roman" w:hAnsi="Times New Roman" w:eastAsia="方正仿宋_GBK" w:cs="Times New Roman"/>
          <w:color w:val="auto"/>
          <w:sz w:val="32"/>
          <w:szCs w:val="32"/>
          <w:highlight w:val="none"/>
          <w:shd w:val="clear" w:color="auto" w:fill="FFFFFF"/>
        </w:rPr>
        <w:t>。较上年支出数增加0.37万元，增长92.5%，主要原因是</w:t>
      </w:r>
      <w:r>
        <w:rPr>
          <w:rFonts w:hint="default" w:ascii="Times New Roman" w:hAnsi="Times New Roman" w:eastAsia="方正仿宋_GBK" w:cs="Times New Roman"/>
          <w:color w:val="auto"/>
          <w:sz w:val="32"/>
          <w:szCs w:val="32"/>
          <w:highlight w:val="none"/>
          <w:shd w:val="clear" w:color="auto" w:fill="FFFFFF"/>
          <w:lang w:eastAsia="zh-CN"/>
        </w:rPr>
        <w:t>市级医保基金飞行检查</w:t>
      </w:r>
      <w:r>
        <w:rPr>
          <w:rFonts w:hint="default" w:ascii="Times New Roman" w:hAnsi="Times New Roman" w:eastAsia="方正仿宋_GBK" w:cs="Times New Roman"/>
          <w:color w:val="auto"/>
          <w:sz w:val="32"/>
          <w:szCs w:val="32"/>
          <w:highlight w:val="none"/>
          <w:lang w:val="en-US" w:eastAsia="zh-CN"/>
        </w:rPr>
        <w:t>费用自2024年起由各单位自行承担</w:t>
      </w:r>
      <w:r>
        <w:rPr>
          <w:rFonts w:hint="default" w:ascii="Times New Roman" w:hAnsi="Times New Roman" w:eastAsia="方正仿宋_GBK" w:cs="Times New Roman"/>
          <w:color w:val="auto"/>
          <w:sz w:val="32"/>
          <w:szCs w:val="32"/>
          <w:highlight w:val="none"/>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（三）“三公”经费实物量情况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因公出国（境）共计0个团组，0人；公务用车购置0辆，公务车保有量为1辆；国内公务接待7批次90人，其中：国内外事接待0批次，0人；国（境）外公务接待0批次，0人。2024年本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人均接待费85.91元，车均购置费0万元，车均维护费1.69万元。</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四、其他需要说明的事项</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（一）财政拨款会议费、培训费和差旅费情况说明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本年度会议费支出0.62万元，与2023年度相比，增加0.62万元，增长100.0%，主要原因是</w:t>
      </w:r>
      <w:r>
        <w:rPr>
          <w:rFonts w:hint="default" w:ascii="Times New Roman" w:hAnsi="Times New Roman" w:eastAsia="方正仿宋_GBK" w:cs="Times New Roman"/>
          <w:color w:val="auto"/>
          <w:sz w:val="32"/>
          <w:szCs w:val="32"/>
          <w:highlight w:val="none"/>
          <w:shd w:val="clear" w:color="auto" w:fill="FFFFFF"/>
          <w:lang w:eastAsia="zh-CN"/>
        </w:rPr>
        <w:t>上年度会议多为线上会议，未产生费用，而本年度</w:t>
      </w:r>
      <w:r>
        <w:rPr>
          <w:rFonts w:hint="default" w:ascii="Times New Roman" w:hAnsi="Times New Roman" w:eastAsia="方正仿宋_GBK" w:cs="Times New Roman"/>
          <w:color w:val="auto"/>
          <w:sz w:val="32"/>
          <w:szCs w:val="32"/>
          <w:highlight w:val="none"/>
          <w:lang w:val="en-US" w:eastAsia="zh-CN"/>
        </w:rPr>
        <w:t>召开“三省联动”试点联席会。</w:t>
      </w:r>
      <w:r>
        <w:rPr>
          <w:rFonts w:hint="default" w:ascii="Times New Roman" w:hAnsi="Times New Roman" w:eastAsia="方正仿宋_GBK" w:cs="Times New Roman"/>
          <w:color w:val="auto"/>
          <w:sz w:val="32"/>
          <w:szCs w:val="32"/>
          <w:highlight w:val="none"/>
          <w:shd w:val="clear" w:color="auto" w:fill="FFFFFF"/>
        </w:rPr>
        <w:t>本年度培训费支出21.24万元，与2023年度相比，减少17.63万元，下降45.4%，主要原因是</w:t>
      </w:r>
      <w:r>
        <w:rPr>
          <w:rFonts w:hint="default" w:ascii="Times New Roman" w:hAnsi="Times New Roman" w:eastAsia="方正仿宋_GBK" w:cs="Times New Roman"/>
          <w:color w:val="auto"/>
          <w:sz w:val="32"/>
          <w:szCs w:val="32"/>
          <w:highlight w:val="none"/>
          <w:shd w:val="clear" w:color="auto" w:fill="FFFFFF"/>
          <w:lang w:val="en-US" w:eastAsia="zh-CN"/>
        </w:rPr>
        <w:t>2023年度医保系统能力提升培训举办了两期，而本年度只举办了一期。</w:t>
      </w:r>
      <w:r>
        <w:rPr>
          <w:rFonts w:hint="default" w:ascii="Times New Roman" w:hAnsi="Times New Roman" w:eastAsia="方正仿宋_GBK" w:cs="Times New Roman"/>
          <w:color w:val="auto"/>
          <w:sz w:val="32"/>
          <w:szCs w:val="32"/>
          <w:highlight w:val="none"/>
          <w:shd w:val="clear" w:color="auto" w:fill="FFFFFF"/>
        </w:rPr>
        <w:t>本年度差旅费支出9.14</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与2023年度相比，增加3.89万元，增长74.1%，主要原因是</w:t>
      </w:r>
      <w:r>
        <w:rPr>
          <w:rFonts w:hint="default" w:ascii="Times New Roman" w:hAnsi="Times New Roman" w:eastAsia="方正仿宋_GBK" w:cs="Times New Roman"/>
          <w:color w:val="auto"/>
          <w:sz w:val="32"/>
          <w:szCs w:val="32"/>
          <w:highlight w:val="none"/>
          <w:lang w:val="en-US" w:eastAsia="zh-CN"/>
        </w:rPr>
        <w:t>市局会议增加以及基金飞行检查费用由各单位自行承担</w:t>
      </w:r>
      <w:r>
        <w:rPr>
          <w:rFonts w:hint="default" w:ascii="Times New Roman" w:hAnsi="Times New Roman" w:eastAsia="方正仿宋_GBK" w:cs="Times New Roman"/>
          <w:color w:val="auto"/>
          <w:sz w:val="32"/>
          <w:szCs w:val="32"/>
          <w:highlight w:val="none"/>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（二）机关运行经费情况说明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机关运行经费支出25.15万元，机关运行经费主要用于开支</w:t>
      </w:r>
      <w:r>
        <w:rPr>
          <w:rFonts w:hint="default" w:ascii="Times New Roman" w:hAnsi="Times New Roman" w:eastAsia="方正仿宋_GBK" w:cs="Times New Roman"/>
          <w:color w:val="auto"/>
          <w:sz w:val="32"/>
          <w:szCs w:val="32"/>
          <w:highlight w:val="none"/>
          <w:shd w:val="clear" w:color="auto" w:fill="FFFFFF"/>
          <w:lang w:eastAsia="zh-CN"/>
        </w:rPr>
        <w:t>办公费、印刷费、水费、电费、邮电费、物业管理费、差旅费、维修费、公务接待费、公务用车运行维护费、伙食费等</w:t>
      </w:r>
      <w:r>
        <w:rPr>
          <w:rFonts w:hint="default" w:ascii="Times New Roman" w:hAnsi="Times New Roman" w:eastAsia="方正仿宋_GBK" w:cs="Times New Roman"/>
          <w:color w:val="auto"/>
          <w:sz w:val="32"/>
          <w:szCs w:val="32"/>
          <w:highlight w:val="none"/>
          <w:shd w:val="clear" w:color="auto" w:fill="FFFFFF"/>
        </w:rPr>
        <w:t>。机关运行经费较上年支出数增加8.72万元，增长53.1%，主要原因是</w:t>
      </w:r>
      <w:r>
        <w:rPr>
          <w:rFonts w:hint="default" w:ascii="Times New Roman" w:hAnsi="Times New Roman" w:eastAsia="方正仿宋_GBK" w:cs="Times New Roman"/>
          <w:color w:val="auto"/>
          <w:sz w:val="32"/>
          <w:szCs w:val="32"/>
          <w:highlight w:val="none"/>
          <w:shd w:val="clear" w:color="auto" w:fill="FFFFFF"/>
          <w:lang w:eastAsia="zh-CN"/>
        </w:rPr>
        <w:t>各类培训及与市局进行工作对接等次数增加导致差旅费、公务用车运行维护费等增加。</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（三）国有资产占用情况说明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rPr>
        <w:t>（四）政府采购支出情况说明</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2024年度本</w:t>
      </w:r>
      <w:r>
        <w:rPr>
          <w:rFonts w:hint="eastAsia"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政府采购支出总额3.88万元，其中：政府采购货物支出3.88万元、政府采购工程支出0.00万元、政府采购服务支出0.00万元。授予中小企业合同金额3.88</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shd w:val="clear" w:color="auto" w:fill="FFFFFF"/>
        </w:rPr>
        <w:t>元，占政府采购支出总额的100.0%，其中：授予小微企业合同金额3.88万元，占政府采购支出总额的100.0 %。主要用于采购</w:t>
      </w:r>
      <w:r>
        <w:rPr>
          <w:rFonts w:hint="default" w:ascii="Times New Roman" w:hAnsi="Times New Roman" w:eastAsia="方正仿宋_GBK" w:cs="Times New Roman"/>
          <w:color w:val="auto"/>
          <w:sz w:val="32"/>
          <w:szCs w:val="32"/>
          <w:highlight w:val="none"/>
          <w:shd w:val="clear" w:color="auto" w:fill="FFFFFF"/>
          <w:lang w:eastAsia="zh-CN"/>
        </w:rPr>
        <w:t>复印纸、空调及台式计算机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rPr>
        <w:t>五、预算绩效管理情况说明</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（一）</w:t>
      </w:r>
      <w:r>
        <w:rPr>
          <w:rFonts w:hint="eastAsia" w:ascii="方正楷体_GBK" w:hAnsi="方正楷体_GBK" w:eastAsia="方正楷体_GBK" w:cs="方正楷体_GBK"/>
          <w:b w:val="0"/>
          <w:bCs w:val="0"/>
          <w:color w:val="auto"/>
          <w:sz w:val="32"/>
          <w:szCs w:val="32"/>
          <w:highlight w:val="none"/>
          <w:shd w:val="clear" w:color="auto" w:fill="FFFFFF"/>
          <w:lang w:val="en-US" w:eastAsia="zh-CN" w:bidi="ar-SA"/>
        </w:rPr>
        <w:t>单位</w:t>
      </w: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自评情况</w:t>
      </w:r>
    </w:p>
    <w:p>
      <w:pPr>
        <w:pStyle w:val="12"/>
        <w:keepNext w:val="0"/>
        <w:keepLines w:val="0"/>
        <w:pageBreakBefore w:val="0"/>
        <w:widowControl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bidi="ar"/>
        </w:rPr>
      </w:pPr>
      <w:r>
        <w:rPr>
          <w:rFonts w:hint="default" w:ascii="Times New Roman" w:hAnsi="Times New Roman" w:eastAsia="方正仿宋_GBK" w:cs="Times New Roman"/>
          <w:b w:val="0"/>
          <w:bCs/>
          <w:color w:val="auto"/>
          <w:kern w:val="0"/>
          <w:sz w:val="32"/>
          <w:szCs w:val="32"/>
          <w:highlight w:val="none"/>
          <w:shd w:val="clear" w:fill="FFFFFF"/>
        </w:rPr>
        <w:t>根据预算绩效管理要求，我</w:t>
      </w:r>
      <w:r>
        <w:rPr>
          <w:rFonts w:hint="eastAsia" w:ascii="Times New Roman" w:hAnsi="Times New Roman" w:eastAsia="方正仿宋_GBK" w:cs="Times New Roman"/>
          <w:b w:val="0"/>
          <w:bCs/>
          <w:color w:val="auto"/>
          <w:kern w:val="0"/>
          <w:sz w:val="32"/>
          <w:szCs w:val="32"/>
          <w:highlight w:val="none"/>
          <w:shd w:val="clear" w:fill="FFFFFF"/>
          <w:lang w:eastAsia="zh-CN"/>
        </w:rPr>
        <w:t>单位</w:t>
      </w:r>
      <w:r>
        <w:rPr>
          <w:rFonts w:hint="default" w:ascii="Times New Roman" w:hAnsi="Times New Roman" w:eastAsia="方正仿宋_GBK" w:cs="Times New Roman"/>
          <w:b w:val="0"/>
          <w:bCs/>
          <w:color w:val="auto"/>
          <w:kern w:val="0"/>
          <w:sz w:val="32"/>
          <w:szCs w:val="32"/>
          <w:highlight w:val="none"/>
          <w:shd w:val="clear" w:fill="FFFFFF"/>
        </w:rPr>
        <w:t>对</w:t>
      </w:r>
      <w:r>
        <w:rPr>
          <w:rFonts w:hint="eastAsia" w:ascii="Times New Roman" w:hAnsi="Times New Roman" w:eastAsia="方正仿宋_GBK" w:cs="Times New Roman"/>
          <w:b w:val="0"/>
          <w:bCs/>
          <w:color w:val="auto"/>
          <w:kern w:val="0"/>
          <w:sz w:val="32"/>
          <w:szCs w:val="32"/>
          <w:highlight w:val="none"/>
          <w:shd w:val="clear" w:fill="FFFFFF"/>
          <w:lang w:eastAsia="zh-CN"/>
        </w:rPr>
        <w:t>单位</w:t>
      </w:r>
      <w:r>
        <w:rPr>
          <w:rFonts w:hint="default" w:ascii="Times New Roman" w:hAnsi="Times New Roman" w:eastAsia="方正仿宋_GBK" w:cs="Times New Roman"/>
          <w:b w:val="0"/>
          <w:bCs/>
          <w:color w:val="auto"/>
          <w:kern w:val="0"/>
          <w:sz w:val="32"/>
          <w:szCs w:val="32"/>
          <w:highlight w:val="none"/>
          <w:shd w:val="clear" w:fill="FFFFFF"/>
        </w:rPr>
        <w:t>整体和</w:t>
      </w:r>
      <w:r>
        <w:rPr>
          <w:rFonts w:hint="default" w:ascii="Times New Roman" w:hAnsi="Times New Roman" w:eastAsia="方正仿宋_GBK" w:cs="Times New Roman"/>
          <w:b w:val="0"/>
          <w:bCs/>
          <w:color w:val="auto"/>
          <w:sz w:val="32"/>
          <w:szCs w:val="32"/>
          <w:highlight w:val="none"/>
          <w:lang w:val="en-US" w:eastAsia="zh-CN"/>
        </w:rPr>
        <w:t>12</w:t>
      </w:r>
      <w:r>
        <w:rPr>
          <w:rFonts w:hint="default" w:ascii="Times New Roman" w:hAnsi="Times New Roman" w:eastAsia="方正仿宋_GBK" w:cs="Times New Roman"/>
          <w:b w:val="0"/>
          <w:bCs/>
          <w:color w:val="auto"/>
          <w:kern w:val="0"/>
          <w:sz w:val="32"/>
          <w:szCs w:val="32"/>
          <w:highlight w:val="none"/>
          <w:shd w:val="clear" w:fill="FFFFFF"/>
        </w:rPr>
        <w:t>个二级项目开展了绩效自评，涉及财政拨款项目支出资金</w:t>
      </w:r>
      <w:r>
        <w:rPr>
          <w:rFonts w:hint="default" w:ascii="Times New Roman" w:hAnsi="Times New Roman" w:eastAsia="方正仿宋_GBK" w:cs="Times New Roman"/>
          <w:b w:val="0"/>
          <w:bCs/>
          <w:color w:val="auto"/>
          <w:sz w:val="32"/>
          <w:szCs w:val="32"/>
          <w:highlight w:val="none"/>
          <w:lang w:val="en-US" w:eastAsia="zh-CN"/>
        </w:rPr>
        <w:t>3922.15</w:t>
      </w:r>
      <w:r>
        <w:rPr>
          <w:rFonts w:hint="default" w:ascii="Times New Roman" w:hAnsi="Times New Roman" w:eastAsia="方正仿宋_GBK" w:cs="Times New Roman"/>
          <w:b w:val="0"/>
          <w:bCs/>
          <w:color w:val="auto"/>
          <w:kern w:val="0"/>
          <w:sz w:val="32"/>
          <w:szCs w:val="32"/>
          <w:highlight w:val="none"/>
          <w:shd w:val="clear" w:fill="FFFFFF"/>
        </w:rPr>
        <w:t>万元</w:t>
      </w:r>
      <w:r>
        <w:rPr>
          <w:rFonts w:hint="default"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lang w:val="en-US" w:eastAsia="zh-CN" w:bidi="ar-SA"/>
        </w:rPr>
        <w:t>从评价情况看，项目立项规范，绩效目标设定明确，专款专用，切实推进项目实施进度，有力保障了各项工作开展，达到了预期效果。</w:t>
      </w:r>
    </w:p>
    <w:tbl>
      <w:tblPr>
        <w:tblStyle w:val="7"/>
        <w:tblW w:w="8432" w:type="dxa"/>
        <w:jc w:val="center"/>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2"/>
        <w:gridCol w:w="318"/>
        <w:gridCol w:w="385"/>
        <w:gridCol w:w="607"/>
        <w:gridCol w:w="416"/>
        <w:gridCol w:w="505"/>
        <w:gridCol w:w="436"/>
        <w:gridCol w:w="518"/>
        <w:gridCol w:w="595"/>
        <w:gridCol w:w="121"/>
        <w:gridCol w:w="470"/>
        <w:gridCol w:w="114"/>
        <w:gridCol w:w="650"/>
        <w:gridCol w:w="55"/>
        <w:gridCol w:w="449"/>
        <w:gridCol w:w="256"/>
        <w:gridCol w:w="222"/>
        <w:gridCol w:w="483"/>
        <w:gridCol w:w="280"/>
        <w:gridCol w:w="440"/>
        <w:gridCol w:w="51"/>
        <w:gridCol w:w="300"/>
        <w:gridCol w:w="491"/>
        <w:gridCol w:w="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gridBefore w:val="1"/>
          <w:wBefore w:w="122" w:type="dxa"/>
          <w:trHeight w:val="1140" w:hRule="atLeast"/>
          <w:jc w:val="center"/>
        </w:trPr>
        <w:tc>
          <w:tcPr>
            <w:tcW w:w="8310" w:type="dxa"/>
            <w:gridSpan w:val="23"/>
            <w:tcBorders>
              <w:top w:val="nil"/>
              <w:left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ascii="方正小标宋_GBK" w:hAnsi="方正小标宋_GBK" w:eastAsia="方正小标宋_GBK" w:cs="方正小标宋_GBK"/>
                <w:sz w:val="36"/>
                <w:szCs w:val="36"/>
              </w:rPr>
              <w:t>秀山土家族苗族自治县医疗保障局（本级）</w:t>
            </w:r>
            <w:r>
              <w:rPr>
                <w:rFonts w:hint="eastAsia" w:ascii="方正小标宋_GBK" w:hAnsi="方正小标宋_GBK" w:eastAsia="方正小标宋_GBK" w:cs="方正小标宋_GBK"/>
                <w:i w:val="0"/>
                <w:color w:val="000000"/>
                <w:kern w:val="0"/>
                <w:sz w:val="36"/>
                <w:szCs w:val="36"/>
                <w:u w:val="none"/>
                <w:lang w:val="en-US" w:eastAsia="zh-CN" w:bidi="ar"/>
              </w:rPr>
              <w:br w:type="textWrapping"/>
            </w:r>
            <w:r>
              <w:rPr>
                <w:rFonts w:hint="eastAsia" w:ascii="方正小标宋_GBK" w:hAnsi="方正小标宋_GBK" w:eastAsia="方正小标宋_GBK" w:cs="方正小标宋_GBK"/>
                <w:i w:val="0"/>
                <w:color w:val="000000"/>
                <w:kern w:val="0"/>
                <w:sz w:val="36"/>
                <w:szCs w:val="36"/>
                <w:u w:val="none"/>
                <w:lang w:val="en-US" w:eastAsia="zh-CN" w:bidi="ar"/>
              </w:rPr>
              <w:t>2024年度单位整体绩效自评表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主管单位</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20"/>
                <w:szCs w:val="20"/>
                <w:u w:val="none"/>
                <w:lang w:val="en-US" w:eastAsia="zh-CN" w:bidi="ar"/>
              </w:rPr>
              <w:t>秀山土家族苗族自治县医疗保障局</w:t>
            </w:r>
          </w:p>
        </w:tc>
        <w:tc>
          <w:tcPr>
            <w:tcW w:w="111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单位编码</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182</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自评总分（分）</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6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单位联系人</w:t>
            </w:r>
          </w:p>
        </w:tc>
        <w:tc>
          <w:tcPr>
            <w:tcW w:w="3782" w:type="dxa"/>
            <w:gridSpan w:val="9"/>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21"/>
                <w:szCs w:val="21"/>
                <w:u w:val="none"/>
                <w:lang w:val="en-US" w:eastAsia="zh-CN"/>
              </w:rPr>
              <w:t>陈聪</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联系电话</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023-766</w:t>
            </w:r>
            <w:r>
              <w:rPr>
                <w:rFonts w:hint="eastAsia" w:ascii="Times New Roman" w:hAnsi="Times New Roman" w:cs="Times New Roman"/>
                <w:i w:val="0"/>
                <w:color w:val="000000"/>
                <w:kern w:val="0"/>
                <w:sz w:val="22"/>
                <w:szCs w:val="22"/>
                <w:u w:val="none"/>
                <w:lang w:val="en-US" w:eastAsia="zh-CN" w:bidi="ar"/>
              </w:rPr>
              <w:t>68145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76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both"/>
              <w:rPr>
                <w:rFonts w:hint="eastAsia" w:ascii="方正仿宋_GBK" w:hAnsi="方正仿宋_GBK" w:eastAsia="方正仿宋_GBK" w:cs="方正仿宋_GBK"/>
                <w:i w:val="0"/>
                <w:color w:val="000000"/>
                <w:sz w:val="18"/>
                <w:szCs w:val="18"/>
                <w:u w:val="none"/>
              </w:rPr>
            </w:pP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年初预算数</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全年（调整）预算数</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全年执行数</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执行率权重</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9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年度总金额</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62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其中：财政拨款</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83.12</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ind w:firstLineChars="100"/>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8.31</w:t>
            </w:r>
            <w:r>
              <w:rPr>
                <w:rFonts w:hint="default" w:ascii="Times New Roman" w:hAnsi="Times New Roman" w:eastAsia="宋体" w:cs="Times New Roman"/>
                <w:i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一般公共预算</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当年绩效</w:t>
            </w:r>
            <w:r>
              <w:rPr>
                <w:rFonts w:hint="eastAsia" w:ascii="方正黑体_GBK" w:hAnsi="方正黑体_GBK" w:eastAsia="方正黑体_GBK" w:cs="方正黑体_GBK"/>
                <w:i w:val="0"/>
                <w:color w:val="000000"/>
                <w:kern w:val="0"/>
                <w:sz w:val="20"/>
                <w:szCs w:val="20"/>
                <w:u w:val="none"/>
                <w:lang w:val="en-US" w:eastAsia="zh-CN" w:bidi="ar"/>
              </w:rPr>
              <w:br w:type="textWrapping"/>
            </w:r>
            <w:r>
              <w:rPr>
                <w:rFonts w:hint="eastAsia" w:ascii="方正黑体_GBK" w:hAnsi="方正黑体_GBK" w:eastAsia="方正黑体_GBK" w:cs="方正黑体_GBK"/>
                <w:i w:val="0"/>
                <w:color w:val="000000"/>
                <w:kern w:val="0"/>
                <w:sz w:val="20"/>
                <w:szCs w:val="20"/>
                <w:u w:val="none"/>
                <w:lang w:val="en-US" w:eastAsia="zh-CN" w:bidi="ar"/>
              </w:rPr>
              <w:t>目标</w:t>
            </w:r>
          </w:p>
        </w:tc>
        <w:tc>
          <w:tcPr>
            <w:tcW w:w="2482"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年初绩效目标</w:t>
            </w:r>
          </w:p>
        </w:tc>
        <w:tc>
          <w:tcPr>
            <w:tcW w:w="2710"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全年（调整）绩效目标</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438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2482"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一、完成各类专项检查、政策宣传、业务培训，进一步提高群众政策知晓率，提升医保基金监管能力，持续保持打击欺诈骗保高压态势，营造全社会共同维护医保基金安全的良好氛围。</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三、加强基本医疗保险网上审核力度，加强管理，提高医保基金使用率，保障基金使用安全，着力优质、高效、规范、标准服务，打造医保经办服务良好形象。</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四、完成带量采购品种数量500种以上，履约率达到95%以上。</w:t>
            </w:r>
          </w:p>
        </w:tc>
        <w:tc>
          <w:tcPr>
            <w:tcW w:w="2710"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一、完成各类专项检查、政策宣传、业务培训，进一步提高群众政策知晓率，提升医保基金监管能力，持续保持打击欺诈骗保高压态势，营造全社会共同维护医保基金安全的良好氛围。</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三、加强基本医疗保险网上审核力度，加强管理，提高医保基金使用率，保障基金使用安全，着力优质、高效、规范、标准服务，打造医保经办服务良好形象。</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四、完成带量采购品种数量756种，履约率达到95%以上。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1000" w:hRule="atLeast"/>
          <w:jc w:val="center"/>
        </w:trPr>
        <w:tc>
          <w:tcPr>
            <w:tcW w:w="703"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绩效指标</w:t>
            </w: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指标名称</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计量单位</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指标性质</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指标值</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全年完成值</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偏离度（%）</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得分系数（%）</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指标权重（分）</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指标得分（分）</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查处违约金</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310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287.5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t>开展第三方基金监管审计工作，加大监管力度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城乡医疗保险参保率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Times New Roman" w:hAnsi="Times New Roman" w:cs="Times New Roman"/>
                <w:i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处理举报投诉案件</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带量采购履约率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5.26</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带量采购品种数量</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种</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756</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51.2</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市医保局2024年集中带量采购工作加速，国家集采与地方集采同时开展，导致带量采购品种增加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发布宣传信息</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200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val="en-US" w:eastAsia="zh-CN"/>
              </w:rPr>
              <w:t>295</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47.5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t>因门诊共济、医保支付方式改革等政策落地，加强宣传引导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培训人次</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医保手工报销人次</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1500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2748</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83.2</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门诊共济后，手工报销人次增加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印制医保宣传资料</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万份</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5.26</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kern w:val="0"/>
                <w:sz w:val="18"/>
                <w:szCs w:val="18"/>
                <w:u w:val="none"/>
                <w:lang w:val="en-US" w:eastAsia="zh-CN" w:bidi="ar"/>
              </w:rPr>
              <w:t>追回医保基金</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531</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431</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开展第三方审计，加强基金监管力度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eastAsia="zh-CN"/>
              </w:rPr>
              <w:t>医保机构检查覆盖率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90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11.11</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48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总体说明</w:t>
            </w:r>
          </w:p>
        </w:tc>
        <w:tc>
          <w:tcPr>
            <w:tcW w:w="7607" w:type="dxa"/>
            <w:gridSpan w:val="21"/>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年度目标均已完成，下一步将持续推进项目实施，切实保障我县医保服务能力迈上新台阶。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80" w:hRule="atLeast"/>
          <w:jc w:val="center"/>
        </w:trPr>
        <w:tc>
          <w:tcPr>
            <w:tcW w:w="8284" w:type="dxa"/>
            <w:gridSpan w:val="2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pageBreakBefore w:val="0"/>
              <w:widowControl w:val="0"/>
              <w:suppressLineNumbers w:val="0"/>
              <w:kinsoku/>
              <w:wordWrap/>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ascii="方正小标宋_GBK" w:hAnsi="方正小标宋_GBK" w:eastAsia="方正小标宋_GBK" w:cs="方正小标宋_GBK"/>
                <w:sz w:val="36"/>
                <w:szCs w:val="36"/>
              </w:rPr>
              <w:t>秀山土家族苗族自治县医疗保障局（本级）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510" w:hRule="atLeast"/>
          <w:jc w:val="center"/>
        </w:trPr>
        <w:tc>
          <w:tcPr>
            <w:tcW w:w="8284" w:type="dxa"/>
            <w:gridSpan w:val="23"/>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2024年度项目支出绩效自评情况表（二级项目）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584" w:hRule="atLeast"/>
          <w:jc w:val="center"/>
        </w:trPr>
        <w:tc>
          <w:tcPr>
            <w:tcW w:w="440" w:type="dxa"/>
            <w:gridSpan w:val="2"/>
            <w:tcBorders>
              <w:top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992"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2591" w:type="dxa"/>
            <w:gridSpan w:val="6"/>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47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指标性质</w:t>
            </w:r>
          </w:p>
        </w:tc>
        <w:tc>
          <w:tcPr>
            <w:tcW w:w="764"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指标值</w:t>
            </w:r>
          </w:p>
        </w:tc>
        <w:tc>
          <w:tcPr>
            <w:tcW w:w="504"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计量单位</w:t>
            </w:r>
          </w:p>
        </w:tc>
        <w:tc>
          <w:tcPr>
            <w:tcW w:w="478"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指标权重</w:t>
            </w:r>
          </w:p>
        </w:tc>
        <w:tc>
          <w:tcPr>
            <w:tcW w:w="763"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全年完成值</w:t>
            </w:r>
          </w:p>
        </w:tc>
        <w:tc>
          <w:tcPr>
            <w:tcW w:w="491"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指标得分</w:t>
            </w:r>
          </w:p>
        </w:tc>
        <w:tc>
          <w:tcPr>
            <w:tcW w:w="30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说明</w:t>
            </w:r>
          </w:p>
        </w:tc>
        <w:tc>
          <w:tcPr>
            <w:tcW w:w="491" w:type="dxa"/>
            <w:tcBorders>
              <w:top w:val="single" w:color="auto" w:sz="4" w:space="0"/>
              <w:lef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医疗救助中央补助资金（城乡医疗救助）</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到定点救治医疗机构就诊率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重点救助对象自负费用年度限额内住院救助比例</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重特大疾病医疗救助人次占直接救助人次比例</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政策知晓率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资金到位率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减轻医疗负担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3137</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36"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2024年脱贫人口城乡居民医疗保险参保补贴项目</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脱贫人口参保率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99</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补贴率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减轻脱贫人口负担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元/人年</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政策知晓率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15"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企业离退干部、老干部、伤残军人医疗补助</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救助人次</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29"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减轻医疗负担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9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资金到位率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医疗服务与保障能力提升补助资金（医疗保障服务能力提升部分）</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定点医药机构监督检查覆盖率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基本医保参保人数</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58</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万人</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58.23</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帮办代办覆盖率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60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60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长期护理险试点</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集中采购落实情况</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开展打击欺诈骗保治理</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信息化建设</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提高医保综合监管能力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药品网采率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101</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医保标准化建设</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医保法治建设能力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医保宣传能力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医药服务价格动态调整与深化医疗服务价格改革试点执行情况</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追回医保基金及罚没收入</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841</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bl>
    <w:p>
      <w:pPr>
        <w:pStyle w:val="11"/>
        <w:keepNext w:val="0"/>
        <w:keepLines w:val="0"/>
        <w:pageBreakBefore w:val="0"/>
        <w:widowControl w:val="0"/>
        <w:kinsoku/>
        <w:wordWrap/>
        <w:overflowPunct/>
        <w:topLinePunct w:val="0"/>
        <w:autoSpaceDE w:val="0"/>
        <w:autoSpaceDN/>
        <w:bidi w:val="0"/>
        <w:adjustRightInd/>
        <w:snapToGrid/>
        <w:spacing w:line="560" w:lineRule="exact"/>
        <w:textAlignment w:val="auto"/>
        <w:rPr>
          <w:rStyle w:val="10"/>
          <w:rFonts w:hint="eastAsia" w:ascii="方正楷体_GBK" w:hAnsi="方正楷体_GBK" w:eastAsia="方正楷体_GBK" w:cs="方正楷体_GBK"/>
          <w:b w:val="0"/>
          <w:bCs/>
          <w:color w:val="auto"/>
          <w:sz w:val="32"/>
          <w:szCs w:val="32"/>
          <w:highlight w:val="none"/>
          <w:shd w:val="clear" w:color="auto" w:fill="FFFFFF"/>
          <w:lang w:val="en-US" w:eastAsia="zh-CN" w:bidi="ar-SA"/>
        </w:rPr>
      </w:pP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方正楷体_GBK" w:hAnsi="方正楷体_GBK" w:eastAsia="方正楷体_GBK" w:cs="方正楷体_GBK"/>
          <w:b w:val="0"/>
          <w:bCs w:val="0"/>
          <w:color w:val="auto"/>
          <w:sz w:val="32"/>
          <w:szCs w:val="32"/>
          <w:highlight w:val="none"/>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rPr>
        <w:t>（二）</w:t>
      </w:r>
      <w:r>
        <w:rPr>
          <w:rFonts w:hint="eastAsia" w:ascii="方正楷体_GBK" w:hAnsi="方正楷体_GBK" w:eastAsia="方正楷体_GBK" w:cs="方正楷体_GBK"/>
          <w:b w:val="0"/>
          <w:bCs w:val="0"/>
          <w:color w:val="auto"/>
          <w:sz w:val="32"/>
          <w:szCs w:val="32"/>
          <w:highlight w:val="none"/>
          <w:shd w:val="clear" w:color="auto" w:fill="FFFFFF"/>
          <w:lang w:val="en-US" w:eastAsia="zh-CN"/>
        </w:rPr>
        <w:t>单位</w:t>
      </w:r>
      <w:r>
        <w:rPr>
          <w:rFonts w:hint="default" w:ascii="方正楷体_GBK" w:hAnsi="方正楷体_GBK" w:eastAsia="方正楷体_GBK" w:cs="方正楷体_GBK"/>
          <w:b w:val="0"/>
          <w:bCs w:val="0"/>
          <w:color w:val="auto"/>
          <w:sz w:val="32"/>
          <w:szCs w:val="32"/>
          <w:highlight w:val="none"/>
          <w:shd w:val="clear" w:color="auto" w:fill="FFFFFF"/>
          <w:lang w:val="en-US" w:eastAsia="zh-CN"/>
        </w:rPr>
        <w:t>绩效评价情况</w:t>
      </w:r>
    </w:p>
    <w:p>
      <w:pPr>
        <w:pStyle w:val="14"/>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我</w:t>
      </w:r>
      <w:r>
        <w:rPr>
          <w:rFonts w:hint="default" w:ascii="Times New Roman" w:hAnsi="Times New Roman" w:eastAsia="方正仿宋_GBK" w:cs="Times New Roman"/>
          <w:b w:val="0"/>
          <w:bCs/>
          <w:color w:val="auto"/>
          <w:sz w:val="32"/>
          <w:szCs w:val="32"/>
          <w:shd w:val="clear" w:color="auto" w:fill="FFFFFF"/>
          <w:lang w:eastAsia="zh-CN"/>
        </w:rPr>
        <w:t>单位对秀山县202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eastAsia="zh-CN"/>
        </w:rPr>
        <w:t>年医疗救助基金项目（202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eastAsia="zh-CN"/>
        </w:rPr>
        <w:t>年中国农业银行第一批）项目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0</w:t>
      </w:r>
      <w:r>
        <w:rPr>
          <w:rFonts w:hint="default" w:ascii="Times New Roman" w:hAnsi="Times New Roman" w:eastAsia="方正仿宋_GBK" w:cs="Times New Roman"/>
          <w:b w:val="0"/>
          <w:bCs/>
          <w:color w:val="auto"/>
          <w:sz w:val="32"/>
          <w:szCs w:val="32"/>
          <w:shd w:val="clear" w:color="auto" w:fill="FFFFFF"/>
        </w:rPr>
        <w:t>分，</w:t>
      </w:r>
      <w:r>
        <w:rPr>
          <w:rFonts w:hint="default" w:ascii="Times New Roman" w:hAnsi="Times New Roman" w:eastAsia="方正仿宋_GBK" w:cs="Times New Roman"/>
          <w:b w:val="0"/>
          <w:bCs/>
          <w:color w:val="auto"/>
          <w:sz w:val="32"/>
          <w:szCs w:val="32"/>
          <w:shd w:val="clear" w:color="auto" w:fill="FFFFFF"/>
          <w:lang w:eastAsia="zh-CN"/>
        </w:rPr>
        <w:t>主要原因是该项目资金未及时下达，资金下达时间为年底关账以后；</w:t>
      </w:r>
      <w:r>
        <w:rPr>
          <w:rFonts w:hint="default" w:ascii="Times New Roman" w:hAnsi="Times New Roman" w:eastAsia="方正仿宋_GBK" w:cs="Times New Roman"/>
          <w:b w:val="0"/>
          <w:bCs/>
          <w:color w:val="auto"/>
          <w:sz w:val="32"/>
          <w:szCs w:val="32"/>
          <w:shd w:val="clear" w:color="auto" w:fill="FFFFFF"/>
        </w:rPr>
        <w:t>对</w:t>
      </w:r>
      <w:r>
        <w:rPr>
          <w:rFonts w:hint="default" w:ascii="Times New Roman" w:hAnsi="Times New Roman" w:eastAsia="方正仿宋_GBK" w:cs="Times New Roman"/>
          <w:b w:val="0"/>
          <w:bCs/>
          <w:color w:val="auto"/>
          <w:sz w:val="32"/>
          <w:szCs w:val="32"/>
          <w:shd w:val="clear" w:color="auto" w:fill="FFFFFF"/>
          <w:lang w:eastAsia="zh-CN"/>
        </w:rPr>
        <w:t>医疗救助（市级）项目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1737.51</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对医疗救助（县级）</w:t>
      </w:r>
      <w:r>
        <w:rPr>
          <w:rFonts w:hint="default" w:ascii="Times New Roman" w:hAnsi="Times New Roman" w:eastAsia="方正仿宋_GBK" w:cs="Times New Roman"/>
          <w:b w:val="0"/>
          <w:bCs/>
          <w:color w:val="auto"/>
          <w:sz w:val="32"/>
          <w:szCs w:val="32"/>
          <w:shd w:val="clear" w:color="auto" w:fill="FFFFFF"/>
          <w:lang w:eastAsia="zh-CN"/>
        </w:rPr>
        <w:t>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220.00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对医疗救助中央补助资金（城乡医疗救助）</w:t>
      </w:r>
      <w:r>
        <w:rPr>
          <w:rFonts w:hint="default" w:ascii="Times New Roman" w:hAnsi="Times New Roman" w:eastAsia="方正仿宋_GBK" w:cs="Times New Roman"/>
          <w:b w:val="0"/>
          <w:bCs/>
          <w:color w:val="auto"/>
          <w:sz w:val="32"/>
          <w:szCs w:val="32"/>
          <w:shd w:val="clear" w:color="auto" w:fill="FFFFFF"/>
          <w:lang w:eastAsia="zh-CN"/>
        </w:rPr>
        <w:t>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1110.00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对医疗服务与保障能力提升补助资金（医疗保障服务能力提升部分）</w:t>
      </w:r>
      <w:r>
        <w:rPr>
          <w:rFonts w:hint="default" w:ascii="Times New Roman" w:hAnsi="Times New Roman" w:eastAsia="方正仿宋_GBK" w:cs="Times New Roman"/>
          <w:b w:val="0"/>
          <w:bCs/>
          <w:color w:val="auto"/>
          <w:sz w:val="32"/>
          <w:szCs w:val="32"/>
          <w:shd w:val="clear" w:color="auto" w:fill="FFFFFF"/>
          <w:lang w:eastAsia="zh-CN"/>
        </w:rPr>
        <w:t>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122.08</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w:t>
      </w:r>
      <w:r>
        <w:rPr>
          <w:rFonts w:hint="default" w:ascii="Times New Roman" w:hAnsi="Times New Roman" w:eastAsia="方正仿宋_GBK" w:cs="Times New Roman"/>
          <w:b w:val="0"/>
          <w:bCs/>
          <w:color w:val="auto"/>
          <w:sz w:val="32"/>
          <w:szCs w:val="32"/>
          <w:shd w:val="clear" w:color="auto" w:fill="FFFFFF"/>
          <w:lang w:eastAsia="zh-CN"/>
        </w:rPr>
        <w:t>城乡居民基本医疗保险工作经费项目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27.00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对国企单双解等人员参加职工医保财政补助项目开展了绩效评价，涉及财政拨款项目资金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20.00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对国企单双解等人员参加职工医保市级补助</w:t>
      </w:r>
      <w:r>
        <w:rPr>
          <w:rFonts w:hint="default" w:ascii="Times New Roman" w:hAnsi="Times New Roman" w:eastAsia="方正仿宋_GBK" w:cs="Times New Roman"/>
          <w:b w:val="0"/>
          <w:bCs/>
          <w:color w:val="auto"/>
          <w:sz w:val="32"/>
          <w:szCs w:val="32"/>
          <w:shd w:val="clear" w:color="auto" w:fill="FFFFFF"/>
          <w:lang w:eastAsia="zh-CN"/>
        </w:rPr>
        <w:t>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20.00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优；对大病救助（</w:t>
      </w:r>
      <w:r>
        <w:rPr>
          <w:rFonts w:hint="default" w:ascii="Times New Roman" w:hAnsi="Times New Roman" w:eastAsia="方正仿宋_GBK" w:cs="Times New Roman"/>
          <w:b w:val="0"/>
          <w:bCs/>
          <w:color w:val="auto"/>
          <w:sz w:val="32"/>
          <w:szCs w:val="32"/>
          <w:shd w:val="clear" w:color="auto" w:fill="FFFFFF"/>
          <w:lang w:val="en-US" w:eastAsia="zh-CN"/>
        </w:rPr>
        <w:t>2024年德州帮扶</w:t>
      </w:r>
      <w:r>
        <w:rPr>
          <w:rFonts w:hint="default" w:ascii="Times New Roman" w:hAnsi="Times New Roman" w:eastAsia="方正仿宋_GBK" w:cs="Times New Roman"/>
          <w:b w:val="0"/>
          <w:bCs/>
          <w:color w:val="auto"/>
          <w:sz w:val="32"/>
          <w:szCs w:val="32"/>
          <w:shd w:val="clear" w:color="auto" w:fill="FFFFFF"/>
          <w:lang w:eastAsia="zh-CN"/>
        </w:rPr>
        <w:t>）项目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324</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对</w:t>
      </w:r>
      <w:r>
        <w:rPr>
          <w:rFonts w:hint="default" w:ascii="Times New Roman" w:hAnsi="Times New Roman" w:eastAsia="方正仿宋_GBK" w:cs="Times New Roman"/>
          <w:b w:val="0"/>
          <w:bCs/>
          <w:color w:val="auto"/>
          <w:sz w:val="32"/>
          <w:szCs w:val="32"/>
          <w:shd w:val="clear" w:color="auto" w:fill="FFFFFF"/>
          <w:lang w:eastAsia="zh-CN"/>
        </w:rPr>
        <w:t>扶贫济困医疗基金项目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2.30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优；对</w:t>
      </w:r>
      <w:r>
        <w:rPr>
          <w:rFonts w:hint="default" w:ascii="Times New Roman" w:hAnsi="Times New Roman" w:eastAsia="方正仿宋_GBK" w:cs="Times New Roman"/>
          <w:b w:val="0"/>
          <w:bCs/>
          <w:color w:val="auto"/>
          <w:sz w:val="32"/>
          <w:szCs w:val="32"/>
          <w:shd w:val="clear" w:color="auto" w:fill="FFFFFF"/>
        </w:rPr>
        <w:t>2024年脱贫人口城乡居民医疗保险参保补贴项目开展了绩效评价，涉及财政拨款项目资金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139.26</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优；对企业离退干部、老干部、伤残军人医疗补助项目</w:t>
      </w:r>
      <w:r>
        <w:rPr>
          <w:rFonts w:hint="default" w:ascii="Times New Roman" w:hAnsi="Times New Roman" w:eastAsia="方正仿宋_GBK" w:cs="Times New Roman"/>
          <w:b w:val="0"/>
          <w:bCs/>
          <w:color w:val="auto"/>
          <w:sz w:val="32"/>
          <w:szCs w:val="32"/>
          <w:shd w:val="clear" w:color="auto" w:fill="FFFFFF"/>
        </w:rPr>
        <w:t>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rPr>
        <w:t>200.00</w:t>
      </w:r>
      <w:r>
        <w:rPr>
          <w:rFonts w:hint="default" w:ascii="Times New Roman" w:hAnsi="Times New Roman" w:eastAsia="方正仿宋_GBK" w:cs="Times New Roman"/>
          <w:b w:val="0"/>
          <w:bCs/>
          <w:color w:val="auto"/>
          <w:sz w:val="32"/>
          <w:szCs w:val="32"/>
          <w:shd w:val="clear" w:color="auto" w:fill="FFFFFF"/>
        </w:rPr>
        <w:t>万元，评价得分</w:t>
      </w:r>
      <w:r>
        <w:rPr>
          <w:rFonts w:hint="default" w:ascii="Times New Roman" w:hAnsi="Times New Roman" w:eastAsia="方正仿宋_GBK" w:cs="Times New Roman"/>
          <w:b w:val="0"/>
          <w:bCs/>
          <w:color w:val="auto"/>
          <w:sz w:val="32"/>
          <w:szCs w:val="32"/>
          <w:shd w:val="clear" w:color="auto" w:fill="FFFFFF"/>
          <w:lang w:val="en-US" w:eastAsia="zh-CN"/>
        </w:rPr>
        <w:t>100</w:t>
      </w:r>
      <w:r>
        <w:rPr>
          <w:rFonts w:hint="default" w:ascii="Times New Roman" w:hAnsi="Times New Roman" w:eastAsia="方正仿宋_GBK" w:cs="Times New Roman"/>
          <w:b w:val="0"/>
          <w:bCs/>
          <w:color w:val="auto"/>
          <w:sz w:val="32"/>
          <w:szCs w:val="32"/>
          <w:shd w:val="clear" w:color="auto" w:fill="FFFFFF"/>
        </w:rPr>
        <w:t>分，评价等次为</w:t>
      </w:r>
      <w:r>
        <w:rPr>
          <w:rFonts w:hint="default" w:ascii="Times New Roman" w:hAnsi="Times New Roman" w:eastAsia="方正仿宋_GBK" w:cs="Times New Roman"/>
          <w:b w:val="0"/>
          <w:bCs/>
          <w:color w:val="auto"/>
          <w:sz w:val="32"/>
          <w:szCs w:val="32"/>
          <w:shd w:val="clear" w:color="auto" w:fill="FFFFFF"/>
          <w:lang w:eastAsia="zh-CN"/>
        </w:rPr>
        <w:t>优。</w:t>
      </w:r>
      <w:r>
        <w:rPr>
          <w:rFonts w:hint="default" w:ascii="Times New Roman" w:hAnsi="Times New Roman" w:eastAsia="方正仿宋_GBK" w:cs="Times New Roman"/>
          <w:b w:val="0"/>
          <w:bCs/>
          <w:color w:val="auto"/>
          <w:sz w:val="32"/>
          <w:szCs w:val="32"/>
          <w:shd w:val="clear" w:color="auto" w:fill="FFFFFF"/>
        </w:rPr>
        <w:t>下一步</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zh-CN" w:eastAsia="zh-CN"/>
        </w:rPr>
        <w:t>我</w:t>
      </w:r>
      <w:r>
        <w:rPr>
          <w:rFonts w:hint="eastAsia" w:ascii="Times New Roman" w:hAnsi="Times New Roman" w:eastAsia="方正仿宋_GBK" w:cs="Times New Roman"/>
          <w:b w:val="0"/>
          <w:bCs/>
          <w:color w:val="auto"/>
          <w:sz w:val="32"/>
          <w:szCs w:val="32"/>
          <w:shd w:val="clear" w:color="auto" w:fill="FFFFFF"/>
          <w:lang w:val="zh-CN" w:eastAsia="zh-CN"/>
        </w:rPr>
        <w:t>单位</w:t>
      </w:r>
      <w:r>
        <w:rPr>
          <w:rFonts w:hint="default" w:ascii="Times New Roman" w:hAnsi="Times New Roman" w:eastAsia="方正仿宋_GBK" w:cs="Times New Roman"/>
          <w:b w:val="0"/>
          <w:bCs/>
          <w:color w:val="auto"/>
          <w:sz w:val="32"/>
          <w:szCs w:val="32"/>
          <w:shd w:val="clear" w:color="auto" w:fill="FFFFFF"/>
          <w:lang w:val="zh-CN" w:eastAsia="zh-CN"/>
        </w:rPr>
        <w:t>将持续推进项目实施，充分考虑专项资金支出平均性，加强预算执行管理，根据工作开展情况合理调整支出进度，加强业务培训，多层次、多类别组织开展经办业务、执法能力提升培训，切实保障我县医保服务能力迈上新台阶。</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lang w:eastAsia="zh-CN"/>
        </w:rPr>
        <w:t>六</w:t>
      </w:r>
      <w:r>
        <w:rPr>
          <w:rStyle w:val="10"/>
          <w:rFonts w:hint="default" w:ascii="方正黑体_GBK" w:hAnsi="方正黑体_GBK" w:eastAsia="方正黑体_GBK" w:cs="方正黑体_GBK"/>
          <w:b w:val="0"/>
          <w:bCs/>
          <w:color w:val="auto"/>
          <w:sz w:val="32"/>
          <w:szCs w:val="32"/>
          <w:highlight w:val="none"/>
          <w:shd w:val="clear" w:color="auto" w:fill="FFFFFF"/>
        </w:rPr>
        <w:t>、专业名词解释</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eastAsia" w:ascii="方正楷体_GBK" w:hAnsi="方正楷体_GBK" w:eastAsia="方正楷体_GBK" w:cs="方正楷体_GBK"/>
          <w:b w:val="0"/>
          <w:bCs w:val="0"/>
          <w:color w:val="auto"/>
          <w:sz w:val="32"/>
          <w:szCs w:val="32"/>
          <w:highlight w:val="none"/>
          <w:shd w:val="clear" w:color="auto" w:fill="FFFFFF"/>
          <w:lang w:val="en-US" w:eastAsia="zh-CN" w:bidi="ar-SA"/>
        </w:rPr>
        <w:t>（一）财政拨款收入：</w:t>
      </w:r>
      <w:r>
        <w:rPr>
          <w:rFonts w:hint="default" w:ascii="Times New Roman" w:hAnsi="Times New Roman" w:eastAsia="方正仿宋_GBK" w:cs="Times New Roman"/>
          <w:b w:val="0"/>
          <w:bCs/>
          <w:sz w:val="32"/>
          <w:szCs w:val="32"/>
          <w:shd w:val="clear" w:color="auto" w:fill="FFFFFF"/>
        </w:rPr>
        <w:t>指本年度从本级财政部门取得的财政拨款。</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（二）事业收入：</w:t>
      </w:r>
      <w:r>
        <w:rPr>
          <w:rFonts w:hint="default" w:ascii="Times New Roman" w:hAnsi="Times New Roman" w:eastAsia="方正仿宋_GBK" w:cs="Times New Roman"/>
          <w:b w:val="0"/>
          <w:bCs/>
          <w:sz w:val="32"/>
          <w:szCs w:val="32"/>
          <w:shd w:val="clear" w:color="auto" w:fill="FFFFFF"/>
        </w:rPr>
        <w:t>指事业单位开展专业业务活动及其辅助活动取得的</w:t>
      </w:r>
      <w:r>
        <w:rPr>
          <w:rFonts w:hint="default" w:ascii="Times New Roman" w:hAnsi="Times New Roman" w:eastAsia="方正仿宋_GBK" w:cs="Times New Roman"/>
          <w:b w:val="0"/>
          <w:bCs/>
          <w:sz w:val="32"/>
          <w:szCs w:val="32"/>
          <w:shd w:val="clear" w:color="auto" w:fill="FFFFFF"/>
          <w:lang w:eastAsia="zh-CN"/>
        </w:rPr>
        <w:t>收入</w:t>
      </w:r>
      <w:r>
        <w:rPr>
          <w:rFonts w:hint="default" w:ascii="Times New Roman" w:hAnsi="Times New Roman" w:eastAsia="方正仿宋_GBK" w:cs="Times New Roman"/>
          <w:b w:val="0"/>
          <w:bCs/>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（三）经营收入：</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sz w:val="32"/>
          <w:szCs w:val="32"/>
          <w:shd w:val="clear" w:color="auto" w:fill="FFFFFF"/>
          <w:lang w:eastAsia="zh-CN"/>
        </w:rPr>
        <w:t>收入</w:t>
      </w:r>
      <w:r>
        <w:rPr>
          <w:rFonts w:hint="default" w:ascii="Times New Roman" w:hAnsi="Times New Roman" w:eastAsia="方正仿宋_GBK" w:cs="Times New Roman"/>
          <w:b w:val="0"/>
          <w:bCs/>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（四）其他收入：</w:t>
      </w:r>
      <w:r>
        <w:rPr>
          <w:rFonts w:hint="default" w:ascii="Times New Roman" w:hAnsi="Times New Roman" w:eastAsia="方正仿宋_GBK" w:cs="Times New Roman"/>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（五）使用非财政拨款结余（含专用结余）：</w:t>
      </w:r>
      <w:r>
        <w:rPr>
          <w:rFonts w:hint="default" w:ascii="Times New Roman" w:hAnsi="Times New Roman" w:eastAsia="方正仿宋_GBK" w:cs="Times New Roman"/>
          <w:b w:val="0"/>
          <w:bCs/>
          <w:sz w:val="32"/>
          <w:szCs w:val="32"/>
          <w:shd w:val="clear" w:color="auto" w:fill="FFFFFF"/>
        </w:rPr>
        <w:t>指</w:t>
      </w:r>
      <w:r>
        <w:rPr>
          <w:rFonts w:hint="default" w:ascii="Times New Roman" w:hAnsi="Times New Roman" w:eastAsia="方正仿宋_GBK" w:cs="Times New Roman"/>
          <w:b w:val="0"/>
          <w:bCs/>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（六）年初结转和结余：</w:t>
      </w:r>
      <w:r>
        <w:rPr>
          <w:rFonts w:hint="default" w:ascii="Times New Roman" w:hAnsi="Times New Roman" w:eastAsia="方正仿宋_GBK" w:cs="Times New Roman"/>
          <w:b w:val="0"/>
          <w:bCs/>
          <w:sz w:val="32"/>
          <w:szCs w:val="32"/>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（七）结余分配：</w:t>
      </w:r>
      <w:r>
        <w:rPr>
          <w:rFonts w:hint="default" w:ascii="Times New Roman" w:hAnsi="Times New Roman" w:eastAsia="方正仿宋_GBK" w:cs="Times New Roman"/>
          <w:b w:val="0"/>
          <w:bCs/>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（八）年末结转和结余：</w:t>
      </w:r>
      <w:r>
        <w:rPr>
          <w:rFonts w:hint="default" w:ascii="Times New Roman" w:hAnsi="Times New Roman" w:eastAsia="方正仿宋_GBK" w:cs="Times New Roman"/>
          <w:b w:val="0"/>
          <w:bCs/>
          <w:sz w:val="32"/>
          <w:szCs w:val="32"/>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（九）基本支出：</w:t>
      </w:r>
      <w:r>
        <w:rPr>
          <w:rFonts w:hint="default" w:ascii="Times New Roman" w:hAnsi="Times New Roman" w:eastAsia="方正仿宋_GBK" w:cs="Times New Roman"/>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（十）项目支出：</w:t>
      </w:r>
      <w:r>
        <w:rPr>
          <w:rFonts w:hint="default" w:ascii="Times New Roman" w:hAnsi="Times New Roman" w:eastAsia="方正仿宋_GBK" w:cs="Times New Roman"/>
          <w:b w:val="0"/>
          <w:bCs/>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（十一）经营支出：</w:t>
      </w:r>
      <w:r>
        <w:rPr>
          <w:rFonts w:hint="default" w:ascii="Times New Roman" w:hAnsi="Times New Roman" w:eastAsia="方正仿宋_GBK" w:cs="Times New Roman"/>
          <w:b w:val="0"/>
          <w:bCs/>
          <w:sz w:val="32"/>
          <w:szCs w:val="32"/>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（十二）“三公”经费：</w:t>
      </w:r>
      <w:r>
        <w:rPr>
          <w:rFonts w:hint="default" w:ascii="Times New Roman" w:hAnsi="Times New Roman" w:eastAsia="方正仿宋_GBK" w:cs="Times New Roman"/>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（十三）机关运行经费：</w:t>
      </w:r>
      <w:r>
        <w:rPr>
          <w:rFonts w:hint="default" w:ascii="Times New Roman" w:hAnsi="Times New Roman" w:eastAsia="方正仿宋_GBK" w:cs="Times New Roman"/>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方正楷体_GBK" w:hAnsi="方正楷体_GBK"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sz w:val="32"/>
          <w:szCs w:val="32"/>
          <w:shd w:val="clear" w:color="auto" w:fill="FFFFFF"/>
        </w:rPr>
        <w:t>反映非各级发展与改革</w:t>
      </w:r>
      <w:r>
        <w:rPr>
          <w:rFonts w:hint="eastAsia" w:ascii="Times New Roman" w:hAnsi="Times New Roman" w:eastAsia="方正仿宋_GBK" w:cs="Times New Roman"/>
          <w:b w:val="0"/>
          <w:bCs/>
          <w:sz w:val="32"/>
          <w:szCs w:val="32"/>
          <w:shd w:val="clear" w:color="auto" w:fill="FFFFFF"/>
          <w:lang w:eastAsia="zh-CN"/>
        </w:rPr>
        <w:t>单位</w:t>
      </w:r>
      <w:r>
        <w:rPr>
          <w:rFonts w:hint="default" w:ascii="Times New Roman" w:hAnsi="Times New Roman" w:eastAsia="方正仿宋_GBK" w:cs="Times New Roman"/>
          <w:b w:val="0"/>
          <w:bCs/>
          <w:sz w:val="32"/>
          <w:szCs w:val="32"/>
          <w:shd w:val="clear" w:color="auto" w:fill="FFFFFF"/>
        </w:rPr>
        <w:t>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highlight w:val="none"/>
          <w:shd w:val="clear" w:color="auto" w:fill="FFFFFF"/>
        </w:rPr>
      </w:pPr>
      <w:r>
        <w:rPr>
          <w:rStyle w:val="10"/>
          <w:rFonts w:hint="default" w:ascii="方正黑体_GBK" w:hAnsi="方正黑体_GBK" w:eastAsia="方正黑体_GBK" w:cs="方正黑体_GBK"/>
          <w:b w:val="0"/>
          <w:bCs/>
          <w:color w:val="auto"/>
          <w:sz w:val="32"/>
          <w:szCs w:val="32"/>
          <w:highlight w:val="none"/>
          <w:shd w:val="clear" w:color="auto" w:fill="FFFFFF"/>
          <w:lang w:eastAsia="zh-CN"/>
        </w:rPr>
        <w:t>七</w:t>
      </w:r>
      <w:r>
        <w:rPr>
          <w:rStyle w:val="10"/>
          <w:rFonts w:hint="default" w:ascii="方正黑体_GBK" w:hAnsi="方正黑体_GBK" w:eastAsia="方正黑体_GBK" w:cs="方正黑体_GBK"/>
          <w:b w:val="0"/>
          <w:bCs/>
          <w:color w:val="auto"/>
          <w:sz w:val="32"/>
          <w:szCs w:val="32"/>
          <w:highlight w:val="none"/>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b w:val="0"/>
          <w:bCs/>
          <w:sz w:val="32"/>
          <w:szCs w:val="32"/>
          <w:shd w:val="clear" w:color="auto" w:fill="FFFFFF"/>
        </w:rPr>
        <w:t>本</w:t>
      </w:r>
      <w:r>
        <w:rPr>
          <w:rFonts w:hint="default" w:ascii="Times New Roman" w:hAnsi="Times New Roman" w:eastAsia="方正仿宋_GBK" w:cs="Times New Roman"/>
          <w:b w:val="0"/>
          <w:bCs/>
          <w:sz w:val="32"/>
          <w:szCs w:val="32"/>
          <w:shd w:val="clear" w:color="auto" w:fill="FFFFFF"/>
          <w:lang w:eastAsia="zh-CN"/>
        </w:rPr>
        <w:t>单位</w:t>
      </w:r>
      <w:r>
        <w:rPr>
          <w:rFonts w:hint="default" w:ascii="Times New Roman" w:hAnsi="Times New Roman" w:eastAsia="方正仿宋_GBK" w:cs="Times New Roman"/>
          <w:b w:val="0"/>
          <w:bCs/>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eastAsia="zh-CN"/>
        </w:rPr>
        <w:t>陈聪</w:t>
      </w:r>
      <w:r>
        <w:rPr>
          <w:rFonts w:hint="default" w:ascii="Times New Roman" w:hAnsi="Times New Roman" w:eastAsia="方正仿宋_GBK" w:cs="Times New Roman"/>
          <w:b w:val="0"/>
          <w:bCs/>
          <w:color w:val="auto"/>
          <w:sz w:val="32"/>
          <w:szCs w:val="32"/>
          <w:shd w:val="clear" w:color="auto" w:fill="FFFFFF"/>
          <w:lang w:val="en-US" w:eastAsia="zh-CN"/>
        </w:rPr>
        <w:t xml:space="preserve"> 023-76668145</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秀山土家族苗族自治县医疗保障局（本级）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5,066.01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5,066.01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5,066.01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5,066.01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5,066.01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966"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094"/>
      </w:tblGrid>
      <w:tr>
        <w:tblPrEx>
          <w:tblLayout w:type="fixed"/>
          <w:tblCellMar>
            <w:top w:w="0" w:type="dxa"/>
            <w:left w:w="0" w:type="dxa"/>
            <w:bottom w:w="0" w:type="dxa"/>
            <w:right w:w="0" w:type="dxa"/>
          </w:tblCellMar>
        </w:tblPrEx>
        <w:trPr>
          <w:trHeight w:val="641" w:hRule="atLeast"/>
        </w:trPr>
        <w:tc>
          <w:tcPr>
            <w:tcW w:w="14966"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秀山土家族苗族自治县医疗保障局（本级）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5,066.01</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5,066.01</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479.96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479.96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4857"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471"/>
      </w:tblGrid>
      <w:tr>
        <w:tblPrEx>
          <w:tblLayout w:type="fixed"/>
          <w:tblCellMar>
            <w:top w:w="0" w:type="dxa"/>
            <w:left w:w="0" w:type="dxa"/>
            <w:bottom w:w="0" w:type="dxa"/>
            <w:right w:w="0" w:type="dxa"/>
          </w:tblCellMar>
        </w:tblPrEx>
        <w:trPr>
          <w:trHeight w:val="654" w:hRule="atLeast"/>
        </w:trPr>
        <w:tc>
          <w:tcPr>
            <w:tcW w:w="14857"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秀山土家族苗族自治县医疗保障局（本级）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5,066.01</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1,143.86</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3,922.15</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4,576.26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1,117.36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3,458.89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479.96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108.58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148.77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秀山土家族苗族自治县医疗保障局（本级）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4,576.26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4,576.26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4885" w:type="dxa"/>
        <w:tblInd w:w="0" w:type="dxa"/>
        <w:tblLayout w:type="fixed"/>
        <w:tblCellMar>
          <w:top w:w="0" w:type="dxa"/>
          <w:left w:w="0" w:type="dxa"/>
          <w:bottom w:w="0" w:type="dxa"/>
          <w:right w:w="0" w:type="dxa"/>
        </w:tblCellMar>
      </w:tblPr>
      <w:tblGrid>
        <w:gridCol w:w="1486"/>
        <w:gridCol w:w="3895"/>
        <w:gridCol w:w="3306"/>
        <w:gridCol w:w="3300"/>
        <w:gridCol w:w="2898"/>
      </w:tblGrid>
      <w:tr>
        <w:tblPrEx>
          <w:tblLayout w:type="fixed"/>
          <w:tblCellMar>
            <w:top w:w="0" w:type="dxa"/>
            <w:left w:w="0" w:type="dxa"/>
            <w:bottom w:w="0" w:type="dxa"/>
            <w:right w:w="0" w:type="dxa"/>
          </w:tblCellMar>
        </w:tblPrEx>
        <w:trPr>
          <w:trHeight w:val="510" w:hRule="atLeast"/>
        </w:trPr>
        <w:tc>
          <w:tcPr>
            <w:tcW w:w="14885"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秀山土家族苗族自治县医疗保障局（本级）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9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9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5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8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5,066.01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1,143.86</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3,922.15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16.56</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11.08</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4,576.26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1,117.36</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3,458.89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1,008.79</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108.58</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371.38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98.58</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w:t>
            </w:r>
            <w:r>
              <w:rPr>
                <w:rFonts w:ascii="Times New Roman" w:hAnsi="Times New Roman"/>
                <w:b/>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9.04</w:t>
            </w:r>
            <w:r>
              <w:rPr>
                <w:rFonts w:ascii="Times New Roman" w:hAnsi="Times New Roman"/>
                <w:color w:val="000000"/>
                <w:sz w:val="20"/>
                <w:u w:color="auto"/>
              </w:rPr>
              <w:t xml:space="preserve"> </w:t>
            </w:r>
          </w:p>
        </w:tc>
        <w:tc>
          <w:tcPr>
            <w:tcW w:w="2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4953"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531"/>
      </w:tblGrid>
      <w:tr>
        <w:tblPrEx>
          <w:tblLayout w:type="fixed"/>
          <w:tblCellMar>
            <w:top w:w="0" w:type="dxa"/>
            <w:left w:w="0" w:type="dxa"/>
            <w:bottom w:w="0" w:type="dxa"/>
            <w:right w:w="0" w:type="dxa"/>
          </w:tblCellMar>
        </w:tblPrEx>
        <w:trPr>
          <w:trHeight w:val="90" w:hRule="atLeast"/>
        </w:trPr>
        <w:tc>
          <w:tcPr>
            <w:tcW w:w="14953"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秀山土家族苗族自治县医疗保障局（本级）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5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24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1,118.71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1,118.71</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5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4966"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477"/>
      </w:tblGrid>
      <w:tr>
        <w:tblPrEx>
          <w:tblLayout w:type="fixed"/>
          <w:tblCellMar>
            <w:top w:w="0" w:type="dxa"/>
            <w:left w:w="0" w:type="dxa"/>
            <w:bottom w:w="0" w:type="dxa"/>
            <w:right w:w="0" w:type="dxa"/>
          </w:tblCellMar>
        </w:tblPrEx>
        <w:trPr>
          <w:trHeight w:val="644" w:hRule="atLeast"/>
        </w:trPr>
        <w:tc>
          <w:tcPr>
            <w:tcW w:w="14966"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秀山土家族苗族自治县医疗保障局（本级）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7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4980" w:type="dxa"/>
        <w:tblInd w:w="0" w:type="dxa"/>
        <w:tblLayout w:type="fixed"/>
        <w:tblCellMar>
          <w:top w:w="0" w:type="dxa"/>
          <w:left w:w="0" w:type="dxa"/>
          <w:bottom w:w="0" w:type="dxa"/>
          <w:right w:w="0" w:type="dxa"/>
        </w:tblCellMar>
      </w:tblPr>
      <w:tblGrid>
        <w:gridCol w:w="2001"/>
        <w:gridCol w:w="2917"/>
        <w:gridCol w:w="3264"/>
        <w:gridCol w:w="199"/>
        <w:gridCol w:w="3463"/>
        <w:gridCol w:w="77"/>
        <w:gridCol w:w="3059"/>
      </w:tblGrid>
      <w:tr>
        <w:tblPrEx>
          <w:tblLayout w:type="fixed"/>
          <w:tblCellMar>
            <w:top w:w="0" w:type="dxa"/>
            <w:left w:w="0" w:type="dxa"/>
            <w:bottom w:w="0" w:type="dxa"/>
            <w:right w:w="0" w:type="dxa"/>
          </w:tblCellMar>
        </w:tblPrEx>
        <w:trPr>
          <w:trHeight w:val="650" w:hRule="atLeast"/>
        </w:trPr>
        <w:tc>
          <w:tcPr>
            <w:tcW w:w="1498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秀山土家族苗族自治县医疗保障局（本级）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5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5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0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3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3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3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秀山土家族苗族自治县医疗保障局（本级）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21.24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5FCD0"/>
    <w:multiLevelType w:val="singleLevel"/>
    <w:tmpl w:val="CB35FC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487C37"/>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5718F3"/>
    <w:rsid w:val="0B9335CE"/>
    <w:rsid w:val="0BF2311A"/>
    <w:rsid w:val="0C7927C4"/>
    <w:rsid w:val="0C9B098C"/>
    <w:rsid w:val="0D673E11"/>
    <w:rsid w:val="0D7816A5"/>
    <w:rsid w:val="0DDA54E4"/>
    <w:rsid w:val="0E3A5F83"/>
    <w:rsid w:val="0F836721"/>
    <w:rsid w:val="0FA25D96"/>
    <w:rsid w:val="0FBD3C60"/>
    <w:rsid w:val="1060658D"/>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54E20A6"/>
    <w:rsid w:val="163A6CEE"/>
    <w:rsid w:val="165D2BB7"/>
    <w:rsid w:val="173708E3"/>
    <w:rsid w:val="17C374FC"/>
    <w:rsid w:val="182E4AB6"/>
    <w:rsid w:val="189079DC"/>
    <w:rsid w:val="189B0D0B"/>
    <w:rsid w:val="18B43F7C"/>
    <w:rsid w:val="191C433B"/>
    <w:rsid w:val="194A1770"/>
    <w:rsid w:val="19B906A4"/>
    <w:rsid w:val="1B6F15B6"/>
    <w:rsid w:val="1BAA2EDC"/>
    <w:rsid w:val="1CA55E64"/>
    <w:rsid w:val="1CDC7DB3"/>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56E0A"/>
    <w:rsid w:val="1FCD26AF"/>
    <w:rsid w:val="20642787"/>
    <w:rsid w:val="21556F04"/>
    <w:rsid w:val="22403BD3"/>
    <w:rsid w:val="235417B6"/>
    <w:rsid w:val="24B92327"/>
    <w:rsid w:val="24C14514"/>
    <w:rsid w:val="2533755C"/>
    <w:rsid w:val="25791755"/>
    <w:rsid w:val="25FA786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6D312E"/>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125C4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3478BC"/>
    <w:rsid w:val="43486024"/>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EA54511"/>
    <w:rsid w:val="4F0C6BA3"/>
    <w:rsid w:val="4F186D58"/>
    <w:rsid w:val="50845E23"/>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2FC09EA"/>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9B17493"/>
    <w:rsid w:val="6A540F2C"/>
    <w:rsid w:val="6A6C7940"/>
    <w:rsid w:val="6A9F1565"/>
    <w:rsid w:val="6AAD2300"/>
    <w:rsid w:val="6B474EF5"/>
    <w:rsid w:val="6B683F46"/>
    <w:rsid w:val="6C0A5AC5"/>
    <w:rsid w:val="6C560CAE"/>
    <w:rsid w:val="6C576495"/>
    <w:rsid w:val="6D7C0FA9"/>
    <w:rsid w:val="6D903FF5"/>
    <w:rsid w:val="6DA955B8"/>
    <w:rsid w:val="6DE346AB"/>
    <w:rsid w:val="6DE5391A"/>
    <w:rsid w:val="6EFD1324"/>
    <w:rsid w:val="6F5A53AC"/>
    <w:rsid w:val="6FAC003D"/>
    <w:rsid w:val="6FD926BF"/>
    <w:rsid w:val="6FE55E12"/>
    <w:rsid w:val="6FFB2E76"/>
    <w:rsid w:val="70584887"/>
    <w:rsid w:val="708F6F7F"/>
    <w:rsid w:val="70D94BD3"/>
    <w:rsid w:val="71574775"/>
    <w:rsid w:val="71C34D91"/>
    <w:rsid w:val="72DB435C"/>
    <w:rsid w:val="72E2613A"/>
    <w:rsid w:val="72F771F4"/>
    <w:rsid w:val="73934AD2"/>
    <w:rsid w:val="750837F0"/>
    <w:rsid w:val="754758CF"/>
    <w:rsid w:val="75595ECD"/>
    <w:rsid w:val="764F62AB"/>
    <w:rsid w:val="765C45EC"/>
    <w:rsid w:val="768A7619"/>
    <w:rsid w:val="76D521AC"/>
    <w:rsid w:val="772E1EBA"/>
    <w:rsid w:val="781926BC"/>
    <w:rsid w:val="796D60A4"/>
    <w:rsid w:val="797A664A"/>
    <w:rsid w:val="797B6EF8"/>
    <w:rsid w:val="79A031D5"/>
    <w:rsid w:val="79B47FDF"/>
    <w:rsid w:val="79E569A9"/>
    <w:rsid w:val="7A1525F7"/>
    <w:rsid w:val="7B420052"/>
    <w:rsid w:val="7B806A00"/>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2025-10-11T09:26:00Z</cp:lastPrinted>
  <dcterms:modified xsi:type="dcterms:W3CDTF">2025-10-24T02:35:37Z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