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重庆市秀山土家族苗族自治县医疗保障局</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_GBK" w:hAnsi="方正小标宋_GBK" w:eastAsia="方正小标宋_GBK" w:cs="方正小标宋_GBK"/>
          <w:b w:val="0"/>
          <w:bCs w:val="0"/>
          <w:sz w:val="44"/>
          <w:szCs w:val="44"/>
          <w:shd w:val="clear" w:color="auto" w:fill="FFFFFF"/>
        </w:rPr>
      </w:pPr>
      <w:r>
        <w:rPr>
          <w:rFonts w:hint="eastAsia" w:ascii="方正小标宋_GBK" w:hAnsi="方正小标宋_GBK" w:eastAsia="方正小标宋_GBK" w:cs="方正小标宋_GBK"/>
          <w:b w:val="0"/>
          <w:bCs w:val="0"/>
          <w:sz w:val="44"/>
          <w:szCs w:val="44"/>
          <w:shd w:val="clear" w:color="auto" w:fill="FFFFFF"/>
        </w:rPr>
        <w:t>2024年度决算公开说明</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_GBK" w:hAnsi="方正小标宋_GBK" w:eastAsia="方正小标宋_GBK" w:cs="方正小标宋_GBK"/>
          <w:b w:val="0"/>
          <w:bCs w:val="0"/>
          <w:sz w:val="44"/>
          <w:szCs w:val="44"/>
          <w:shd w:val="clear" w:color="auto" w:fill="FFFFFF"/>
        </w:rPr>
      </w:pP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0"/>
          <w:rFonts w:hint="eastAsia" w:ascii="方正黑体_GBK" w:hAnsi="方正黑体_GBK" w:eastAsia="方正黑体_GBK" w:cs="方正黑体_GBK"/>
          <w:b w:val="0"/>
          <w:bCs/>
          <w:color w:val="auto"/>
          <w:sz w:val="32"/>
          <w:szCs w:val="32"/>
          <w:highlight w:val="none"/>
          <w:shd w:val="clear" w:color="auto" w:fill="FFFFFF"/>
        </w:rPr>
      </w:pPr>
      <w:r>
        <w:rPr>
          <w:rStyle w:val="10"/>
          <w:rFonts w:hint="eastAsia" w:ascii="方正黑体_GBK" w:hAnsi="方正黑体_GBK" w:eastAsia="方正黑体_GBK" w:cs="方正黑体_GBK"/>
          <w:b w:val="0"/>
          <w:bCs/>
          <w:color w:val="auto"/>
          <w:sz w:val="32"/>
          <w:szCs w:val="32"/>
          <w:highlight w:val="none"/>
          <w:shd w:val="clear" w:color="auto" w:fill="FFFFFF"/>
        </w:rPr>
        <w:t>一、</w:t>
      </w:r>
      <w:r>
        <w:rPr>
          <w:rStyle w:val="10"/>
          <w:rFonts w:hint="eastAsia" w:ascii="方正黑体_GBK" w:hAnsi="方正黑体_GBK" w:eastAsia="方正黑体_GBK" w:cs="方正黑体_GBK"/>
          <w:b w:val="0"/>
          <w:bCs/>
          <w:color w:val="auto"/>
          <w:sz w:val="32"/>
          <w:szCs w:val="32"/>
          <w:highlight w:val="none"/>
          <w:shd w:val="clear" w:color="auto" w:fill="FFFFFF"/>
          <w:lang w:eastAsia="zh-CN"/>
        </w:rPr>
        <w:t>部门</w:t>
      </w:r>
      <w:r>
        <w:rPr>
          <w:rStyle w:val="10"/>
          <w:rFonts w:hint="eastAsia" w:ascii="方正黑体_GBK" w:hAnsi="方正黑体_GBK" w:eastAsia="方正黑体_GBK" w:cs="方正黑体_GBK"/>
          <w:b w:val="0"/>
          <w:bCs/>
          <w:color w:val="auto"/>
          <w:sz w:val="32"/>
          <w:szCs w:val="32"/>
          <w:highlight w:val="none"/>
          <w:shd w:val="clear" w:color="auto" w:fill="FFFFFF"/>
        </w:rPr>
        <w:t>基本情况</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color w:val="auto"/>
          <w:sz w:val="32"/>
          <w:szCs w:val="32"/>
          <w:highlight w:val="none"/>
        </w:rPr>
      </w:pPr>
      <w:r>
        <w:rPr>
          <w:rStyle w:val="10"/>
          <w:rFonts w:hint="eastAsia" w:ascii="方正楷体_GBK" w:hAnsi="方正楷体_GBK" w:eastAsia="方正楷体_GBK" w:cs="方正楷体_GBK"/>
          <w:b w:val="0"/>
          <w:bCs/>
          <w:color w:val="auto"/>
          <w:sz w:val="32"/>
          <w:szCs w:val="32"/>
          <w:highlight w:val="none"/>
          <w:shd w:val="clear" w:color="auto" w:fill="FFFFFF"/>
        </w:rPr>
        <w:t>（一）职能职责</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outlineLvl w:val="9"/>
        <w:rPr>
          <w:rFonts w:hint="default" w:ascii="Times New Roman" w:hAnsi="Times New Roman" w:eastAsia="方正仿宋_GBK" w:cs="Times New Roman"/>
          <w:b w:val="0"/>
          <w:bCs/>
          <w:color w:val="auto"/>
          <w:kern w:val="0"/>
          <w:sz w:val="32"/>
          <w:szCs w:val="32"/>
          <w:highlight w:val="none"/>
          <w:lang w:bidi="ar-SA"/>
        </w:rPr>
      </w:pPr>
      <w:r>
        <w:rPr>
          <w:rFonts w:hint="default" w:ascii="Times New Roman" w:hAnsi="Times New Roman" w:eastAsia="方正仿宋_GBK" w:cs="Times New Roman"/>
          <w:b w:val="0"/>
          <w:bCs/>
          <w:color w:val="auto"/>
          <w:kern w:val="0"/>
          <w:sz w:val="32"/>
          <w:szCs w:val="32"/>
          <w:highlight w:val="none"/>
          <w:lang w:bidi="ar-SA"/>
        </w:rPr>
        <w:t>根据秀山委办发〔2019〕17号精神，秀山土家族苗族自治县医疗保障局是县政府工作部门。主要职责是：</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outlineLvl w:val="9"/>
        <w:rPr>
          <w:rFonts w:hint="default" w:ascii="Times New Roman" w:hAnsi="Times New Roman" w:eastAsia="方正仿宋_GBK" w:cs="Times New Roman"/>
          <w:b w:val="0"/>
          <w:bCs/>
          <w:color w:val="auto"/>
          <w:kern w:val="0"/>
          <w:sz w:val="32"/>
          <w:szCs w:val="32"/>
          <w:highlight w:val="none"/>
          <w:lang w:bidi="ar-SA"/>
        </w:rPr>
      </w:pPr>
      <w:r>
        <w:rPr>
          <w:rFonts w:hint="default" w:ascii="Times New Roman" w:hAnsi="Times New Roman" w:eastAsia="方正仿宋_GBK" w:cs="Times New Roman"/>
          <w:b w:val="0"/>
          <w:bCs/>
          <w:color w:val="auto"/>
          <w:kern w:val="0"/>
          <w:sz w:val="32"/>
          <w:szCs w:val="32"/>
          <w:highlight w:val="none"/>
          <w:lang w:bidi="ar-SA"/>
        </w:rPr>
        <w:t>1.贯彻执行国家及重庆市医疗保险、生育保险、医疗救助等医疗保障制度的法律法规、政策、规划和标准。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outlineLvl w:val="9"/>
        <w:rPr>
          <w:rFonts w:hint="default" w:ascii="Times New Roman" w:hAnsi="Times New Roman" w:eastAsia="方正仿宋_GBK" w:cs="Times New Roman"/>
          <w:b w:val="0"/>
          <w:bCs/>
          <w:color w:val="auto"/>
          <w:kern w:val="0"/>
          <w:sz w:val="32"/>
          <w:szCs w:val="32"/>
          <w:highlight w:val="none"/>
          <w:lang w:bidi="ar-SA"/>
        </w:rPr>
      </w:pPr>
      <w:r>
        <w:rPr>
          <w:rFonts w:hint="default" w:ascii="Times New Roman" w:hAnsi="Times New Roman" w:eastAsia="方正仿宋_GBK" w:cs="Times New Roman"/>
          <w:b w:val="0"/>
          <w:bCs/>
          <w:color w:val="auto"/>
          <w:kern w:val="0"/>
          <w:sz w:val="32"/>
          <w:szCs w:val="32"/>
          <w:highlight w:val="none"/>
          <w:lang w:bidi="ar-SA"/>
        </w:rPr>
        <w:t>2.贯彻执行医疗保障筹资和待遇政策。适时实施长期护理保险制度改革。</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outlineLvl w:val="9"/>
        <w:rPr>
          <w:rFonts w:hint="default" w:ascii="Times New Roman" w:hAnsi="Times New Roman" w:eastAsia="方正仿宋_GBK" w:cs="Times New Roman"/>
          <w:b w:val="0"/>
          <w:bCs/>
          <w:color w:val="auto"/>
          <w:kern w:val="0"/>
          <w:sz w:val="32"/>
          <w:szCs w:val="32"/>
          <w:highlight w:val="none"/>
          <w:lang w:bidi="ar-SA"/>
        </w:rPr>
      </w:pPr>
      <w:r>
        <w:rPr>
          <w:rFonts w:hint="default" w:ascii="Times New Roman" w:hAnsi="Times New Roman" w:eastAsia="方正仿宋_GBK" w:cs="Times New Roman"/>
          <w:b w:val="0"/>
          <w:bCs/>
          <w:color w:val="auto"/>
          <w:kern w:val="0"/>
          <w:sz w:val="32"/>
          <w:szCs w:val="32"/>
          <w:highlight w:val="none"/>
          <w:lang w:bidi="ar-SA"/>
        </w:rPr>
        <w:t>3.贯彻执行药品、医用耗材、医疗服务项目、医疗服务设施等医保目录和支付标准。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outlineLvl w:val="9"/>
        <w:rPr>
          <w:rFonts w:hint="default" w:ascii="Times New Roman" w:hAnsi="Times New Roman" w:eastAsia="方正仿宋_GBK" w:cs="Times New Roman"/>
          <w:b w:val="0"/>
          <w:bCs/>
          <w:color w:val="auto"/>
          <w:kern w:val="0"/>
          <w:sz w:val="32"/>
          <w:szCs w:val="32"/>
          <w:highlight w:val="none"/>
          <w:lang w:bidi="ar-SA"/>
        </w:rPr>
      </w:pPr>
      <w:r>
        <w:rPr>
          <w:rFonts w:hint="default" w:ascii="Times New Roman" w:hAnsi="Times New Roman" w:eastAsia="方正仿宋_GBK" w:cs="Times New Roman"/>
          <w:b w:val="0"/>
          <w:bCs/>
          <w:color w:val="auto"/>
          <w:kern w:val="0"/>
          <w:sz w:val="32"/>
          <w:szCs w:val="32"/>
          <w:highlight w:val="none"/>
          <w:lang w:bidi="ar-SA"/>
        </w:rPr>
        <w:t>4.负责医疗保障经办管理、公共服务体系和信息化建设。落实异地就医管理和费用结算政策。落实医疗保障关系转移接续制度。</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outlineLvl w:val="9"/>
        <w:rPr>
          <w:rFonts w:hint="default" w:ascii="Times New Roman" w:hAnsi="Times New Roman" w:eastAsia="方正仿宋_GBK" w:cs="Times New Roman"/>
          <w:b w:val="0"/>
          <w:bCs/>
          <w:color w:val="auto"/>
          <w:kern w:val="0"/>
          <w:sz w:val="32"/>
          <w:szCs w:val="32"/>
          <w:highlight w:val="none"/>
          <w:lang w:bidi="ar-SA"/>
        </w:rPr>
      </w:pPr>
      <w:r>
        <w:rPr>
          <w:rFonts w:hint="default" w:ascii="Times New Roman" w:hAnsi="Times New Roman" w:eastAsia="方正仿宋_GBK" w:cs="Times New Roman"/>
          <w:b w:val="0"/>
          <w:bCs/>
          <w:color w:val="auto"/>
          <w:kern w:val="0"/>
          <w:sz w:val="32"/>
          <w:szCs w:val="32"/>
          <w:highlight w:val="none"/>
          <w:lang w:bidi="ar-SA"/>
        </w:rPr>
        <w:t>5.贯彻执行药品、医用耗材价格和医疗服务项目、医疗服务设施收费等政策。实施医保支付医药服务价格合理确定和动态调整机制，推动建立市场主导的社会医药服务价格机制、价格信息监测和信息公开制度。</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outlineLvl w:val="9"/>
        <w:rPr>
          <w:rFonts w:hint="default" w:ascii="Times New Roman" w:hAnsi="Times New Roman" w:eastAsia="方正仿宋_GBK" w:cs="Times New Roman"/>
          <w:b w:val="0"/>
          <w:bCs/>
          <w:color w:val="auto"/>
          <w:kern w:val="0"/>
          <w:sz w:val="32"/>
          <w:szCs w:val="32"/>
          <w:highlight w:val="none"/>
          <w:lang w:bidi="ar-SA"/>
        </w:rPr>
      </w:pPr>
      <w:r>
        <w:rPr>
          <w:rFonts w:hint="default" w:ascii="Times New Roman" w:hAnsi="Times New Roman" w:eastAsia="方正仿宋_GBK" w:cs="Times New Roman"/>
          <w:b w:val="0"/>
          <w:bCs/>
          <w:color w:val="auto"/>
          <w:kern w:val="0"/>
          <w:sz w:val="32"/>
          <w:szCs w:val="32"/>
          <w:highlight w:val="none"/>
          <w:lang w:bidi="ar-SA"/>
        </w:rPr>
        <w:t>6.贯彻执行药品、医用耗材的招标采购政策。</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outlineLvl w:val="9"/>
        <w:rPr>
          <w:rFonts w:hint="default" w:ascii="Times New Roman" w:hAnsi="Times New Roman" w:eastAsia="方正仿宋_GBK" w:cs="Times New Roman"/>
          <w:b w:val="0"/>
          <w:bCs/>
          <w:color w:val="auto"/>
          <w:kern w:val="0"/>
          <w:sz w:val="32"/>
          <w:szCs w:val="32"/>
          <w:highlight w:val="none"/>
          <w:lang w:bidi="ar-SA"/>
        </w:rPr>
      </w:pPr>
      <w:r>
        <w:rPr>
          <w:rFonts w:hint="default" w:ascii="Times New Roman" w:hAnsi="Times New Roman" w:eastAsia="方正仿宋_GBK" w:cs="Times New Roman"/>
          <w:b w:val="0"/>
          <w:bCs/>
          <w:color w:val="auto"/>
          <w:kern w:val="0"/>
          <w:sz w:val="32"/>
          <w:szCs w:val="32"/>
          <w:highlight w:val="none"/>
          <w:lang w:bidi="ar-SA"/>
        </w:rPr>
        <w:t>7.负责城乡居民医疗救助工作。经办医疗救助业务，组织开展城乡居民医疗救助政策宣传和相关培训，推进城乡居民医疗救助信息系统建设。</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outlineLvl w:val="9"/>
        <w:rPr>
          <w:rFonts w:hint="default" w:ascii="Times New Roman" w:hAnsi="Times New Roman" w:eastAsia="方正仿宋_GBK" w:cs="Times New Roman"/>
          <w:b w:val="0"/>
          <w:bCs/>
          <w:color w:val="auto"/>
          <w:kern w:val="0"/>
          <w:sz w:val="32"/>
          <w:szCs w:val="32"/>
          <w:highlight w:val="none"/>
          <w:lang w:bidi="ar-SA"/>
        </w:rPr>
      </w:pPr>
      <w:r>
        <w:rPr>
          <w:rFonts w:hint="default" w:ascii="Times New Roman" w:hAnsi="Times New Roman" w:eastAsia="方正仿宋_GBK" w:cs="Times New Roman"/>
          <w:b w:val="0"/>
          <w:bCs/>
          <w:color w:val="auto"/>
          <w:kern w:val="0"/>
          <w:sz w:val="32"/>
          <w:szCs w:val="32"/>
          <w:highlight w:val="none"/>
          <w:lang w:bidi="ar-SA"/>
        </w:rPr>
        <w:t>8.贯彻执行医疗保障基金监督管理办法，建立健全医疗保障基金安全防控机制，实施医疗保障基金支付方式改革。</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outlineLvl w:val="9"/>
        <w:rPr>
          <w:rFonts w:hint="default" w:ascii="Times New Roman" w:hAnsi="Times New Roman" w:eastAsia="方正仿宋_GBK" w:cs="Times New Roman"/>
          <w:b w:val="0"/>
          <w:bCs/>
          <w:color w:val="auto"/>
          <w:kern w:val="0"/>
          <w:sz w:val="32"/>
          <w:szCs w:val="32"/>
          <w:highlight w:val="none"/>
          <w:lang w:bidi="ar-SA"/>
        </w:rPr>
      </w:pPr>
      <w:r>
        <w:rPr>
          <w:rFonts w:hint="default" w:ascii="Times New Roman" w:hAnsi="Times New Roman" w:eastAsia="方正仿宋_GBK" w:cs="Times New Roman"/>
          <w:b w:val="0"/>
          <w:bCs/>
          <w:color w:val="auto"/>
          <w:kern w:val="0"/>
          <w:sz w:val="32"/>
          <w:szCs w:val="32"/>
          <w:highlight w:val="none"/>
          <w:lang w:bidi="ar-SA"/>
        </w:rPr>
        <w:t>9.贯彻执行定点医药机构协议和支付管理办法，建立健全医疗保障信用评价体系和信息披露制度，监督管理纳入医保范围内的医疗服务行为和医疗费用，依法查处医疗保障领域违法违规行为。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outlineLvl w:val="9"/>
        <w:rPr>
          <w:rFonts w:hint="default" w:ascii="Times New Roman" w:hAnsi="Times New Roman" w:eastAsia="方正仿宋_GBK" w:cs="Times New Roman"/>
          <w:b w:val="0"/>
          <w:bCs/>
          <w:color w:val="auto"/>
          <w:kern w:val="0"/>
          <w:sz w:val="32"/>
          <w:szCs w:val="32"/>
          <w:highlight w:val="none"/>
          <w:lang w:bidi="ar-SA"/>
        </w:rPr>
      </w:pPr>
      <w:r>
        <w:rPr>
          <w:rFonts w:hint="default" w:ascii="Times New Roman" w:hAnsi="Times New Roman" w:eastAsia="方正仿宋_GBK" w:cs="Times New Roman"/>
          <w:b w:val="0"/>
          <w:bCs/>
          <w:color w:val="auto"/>
          <w:kern w:val="0"/>
          <w:sz w:val="32"/>
          <w:szCs w:val="32"/>
          <w:highlight w:val="none"/>
          <w:lang w:bidi="ar-SA"/>
        </w:rPr>
        <w:t>10.职能转变。秀山土家族苗族自治县医疗保障局要完善统一的城乡居民基本医疗保险制度和大病保险制度，建立健全覆盖全民、城乡统筹的多层次医疗保障体系，不断提高医疗保障水平，确保医保资金合理使用、安全可控，推进医疗、医保、医药“三医联动”改革，更好保障人民群众就医需求、减轻医药费用负担。</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outlineLvl w:val="9"/>
        <w:rPr>
          <w:rFonts w:hint="default" w:ascii="Times New Roman" w:hAnsi="Times New Roman" w:eastAsia="方正仿宋_GBK" w:cs="Times New Roman"/>
          <w:b w:val="0"/>
          <w:bCs/>
          <w:color w:val="auto"/>
          <w:kern w:val="0"/>
          <w:sz w:val="32"/>
          <w:szCs w:val="32"/>
          <w:highlight w:val="none"/>
          <w:lang w:bidi="ar-SA"/>
        </w:rPr>
      </w:pPr>
      <w:r>
        <w:rPr>
          <w:rFonts w:hint="default" w:ascii="Times New Roman" w:hAnsi="Times New Roman" w:eastAsia="方正仿宋_GBK" w:cs="Times New Roman"/>
          <w:b w:val="0"/>
          <w:bCs/>
          <w:color w:val="auto"/>
          <w:kern w:val="0"/>
          <w:sz w:val="32"/>
          <w:szCs w:val="32"/>
          <w:highlight w:val="none"/>
          <w:lang w:bidi="ar-SA"/>
        </w:rPr>
        <w:t>11.与有关部门的职责分工。秀山土家族苗族自治县医疗保障局要建立与县发展和改革委员会、县卫生健康委员会、县市场监督管理局、国家税务总局重庆市秀山县税务局等部门的沟通协商机制，加强制度、政策衔接，协同推进改革，提高医疗资源使用效率和医疗保障水平。</w:t>
      </w:r>
    </w:p>
    <w:p>
      <w:pPr>
        <w:pStyle w:val="6"/>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60" w:lineRule="exact"/>
        <w:ind w:left="0" w:firstLine="640" w:firstLineChars="200"/>
        <w:jc w:val="both"/>
        <w:textAlignment w:val="auto"/>
        <w:rPr>
          <w:rFonts w:hint="default" w:ascii="Times New Roman" w:hAnsi="Times New Roman" w:eastAsia="方正仿宋_GBK" w:cs="Times New Roman"/>
          <w:b w:val="0"/>
          <w:bCs/>
          <w:color w:val="auto"/>
          <w:kern w:val="0"/>
          <w:sz w:val="32"/>
          <w:szCs w:val="32"/>
          <w:highlight w:val="none"/>
          <w:lang w:bidi="ar-SA"/>
        </w:rPr>
      </w:pPr>
      <w:r>
        <w:rPr>
          <w:rFonts w:hint="default" w:ascii="Times New Roman" w:hAnsi="Times New Roman" w:eastAsia="方正仿宋_GBK" w:cs="Times New Roman"/>
          <w:b w:val="0"/>
          <w:bCs/>
          <w:color w:val="auto"/>
          <w:kern w:val="0"/>
          <w:sz w:val="32"/>
          <w:szCs w:val="32"/>
          <w:highlight w:val="none"/>
          <w:lang w:bidi="ar-SA"/>
        </w:rPr>
        <w:t>12.完成县委县政府交办的其他任务。</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0"/>
          <w:rFonts w:hint="default" w:ascii="方正楷体_GBK" w:hAnsi="方正楷体_GBK" w:eastAsia="方正楷体_GBK" w:cs="方正楷体_GBK"/>
          <w:b w:val="0"/>
          <w:bCs/>
          <w:color w:val="auto"/>
          <w:sz w:val="32"/>
          <w:szCs w:val="32"/>
          <w:highlight w:val="none"/>
          <w:shd w:val="clear" w:color="auto" w:fill="FFFFFF"/>
        </w:rPr>
      </w:pPr>
      <w:r>
        <w:rPr>
          <w:rStyle w:val="10"/>
          <w:rFonts w:hint="default" w:ascii="方正楷体_GBK" w:hAnsi="方正楷体_GBK" w:eastAsia="方正楷体_GBK" w:cs="方正楷体_GBK"/>
          <w:b w:val="0"/>
          <w:bCs/>
          <w:color w:val="auto"/>
          <w:sz w:val="32"/>
          <w:szCs w:val="32"/>
          <w:highlight w:val="none"/>
          <w:shd w:val="clear" w:color="auto" w:fill="FFFFFF"/>
        </w:rPr>
        <w:t>（二）机构设置</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outlineLvl w:val="9"/>
        <w:rPr>
          <w:rFonts w:hint="default" w:ascii="Times New Roman" w:hAnsi="Times New Roman" w:eastAsia="方正仿宋_GBK" w:cs="Times New Roman"/>
          <w:b w:val="0"/>
          <w:bCs/>
          <w:color w:val="auto"/>
          <w:kern w:val="0"/>
          <w:sz w:val="32"/>
          <w:szCs w:val="32"/>
          <w:highlight w:val="none"/>
          <w:lang w:bidi="ar-SA"/>
        </w:rPr>
      </w:pPr>
      <w:r>
        <w:rPr>
          <w:rFonts w:hint="default" w:ascii="Times New Roman" w:hAnsi="Times New Roman" w:eastAsia="方正仿宋_GBK" w:cs="Times New Roman"/>
          <w:b w:val="0"/>
          <w:bCs/>
          <w:color w:val="auto"/>
          <w:kern w:val="0"/>
          <w:sz w:val="32"/>
          <w:szCs w:val="32"/>
          <w:highlight w:val="none"/>
          <w:lang w:bidi="ar-SA"/>
        </w:rPr>
        <w:t>1.办公室。负责机关日常运转管理。承担公文处理、人事管理、机构编制、教育培训、队伍建设、退休人员管理、党群、安全、保密、信访、机要、信息、档案、宣传、政务公开和后勤保障等工作，承担行政复议、行政应诉等相关工作。负责基金财务管理。承担医疗保障基金年度预决算编制、审核，建立健全财务管理制度。承担医疗保障信息化建设和统计工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outlineLvl w:val="9"/>
        <w:rPr>
          <w:rFonts w:hint="default" w:ascii="Times New Roman" w:hAnsi="Times New Roman" w:eastAsia="方正仿宋_GBK" w:cs="Times New Roman"/>
          <w:b w:val="0"/>
          <w:bCs/>
          <w:color w:val="auto"/>
          <w:kern w:val="0"/>
          <w:sz w:val="32"/>
          <w:szCs w:val="32"/>
          <w:highlight w:val="none"/>
          <w:lang w:bidi="ar-SA"/>
        </w:rPr>
      </w:pPr>
      <w:r>
        <w:rPr>
          <w:rFonts w:hint="default" w:ascii="Times New Roman" w:hAnsi="Times New Roman" w:eastAsia="方正仿宋_GBK" w:cs="Times New Roman"/>
          <w:b w:val="0"/>
          <w:bCs/>
          <w:color w:val="auto"/>
          <w:kern w:val="0"/>
          <w:sz w:val="32"/>
          <w:szCs w:val="32"/>
          <w:highlight w:val="none"/>
          <w:lang w:bidi="ar-SA"/>
        </w:rPr>
        <w:t>2.医疗保障科。负责全县医疗保障事业发展规划的拟定并组织实施。负责医疗待遇保障管理。执行医疗保险、生育保险和长期护理保险参保筹资及待遇政策。承担城乡医疗救助、城乡居民大病保险和其他各项补充保险的管理，建立健全覆盖全民、城乡统筹的多层次医疗保障体系。落实医疗保障关系转移接续制度、城镇职工基本医疗保险视同缴费年限的认定和医疗保障扶贫等工作。负责医药服务管理。执行医保目录和支付标准。执行定点医药机构医保协议和支付管理、异地就医管理办法和结算政策。执行药品、医用耗材价格和医疗服务项目、医疗服务设施收费政策，建立价格信息监测和公开制度。执行药品、医用耗材招标采购政策，实施医保支付方式改革。</w:t>
      </w:r>
    </w:p>
    <w:p>
      <w:pPr>
        <w:pStyle w:val="6"/>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60" w:lineRule="exact"/>
        <w:ind w:left="0" w:firstLine="640" w:firstLineChars="200"/>
        <w:jc w:val="both"/>
        <w:textAlignment w:val="auto"/>
        <w:rPr>
          <w:rFonts w:hint="default" w:ascii="Times New Roman" w:hAnsi="Times New Roman" w:eastAsia="方正仿宋_GBK" w:cs="Times New Roman"/>
          <w:b w:val="0"/>
          <w:bCs/>
          <w:color w:val="auto"/>
          <w:kern w:val="0"/>
          <w:sz w:val="32"/>
          <w:szCs w:val="32"/>
          <w:highlight w:val="none"/>
          <w:lang w:bidi="ar-SA"/>
        </w:rPr>
      </w:pPr>
      <w:r>
        <w:rPr>
          <w:rFonts w:hint="default" w:ascii="Times New Roman" w:hAnsi="Times New Roman" w:eastAsia="方正仿宋_GBK" w:cs="Times New Roman"/>
          <w:b w:val="0"/>
          <w:bCs/>
          <w:color w:val="auto"/>
          <w:kern w:val="0"/>
          <w:sz w:val="32"/>
          <w:szCs w:val="32"/>
          <w:highlight w:val="none"/>
          <w:lang w:bidi="ar-SA"/>
        </w:rPr>
        <w:t>3.基金监管科（挂内审科牌子）。负责医疗保障基金监督管理。承担内控制度建设及监督管理。建立健全医疗保障基金安全防控机制，监督管理纳入医保支付范围的医疗服务行为和医疗费用，规范医保经办业务，负责医疗保障信用评价体系和信息披露制度的执行。承担医疗保障领域违法违规行为查处相关工作。承担机关和所属事业单位预决算、财务核算、资产管理等内部审计工作。</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0"/>
          <w:rFonts w:hint="default" w:ascii="方正黑体_GBK" w:hAnsi="方正黑体_GBK" w:eastAsia="方正黑体_GBK" w:cs="方正黑体_GBK"/>
          <w:b w:val="0"/>
          <w:bCs/>
          <w:color w:val="auto"/>
          <w:sz w:val="32"/>
          <w:szCs w:val="32"/>
          <w:highlight w:val="none"/>
          <w:shd w:val="clear" w:color="auto" w:fill="FFFFFF"/>
        </w:rPr>
      </w:pPr>
      <w:r>
        <w:rPr>
          <w:rStyle w:val="10"/>
          <w:rFonts w:hint="default" w:ascii="方正黑体_GBK" w:hAnsi="方正黑体_GBK" w:eastAsia="方正黑体_GBK" w:cs="方正黑体_GBK"/>
          <w:b w:val="0"/>
          <w:bCs/>
          <w:color w:val="auto"/>
          <w:sz w:val="32"/>
          <w:szCs w:val="32"/>
          <w:highlight w:val="none"/>
          <w:shd w:val="clear" w:color="auto" w:fill="FFFFFF"/>
        </w:rPr>
        <w:t>二、</w:t>
      </w:r>
      <w:r>
        <w:rPr>
          <w:rStyle w:val="10"/>
          <w:rFonts w:hint="default" w:ascii="方正黑体_GBK" w:hAnsi="方正黑体_GBK" w:eastAsia="方正黑体_GBK" w:cs="方正黑体_GBK"/>
          <w:b w:val="0"/>
          <w:bCs/>
          <w:color w:val="auto"/>
          <w:sz w:val="32"/>
          <w:szCs w:val="32"/>
          <w:highlight w:val="none"/>
          <w:shd w:val="clear" w:color="auto" w:fill="FFFFFF"/>
          <w:lang w:eastAsia="zh-CN"/>
        </w:rPr>
        <w:t>部门</w:t>
      </w:r>
      <w:r>
        <w:rPr>
          <w:rStyle w:val="10"/>
          <w:rFonts w:hint="default" w:ascii="方正黑体_GBK" w:hAnsi="方正黑体_GBK" w:eastAsia="方正黑体_GBK" w:cs="方正黑体_GBK"/>
          <w:b w:val="0"/>
          <w:bCs/>
          <w:color w:val="auto"/>
          <w:sz w:val="32"/>
          <w:szCs w:val="32"/>
          <w:highlight w:val="none"/>
          <w:shd w:val="clear" w:color="auto" w:fill="FFFFFF"/>
        </w:rPr>
        <w:t>决算</w:t>
      </w:r>
      <w:r>
        <w:rPr>
          <w:rStyle w:val="10"/>
          <w:rFonts w:hint="default" w:ascii="方正黑体_GBK" w:hAnsi="方正黑体_GBK" w:eastAsia="方正黑体_GBK" w:cs="方正黑体_GBK"/>
          <w:b w:val="0"/>
          <w:bCs/>
          <w:color w:val="auto"/>
          <w:sz w:val="32"/>
          <w:szCs w:val="32"/>
          <w:highlight w:val="none"/>
          <w:shd w:val="clear" w:color="auto" w:fill="FFFFFF"/>
          <w:lang w:eastAsia="zh-CN"/>
        </w:rPr>
        <w:t>收支</w:t>
      </w:r>
      <w:r>
        <w:rPr>
          <w:rStyle w:val="10"/>
          <w:rFonts w:hint="default" w:ascii="方正黑体_GBK" w:hAnsi="方正黑体_GBK" w:eastAsia="方正黑体_GBK" w:cs="方正黑体_GBK"/>
          <w:b w:val="0"/>
          <w:bCs/>
          <w:color w:val="auto"/>
          <w:sz w:val="32"/>
          <w:szCs w:val="32"/>
          <w:highlight w:val="none"/>
          <w:shd w:val="clear" w:color="auto" w:fill="FFFFFF"/>
        </w:rPr>
        <w:t>情况说明</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0"/>
          <w:rFonts w:hint="default" w:ascii="方正楷体_GBK" w:hAnsi="方正楷体_GBK" w:eastAsia="方正楷体_GBK" w:cs="方正楷体_GBK"/>
          <w:b w:val="0"/>
          <w:bCs/>
          <w:color w:val="auto"/>
          <w:sz w:val="32"/>
          <w:szCs w:val="32"/>
          <w:highlight w:val="none"/>
          <w:shd w:val="clear" w:color="auto" w:fill="FFFFFF"/>
        </w:rPr>
      </w:pPr>
      <w:r>
        <w:rPr>
          <w:rStyle w:val="10"/>
          <w:rFonts w:hint="default" w:ascii="方正楷体_GBK" w:hAnsi="方正楷体_GBK" w:eastAsia="方正楷体_GBK" w:cs="方正楷体_GBK"/>
          <w:b w:val="0"/>
          <w:bCs/>
          <w:color w:val="auto"/>
          <w:sz w:val="32"/>
          <w:szCs w:val="32"/>
          <w:highlight w:val="none"/>
          <w:shd w:val="clear" w:color="auto" w:fill="FFFFFF"/>
        </w:rPr>
        <w:t>（一）收入支出决算总体情况说明</w:t>
      </w:r>
    </w:p>
    <w:p>
      <w:pPr>
        <w:pStyle w:val="6"/>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shd w:val="clear" w:color="auto" w:fill="FFFFFF"/>
        </w:rPr>
      </w:pPr>
      <w:r>
        <w:rPr>
          <w:rFonts w:hint="default" w:ascii="Times New Roman" w:hAnsi="Times New Roman" w:eastAsia="方正仿宋_GBK" w:cs="Times New Roman"/>
          <w:b w:val="0"/>
          <w:bCs/>
          <w:color w:val="auto"/>
          <w:sz w:val="32"/>
          <w:szCs w:val="32"/>
          <w:highlight w:val="none"/>
          <w:shd w:val="clear" w:color="auto" w:fill="FFFFFF"/>
        </w:rPr>
        <w:t>2024年度收</w:t>
      </w:r>
      <w:r>
        <w:rPr>
          <w:rFonts w:hint="default" w:ascii="Times New Roman" w:hAnsi="Times New Roman" w:eastAsia="方正仿宋_GBK" w:cs="Times New Roman"/>
          <w:b w:val="0"/>
          <w:bCs/>
          <w:color w:val="auto"/>
          <w:sz w:val="32"/>
          <w:szCs w:val="32"/>
          <w:highlight w:val="none"/>
          <w:shd w:val="clear" w:color="auto" w:fill="FFFFFF"/>
          <w:lang w:eastAsia="zh-CN"/>
        </w:rPr>
        <w:t>、支</w:t>
      </w:r>
      <w:r>
        <w:rPr>
          <w:rFonts w:hint="default" w:ascii="Times New Roman" w:hAnsi="Times New Roman" w:eastAsia="方正仿宋_GBK" w:cs="Times New Roman"/>
          <w:b w:val="0"/>
          <w:bCs/>
          <w:color w:val="auto"/>
          <w:sz w:val="32"/>
          <w:szCs w:val="32"/>
          <w:highlight w:val="none"/>
          <w:shd w:val="clear" w:color="auto" w:fill="FFFFFF"/>
        </w:rPr>
        <w:t>总计</w:t>
      </w:r>
      <w:r>
        <w:rPr>
          <w:rFonts w:hint="default" w:ascii="Times New Roman" w:hAnsi="Times New Roman" w:eastAsia="方正仿宋_GBK" w:cs="Times New Roman"/>
          <w:b w:val="0"/>
          <w:bCs/>
          <w:color w:val="auto"/>
          <w:sz w:val="32"/>
          <w:szCs w:val="32"/>
          <w:highlight w:val="none"/>
          <w:shd w:val="clear" w:color="auto" w:fill="FFFFFF"/>
          <w:lang w:eastAsia="zh-CN"/>
        </w:rPr>
        <w:t>均为</w:t>
      </w:r>
      <w:r>
        <w:rPr>
          <w:rFonts w:hint="default" w:ascii="Times New Roman" w:hAnsi="Times New Roman" w:eastAsia="方正仿宋_GBK" w:cs="Times New Roman"/>
          <w:b w:val="0"/>
          <w:bCs/>
          <w:color w:val="auto"/>
          <w:sz w:val="32"/>
          <w:szCs w:val="32"/>
          <w:highlight w:val="none"/>
          <w:shd w:val="clear" w:color="auto" w:fill="FFFFFF"/>
        </w:rPr>
        <w:t>5644.58万元。收、支与2023年度相比，增加208.81万元，增长3.8%，主要原因是</w:t>
      </w:r>
      <w:r>
        <w:rPr>
          <w:rFonts w:hint="default" w:ascii="Times New Roman" w:hAnsi="Times New Roman" w:eastAsia="方正仿宋_GBK" w:cs="Times New Roman"/>
          <w:b w:val="0"/>
          <w:bCs/>
          <w:color w:val="auto"/>
          <w:sz w:val="32"/>
          <w:szCs w:val="32"/>
          <w:highlight w:val="none"/>
          <w:shd w:val="clear" w:color="auto" w:fill="FFFFFF"/>
          <w:lang w:eastAsia="zh-CN"/>
        </w:rPr>
        <w:t>医疗救助项目资金收支增加。</w:t>
      </w:r>
    </w:p>
    <w:p>
      <w:pPr>
        <w:pStyle w:val="6"/>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b w:val="0"/>
          <w:bCs/>
          <w:color w:val="auto"/>
          <w:sz w:val="32"/>
          <w:szCs w:val="32"/>
          <w:highlight w:val="none"/>
          <w:shd w:val="clear" w:color="auto" w:fill="FFFFFF"/>
        </w:rPr>
      </w:pPr>
      <w:r>
        <w:rPr>
          <w:rStyle w:val="10"/>
          <w:rFonts w:hint="default" w:ascii="Times New Roman" w:hAnsi="Times New Roman" w:eastAsia="方正仿宋_GBK" w:cs="Times New Roman"/>
          <w:b/>
          <w:bCs w:val="0"/>
          <w:color w:val="auto"/>
          <w:sz w:val="32"/>
          <w:szCs w:val="32"/>
          <w:highlight w:val="none"/>
          <w:shd w:val="clear" w:color="auto" w:fill="FFFFFF"/>
          <w:lang w:val="en-US" w:eastAsia="zh-CN"/>
        </w:rPr>
        <w:t>1</w:t>
      </w:r>
      <w:r>
        <w:rPr>
          <w:rStyle w:val="10"/>
          <w:rFonts w:hint="default" w:ascii="Times New Roman" w:hAnsi="Times New Roman" w:eastAsia="方正仿宋_GBK" w:cs="Times New Roman"/>
          <w:b/>
          <w:bCs w:val="0"/>
          <w:color w:val="auto"/>
          <w:sz w:val="32"/>
          <w:szCs w:val="32"/>
          <w:highlight w:val="none"/>
          <w:shd w:val="clear" w:color="auto" w:fill="FFFFFF"/>
        </w:rPr>
        <w:t>.</w:t>
      </w:r>
      <w:r>
        <w:rPr>
          <w:rStyle w:val="10"/>
          <w:rFonts w:hint="default" w:ascii="方正仿宋_GBK" w:hAnsi="方正仿宋_GBK" w:eastAsia="方正仿宋_GBK" w:cs="方正仿宋_GBK"/>
          <w:b/>
          <w:bCs w:val="0"/>
          <w:color w:val="auto"/>
          <w:sz w:val="32"/>
          <w:szCs w:val="32"/>
          <w:highlight w:val="none"/>
          <w:shd w:val="clear" w:color="auto" w:fill="FFFFFF"/>
        </w:rPr>
        <w:t>收入情况。</w:t>
      </w:r>
      <w:r>
        <w:rPr>
          <w:rFonts w:hint="default" w:ascii="Times New Roman" w:hAnsi="Times New Roman" w:eastAsia="方正仿宋_GBK" w:cs="Times New Roman"/>
          <w:b w:val="0"/>
          <w:bCs/>
          <w:color w:val="auto"/>
          <w:sz w:val="32"/>
          <w:szCs w:val="32"/>
          <w:highlight w:val="none"/>
          <w:shd w:val="clear" w:color="auto" w:fill="FFFFFF"/>
        </w:rPr>
        <w:t>2024年度收入合计5644.58万元，与2023年度相比，增加231.24万元，增长4.3%，主要原因是</w:t>
      </w:r>
      <w:r>
        <w:rPr>
          <w:rFonts w:hint="default" w:ascii="Times New Roman" w:hAnsi="Times New Roman" w:eastAsia="方正仿宋_GBK" w:cs="Times New Roman"/>
          <w:b w:val="0"/>
          <w:bCs/>
          <w:color w:val="auto"/>
          <w:sz w:val="32"/>
          <w:szCs w:val="32"/>
          <w:highlight w:val="none"/>
          <w:shd w:val="clear" w:color="auto" w:fill="FFFFFF"/>
          <w:lang w:eastAsia="zh-CN"/>
        </w:rPr>
        <w:t>医疗救助项目资金收入增加。</w:t>
      </w:r>
      <w:r>
        <w:rPr>
          <w:rFonts w:hint="default" w:ascii="Times New Roman" w:hAnsi="Times New Roman" w:eastAsia="方正仿宋_GBK" w:cs="Times New Roman"/>
          <w:b w:val="0"/>
          <w:bCs/>
          <w:color w:val="auto"/>
          <w:sz w:val="32"/>
          <w:szCs w:val="32"/>
          <w:highlight w:val="none"/>
          <w:shd w:val="clear" w:color="auto" w:fill="FFFFFF"/>
        </w:rPr>
        <w:t>其中：财政拨款收入5644.58万元，占100.0%；事业收入0.00万元，占0.0%；经营收入0.00万元，占0.0%；其他收入0.00万元，占0.0%。此外，使用非财政拨款结余（含专用结余）0.00万元，年初结转和结余0.00万元。</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b w:val="0"/>
          <w:bCs/>
          <w:color w:val="auto"/>
          <w:sz w:val="32"/>
          <w:szCs w:val="32"/>
          <w:highlight w:val="none"/>
          <w:shd w:val="clear" w:color="auto" w:fill="FFFFFF"/>
        </w:rPr>
      </w:pPr>
      <w:r>
        <w:rPr>
          <w:rStyle w:val="10"/>
          <w:rFonts w:hint="default" w:ascii="Times New Roman" w:hAnsi="Times New Roman" w:eastAsia="方正仿宋_GBK" w:cs="Times New Roman"/>
          <w:b/>
          <w:bCs w:val="0"/>
          <w:color w:val="auto"/>
          <w:sz w:val="32"/>
          <w:szCs w:val="32"/>
          <w:highlight w:val="none"/>
          <w:shd w:val="clear" w:color="auto" w:fill="FFFFFF"/>
          <w:lang w:val="en-US" w:eastAsia="zh-CN"/>
        </w:rPr>
        <w:t>2</w:t>
      </w:r>
      <w:r>
        <w:rPr>
          <w:rStyle w:val="10"/>
          <w:rFonts w:hint="default" w:ascii="Times New Roman" w:hAnsi="Times New Roman" w:eastAsia="方正仿宋_GBK" w:cs="Times New Roman"/>
          <w:b/>
          <w:bCs w:val="0"/>
          <w:color w:val="auto"/>
          <w:sz w:val="32"/>
          <w:szCs w:val="32"/>
          <w:highlight w:val="none"/>
          <w:shd w:val="clear" w:color="auto" w:fill="FFFFFF"/>
        </w:rPr>
        <w:t>.</w:t>
      </w:r>
      <w:r>
        <w:rPr>
          <w:rStyle w:val="10"/>
          <w:rFonts w:hint="default" w:ascii="方正仿宋_GBK" w:hAnsi="方正仿宋_GBK" w:eastAsia="方正仿宋_GBK" w:cs="方正仿宋_GBK"/>
          <w:b/>
          <w:bCs w:val="0"/>
          <w:color w:val="auto"/>
          <w:sz w:val="32"/>
          <w:szCs w:val="32"/>
          <w:highlight w:val="none"/>
          <w:shd w:val="clear" w:color="auto" w:fill="FFFFFF"/>
        </w:rPr>
        <w:t>支出情况。</w:t>
      </w:r>
      <w:r>
        <w:rPr>
          <w:rFonts w:hint="default" w:ascii="Times New Roman" w:hAnsi="Times New Roman" w:eastAsia="方正仿宋_GBK" w:cs="Times New Roman"/>
          <w:b w:val="0"/>
          <w:bCs/>
          <w:color w:val="auto"/>
          <w:sz w:val="32"/>
          <w:szCs w:val="32"/>
          <w:highlight w:val="none"/>
          <w:shd w:val="clear" w:color="auto" w:fill="FFFFFF"/>
        </w:rPr>
        <w:t>2024年度支出合计5644.58万元，与2023年度相比，增加208.81万元，增长3.8%，主要原因是</w:t>
      </w:r>
      <w:r>
        <w:rPr>
          <w:rFonts w:hint="default" w:ascii="Times New Roman" w:hAnsi="Times New Roman" w:eastAsia="方正仿宋_GBK" w:cs="Times New Roman"/>
          <w:b w:val="0"/>
          <w:bCs/>
          <w:color w:val="auto"/>
          <w:sz w:val="32"/>
          <w:szCs w:val="32"/>
          <w:highlight w:val="none"/>
          <w:shd w:val="clear" w:color="auto" w:fill="FFFFFF"/>
          <w:lang w:eastAsia="zh-CN"/>
        </w:rPr>
        <w:t>医疗救助项目资金支出增加。</w:t>
      </w:r>
      <w:r>
        <w:rPr>
          <w:rFonts w:hint="default" w:ascii="Times New Roman" w:hAnsi="Times New Roman" w:eastAsia="方正仿宋_GBK" w:cs="Times New Roman"/>
          <w:b w:val="0"/>
          <w:bCs/>
          <w:color w:val="auto"/>
          <w:sz w:val="32"/>
          <w:szCs w:val="32"/>
          <w:highlight w:val="none"/>
          <w:shd w:val="clear" w:color="auto" w:fill="FFFFFF"/>
        </w:rPr>
        <w:t>其中：基本支出1722.43万元，占30.5%；项目支出3922.15万元，占69.5%；经营支出</w:t>
      </w:r>
      <w:r>
        <w:rPr>
          <w:rFonts w:hint="default" w:ascii="Times New Roman" w:hAnsi="Times New Roman" w:eastAsia="方正仿宋_GBK" w:cs="Times New Roman"/>
          <w:b w:val="0"/>
          <w:bCs/>
          <w:color w:val="auto"/>
          <w:sz w:val="32"/>
          <w:szCs w:val="32"/>
          <w:highlight w:val="none"/>
        </w:rPr>
        <w:t>0.00</w:t>
      </w:r>
      <w:r>
        <w:rPr>
          <w:rFonts w:hint="default" w:ascii="Times New Roman" w:hAnsi="Times New Roman" w:eastAsia="方正仿宋_GBK" w:cs="Times New Roman"/>
          <w:b w:val="0"/>
          <w:bCs/>
          <w:color w:val="auto"/>
          <w:sz w:val="32"/>
          <w:szCs w:val="32"/>
          <w:highlight w:val="none"/>
          <w:shd w:val="clear" w:color="auto" w:fill="FFFFFF"/>
        </w:rPr>
        <w:t>万元，占0.0%。此外，结余分配0.00万元。</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b w:val="0"/>
          <w:bCs/>
          <w:color w:val="auto"/>
          <w:sz w:val="32"/>
          <w:szCs w:val="32"/>
          <w:highlight w:val="none"/>
          <w:lang w:val="en-US" w:eastAsia="zh-CN"/>
        </w:rPr>
      </w:pPr>
      <w:r>
        <w:rPr>
          <w:rStyle w:val="10"/>
          <w:rFonts w:hint="default" w:ascii="Times New Roman" w:hAnsi="Times New Roman" w:eastAsia="方正仿宋_GBK" w:cs="Times New Roman"/>
          <w:b/>
          <w:bCs w:val="0"/>
          <w:color w:val="auto"/>
          <w:sz w:val="32"/>
          <w:szCs w:val="32"/>
          <w:highlight w:val="none"/>
          <w:shd w:val="clear" w:color="auto" w:fill="FFFFFF"/>
          <w:lang w:val="en-US" w:eastAsia="zh-CN"/>
        </w:rPr>
        <w:t>3</w:t>
      </w:r>
      <w:r>
        <w:rPr>
          <w:rStyle w:val="10"/>
          <w:rFonts w:hint="default" w:ascii="Times New Roman" w:hAnsi="Times New Roman" w:eastAsia="方正仿宋_GBK" w:cs="Times New Roman"/>
          <w:b/>
          <w:bCs w:val="0"/>
          <w:color w:val="auto"/>
          <w:sz w:val="32"/>
          <w:szCs w:val="32"/>
          <w:highlight w:val="none"/>
          <w:shd w:val="clear" w:color="auto" w:fill="FFFFFF"/>
        </w:rPr>
        <w:t>.</w:t>
      </w:r>
      <w:r>
        <w:rPr>
          <w:rStyle w:val="10"/>
          <w:rFonts w:hint="default" w:ascii="方正仿宋_GBK" w:hAnsi="方正仿宋_GBK" w:eastAsia="方正仿宋_GBK" w:cs="方正仿宋_GBK"/>
          <w:b/>
          <w:bCs w:val="0"/>
          <w:color w:val="auto"/>
          <w:sz w:val="32"/>
          <w:szCs w:val="32"/>
          <w:highlight w:val="none"/>
          <w:shd w:val="clear" w:color="auto" w:fill="FFFFFF"/>
        </w:rPr>
        <w:t>结转结余情况。</w:t>
      </w:r>
      <w:r>
        <w:rPr>
          <w:rFonts w:hint="default" w:ascii="Times New Roman" w:hAnsi="Times New Roman" w:eastAsia="方正仿宋_GBK" w:cs="Times New Roman"/>
          <w:b w:val="0"/>
          <w:bCs/>
          <w:color w:val="auto"/>
          <w:sz w:val="32"/>
          <w:szCs w:val="32"/>
          <w:highlight w:val="none"/>
          <w:shd w:val="clear" w:color="auto" w:fill="FFFFFF"/>
        </w:rPr>
        <w:t>2024年度年末结转和结余0.00万元，与2023年度相比，无增减</w:t>
      </w:r>
      <w:r>
        <w:rPr>
          <w:rFonts w:hint="default" w:ascii="Times New Roman" w:hAnsi="Times New Roman" w:eastAsia="方正仿宋_GBK" w:cs="Times New Roman"/>
          <w:b w:val="0"/>
          <w:bCs/>
          <w:color w:val="auto"/>
          <w:sz w:val="32"/>
          <w:szCs w:val="32"/>
          <w:highlight w:val="none"/>
          <w:shd w:val="clear" w:color="auto" w:fill="FFFFFF"/>
          <w:lang w:eastAsia="zh-CN"/>
        </w:rPr>
        <w:t>。</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0"/>
          <w:rFonts w:hint="default" w:ascii="方正楷体_GBK" w:hAnsi="方正楷体_GBK" w:eastAsia="方正楷体_GBK" w:cs="方正楷体_GBK"/>
          <w:b w:val="0"/>
          <w:bCs/>
          <w:color w:val="auto"/>
          <w:sz w:val="32"/>
          <w:szCs w:val="32"/>
          <w:highlight w:val="none"/>
          <w:shd w:val="clear" w:color="auto" w:fill="FFFFFF"/>
        </w:rPr>
      </w:pPr>
      <w:r>
        <w:rPr>
          <w:rStyle w:val="10"/>
          <w:rFonts w:hint="default" w:ascii="方正楷体_GBK" w:hAnsi="方正楷体_GBK" w:eastAsia="方正楷体_GBK" w:cs="方正楷体_GBK"/>
          <w:b w:val="0"/>
          <w:bCs/>
          <w:color w:val="auto"/>
          <w:sz w:val="32"/>
          <w:szCs w:val="32"/>
          <w:highlight w:val="none"/>
          <w:shd w:val="clear" w:color="auto" w:fill="FFFFFF"/>
        </w:rPr>
        <w:t>（二）财政拨款收入支出决算总体情况说明</w:t>
      </w:r>
    </w:p>
    <w:p>
      <w:pPr>
        <w:pStyle w:val="6"/>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shd w:val="clear" w:color="auto" w:fill="FFFFFF"/>
        </w:rPr>
        <w:t>2024年度财政拨款收、支总计均为5644.58万元。与2023年</w:t>
      </w:r>
      <w:r>
        <w:rPr>
          <w:rFonts w:hint="default" w:ascii="Times New Roman" w:hAnsi="Times New Roman" w:eastAsia="方正仿宋_GBK" w:cs="Times New Roman"/>
          <w:b w:val="0"/>
          <w:bCs/>
          <w:color w:val="auto"/>
          <w:sz w:val="32"/>
          <w:szCs w:val="32"/>
          <w:highlight w:val="none"/>
          <w:shd w:val="clear" w:color="auto" w:fill="FFFFFF"/>
          <w:lang w:eastAsia="zh-CN"/>
        </w:rPr>
        <w:t>度</w:t>
      </w:r>
      <w:r>
        <w:rPr>
          <w:rFonts w:hint="default" w:ascii="Times New Roman" w:hAnsi="Times New Roman" w:eastAsia="方正仿宋_GBK" w:cs="Times New Roman"/>
          <w:b w:val="0"/>
          <w:bCs/>
          <w:color w:val="auto"/>
          <w:sz w:val="32"/>
          <w:szCs w:val="32"/>
          <w:highlight w:val="none"/>
          <w:shd w:val="clear" w:color="auto" w:fill="FFFFFF"/>
        </w:rPr>
        <w:t>相比，财政拨款收、支总计各增加208.81万元，增长3.8%。主要原因</w:t>
      </w:r>
      <w:r>
        <w:rPr>
          <w:rFonts w:hint="eastAsia" w:ascii="Times New Roman" w:hAnsi="Times New Roman" w:eastAsia="方正仿宋_GBK" w:cs="Times New Roman"/>
          <w:color w:val="auto"/>
          <w:sz w:val="32"/>
          <w:szCs w:val="32"/>
          <w:highlight w:val="none"/>
          <w:shd w:val="clear" w:color="auto" w:fill="FFFFFF"/>
          <w:lang w:eastAsia="zh-CN"/>
        </w:rPr>
        <w:t>是</w:t>
      </w:r>
      <w:r>
        <w:rPr>
          <w:rFonts w:hint="default" w:ascii="Times New Roman" w:hAnsi="Times New Roman" w:eastAsia="方正仿宋_GBK" w:cs="Times New Roman"/>
          <w:b w:val="0"/>
          <w:bCs/>
          <w:color w:val="auto"/>
          <w:sz w:val="32"/>
          <w:szCs w:val="32"/>
          <w:highlight w:val="none"/>
          <w:shd w:val="clear" w:color="auto" w:fill="FFFFFF"/>
          <w:lang w:eastAsia="zh-CN"/>
        </w:rPr>
        <w:t>医疗救助项目资金收支增</w:t>
      </w:r>
      <w:bookmarkStart w:id="0" w:name="_GoBack"/>
      <w:bookmarkEnd w:id="0"/>
      <w:r>
        <w:rPr>
          <w:rFonts w:hint="default" w:ascii="Times New Roman" w:hAnsi="Times New Roman" w:eastAsia="方正仿宋_GBK" w:cs="Times New Roman"/>
          <w:b w:val="0"/>
          <w:bCs/>
          <w:color w:val="auto"/>
          <w:sz w:val="32"/>
          <w:szCs w:val="32"/>
          <w:highlight w:val="none"/>
          <w:shd w:val="clear" w:color="auto" w:fill="FFFFFF"/>
          <w:lang w:eastAsia="zh-CN"/>
        </w:rPr>
        <w:t>加。</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0"/>
          <w:rFonts w:hint="default" w:ascii="方正楷体_GBK" w:hAnsi="方正楷体_GBK" w:eastAsia="方正楷体_GBK" w:cs="方正楷体_GBK"/>
          <w:b w:val="0"/>
          <w:bCs/>
          <w:color w:val="auto"/>
          <w:sz w:val="32"/>
          <w:szCs w:val="32"/>
          <w:highlight w:val="none"/>
          <w:shd w:val="clear" w:color="auto" w:fill="FFFFFF"/>
        </w:rPr>
      </w:pPr>
      <w:r>
        <w:rPr>
          <w:rStyle w:val="10"/>
          <w:rFonts w:hint="default" w:ascii="方正楷体_GBK" w:hAnsi="方正楷体_GBK" w:eastAsia="方正楷体_GBK" w:cs="方正楷体_GBK"/>
          <w:b w:val="0"/>
          <w:bCs/>
          <w:color w:val="auto"/>
          <w:sz w:val="32"/>
          <w:szCs w:val="32"/>
          <w:highlight w:val="none"/>
          <w:shd w:val="clear" w:color="auto" w:fill="FFFFFF"/>
        </w:rPr>
        <w:t>（三）一般公共预算财政拨款收入支出决算情况说明</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3" w:firstLineChars="200"/>
        <w:jc w:val="both"/>
        <w:textAlignment w:val="auto"/>
        <w:rPr>
          <w:rFonts w:hint="default" w:ascii="Times New Roman" w:hAnsi="Times New Roman" w:eastAsia="方正仿宋_GBK" w:cs="Times New Roman"/>
          <w:b w:val="0"/>
          <w:bCs/>
          <w:color w:val="auto"/>
          <w:sz w:val="32"/>
          <w:szCs w:val="32"/>
          <w:highlight w:val="none"/>
        </w:rPr>
      </w:pPr>
      <w:r>
        <w:rPr>
          <w:rStyle w:val="10"/>
          <w:rFonts w:hint="default" w:ascii="Times New Roman" w:hAnsi="Times New Roman" w:eastAsia="方正仿宋_GBK" w:cs="Times New Roman"/>
          <w:bCs w:val="0"/>
          <w:color w:val="auto"/>
          <w:sz w:val="32"/>
          <w:szCs w:val="32"/>
          <w:highlight w:val="none"/>
          <w:shd w:val="clear" w:color="auto" w:fill="FFFFFF"/>
          <w:lang w:val="en-US" w:eastAsia="zh-CN" w:bidi="ar-SA"/>
        </w:rPr>
        <w:t>1.</w:t>
      </w:r>
      <w:r>
        <w:rPr>
          <w:rStyle w:val="10"/>
          <w:rFonts w:hint="default" w:ascii="方正仿宋_GBK" w:hAnsi="方正仿宋_GBK" w:eastAsia="方正仿宋_GBK" w:cs="方正仿宋_GBK"/>
          <w:bCs w:val="0"/>
          <w:color w:val="auto"/>
          <w:sz w:val="32"/>
          <w:szCs w:val="32"/>
          <w:highlight w:val="none"/>
          <w:shd w:val="clear" w:color="auto" w:fill="FFFFFF"/>
          <w:lang w:val="en-US" w:eastAsia="zh-CN" w:bidi="ar-SA"/>
        </w:rPr>
        <w:t>收入情况。</w:t>
      </w:r>
      <w:r>
        <w:rPr>
          <w:rFonts w:hint="default" w:ascii="Times New Roman" w:hAnsi="Times New Roman" w:eastAsia="方正仿宋_GBK" w:cs="Times New Roman"/>
          <w:b w:val="0"/>
          <w:bCs/>
          <w:color w:val="auto"/>
          <w:sz w:val="32"/>
          <w:szCs w:val="32"/>
          <w:highlight w:val="none"/>
          <w:shd w:val="clear" w:color="auto" w:fill="FFFFFF"/>
        </w:rPr>
        <w:t>2024年度一般公共预算财政拨款收入5644.58万元，与2023年度相比，增加231.24万元，增长4.3%。主要原因是</w:t>
      </w:r>
      <w:r>
        <w:rPr>
          <w:rFonts w:hint="default" w:ascii="Times New Roman" w:hAnsi="Times New Roman" w:eastAsia="方正仿宋_GBK" w:cs="Times New Roman"/>
          <w:b w:val="0"/>
          <w:bCs/>
          <w:color w:val="auto"/>
          <w:sz w:val="32"/>
          <w:szCs w:val="32"/>
          <w:highlight w:val="none"/>
          <w:shd w:val="clear" w:color="auto" w:fill="FFFFFF"/>
          <w:lang w:eastAsia="zh-CN"/>
        </w:rPr>
        <w:t>医疗救助项目资金收入增加</w:t>
      </w:r>
      <w:r>
        <w:rPr>
          <w:rFonts w:hint="default" w:ascii="Times New Roman" w:hAnsi="Times New Roman" w:eastAsia="方正仿宋_GBK" w:cs="Times New Roman"/>
          <w:b w:val="0"/>
          <w:bCs/>
          <w:color w:val="auto"/>
          <w:sz w:val="32"/>
          <w:szCs w:val="32"/>
          <w:highlight w:val="none"/>
          <w:shd w:val="clear" w:color="auto" w:fill="FFFFFF"/>
        </w:rPr>
        <w:t>。较年初预算数减少232.07万元，下降4.0%。主要原因是</w:t>
      </w:r>
      <w:r>
        <w:rPr>
          <w:rFonts w:hint="default" w:ascii="Times New Roman" w:hAnsi="Times New Roman" w:eastAsia="方正仿宋_GBK" w:cs="Times New Roman"/>
          <w:b w:val="0"/>
          <w:bCs/>
          <w:color w:val="auto"/>
          <w:sz w:val="32"/>
          <w:szCs w:val="32"/>
          <w:highlight w:val="none"/>
          <w:lang w:val="en-US" w:eastAsia="zh-CN"/>
        </w:rPr>
        <w:t>医疗救助项目资金较年初减少。</w:t>
      </w:r>
      <w:r>
        <w:rPr>
          <w:rFonts w:hint="default" w:ascii="Times New Roman" w:hAnsi="Times New Roman" w:eastAsia="方正仿宋_GBK" w:cs="Times New Roman"/>
          <w:b w:val="0"/>
          <w:bCs/>
          <w:color w:val="auto"/>
          <w:sz w:val="32"/>
          <w:szCs w:val="32"/>
          <w:highlight w:val="none"/>
          <w:shd w:val="clear" w:color="auto" w:fill="FFFFFF"/>
        </w:rPr>
        <w:t>此外，年初财政拨款结转和结余0.00万元。</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3" w:firstLineChars="200"/>
        <w:jc w:val="both"/>
        <w:textAlignment w:val="auto"/>
        <w:rPr>
          <w:rFonts w:hint="default" w:ascii="Times New Roman" w:hAnsi="Times New Roman" w:eastAsia="方正仿宋_GBK" w:cs="Times New Roman"/>
          <w:b w:val="0"/>
          <w:bCs/>
          <w:color w:val="auto"/>
          <w:sz w:val="32"/>
          <w:szCs w:val="32"/>
          <w:highlight w:val="none"/>
          <w:shd w:val="clear" w:color="auto" w:fill="FFFFFF"/>
          <w:lang w:eastAsia="zh-CN"/>
        </w:rPr>
      </w:pPr>
      <w:r>
        <w:rPr>
          <w:rStyle w:val="10"/>
          <w:rFonts w:hint="default" w:ascii="Times New Roman" w:hAnsi="Times New Roman" w:eastAsia="方正仿宋_GBK" w:cs="Times New Roman"/>
          <w:b/>
          <w:bCs w:val="0"/>
          <w:color w:val="auto"/>
          <w:sz w:val="32"/>
          <w:szCs w:val="32"/>
          <w:highlight w:val="none"/>
          <w:shd w:val="clear" w:color="auto" w:fill="FFFFFF"/>
          <w:lang w:val="en-US" w:eastAsia="zh-CN" w:bidi="ar-SA"/>
        </w:rPr>
        <w:t>2.</w:t>
      </w:r>
      <w:r>
        <w:rPr>
          <w:rStyle w:val="10"/>
          <w:rFonts w:hint="default" w:ascii="方正仿宋_GBK" w:hAnsi="方正仿宋_GBK" w:eastAsia="方正仿宋_GBK" w:cs="方正仿宋_GBK"/>
          <w:bCs w:val="0"/>
          <w:color w:val="auto"/>
          <w:sz w:val="32"/>
          <w:szCs w:val="32"/>
          <w:highlight w:val="none"/>
          <w:shd w:val="clear" w:color="auto" w:fill="FFFFFF"/>
          <w:lang w:val="en-US" w:eastAsia="zh-CN" w:bidi="ar-SA"/>
        </w:rPr>
        <w:t>支出情况。</w:t>
      </w:r>
      <w:r>
        <w:rPr>
          <w:rFonts w:hint="default" w:ascii="Times New Roman" w:hAnsi="Times New Roman" w:eastAsia="方正仿宋_GBK" w:cs="Times New Roman"/>
          <w:b w:val="0"/>
          <w:bCs/>
          <w:color w:val="auto"/>
          <w:sz w:val="32"/>
          <w:szCs w:val="32"/>
          <w:highlight w:val="none"/>
          <w:shd w:val="clear" w:color="auto" w:fill="FFFFFF"/>
        </w:rPr>
        <w:t>2024年度一般公共预算财政拨款支出5644.58万元，与2023年度相比，增加208.81万元，增长3.8%。主要原因</w:t>
      </w:r>
      <w:r>
        <w:rPr>
          <w:rFonts w:hint="default" w:ascii="Times New Roman" w:hAnsi="Times New Roman" w:eastAsia="方正仿宋_GBK" w:cs="Times New Roman"/>
          <w:b w:val="0"/>
          <w:bCs/>
          <w:color w:val="auto"/>
          <w:sz w:val="32"/>
          <w:szCs w:val="32"/>
          <w:highlight w:val="none"/>
          <w:shd w:val="clear" w:color="auto" w:fill="FFFFFF"/>
          <w:lang w:eastAsia="zh-CN"/>
        </w:rPr>
        <w:t>医疗救助项目资金支出增加</w:t>
      </w:r>
      <w:r>
        <w:rPr>
          <w:rFonts w:hint="default" w:ascii="Times New Roman" w:hAnsi="Times New Roman" w:eastAsia="方正仿宋_GBK" w:cs="Times New Roman"/>
          <w:b w:val="0"/>
          <w:bCs/>
          <w:color w:val="auto"/>
          <w:sz w:val="32"/>
          <w:szCs w:val="32"/>
          <w:highlight w:val="none"/>
          <w:shd w:val="clear" w:color="auto" w:fill="FFFFFF"/>
        </w:rPr>
        <w:t>。较年初预算数减少232.07万元，下降4.0%。主要原因是</w:t>
      </w:r>
      <w:r>
        <w:rPr>
          <w:rFonts w:hint="default" w:ascii="Times New Roman" w:hAnsi="Times New Roman" w:eastAsia="方正仿宋_GBK" w:cs="Times New Roman"/>
          <w:b w:val="0"/>
          <w:bCs/>
          <w:color w:val="auto"/>
          <w:sz w:val="32"/>
          <w:szCs w:val="32"/>
          <w:highlight w:val="none"/>
          <w:lang w:val="en-US" w:eastAsia="zh-CN"/>
        </w:rPr>
        <w:t>医疗救助项目资金较年初减少。</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shd w:val="clear" w:color="auto" w:fill="FFFFFF"/>
        </w:rPr>
      </w:pPr>
      <w:r>
        <w:rPr>
          <w:rFonts w:hint="default" w:ascii="Times New Roman" w:hAnsi="Times New Roman" w:eastAsia="方正仿宋_GBK" w:cs="Times New Roman"/>
          <w:b w:val="0"/>
          <w:bCs/>
          <w:color w:val="auto"/>
          <w:sz w:val="32"/>
          <w:szCs w:val="32"/>
          <w:highlight w:val="none"/>
          <w:shd w:val="clear" w:color="auto" w:fill="FFFFFF"/>
        </w:rPr>
        <w:t>一般公共预算财政拨款支出主要</w:t>
      </w:r>
      <w:r>
        <w:rPr>
          <w:rFonts w:hint="default" w:ascii="Times New Roman" w:hAnsi="Times New Roman" w:eastAsia="方正仿宋_GBK" w:cs="Times New Roman"/>
          <w:b w:val="0"/>
          <w:bCs/>
          <w:color w:val="auto"/>
          <w:sz w:val="32"/>
          <w:szCs w:val="32"/>
          <w:highlight w:val="none"/>
          <w:shd w:val="clear" w:color="auto" w:fill="FFFFFF"/>
          <w:lang w:eastAsia="zh-CN"/>
        </w:rPr>
        <w:t>用途如下</w:t>
      </w:r>
      <w:r>
        <w:rPr>
          <w:rFonts w:hint="default" w:ascii="Times New Roman" w:hAnsi="Times New Roman" w:eastAsia="方正仿宋_GBK" w:cs="Times New Roman"/>
          <w:b w:val="0"/>
          <w:bCs/>
          <w:color w:val="auto"/>
          <w:sz w:val="32"/>
          <w:szCs w:val="32"/>
          <w:highlight w:val="none"/>
          <w:shd w:val="clear" w:color="auto" w:fill="FFFFFF"/>
        </w:rPr>
        <w:t>：</w:t>
      </w:r>
    </w:p>
    <w:p>
      <w:pPr>
        <w:pStyle w:val="6"/>
        <w:keepNext w:val="0"/>
        <w:keepLines w:val="0"/>
        <w:pageBreakBefore w:val="0"/>
        <w:widowControl w:val="0"/>
        <w:numPr>
          <w:ilvl w:val="0"/>
          <w:numId w:val="1"/>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shd w:val="clear" w:color="auto" w:fill="FFFFFF"/>
          <w:lang w:eastAsia="zh-CN"/>
        </w:rPr>
      </w:pPr>
      <w:r>
        <w:rPr>
          <w:rFonts w:hint="default" w:ascii="Times New Roman" w:hAnsi="Times New Roman" w:eastAsia="方正仿宋_GBK" w:cs="Times New Roman"/>
          <w:b w:val="0"/>
          <w:bCs/>
          <w:color w:val="auto"/>
          <w:sz w:val="32"/>
          <w:szCs w:val="32"/>
          <w:highlight w:val="none"/>
          <w:shd w:val="clear" w:color="auto" w:fill="FFFFFF"/>
        </w:rPr>
        <w:t>一般公共服务支出0.90万元，占0.0%，较年初预算数增加0.90万元，增长100.0%，主要原因是</w:t>
      </w:r>
      <w:r>
        <w:rPr>
          <w:rFonts w:hint="default" w:ascii="Times New Roman" w:hAnsi="Times New Roman" w:eastAsia="方正仿宋_GBK" w:cs="Times New Roman"/>
          <w:b w:val="0"/>
          <w:bCs/>
          <w:color w:val="auto"/>
          <w:sz w:val="32"/>
          <w:szCs w:val="32"/>
          <w:highlight w:val="none"/>
          <w:shd w:val="clear" w:color="auto" w:fill="FFFFFF"/>
          <w:lang w:eastAsia="zh-CN"/>
        </w:rPr>
        <w:t>发放优秀公务员奖金。</w:t>
      </w:r>
    </w:p>
    <w:p>
      <w:pPr>
        <w:pStyle w:val="6"/>
        <w:keepNext w:val="0"/>
        <w:keepLines w:val="0"/>
        <w:pageBreakBefore w:val="0"/>
        <w:widowControl w:val="0"/>
        <w:numPr>
          <w:ilvl w:val="0"/>
          <w:numId w:val="1"/>
        </w:numPr>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cs="Times New Roman"/>
          <w:b w:val="0"/>
          <w:bCs/>
          <w:color w:val="auto"/>
          <w:sz w:val="32"/>
          <w:szCs w:val="32"/>
          <w:highlight w:val="none"/>
          <w:shd w:val="clear" w:color="auto" w:fill="FFFFFF"/>
          <w:lang w:eastAsia="zh-CN"/>
        </w:rPr>
      </w:pPr>
      <w:r>
        <w:rPr>
          <w:rFonts w:hint="default" w:ascii="Times New Roman" w:hAnsi="Times New Roman" w:eastAsia="方正仿宋_GBK" w:cs="Times New Roman"/>
          <w:b w:val="0"/>
          <w:bCs/>
          <w:color w:val="auto"/>
          <w:sz w:val="32"/>
          <w:szCs w:val="32"/>
          <w:highlight w:val="none"/>
          <w:shd w:val="clear" w:color="auto" w:fill="FFFFFF"/>
        </w:rPr>
        <w:t>社会保障</w:t>
      </w:r>
      <w:r>
        <w:rPr>
          <w:rFonts w:hint="default" w:ascii="Times New Roman" w:hAnsi="Times New Roman" w:eastAsia="方正仿宋_GBK" w:cs="Times New Roman"/>
          <w:b w:val="0"/>
          <w:bCs/>
          <w:color w:val="auto"/>
          <w:sz w:val="32"/>
          <w:szCs w:val="32"/>
          <w:highlight w:val="none"/>
          <w:shd w:val="clear" w:color="auto" w:fill="FFFFFF"/>
          <w:lang w:eastAsia="zh-CN"/>
        </w:rPr>
        <w:t>和</w:t>
      </w:r>
      <w:r>
        <w:rPr>
          <w:rFonts w:hint="default" w:ascii="Times New Roman" w:hAnsi="Times New Roman" w:eastAsia="方正仿宋_GBK" w:cs="Times New Roman"/>
          <w:b w:val="0"/>
          <w:bCs/>
          <w:color w:val="auto"/>
          <w:sz w:val="32"/>
          <w:szCs w:val="32"/>
          <w:highlight w:val="none"/>
          <w:shd w:val="clear" w:color="auto" w:fill="FFFFFF"/>
        </w:rPr>
        <w:t>就业支出95.71万元，占1.7%，较年初预算数减少196.53万元，下降67.3%，主要原因是</w:t>
      </w:r>
      <w:r>
        <w:rPr>
          <w:rFonts w:hint="default" w:ascii="Times New Roman" w:hAnsi="Times New Roman" w:eastAsia="方正仿宋_GBK" w:cs="Times New Roman"/>
          <w:b w:val="0"/>
          <w:bCs/>
          <w:color w:val="auto"/>
          <w:sz w:val="32"/>
          <w:szCs w:val="32"/>
          <w:highlight w:val="none"/>
          <w:shd w:val="clear" w:color="auto" w:fill="FFFFFF"/>
          <w:lang w:eastAsia="zh-CN"/>
        </w:rPr>
        <w:t>企业离退干部、老干部、伤残军人医疗补助项目调整到卫生健康支出。</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shd w:val="clear" w:color="auto" w:fill="FFFFFF"/>
        </w:rPr>
      </w:pPr>
      <w:r>
        <w:rPr>
          <w:rFonts w:hint="default" w:ascii="Times New Roman" w:hAnsi="Times New Roman" w:eastAsia="方正仿宋_GBK" w:cs="Times New Roman"/>
          <w:b w:val="0"/>
          <w:bCs/>
          <w:color w:val="auto"/>
          <w:sz w:val="32"/>
          <w:szCs w:val="32"/>
          <w:highlight w:val="none"/>
          <w:shd w:val="clear" w:color="auto" w:fill="FFFFFF"/>
        </w:rPr>
        <w:t>（</w:t>
      </w:r>
      <w:r>
        <w:rPr>
          <w:rFonts w:hint="default" w:ascii="Times New Roman" w:hAnsi="Times New Roman" w:eastAsia="方正仿宋_GBK" w:cs="Times New Roman"/>
          <w:b w:val="0"/>
          <w:bCs/>
          <w:color w:val="auto"/>
          <w:sz w:val="32"/>
          <w:szCs w:val="32"/>
          <w:highlight w:val="none"/>
          <w:shd w:val="clear" w:color="auto" w:fill="FFFFFF"/>
          <w:lang w:val="en-US" w:eastAsia="zh-CN"/>
        </w:rPr>
        <w:t>3</w:t>
      </w:r>
      <w:r>
        <w:rPr>
          <w:rFonts w:hint="default" w:ascii="Times New Roman" w:hAnsi="Times New Roman" w:eastAsia="方正仿宋_GBK" w:cs="Times New Roman"/>
          <w:b w:val="0"/>
          <w:bCs/>
          <w:color w:val="auto"/>
          <w:sz w:val="32"/>
          <w:szCs w:val="32"/>
          <w:highlight w:val="none"/>
          <w:shd w:val="clear" w:color="auto" w:fill="FFFFFF"/>
        </w:rPr>
        <w:t>）卫生健康支出5036.18万元，占89.2%，较年初预算数减少494.85万元，下降9.0%，主要原因是</w:t>
      </w:r>
      <w:r>
        <w:rPr>
          <w:rFonts w:hint="default" w:ascii="Times New Roman" w:hAnsi="Times New Roman" w:eastAsia="方正仿宋_GBK" w:cs="Times New Roman"/>
          <w:b w:val="0"/>
          <w:bCs/>
          <w:color w:val="auto"/>
          <w:sz w:val="32"/>
          <w:szCs w:val="32"/>
          <w:highlight w:val="none"/>
          <w:lang w:val="en-US" w:eastAsia="zh-CN"/>
        </w:rPr>
        <w:t>医疗救助项目资金较年初减少。</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shd w:val="clear" w:color="auto" w:fill="FFFFFF"/>
          <w:lang w:eastAsia="zh-CN"/>
        </w:rPr>
      </w:pPr>
      <w:r>
        <w:rPr>
          <w:rFonts w:hint="default" w:ascii="Times New Roman" w:hAnsi="Times New Roman" w:eastAsia="方正仿宋_GBK" w:cs="Times New Roman"/>
          <w:b w:val="0"/>
          <w:bCs/>
          <w:color w:val="auto"/>
          <w:sz w:val="32"/>
          <w:szCs w:val="32"/>
          <w:highlight w:val="none"/>
          <w:shd w:val="clear" w:color="auto" w:fill="FFFFFF"/>
        </w:rPr>
        <w:t>（</w:t>
      </w:r>
      <w:r>
        <w:rPr>
          <w:rFonts w:hint="default" w:ascii="Times New Roman" w:hAnsi="Times New Roman" w:eastAsia="方正仿宋_GBK" w:cs="Times New Roman"/>
          <w:b w:val="0"/>
          <w:bCs/>
          <w:color w:val="auto"/>
          <w:sz w:val="32"/>
          <w:szCs w:val="32"/>
          <w:highlight w:val="none"/>
          <w:shd w:val="clear" w:color="auto" w:fill="FFFFFF"/>
          <w:lang w:val="en-US" w:eastAsia="zh-CN"/>
        </w:rPr>
        <w:t>4</w:t>
      </w:r>
      <w:r>
        <w:rPr>
          <w:rFonts w:hint="default" w:ascii="Times New Roman" w:hAnsi="Times New Roman" w:eastAsia="方正仿宋_GBK" w:cs="Times New Roman"/>
          <w:b w:val="0"/>
          <w:bCs/>
          <w:color w:val="auto"/>
          <w:sz w:val="32"/>
          <w:szCs w:val="32"/>
          <w:highlight w:val="none"/>
          <w:shd w:val="clear" w:color="auto" w:fill="FFFFFF"/>
        </w:rPr>
        <w:t>）农林水支出463.26万元，占8.2%，较年初预算数增加459.67万元，增长12804.2%，主要原因是</w:t>
      </w:r>
      <w:r>
        <w:rPr>
          <w:rFonts w:hint="default" w:ascii="Times New Roman" w:hAnsi="Times New Roman" w:eastAsia="方正仿宋_GBK" w:cs="Times New Roman"/>
          <w:b w:val="0"/>
          <w:bCs/>
          <w:color w:val="auto"/>
          <w:sz w:val="32"/>
          <w:szCs w:val="32"/>
          <w:highlight w:val="none"/>
          <w:shd w:val="clear" w:color="auto" w:fill="FFFFFF"/>
          <w:lang w:eastAsia="zh-CN"/>
        </w:rPr>
        <w:t>扶贫济困资金与脱贫人口参保补贴资金支出增加。</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shd w:val="clear" w:color="auto" w:fill="FFFFFF"/>
        </w:rPr>
      </w:pPr>
      <w:r>
        <w:rPr>
          <w:rFonts w:hint="default" w:ascii="Times New Roman" w:hAnsi="Times New Roman" w:eastAsia="方正仿宋_GBK" w:cs="Times New Roman"/>
          <w:b w:val="0"/>
          <w:bCs/>
          <w:color w:val="auto"/>
          <w:sz w:val="32"/>
          <w:szCs w:val="32"/>
          <w:highlight w:val="none"/>
          <w:shd w:val="clear" w:color="auto" w:fill="FFFFFF"/>
        </w:rPr>
        <w:t>（</w:t>
      </w:r>
      <w:r>
        <w:rPr>
          <w:rFonts w:hint="default" w:ascii="Times New Roman" w:hAnsi="Times New Roman" w:eastAsia="方正仿宋_GBK" w:cs="Times New Roman"/>
          <w:b w:val="0"/>
          <w:bCs/>
          <w:color w:val="auto"/>
          <w:sz w:val="32"/>
          <w:szCs w:val="32"/>
          <w:highlight w:val="none"/>
          <w:shd w:val="clear" w:color="auto" w:fill="FFFFFF"/>
          <w:lang w:val="en-US" w:eastAsia="zh-CN"/>
        </w:rPr>
        <w:t>5</w:t>
      </w:r>
      <w:r>
        <w:rPr>
          <w:rFonts w:hint="default" w:ascii="Times New Roman" w:hAnsi="Times New Roman" w:eastAsia="方正仿宋_GBK" w:cs="Times New Roman"/>
          <w:b w:val="0"/>
          <w:bCs/>
          <w:color w:val="auto"/>
          <w:sz w:val="32"/>
          <w:szCs w:val="32"/>
          <w:highlight w:val="none"/>
          <w:shd w:val="clear" w:color="auto" w:fill="FFFFFF"/>
        </w:rPr>
        <w:t>）</w:t>
      </w:r>
      <w:r>
        <w:rPr>
          <w:rFonts w:hint="default" w:ascii="Times New Roman" w:hAnsi="Times New Roman" w:eastAsia="方正仿宋_GBK" w:cs="Times New Roman"/>
          <w:b w:val="0"/>
          <w:bCs/>
          <w:color w:val="auto"/>
          <w:sz w:val="32"/>
          <w:szCs w:val="32"/>
          <w:highlight w:val="none"/>
        </w:rPr>
        <w:t>住房保障支出</w:t>
      </w:r>
      <w:r>
        <w:rPr>
          <w:rFonts w:hint="default" w:ascii="Times New Roman" w:hAnsi="Times New Roman" w:eastAsia="方正仿宋_GBK" w:cs="Times New Roman"/>
          <w:b w:val="0"/>
          <w:bCs/>
          <w:color w:val="auto"/>
          <w:sz w:val="32"/>
          <w:szCs w:val="32"/>
          <w:highlight w:val="none"/>
          <w:shd w:val="clear" w:color="auto" w:fill="FFFFFF"/>
        </w:rPr>
        <w:t>48.53万元，占0.9%，较年初预算数减少1.26万元，下降2.5%，主要原因是</w:t>
      </w:r>
      <w:r>
        <w:rPr>
          <w:rFonts w:hint="default" w:ascii="Times New Roman" w:hAnsi="Times New Roman" w:eastAsia="方正仿宋_GBK" w:cs="Times New Roman"/>
          <w:b w:val="0"/>
          <w:bCs/>
          <w:color w:val="auto"/>
          <w:sz w:val="32"/>
          <w:szCs w:val="32"/>
          <w:highlight w:val="none"/>
          <w:shd w:val="clear" w:color="auto" w:fill="FFFFFF"/>
          <w:lang w:eastAsia="zh-CN"/>
        </w:rPr>
        <w:t>本年度</w:t>
      </w:r>
      <w:r>
        <w:rPr>
          <w:rFonts w:hint="default" w:ascii="Times New Roman" w:hAnsi="Times New Roman" w:eastAsia="方正仿宋_GBK" w:cs="Times New Roman"/>
          <w:b w:val="0"/>
          <w:bCs/>
          <w:color w:val="auto"/>
          <w:sz w:val="32"/>
          <w:szCs w:val="32"/>
          <w:highlight w:val="none"/>
          <w:shd w:val="clear" w:color="auto" w:fill="FFFFFF"/>
          <w:lang w:val="en-US" w:eastAsia="zh-CN"/>
        </w:rPr>
        <w:t>7月份调出一名在编人员。</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b w:val="0"/>
          <w:bCs/>
          <w:color w:val="auto"/>
          <w:sz w:val="32"/>
          <w:szCs w:val="32"/>
          <w:highlight w:val="none"/>
          <w:shd w:val="clear" w:color="auto" w:fill="FFFFFF"/>
          <w:lang w:eastAsia="zh-CN"/>
        </w:rPr>
      </w:pPr>
      <w:r>
        <w:rPr>
          <w:rStyle w:val="10"/>
          <w:rFonts w:hint="default" w:ascii="Times New Roman" w:hAnsi="Times New Roman" w:eastAsia="方正仿宋_GBK" w:cs="Times New Roman"/>
          <w:b/>
          <w:bCs w:val="0"/>
          <w:color w:val="auto"/>
          <w:sz w:val="32"/>
          <w:szCs w:val="32"/>
          <w:highlight w:val="none"/>
          <w:shd w:val="clear" w:color="auto" w:fill="FFFFFF"/>
        </w:rPr>
        <w:t>3.结转结余情况。</w:t>
      </w:r>
      <w:r>
        <w:rPr>
          <w:rFonts w:hint="default" w:ascii="Times New Roman" w:hAnsi="Times New Roman" w:eastAsia="方正仿宋_GBK" w:cs="Times New Roman"/>
          <w:b w:val="0"/>
          <w:bCs/>
          <w:color w:val="auto"/>
          <w:sz w:val="32"/>
          <w:szCs w:val="32"/>
          <w:highlight w:val="none"/>
          <w:shd w:val="clear" w:color="auto" w:fill="FFFFFF"/>
        </w:rPr>
        <w:t>2024年度年末一般公共预算财政拨款结转和结余0.00万元，与2023年度相比，无增减</w:t>
      </w:r>
      <w:r>
        <w:rPr>
          <w:rFonts w:hint="default" w:ascii="Times New Roman" w:hAnsi="Times New Roman" w:eastAsia="方正仿宋_GBK" w:cs="Times New Roman"/>
          <w:b w:val="0"/>
          <w:bCs/>
          <w:color w:val="auto"/>
          <w:sz w:val="32"/>
          <w:szCs w:val="32"/>
          <w:highlight w:val="none"/>
          <w:shd w:val="clear" w:color="auto" w:fill="FFFFFF"/>
          <w:lang w:eastAsia="zh-CN"/>
        </w:rPr>
        <w:t>。</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0"/>
          <w:rFonts w:hint="default" w:ascii="方正楷体_GBK" w:hAnsi="方正楷体_GBK" w:eastAsia="方正楷体_GBK" w:cs="方正楷体_GBK"/>
          <w:b w:val="0"/>
          <w:bCs/>
          <w:color w:val="auto"/>
          <w:sz w:val="32"/>
          <w:szCs w:val="32"/>
          <w:highlight w:val="none"/>
          <w:shd w:val="clear" w:color="auto" w:fill="FFFFFF"/>
        </w:rPr>
      </w:pPr>
      <w:r>
        <w:rPr>
          <w:rStyle w:val="10"/>
          <w:rFonts w:hint="default" w:ascii="方正楷体_GBK" w:hAnsi="方正楷体_GBK" w:eastAsia="方正楷体_GBK" w:cs="方正楷体_GBK"/>
          <w:b w:val="0"/>
          <w:bCs/>
          <w:color w:val="auto"/>
          <w:sz w:val="32"/>
          <w:szCs w:val="32"/>
          <w:highlight w:val="none"/>
          <w:shd w:val="clear" w:color="auto" w:fill="FFFFFF"/>
        </w:rPr>
        <w:t>（四）一般公共预算财政拨款基本支出决算情况说明</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shd w:val="clear" w:color="auto" w:fill="FFFFFF"/>
        </w:rPr>
      </w:pPr>
      <w:r>
        <w:rPr>
          <w:rFonts w:hint="default" w:ascii="Times New Roman" w:hAnsi="Times New Roman" w:eastAsia="方正仿宋_GBK" w:cs="Times New Roman"/>
          <w:b w:val="0"/>
          <w:bCs/>
          <w:color w:val="auto"/>
          <w:sz w:val="32"/>
          <w:szCs w:val="32"/>
          <w:highlight w:val="none"/>
          <w:shd w:val="clear" w:color="auto" w:fill="FFFFFF"/>
        </w:rPr>
        <w:t>2024年度一般公共财政拨款基本支出1722.43万元。</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both"/>
        <w:textAlignment w:val="auto"/>
        <w:rPr>
          <w:rFonts w:hint="default" w:ascii="Times New Roman" w:hAnsi="Times New Roman" w:eastAsia="方正仿宋_GBK" w:cs="Times New Roman"/>
          <w:b w:val="0"/>
          <w:bCs/>
          <w:color w:val="auto"/>
          <w:sz w:val="32"/>
          <w:szCs w:val="32"/>
          <w:highlight w:val="none"/>
          <w:shd w:val="clear" w:color="auto" w:fill="FFFFFF"/>
        </w:rPr>
      </w:pPr>
      <w:r>
        <w:rPr>
          <w:rFonts w:hint="default" w:ascii="Times New Roman" w:hAnsi="Times New Roman" w:eastAsia="方正仿宋_GBK" w:cs="Times New Roman"/>
          <w:b w:val="0"/>
          <w:bCs/>
          <w:color w:val="auto"/>
          <w:sz w:val="32"/>
          <w:szCs w:val="32"/>
          <w:highlight w:val="none"/>
          <w:shd w:val="clear" w:color="auto" w:fill="FFFFFF"/>
        </w:rPr>
        <w:t>其中：</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kern w:val="0"/>
          <w:sz w:val="32"/>
          <w:szCs w:val="32"/>
          <w:highlight w:val="none"/>
          <w:lang w:val="en-US" w:eastAsia="zh-CN" w:bidi="ar-SA"/>
        </w:rPr>
      </w:pPr>
      <w:r>
        <w:rPr>
          <w:rFonts w:hint="default" w:ascii="Times New Roman" w:hAnsi="Times New Roman" w:eastAsia="方正仿宋_GBK" w:cs="Times New Roman"/>
          <w:b w:val="0"/>
          <w:bCs/>
          <w:color w:val="auto"/>
          <w:sz w:val="32"/>
          <w:szCs w:val="32"/>
          <w:highlight w:val="none"/>
          <w:shd w:val="clear" w:color="auto" w:fill="FFFFFF"/>
        </w:rPr>
        <w:t>人员经费1640.65万元，与2023年度相比，增加22.88万元，增长1.4%，主要原因是</w:t>
      </w:r>
      <w:r>
        <w:rPr>
          <w:rFonts w:hint="default" w:ascii="Times New Roman" w:hAnsi="Times New Roman" w:eastAsia="方正仿宋_GBK" w:cs="Times New Roman"/>
          <w:b w:val="0"/>
          <w:bCs/>
          <w:color w:val="auto"/>
          <w:sz w:val="32"/>
          <w:szCs w:val="32"/>
          <w:highlight w:val="none"/>
          <w:shd w:val="clear" w:color="auto" w:fill="FFFFFF"/>
          <w:lang w:val="en-US" w:eastAsia="zh-CN"/>
        </w:rPr>
        <w:t>2023年度7月新招录在编人员1名及社保与公积金缴费基数调整导致社保及公积金缴费增加。</w:t>
      </w:r>
      <w:r>
        <w:rPr>
          <w:rFonts w:hint="default" w:ascii="Times New Roman" w:hAnsi="Times New Roman" w:eastAsia="方正仿宋_GBK" w:cs="Times New Roman"/>
          <w:b w:val="0"/>
          <w:bCs/>
          <w:color w:val="auto"/>
          <w:sz w:val="32"/>
          <w:szCs w:val="32"/>
          <w:highlight w:val="none"/>
          <w:shd w:val="clear" w:color="auto" w:fill="FFFFFF"/>
        </w:rPr>
        <w:t>人员经费用途主要包括</w:t>
      </w:r>
      <w:r>
        <w:rPr>
          <w:rFonts w:hint="default" w:ascii="Times New Roman" w:hAnsi="Times New Roman" w:eastAsia="方正仿宋_GBK" w:cs="Times New Roman"/>
          <w:b w:val="0"/>
          <w:bCs/>
          <w:color w:val="auto"/>
          <w:kern w:val="0"/>
          <w:sz w:val="32"/>
          <w:szCs w:val="32"/>
          <w:highlight w:val="none"/>
          <w:lang w:val="en-US" w:eastAsia="zh-CN" w:bidi="ar-SA"/>
        </w:rPr>
        <w:t>工资、津补贴、奖金、社会保险缴费、住房公积金、公务员医疗补助、伙食补助等。</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shd w:val="clear" w:color="auto" w:fill="FFFFFF"/>
        </w:rPr>
        <w:t>公用经费81.78万元，与2023年度相比，增加9.15万元，增长12.6%，主要原因是</w:t>
      </w:r>
      <w:r>
        <w:rPr>
          <w:rFonts w:hint="default" w:ascii="Times New Roman" w:hAnsi="Times New Roman" w:eastAsia="方正仿宋_GBK" w:cs="Times New Roman"/>
          <w:b w:val="0"/>
          <w:bCs/>
          <w:color w:val="auto"/>
          <w:sz w:val="32"/>
          <w:szCs w:val="32"/>
          <w:highlight w:val="none"/>
          <w:shd w:val="clear" w:color="auto" w:fill="FFFFFF"/>
          <w:lang w:eastAsia="zh-CN"/>
        </w:rPr>
        <w:t>各类培训参与及与市局进行工作对接等次数增加导致差旅费增加。</w:t>
      </w:r>
      <w:r>
        <w:rPr>
          <w:rFonts w:hint="default" w:ascii="Times New Roman" w:hAnsi="Times New Roman" w:eastAsia="方正仿宋_GBK" w:cs="Times New Roman"/>
          <w:b w:val="0"/>
          <w:bCs/>
          <w:color w:val="auto"/>
          <w:sz w:val="32"/>
          <w:szCs w:val="32"/>
          <w:highlight w:val="none"/>
          <w:shd w:val="clear" w:color="auto" w:fill="FFFFFF"/>
        </w:rPr>
        <w:t>公用经费用途主要包括</w:t>
      </w:r>
      <w:r>
        <w:rPr>
          <w:rFonts w:hint="default" w:ascii="Times New Roman" w:hAnsi="Times New Roman" w:eastAsia="方正仿宋_GBK" w:cs="Times New Roman"/>
          <w:b w:val="0"/>
          <w:bCs/>
          <w:color w:val="auto"/>
          <w:kern w:val="0"/>
          <w:sz w:val="32"/>
          <w:szCs w:val="32"/>
          <w:highlight w:val="none"/>
          <w:lang w:val="en-US" w:eastAsia="zh-CN" w:bidi="ar-SA"/>
        </w:rPr>
        <w:t>办公费、差旅费、水费、电费、邮电费、公务接待费等</w:t>
      </w:r>
      <w:r>
        <w:rPr>
          <w:rFonts w:hint="default" w:ascii="Times New Roman" w:hAnsi="Times New Roman" w:eastAsia="方正仿宋_GBK" w:cs="Times New Roman"/>
          <w:b w:val="0"/>
          <w:bCs/>
          <w:color w:val="auto"/>
          <w:sz w:val="32"/>
          <w:szCs w:val="32"/>
          <w:highlight w:val="none"/>
          <w:shd w:val="clear" w:color="auto" w:fill="FFFFFF"/>
        </w:rPr>
        <w:t>。</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0"/>
          <w:rFonts w:hint="default" w:ascii="方正楷体_GBK" w:hAnsi="方正楷体_GBK" w:eastAsia="方正楷体_GBK" w:cs="方正楷体_GBK"/>
          <w:b w:val="0"/>
          <w:bCs/>
          <w:color w:val="auto"/>
          <w:sz w:val="32"/>
          <w:szCs w:val="32"/>
          <w:highlight w:val="none"/>
          <w:shd w:val="clear" w:color="auto" w:fill="FFFFFF"/>
        </w:rPr>
      </w:pPr>
      <w:r>
        <w:rPr>
          <w:rStyle w:val="10"/>
          <w:rFonts w:hint="default" w:ascii="方正楷体_GBK" w:hAnsi="方正楷体_GBK" w:eastAsia="方正楷体_GBK" w:cs="方正楷体_GBK"/>
          <w:b w:val="0"/>
          <w:bCs/>
          <w:color w:val="auto"/>
          <w:sz w:val="32"/>
          <w:szCs w:val="32"/>
          <w:highlight w:val="none"/>
          <w:shd w:val="clear" w:color="auto" w:fill="FFFFFF"/>
        </w:rPr>
        <w:t>（五）政府性基金预算收支决算情况说明</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shd w:val="clear" w:color="auto" w:fill="FFFFFF"/>
          <w:lang w:eastAsia="zh-CN"/>
        </w:rPr>
        <w:t>本部门</w:t>
      </w:r>
      <w:r>
        <w:rPr>
          <w:rFonts w:hint="default" w:ascii="Times New Roman" w:hAnsi="Times New Roman" w:eastAsia="方正仿宋_GBK" w:cs="Times New Roman"/>
          <w:b w:val="0"/>
          <w:bCs/>
          <w:color w:val="auto"/>
          <w:sz w:val="32"/>
          <w:szCs w:val="32"/>
          <w:highlight w:val="none"/>
          <w:shd w:val="clear" w:color="auto" w:fill="FFFFFF"/>
        </w:rPr>
        <w:t>2024年度</w:t>
      </w:r>
      <w:r>
        <w:rPr>
          <w:rFonts w:hint="default" w:ascii="Times New Roman" w:hAnsi="Times New Roman" w:eastAsia="方正仿宋_GBK" w:cs="Times New Roman"/>
          <w:b w:val="0"/>
          <w:bCs/>
          <w:color w:val="auto"/>
          <w:sz w:val="32"/>
          <w:szCs w:val="32"/>
          <w:highlight w:val="none"/>
          <w:shd w:val="clear" w:color="auto" w:fill="FFFFFF"/>
          <w:lang w:eastAsia="zh-CN"/>
        </w:rPr>
        <w:t>无</w:t>
      </w:r>
      <w:r>
        <w:rPr>
          <w:rFonts w:hint="default" w:ascii="Times New Roman" w:hAnsi="Times New Roman" w:eastAsia="方正仿宋_GBK" w:cs="Times New Roman"/>
          <w:b w:val="0"/>
          <w:bCs/>
          <w:color w:val="auto"/>
          <w:sz w:val="32"/>
          <w:szCs w:val="32"/>
          <w:highlight w:val="none"/>
          <w:shd w:val="clear" w:color="auto" w:fill="FFFFFF"/>
        </w:rPr>
        <w:t>政府性基金预算财政拨款</w:t>
      </w:r>
      <w:r>
        <w:rPr>
          <w:rFonts w:hint="default" w:ascii="Times New Roman" w:hAnsi="Times New Roman" w:eastAsia="方正仿宋_GBK" w:cs="Times New Roman"/>
          <w:b w:val="0"/>
          <w:bCs/>
          <w:color w:val="auto"/>
          <w:sz w:val="32"/>
          <w:szCs w:val="32"/>
          <w:highlight w:val="none"/>
          <w:shd w:val="clear" w:color="auto" w:fill="FFFFFF"/>
          <w:lang w:eastAsia="zh-CN"/>
        </w:rPr>
        <w:t>收支。</w:t>
      </w:r>
    </w:p>
    <w:p>
      <w:pPr>
        <w:pStyle w:val="11"/>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shd w:val="clear" w:color="auto" w:fill="FFFFFF"/>
        </w:rPr>
      </w:pPr>
      <w:r>
        <w:rPr>
          <w:rStyle w:val="10"/>
          <w:rFonts w:hint="default" w:ascii="方正楷体_GBK" w:hAnsi="方正楷体_GBK" w:eastAsia="方正楷体_GBK" w:cs="方正楷体_GBK"/>
          <w:b w:val="0"/>
          <w:bCs/>
          <w:color w:val="auto"/>
          <w:sz w:val="32"/>
          <w:szCs w:val="32"/>
          <w:highlight w:val="none"/>
          <w:shd w:val="clear" w:color="auto" w:fill="FFFFFF"/>
          <w:lang w:val="en-US" w:eastAsia="zh-CN" w:bidi="ar-SA"/>
        </w:rPr>
        <w:t>（六）国有资本经营预算财政拨款支出决算情况说明</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shd w:val="clear" w:color="auto" w:fill="FFFFFF"/>
          <w:lang w:eastAsia="zh-CN"/>
        </w:rPr>
        <w:t>本部门</w:t>
      </w:r>
      <w:r>
        <w:rPr>
          <w:rFonts w:hint="default" w:ascii="Times New Roman" w:hAnsi="Times New Roman" w:eastAsia="方正仿宋_GBK" w:cs="Times New Roman"/>
          <w:b w:val="0"/>
          <w:bCs/>
          <w:color w:val="auto"/>
          <w:sz w:val="32"/>
          <w:szCs w:val="32"/>
          <w:highlight w:val="none"/>
          <w:shd w:val="clear" w:color="auto" w:fill="FFFFFF"/>
        </w:rPr>
        <w:t>2024年度</w:t>
      </w:r>
      <w:r>
        <w:rPr>
          <w:rFonts w:hint="default" w:ascii="Times New Roman" w:hAnsi="Times New Roman" w:eastAsia="方正仿宋_GBK" w:cs="Times New Roman"/>
          <w:b w:val="0"/>
          <w:bCs/>
          <w:color w:val="auto"/>
          <w:sz w:val="32"/>
          <w:szCs w:val="32"/>
          <w:highlight w:val="none"/>
          <w:shd w:val="clear" w:color="auto" w:fill="FFFFFF"/>
          <w:lang w:eastAsia="zh-CN"/>
        </w:rPr>
        <w:t>无</w:t>
      </w:r>
      <w:r>
        <w:rPr>
          <w:rFonts w:hint="default" w:ascii="Times New Roman" w:hAnsi="Times New Roman" w:eastAsia="方正仿宋_GBK" w:cs="Times New Roman"/>
          <w:b w:val="0"/>
          <w:bCs/>
          <w:color w:val="auto"/>
          <w:sz w:val="32"/>
          <w:szCs w:val="32"/>
          <w:highlight w:val="none"/>
          <w:shd w:val="clear" w:color="auto" w:fill="FFFFFF"/>
        </w:rPr>
        <w:t>国有资本经营预算财政拨款支出</w:t>
      </w:r>
      <w:r>
        <w:rPr>
          <w:rFonts w:hint="default" w:ascii="Times New Roman" w:hAnsi="Times New Roman" w:eastAsia="方正仿宋_GBK" w:cs="Times New Roman"/>
          <w:b w:val="0"/>
          <w:bCs/>
          <w:color w:val="auto"/>
          <w:sz w:val="32"/>
          <w:szCs w:val="32"/>
          <w:highlight w:val="none"/>
          <w:shd w:val="clear" w:color="auto" w:fill="FFFFFF"/>
          <w:lang w:eastAsia="zh-CN"/>
        </w:rPr>
        <w:t>。</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0"/>
          <w:rFonts w:hint="default" w:ascii="方正黑体_GBK" w:hAnsi="方正黑体_GBK" w:eastAsia="方正黑体_GBK" w:cs="方正黑体_GBK"/>
          <w:b w:val="0"/>
          <w:bCs/>
          <w:color w:val="auto"/>
          <w:sz w:val="32"/>
          <w:szCs w:val="32"/>
          <w:highlight w:val="none"/>
          <w:shd w:val="clear" w:color="auto" w:fill="FFFFFF"/>
        </w:rPr>
      </w:pPr>
      <w:r>
        <w:rPr>
          <w:rStyle w:val="10"/>
          <w:rFonts w:hint="default" w:ascii="方正黑体_GBK" w:hAnsi="方正黑体_GBK" w:eastAsia="方正黑体_GBK" w:cs="方正黑体_GBK"/>
          <w:b w:val="0"/>
          <w:bCs/>
          <w:color w:val="auto"/>
          <w:sz w:val="32"/>
          <w:szCs w:val="32"/>
          <w:highlight w:val="none"/>
          <w:shd w:val="clear" w:color="auto" w:fill="FFFFFF"/>
        </w:rPr>
        <w:t>三、</w:t>
      </w:r>
      <w:r>
        <w:rPr>
          <w:rStyle w:val="10"/>
          <w:rFonts w:hint="default" w:ascii="方正黑体_GBK" w:hAnsi="方正黑体_GBK" w:eastAsia="方正黑体_GBK" w:cs="方正黑体_GBK"/>
          <w:b w:val="0"/>
          <w:bCs/>
          <w:color w:val="auto"/>
          <w:sz w:val="32"/>
          <w:szCs w:val="32"/>
          <w:highlight w:val="none"/>
          <w:shd w:val="clear" w:color="auto" w:fill="FFFFFF"/>
          <w:lang w:eastAsia="zh-CN"/>
        </w:rPr>
        <w:t>财政拨款</w:t>
      </w:r>
      <w:r>
        <w:rPr>
          <w:rStyle w:val="10"/>
          <w:rFonts w:hint="default" w:ascii="方正黑体_GBK" w:hAnsi="方正黑体_GBK" w:eastAsia="方正黑体_GBK" w:cs="方正黑体_GBK"/>
          <w:b w:val="0"/>
          <w:bCs/>
          <w:color w:val="auto"/>
          <w:sz w:val="32"/>
          <w:szCs w:val="32"/>
          <w:highlight w:val="none"/>
          <w:shd w:val="clear" w:color="auto" w:fill="FFFFFF"/>
        </w:rPr>
        <w:t>“三公”经费情况说明</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0"/>
          <w:rFonts w:hint="default" w:ascii="方正楷体_GBK" w:hAnsi="方正楷体_GBK" w:eastAsia="方正楷体_GBK" w:cs="方正楷体_GBK"/>
          <w:b w:val="0"/>
          <w:bCs/>
          <w:color w:val="auto"/>
          <w:sz w:val="32"/>
          <w:szCs w:val="32"/>
          <w:highlight w:val="none"/>
          <w:shd w:val="clear" w:color="auto" w:fill="FFFFFF"/>
        </w:rPr>
      </w:pPr>
      <w:r>
        <w:rPr>
          <w:rStyle w:val="10"/>
          <w:rFonts w:hint="default" w:ascii="方正楷体_GBK" w:hAnsi="方正楷体_GBK" w:eastAsia="方正楷体_GBK" w:cs="方正楷体_GBK"/>
          <w:b w:val="0"/>
          <w:bCs/>
          <w:color w:val="auto"/>
          <w:sz w:val="32"/>
          <w:szCs w:val="32"/>
          <w:highlight w:val="none"/>
          <w:shd w:val="clear" w:color="auto" w:fill="FFFFFF"/>
        </w:rPr>
        <w:t>（一）“三公”经费支出总体情况说明</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shd w:val="clear" w:color="auto" w:fill="FFFFFF"/>
        </w:rPr>
        <w:t>2024年度“三公”经费支出共计2.46万元，较年初预算数减少4.04万元，下降62.2%，主要原因是</w:t>
      </w:r>
      <w:r>
        <w:rPr>
          <w:rFonts w:hint="default" w:ascii="Times New Roman" w:hAnsi="Times New Roman" w:eastAsia="方正仿宋_GBK" w:cs="Times New Roman"/>
          <w:b w:val="0"/>
          <w:bCs/>
          <w:color w:val="auto"/>
          <w:sz w:val="32"/>
          <w:szCs w:val="32"/>
          <w:highlight w:val="none"/>
          <w:shd w:val="clear" w:color="auto" w:fill="FFFFFF"/>
          <w:lang w:val="en-US" w:eastAsia="zh-CN"/>
        </w:rPr>
        <w:t>认真贯彻落实中央八项规定精神，从严控制“三公”经费</w:t>
      </w:r>
      <w:r>
        <w:rPr>
          <w:rFonts w:hint="default" w:ascii="Times New Roman" w:hAnsi="Times New Roman" w:eastAsia="方正仿宋_GBK" w:cs="Times New Roman"/>
          <w:b w:val="0"/>
          <w:bCs/>
          <w:color w:val="auto"/>
          <w:sz w:val="32"/>
          <w:szCs w:val="32"/>
          <w:highlight w:val="none"/>
          <w:shd w:val="clear" w:color="auto" w:fill="FFFFFF"/>
        </w:rPr>
        <w:t>。较上年支出数减少0.44万元，下降15.2%，</w:t>
      </w:r>
      <w:r>
        <w:rPr>
          <w:rFonts w:hint="default" w:ascii="Times New Roman" w:hAnsi="Times New Roman" w:eastAsia="方正仿宋_GBK" w:cs="Times New Roman"/>
          <w:b w:val="0"/>
          <w:bCs/>
          <w:color w:val="auto"/>
          <w:sz w:val="32"/>
          <w:szCs w:val="32"/>
          <w:highlight w:val="none"/>
          <w:lang w:val="en-US" w:eastAsia="zh-CN"/>
        </w:rPr>
        <w:t>本年度各区县交流学习次数减少，接待批次减少，费用减少。</w:t>
      </w:r>
    </w:p>
    <w:p>
      <w:pPr>
        <w:pStyle w:val="11"/>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shd w:val="clear" w:color="auto" w:fill="FFFFFF"/>
        </w:rPr>
      </w:pPr>
      <w:r>
        <w:rPr>
          <w:rStyle w:val="10"/>
          <w:rFonts w:hint="default" w:ascii="方正楷体_GBK" w:hAnsi="方正楷体_GBK" w:eastAsia="方正楷体_GBK" w:cs="方正楷体_GBK"/>
          <w:b w:val="0"/>
          <w:bCs/>
          <w:color w:val="auto"/>
          <w:sz w:val="32"/>
          <w:szCs w:val="32"/>
          <w:highlight w:val="none"/>
          <w:shd w:val="clear" w:color="auto" w:fill="FFFFFF"/>
          <w:lang w:val="en-US" w:eastAsia="zh-CN" w:bidi="ar-SA"/>
        </w:rPr>
        <w:t>（二）“三公”经费分项支出情况</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shd w:val="clear" w:color="auto" w:fill="FFFFFF"/>
          <w:lang w:eastAsia="zh-CN"/>
        </w:rPr>
      </w:pPr>
      <w:r>
        <w:rPr>
          <w:rFonts w:hint="default" w:ascii="Times New Roman" w:hAnsi="Times New Roman" w:eastAsia="方正仿宋_GBK" w:cs="Times New Roman"/>
          <w:b w:val="0"/>
          <w:bCs/>
          <w:color w:val="auto"/>
          <w:sz w:val="32"/>
          <w:szCs w:val="32"/>
          <w:highlight w:val="none"/>
          <w:shd w:val="clear" w:color="auto" w:fill="FFFFFF"/>
        </w:rPr>
        <w:t>2024年度本部门因公出国（境）费用0.00万元，费用支出较年初预算数无增减，较上年支出数无增减</w:t>
      </w:r>
      <w:r>
        <w:rPr>
          <w:rFonts w:hint="default" w:ascii="Times New Roman" w:hAnsi="Times New Roman" w:eastAsia="方正仿宋_GBK" w:cs="Times New Roman"/>
          <w:b w:val="0"/>
          <w:bCs/>
          <w:color w:val="auto"/>
          <w:sz w:val="32"/>
          <w:szCs w:val="32"/>
          <w:highlight w:val="none"/>
          <w:shd w:val="clear" w:color="auto" w:fill="FFFFFF"/>
          <w:lang w:eastAsia="zh-CN"/>
        </w:rPr>
        <w:t>。</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lang w:eastAsia="zh-CN"/>
        </w:rPr>
      </w:pPr>
      <w:r>
        <w:rPr>
          <w:rFonts w:hint="default" w:ascii="Times New Roman" w:hAnsi="Times New Roman" w:eastAsia="方正仿宋_GBK" w:cs="Times New Roman"/>
          <w:b w:val="0"/>
          <w:bCs/>
          <w:color w:val="auto"/>
          <w:sz w:val="32"/>
          <w:szCs w:val="32"/>
          <w:highlight w:val="none"/>
          <w:shd w:val="clear" w:color="auto" w:fill="FFFFFF"/>
        </w:rPr>
        <w:t>公务</w:t>
      </w:r>
      <w:r>
        <w:rPr>
          <w:rFonts w:hint="default" w:ascii="Times New Roman" w:hAnsi="Times New Roman" w:eastAsia="方正仿宋_GBK" w:cs="Times New Roman"/>
          <w:b w:val="0"/>
          <w:bCs/>
          <w:color w:val="auto"/>
          <w:sz w:val="32"/>
          <w:szCs w:val="32"/>
          <w:highlight w:val="none"/>
          <w:shd w:val="clear" w:color="auto" w:fill="FFFFFF"/>
          <w:lang w:eastAsia="zh-CN"/>
        </w:rPr>
        <w:t>用</w:t>
      </w:r>
      <w:r>
        <w:rPr>
          <w:rFonts w:hint="default" w:ascii="Times New Roman" w:hAnsi="Times New Roman" w:eastAsia="方正仿宋_GBK" w:cs="Times New Roman"/>
          <w:b w:val="0"/>
          <w:bCs/>
          <w:color w:val="auto"/>
          <w:sz w:val="32"/>
          <w:szCs w:val="32"/>
          <w:highlight w:val="none"/>
          <w:shd w:val="clear" w:color="auto" w:fill="FFFFFF"/>
        </w:rPr>
        <w:t>车购置费0.00万元，费用支出较年初预算数无增减，较上年支出数无增减</w:t>
      </w:r>
      <w:r>
        <w:rPr>
          <w:rFonts w:hint="default" w:ascii="Times New Roman" w:hAnsi="Times New Roman" w:eastAsia="方正仿宋_GBK" w:cs="Times New Roman"/>
          <w:b w:val="0"/>
          <w:bCs/>
          <w:color w:val="auto"/>
          <w:sz w:val="32"/>
          <w:szCs w:val="32"/>
          <w:highlight w:val="none"/>
          <w:shd w:val="clear" w:color="auto" w:fill="FFFFFF"/>
          <w:lang w:eastAsia="zh-CN"/>
        </w:rPr>
        <w:t>。</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shd w:val="clear" w:color="auto" w:fill="FFFFFF"/>
        </w:rPr>
        <w:t>公务</w:t>
      </w:r>
      <w:r>
        <w:rPr>
          <w:rFonts w:hint="default" w:ascii="Times New Roman" w:hAnsi="Times New Roman" w:eastAsia="方正仿宋_GBK" w:cs="Times New Roman"/>
          <w:b w:val="0"/>
          <w:bCs/>
          <w:color w:val="auto"/>
          <w:sz w:val="32"/>
          <w:szCs w:val="32"/>
          <w:highlight w:val="none"/>
          <w:shd w:val="clear" w:color="auto" w:fill="FFFFFF"/>
          <w:lang w:eastAsia="zh-CN"/>
        </w:rPr>
        <w:t>用</w:t>
      </w:r>
      <w:r>
        <w:rPr>
          <w:rFonts w:hint="default" w:ascii="Times New Roman" w:hAnsi="Times New Roman" w:eastAsia="方正仿宋_GBK" w:cs="Times New Roman"/>
          <w:b w:val="0"/>
          <w:bCs/>
          <w:color w:val="auto"/>
          <w:sz w:val="32"/>
          <w:szCs w:val="32"/>
          <w:highlight w:val="none"/>
          <w:shd w:val="clear" w:color="auto" w:fill="FFFFFF"/>
        </w:rPr>
        <w:t>车运行维护费1.69万元，主要用于</w:t>
      </w:r>
      <w:r>
        <w:rPr>
          <w:rFonts w:hint="default" w:ascii="Times New Roman" w:hAnsi="Times New Roman" w:eastAsia="方正仿宋_GBK" w:cs="Times New Roman"/>
          <w:b w:val="0"/>
          <w:bCs/>
          <w:color w:val="auto"/>
          <w:kern w:val="0"/>
          <w:sz w:val="32"/>
          <w:szCs w:val="32"/>
          <w:highlight w:val="none"/>
          <w:lang w:val="en-US" w:eastAsia="zh-CN" w:bidi="ar-SA"/>
        </w:rPr>
        <w:t>基金监管、信息化建设、会议培训等工作所需车辆的过桥过路费、保险费、燃油费及车辆维护费等</w:t>
      </w:r>
      <w:r>
        <w:rPr>
          <w:rFonts w:hint="default" w:ascii="Times New Roman" w:hAnsi="Times New Roman" w:eastAsia="方正仿宋_GBK" w:cs="Times New Roman"/>
          <w:b w:val="0"/>
          <w:bCs/>
          <w:color w:val="auto"/>
          <w:sz w:val="32"/>
          <w:szCs w:val="32"/>
          <w:highlight w:val="none"/>
          <w:shd w:val="clear" w:color="auto" w:fill="FFFFFF"/>
        </w:rPr>
        <w:t>。费用支出较年初预算数减少2.81万元，下降62.4%，主要原因是</w:t>
      </w:r>
      <w:r>
        <w:rPr>
          <w:rFonts w:hint="default" w:ascii="Times New Roman" w:hAnsi="Times New Roman" w:eastAsia="方正仿宋_GBK" w:cs="Times New Roman"/>
          <w:b w:val="0"/>
          <w:bCs/>
          <w:color w:val="auto"/>
          <w:sz w:val="32"/>
          <w:szCs w:val="32"/>
          <w:highlight w:val="none"/>
          <w:shd w:val="clear" w:color="auto" w:fill="FFFFFF"/>
          <w:lang w:eastAsia="zh-CN"/>
        </w:rPr>
        <w:t>落实公车使用规定，严控公务车的使用</w:t>
      </w:r>
      <w:r>
        <w:rPr>
          <w:rFonts w:hint="default" w:ascii="Times New Roman" w:hAnsi="Times New Roman" w:eastAsia="方正仿宋_GBK" w:cs="Times New Roman"/>
          <w:b w:val="0"/>
          <w:bCs/>
          <w:color w:val="auto"/>
          <w:sz w:val="32"/>
          <w:szCs w:val="32"/>
          <w:highlight w:val="none"/>
          <w:shd w:val="clear" w:color="auto" w:fill="FFFFFF"/>
        </w:rPr>
        <w:t>。较上年支出数增加0.15万元，增长9.7%，主要原因是</w:t>
      </w:r>
      <w:r>
        <w:rPr>
          <w:rFonts w:hint="default" w:ascii="Times New Roman" w:hAnsi="Times New Roman" w:eastAsia="方正仿宋_GBK" w:cs="Times New Roman"/>
          <w:b w:val="0"/>
          <w:bCs/>
          <w:color w:val="auto"/>
          <w:sz w:val="32"/>
          <w:szCs w:val="32"/>
          <w:highlight w:val="none"/>
          <w:shd w:val="clear" w:color="auto" w:fill="FFFFFF"/>
          <w:lang w:eastAsia="zh-CN"/>
        </w:rPr>
        <w:t>向市局汇报工作及县外培训等次数增加。</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shd w:val="clear" w:color="auto" w:fill="FFFFFF"/>
        </w:rPr>
        <w:t>公务接待费0.77万元，主要用于接待</w:t>
      </w:r>
      <w:r>
        <w:rPr>
          <w:rFonts w:hint="default" w:ascii="Times New Roman" w:hAnsi="Times New Roman" w:eastAsia="方正仿宋_GBK" w:cs="Times New Roman"/>
          <w:b w:val="0"/>
          <w:bCs/>
          <w:color w:val="auto"/>
          <w:sz w:val="32"/>
          <w:szCs w:val="32"/>
          <w:highlight w:val="none"/>
          <w:shd w:val="clear" w:color="auto" w:fill="FFFFFF"/>
          <w:lang w:eastAsia="zh-CN"/>
        </w:rPr>
        <w:t>市级部门工作检查，各区县医保局工作交流</w:t>
      </w:r>
      <w:r>
        <w:rPr>
          <w:rFonts w:hint="default" w:ascii="Times New Roman" w:hAnsi="Times New Roman" w:eastAsia="方正仿宋_GBK" w:cs="Times New Roman"/>
          <w:b w:val="0"/>
          <w:bCs/>
          <w:color w:val="auto"/>
          <w:sz w:val="32"/>
          <w:szCs w:val="32"/>
          <w:highlight w:val="none"/>
          <w:shd w:val="clear" w:color="auto" w:fill="FFFFFF"/>
        </w:rPr>
        <w:t>。费用支出较年初预算数减少1.23万元，下降61.5%，主要原因是</w:t>
      </w:r>
      <w:r>
        <w:rPr>
          <w:rFonts w:hint="default" w:ascii="Times New Roman" w:hAnsi="Times New Roman" w:eastAsia="方正仿宋_GBK" w:cs="Times New Roman"/>
          <w:b w:val="0"/>
          <w:bCs/>
          <w:color w:val="auto"/>
          <w:kern w:val="0"/>
          <w:sz w:val="32"/>
          <w:szCs w:val="32"/>
          <w:highlight w:val="none"/>
          <w:lang w:val="en-US" w:eastAsia="zh-CN" w:bidi="ar-SA"/>
        </w:rPr>
        <w:t>强化公务接待支出管理，严格遵守公务接待开支范围和开支标准</w:t>
      </w:r>
      <w:r>
        <w:rPr>
          <w:rFonts w:hint="default" w:ascii="Times New Roman" w:hAnsi="Times New Roman" w:eastAsia="方正仿宋_GBK" w:cs="Times New Roman"/>
          <w:b w:val="0"/>
          <w:bCs/>
          <w:color w:val="auto"/>
          <w:sz w:val="32"/>
          <w:szCs w:val="32"/>
          <w:highlight w:val="none"/>
          <w:shd w:val="clear" w:color="auto" w:fill="FFFFFF"/>
        </w:rPr>
        <w:t>。较上年支出数减少0.60万元，下降43.8%，主要原因是</w:t>
      </w:r>
      <w:r>
        <w:rPr>
          <w:rFonts w:hint="default" w:ascii="Times New Roman" w:hAnsi="Times New Roman" w:eastAsia="方正仿宋_GBK" w:cs="Times New Roman"/>
          <w:b w:val="0"/>
          <w:bCs/>
          <w:color w:val="auto"/>
          <w:sz w:val="32"/>
          <w:szCs w:val="32"/>
          <w:highlight w:val="none"/>
          <w:lang w:val="en-US" w:eastAsia="zh-CN"/>
        </w:rPr>
        <w:t>本年度各区县交流学习次数减少，接待批次减少，费用减少。</w:t>
      </w:r>
      <w:r>
        <w:rPr>
          <w:rFonts w:hint="default" w:ascii="Times New Roman" w:hAnsi="Times New Roman" w:eastAsia="方正仿宋_GBK" w:cs="Times New Roman"/>
          <w:b w:val="0"/>
          <w:bCs/>
          <w:color w:val="auto"/>
          <w:kern w:val="0"/>
          <w:sz w:val="32"/>
          <w:szCs w:val="32"/>
          <w:highlight w:val="none"/>
          <w:lang w:val="en-US" w:eastAsia="zh-CN" w:bidi="ar-SA"/>
        </w:rPr>
        <w:t xml:space="preserve"> </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0"/>
          <w:rFonts w:hint="default" w:ascii="方正楷体_GBK" w:hAnsi="方正楷体_GBK" w:eastAsia="方正楷体_GBK" w:cs="方正楷体_GBK"/>
          <w:b w:val="0"/>
          <w:bCs/>
          <w:color w:val="auto"/>
          <w:sz w:val="32"/>
          <w:szCs w:val="32"/>
          <w:highlight w:val="none"/>
          <w:shd w:val="clear" w:color="auto" w:fill="FFFFFF"/>
        </w:rPr>
      </w:pPr>
      <w:r>
        <w:rPr>
          <w:rStyle w:val="10"/>
          <w:rFonts w:hint="default" w:ascii="方正楷体_GBK" w:hAnsi="方正楷体_GBK" w:eastAsia="方正楷体_GBK" w:cs="方正楷体_GBK"/>
          <w:b w:val="0"/>
          <w:bCs/>
          <w:color w:val="auto"/>
          <w:sz w:val="32"/>
          <w:szCs w:val="32"/>
          <w:highlight w:val="none"/>
          <w:shd w:val="clear" w:color="auto" w:fill="FFFFFF"/>
        </w:rPr>
        <w:t>（三）“三公”经费实物量情况</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shd w:val="clear" w:color="auto" w:fill="FFFFFF"/>
        </w:rPr>
        <w:t>2024年度本部门因公出国（境）共计0个团组，0人；公务用车购置0辆，公务车保有量为1辆；国内公务接待7批次90人，其中：国内外事接待0批次，0人；国（境）外公务接待0批次，0人。2024年本部门人均接待费85.91元，车均购置费0万元，车均维护费1.69万元。</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0"/>
          <w:rFonts w:hint="default" w:ascii="方正黑体_GBK" w:hAnsi="方正黑体_GBK" w:eastAsia="方正黑体_GBK" w:cs="方正黑体_GBK"/>
          <w:b w:val="0"/>
          <w:bCs/>
          <w:color w:val="auto"/>
          <w:sz w:val="32"/>
          <w:szCs w:val="32"/>
          <w:highlight w:val="none"/>
          <w:shd w:val="clear" w:color="auto" w:fill="FFFFFF"/>
        </w:rPr>
      </w:pPr>
      <w:r>
        <w:rPr>
          <w:rStyle w:val="10"/>
          <w:rFonts w:hint="default" w:ascii="方正黑体_GBK" w:hAnsi="方正黑体_GBK" w:eastAsia="方正黑体_GBK" w:cs="方正黑体_GBK"/>
          <w:b w:val="0"/>
          <w:bCs/>
          <w:color w:val="auto"/>
          <w:sz w:val="32"/>
          <w:szCs w:val="32"/>
          <w:highlight w:val="none"/>
          <w:shd w:val="clear" w:color="auto" w:fill="FFFFFF"/>
        </w:rPr>
        <w:t>四、其他需要说明的事项</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0"/>
          <w:rFonts w:hint="default" w:ascii="方正楷体_GBK" w:hAnsi="方正楷体_GBK" w:eastAsia="方正楷体_GBK" w:cs="方正楷体_GBK"/>
          <w:b w:val="0"/>
          <w:bCs/>
          <w:color w:val="auto"/>
          <w:sz w:val="32"/>
          <w:szCs w:val="32"/>
          <w:highlight w:val="none"/>
          <w:shd w:val="clear" w:color="auto" w:fill="FFFFFF"/>
        </w:rPr>
      </w:pPr>
      <w:r>
        <w:rPr>
          <w:rStyle w:val="10"/>
          <w:rFonts w:hint="default" w:ascii="方正楷体_GBK" w:hAnsi="方正楷体_GBK" w:eastAsia="方正楷体_GBK" w:cs="方正楷体_GBK"/>
          <w:b w:val="0"/>
          <w:bCs/>
          <w:color w:val="auto"/>
          <w:sz w:val="32"/>
          <w:szCs w:val="32"/>
          <w:highlight w:val="none"/>
          <w:shd w:val="clear" w:color="auto" w:fill="FFFFFF"/>
        </w:rPr>
        <w:t>（一）财政拨款会议费、培训费和差旅费情况说明</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仿宋_GBK" w:cs="Times New Roman"/>
          <w:b w:val="0"/>
          <w:bCs/>
          <w:color w:val="auto"/>
          <w:sz w:val="32"/>
          <w:szCs w:val="32"/>
          <w:highlight w:val="none"/>
          <w:shd w:val="clear" w:color="auto" w:fill="FFFFFF"/>
        </w:rPr>
        <w:t>本年度会议费支出0.62万元，与2023年度相比，增加0.62万元，增长100.0%，主要原因是</w:t>
      </w:r>
      <w:r>
        <w:rPr>
          <w:rFonts w:hint="default" w:ascii="Times New Roman" w:hAnsi="Times New Roman" w:eastAsia="方正仿宋_GBK" w:cs="Times New Roman"/>
          <w:b w:val="0"/>
          <w:bCs/>
          <w:color w:val="auto"/>
          <w:sz w:val="32"/>
          <w:szCs w:val="32"/>
          <w:highlight w:val="none"/>
          <w:shd w:val="clear" w:color="auto" w:fill="FFFFFF"/>
          <w:lang w:eastAsia="zh-CN"/>
        </w:rPr>
        <w:t>上年度会议多为线上会议，未产生费用，而本年度</w:t>
      </w:r>
      <w:r>
        <w:rPr>
          <w:rFonts w:hint="default" w:ascii="Times New Roman" w:hAnsi="Times New Roman" w:eastAsia="方正仿宋_GBK" w:cs="Times New Roman"/>
          <w:b w:val="0"/>
          <w:bCs/>
          <w:color w:val="auto"/>
          <w:sz w:val="32"/>
          <w:szCs w:val="32"/>
          <w:highlight w:val="none"/>
          <w:lang w:val="en-US" w:eastAsia="zh-CN"/>
        </w:rPr>
        <w:t>召开“三省联动”试点联席会。</w:t>
      </w:r>
      <w:r>
        <w:rPr>
          <w:rFonts w:hint="default" w:ascii="Times New Roman" w:hAnsi="Times New Roman" w:eastAsia="方正仿宋_GBK" w:cs="Times New Roman"/>
          <w:b w:val="0"/>
          <w:bCs/>
          <w:color w:val="auto"/>
          <w:sz w:val="32"/>
          <w:szCs w:val="32"/>
          <w:highlight w:val="none"/>
          <w:shd w:val="clear" w:color="auto" w:fill="FFFFFF"/>
        </w:rPr>
        <w:t>本年度培训费支出21.33万元，与2023年度相比，减少18.08万元，下降45.9%，主要原因是</w:t>
      </w:r>
      <w:r>
        <w:rPr>
          <w:rFonts w:hint="default" w:ascii="Times New Roman" w:hAnsi="Times New Roman" w:eastAsia="方正仿宋_GBK" w:cs="Times New Roman"/>
          <w:b w:val="0"/>
          <w:bCs/>
          <w:color w:val="auto"/>
          <w:sz w:val="32"/>
          <w:szCs w:val="32"/>
          <w:highlight w:val="none"/>
          <w:shd w:val="clear" w:color="auto" w:fill="FFFFFF"/>
          <w:lang w:val="en-US" w:eastAsia="zh-CN"/>
        </w:rPr>
        <w:t>2023年度医保系统能力提升培训举办了两期，而本年度只举办了一期。</w:t>
      </w:r>
      <w:r>
        <w:rPr>
          <w:rFonts w:hint="default" w:ascii="Times New Roman" w:hAnsi="Times New Roman" w:eastAsia="方正仿宋_GBK" w:cs="Times New Roman"/>
          <w:b w:val="0"/>
          <w:bCs/>
          <w:color w:val="auto"/>
          <w:sz w:val="32"/>
          <w:szCs w:val="32"/>
          <w:highlight w:val="none"/>
          <w:shd w:val="clear" w:color="auto" w:fill="FFFFFF"/>
        </w:rPr>
        <w:t>本年度差旅费支出11.09</w:t>
      </w:r>
      <w:r>
        <w:rPr>
          <w:rFonts w:hint="default" w:ascii="Times New Roman" w:hAnsi="Times New Roman" w:eastAsia="方正仿宋_GBK" w:cs="Times New Roman"/>
          <w:b w:val="0"/>
          <w:bCs/>
          <w:color w:val="auto"/>
          <w:sz w:val="32"/>
          <w:szCs w:val="32"/>
          <w:highlight w:val="none"/>
        </w:rPr>
        <w:t>万元，</w:t>
      </w:r>
      <w:r>
        <w:rPr>
          <w:rFonts w:hint="default" w:ascii="Times New Roman" w:hAnsi="Times New Roman" w:eastAsia="方正仿宋_GBK" w:cs="Times New Roman"/>
          <w:b w:val="0"/>
          <w:bCs/>
          <w:color w:val="auto"/>
          <w:sz w:val="32"/>
          <w:szCs w:val="32"/>
          <w:highlight w:val="none"/>
          <w:shd w:val="clear" w:color="auto" w:fill="FFFFFF"/>
        </w:rPr>
        <w:t>与2023年度相比，增加5.33万元，增长92.5%，主要原因是</w:t>
      </w:r>
      <w:r>
        <w:rPr>
          <w:rFonts w:hint="default" w:ascii="Times New Roman" w:hAnsi="Times New Roman" w:eastAsia="方正仿宋_GBK" w:cs="Times New Roman"/>
          <w:b w:val="0"/>
          <w:bCs/>
          <w:color w:val="auto"/>
          <w:sz w:val="32"/>
          <w:szCs w:val="32"/>
          <w:highlight w:val="none"/>
          <w:lang w:val="en-US" w:eastAsia="zh-CN"/>
        </w:rPr>
        <w:t>市局会议增加以及基金飞行检查费用自2024年起由各单位自行承担</w:t>
      </w:r>
      <w:r>
        <w:rPr>
          <w:rFonts w:hint="default" w:ascii="Times New Roman" w:hAnsi="Times New Roman" w:eastAsia="方正仿宋_GBK" w:cs="Times New Roman"/>
          <w:b w:val="0"/>
          <w:bCs/>
          <w:color w:val="auto"/>
          <w:sz w:val="32"/>
          <w:szCs w:val="32"/>
          <w:highlight w:val="none"/>
        </w:rPr>
        <w:t>。</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0"/>
          <w:rFonts w:hint="default" w:ascii="方正楷体_GBK" w:hAnsi="方正楷体_GBK" w:eastAsia="方正楷体_GBK" w:cs="方正楷体_GBK"/>
          <w:b w:val="0"/>
          <w:bCs/>
          <w:color w:val="auto"/>
          <w:sz w:val="32"/>
          <w:szCs w:val="32"/>
          <w:highlight w:val="none"/>
          <w:shd w:val="clear" w:color="auto" w:fill="FFFFFF"/>
        </w:rPr>
      </w:pPr>
      <w:r>
        <w:rPr>
          <w:rStyle w:val="10"/>
          <w:rFonts w:hint="default" w:ascii="方正楷体_GBK" w:hAnsi="方正楷体_GBK" w:eastAsia="方正楷体_GBK" w:cs="方正楷体_GBK"/>
          <w:b w:val="0"/>
          <w:bCs/>
          <w:color w:val="auto"/>
          <w:sz w:val="32"/>
          <w:szCs w:val="32"/>
          <w:highlight w:val="none"/>
          <w:shd w:val="clear" w:color="auto" w:fill="FFFFFF"/>
        </w:rPr>
        <w:t>（二）机关运行经费情况说明</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shd w:val="clear" w:color="auto" w:fill="FFFFFF"/>
        </w:rPr>
        <w:t>2024年度本部门机关运行经费支出73.85万元，机关运行经费主要用于开支</w:t>
      </w:r>
      <w:r>
        <w:rPr>
          <w:rFonts w:hint="default" w:ascii="Times New Roman" w:hAnsi="Times New Roman" w:eastAsia="方正仿宋_GBK" w:cs="Times New Roman"/>
          <w:b w:val="0"/>
          <w:bCs/>
          <w:color w:val="auto"/>
          <w:sz w:val="32"/>
          <w:szCs w:val="32"/>
          <w:highlight w:val="none"/>
          <w:shd w:val="clear" w:color="auto" w:fill="FFFFFF"/>
          <w:lang w:eastAsia="zh-CN"/>
        </w:rPr>
        <w:t>办公费、印刷费、水费、电费、邮电费、物业管理费、差旅费、维修费、公务接待费、公务用车运行维护费、伙食费等</w:t>
      </w:r>
      <w:r>
        <w:rPr>
          <w:rFonts w:hint="default" w:ascii="Times New Roman" w:hAnsi="Times New Roman" w:eastAsia="方正仿宋_GBK" w:cs="Times New Roman"/>
          <w:b w:val="0"/>
          <w:bCs/>
          <w:color w:val="auto"/>
          <w:sz w:val="32"/>
          <w:szCs w:val="32"/>
          <w:highlight w:val="none"/>
          <w:shd w:val="clear" w:color="auto" w:fill="FFFFFF"/>
        </w:rPr>
        <w:t>。机关运行经费较上年支出数增加10.49万元，增长16.6%，主要原因是</w:t>
      </w:r>
      <w:r>
        <w:rPr>
          <w:rFonts w:hint="default" w:ascii="Times New Roman" w:hAnsi="Times New Roman" w:eastAsia="方正仿宋_GBK" w:cs="Times New Roman"/>
          <w:b w:val="0"/>
          <w:bCs/>
          <w:color w:val="auto"/>
          <w:sz w:val="32"/>
          <w:szCs w:val="32"/>
          <w:highlight w:val="none"/>
          <w:shd w:val="clear" w:color="auto" w:fill="FFFFFF"/>
          <w:lang w:eastAsia="zh-CN"/>
        </w:rPr>
        <w:t>各类培训及与市局进行工作对接等次数增加导致差旅费、公务用车运行维护费等增加。</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0"/>
          <w:rFonts w:hint="default" w:ascii="方正楷体_GBK" w:hAnsi="方正楷体_GBK" w:eastAsia="方正楷体_GBK" w:cs="方正楷体_GBK"/>
          <w:b w:val="0"/>
          <w:bCs/>
          <w:color w:val="auto"/>
          <w:sz w:val="32"/>
          <w:szCs w:val="32"/>
          <w:highlight w:val="none"/>
          <w:shd w:val="clear" w:color="auto" w:fill="FFFFFF"/>
        </w:rPr>
      </w:pPr>
      <w:r>
        <w:rPr>
          <w:rStyle w:val="10"/>
          <w:rFonts w:hint="default" w:ascii="方正楷体_GBK" w:hAnsi="方正楷体_GBK" w:eastAsia="方正楷体_GBK" w:cs="方正楷体_GBK"/>
          <w:b w:val="0"/>
          <w:bCs/>
          <w:color w:val="auto"/>
          <w:sz w:val="32"/>
          <w:szCs w:val="32"/>
          <w:highlight w:val="none"/>
          <w:shd w:val="clear" w:color="auto" w:fill="FFFFFF"/>
        </w:rPr>
        <w:t>（三）国有资产占用情况说明</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shd w:val="clear" w:color="auto" w:fill="FFFFFF"/>
        </w:rPr>
        <w:t>截至2024年12月31日，本部门共有车辆1辆，其中，副部（省）级及以上领导用车0辆、主要负责人用车0辆、机要通信用车0辆、应急保障用车1辆、执法执勤用车0辆，特种专业技术用车0辆，离退休干部用车0辆。单价100万元（含）以上专用设备0台（套）。</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0"/>
          <w:rFonts w:hint="default" w:ascii="方正楷体_GBK" w:hAnsi="方正楷体_GBK" w:eastAsia="方正楷体_GBK" w:cs="方正楷体_GBK"/>
          <w:b w:val="0"/>
          <w:bCs/>
          <w:color w:val="auto"/>
          <w:sz w:val="32"/>
          <w:szCs w:val="32"/>
          <w:highlight w:val="none"/>
          <w:shd w:val="clear" w:color="auto" w:fill="FFFFFF"/>
        </w:rPr>
      </w:pPr>
      <w:r>
        <w:rPr>
          <w:rStyle w:val="10"/>
          <w:rFonts w:hint="default" w:ascii="方正楷体_GBK" w:hAnsi="方正楷体_GBK" w:eastAsia="方正楷体_GBK" w:cs="方正楷体_GBK"/>
          <w:b w:val="0"/>
          <w:bCs/>
          <w:color w:val="auto"/>
          <w:sz w:val="32"/>
          <w:szCs w:val="32"/>
          <w:highlight w:val="none"/>
          <w:shd w:val="clear" w:color="auto" w:fill="FFFFFF"/>
        </w:rPr>
        <w:t>（四）政府采购支出情况说明</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shd w:val="clear" w:color="auto" w:fill="FFFFFF"/>
        </w:rPr>
      </w:pPr>
      <w:r>
        <w:rPr>
          <w:rFonts w:hint="default" w:ascii="Times New Roman" w:hAnsi="Times New Roman" w:eastAsia="方正仿宋_GBK" w:cs="Times New Roman"/>
          <w:b w:val="0"/>
          <w:bCs/>
          <w:color w:val="auto"/>
          <w:sz w:val="32"/>
          <w:szCs w:val="32"/>
          <w:highlight w:val="none"/>
          <w:shd w:val="clear" w:color="auto" w:fill="FFFFFF"/>
        </w:rPr>
        <w:t>2024年度本部门政府采购支出总额3.88万元，其中：政府采购货物支出3.88万元、政府采购工程支出0.00万元、政府采购服务支出0.00万元。授予中小企业合同金额3.88</w:t>
      </w:r>
      <w:r>
        <w:rPr>
          <w:rFonts w:hint="default" w:ascii="Times New Roman" w:hAnsi="Times New Roman" w:eastAsia="方正仿宋_GBK" w:cs="Times New Roman"/>
          <w:b w:val="0"/>
          <w:bCs/>
          <w:color w:val="auto"/>
          <w:sz w:val="32"/>
          <w:szCs w:val="32"/>
          <w:highlight w:val="none"/>
        </w:rPr>
        <w:t>万</w:t>
      </w:r>
      <w:r>
        <w:rPr>
          <w:rFonts w:hint="default" w:ascii="Times New Roman" w:hAnsi="Times New Roman" w:eastAsia="方正仿宋_GBK" w:cs="Times New Roman"/>
          <w:b w:val="0"/>
          <w:bCs/>
          <w:color w:val="auto"/>
          <w:sz w:val="32"/>
          <w:szCs w:val="32"/>
          <w:highlight w:val="none"/>
          <w:shd w:val="clear" w:color="auto" w:fill="FFFFFF"/>
        </w:rPr>
        <w:t>元，占政府采购支出总额的100.0%，其中：授予小微企业合同金额3.88万元，占政府采购支出总额的100.0 %。主要用于采购</w:t>
      </w:r>
      <w:r>
        <w:rPr>
          <w:rFonts w:hint="default" w:ascii="Times New Roman" w:hAnsi="Times New Roman" w:eastAsia="方正仿宋_GBK" w:cs="Times New Roman"/>
          <w:b w:val="0"/>
          <w:bCs/>
          <w:color w:val="auto"/>
          <w:sz w:val="32"/>
          <w:szCs w:val="32"/>
          <w:highlight w:val="none"/>
          <w:shd w:val="clear" w:color="auto" w:fill="FFFFFF"/>
          <w:lang w:eastAsia="zh-CN"/>
        </w:rPr>
        <w:t>复印纸、空调及台式计算机</w:t>
      </w:r>
      <w:r>
        <w:rPr>
          <w:rFonts w:hint="default" w:ascii="Times New Roman" w:hAnsi="Times New Roman" w:eastAsia="方正仿宋_GBK" w:cs="Times New Roman"/>
          <w:b w:val="0"/>
          <w:bCs/>
          <w:color w:val="auto"/>
          <w:sz w:val="32"/>
          <w:szCs w:val="32"/>
          <w:highlight w:val="none"/>
          <w:shd w:val="clear" w:color="auto" w:fill="FFFFFF"/>
        </w:rPr>
        <w:t>。</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0"/>
          <w:rFonts w:hint="default" w:ascii="方正黑体_GBK" w:hAnsi="方正黑体_GBK" w:eastAsia="方正黑体_GBK" w:cs="方正黑体_GBK"/>
          <w:b w:val="0"/>
          <w:bCs/>
          <w:color w:val="auto"/>
          <w:sz w:val="32"/>
          <w:szCs w:val="32"/>
          <w:highlight w:val="none"/>
          <w:shd w:val="clear" w:color="auto" w:fill="FFFFFF"/>
        </w:rPr>
      </w:pPr>
      <w:r>
        <w:rPr>
          <w:rStyle w:val="10"/>
          <w:rFonts w:hint="default" w:ascii="方正黑体_GBK" w:hAnsi="方正黑体_GBK" w:eastAsia="方正黑体_GBK" w:cs="方正黑体_GBK"/>
          <w:b w:val="0"/>
          <w:bCs/>
          <w:color w:val="auto"/>
          <w:sz w:val="32"/>
          <w:szCs w:val="32"/>
          <w:highlight w:val="none"/>
          <w:shd w:val="clear" w:color="auto" w:fill="FFFFFF"/>
        </w:rPr>
        <w:t>五、预算绩效管理情况说明</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0"/>
          <w:rFonts w:hint="default" w:ascii="方正楷体_GBK" w:hAnsi="方正楷体_GBK" w:eastAsia="方正楷体_GBK" w:cs="方正楷体_GBK"/>
          <w:b w:val="0"/>
          <w:bCs/>
          <w:color w:val="auto"/>
          <w:sz w:val="32"/>
          <w:szCs w:val="32"/>
          <w:highlight w:val="none"/>
          <w:shd w:val="clear" w:color="auto" w:fill="FFFFFF"/>
          <w:lang w:val="en-US" w:eastAsia="zh-CN"/>
        </w:rPr>
      </w:pPr>
      <w:r>
        <w:rPr>
          <w:rStyle w:val="10"/>
          <w:rFonts w:hint="default" w:ascii="方正楷体_GBK" w:hAnsi="方正楷体_GBK" w:eastAsia="方正楷体_GBK" w:cs="方正楷体_GBK"/>
          <w:b w:val="0"/>
          <w:bCs/>
          <w:color w:val="auto"/>
          <w:sz w:val="32"/>
          <w:szCs w:val="32"/>
          <w:highlight w:val="none"/>
          <w:shd w:val="clear" w:color="auto" w:fill="FFFFFF"/>
        </w:rPr>
        <w:t>（一）</w:t>
      </w:r>
      <w:r>
        <w:rPr>
          <w:rStyle w:val="10"/>
          <w:rFonts w:hint="default" w:ascii="方正楷体_GBK" w:hAnsi="方正楷体_GBK" w:eastAsia="方正楷体_GBK" w:cs="方正楷体_GBK"/>
          <w:b w:val="0"/>
          <w:bCs/>
          <w:color w:val="auto"/>
          <w:sz w:val="32"/>
          <w:szCs w:val="32"/>
          <w:highlight w:val="none"/>
          <w:shd w:val="clear" w:color="auto" w:fill="FFFFFF"/>
          <w:lang w:eastAsia="zh-CN"/>
        </w:rPr>
        <w:t>部门</w:t>
      </w:r>
      <w:r>
        <w:rPr>
          <w:rStyle w:val="10"/>
          <w:rFonts w:hint="default" w:ascii="方正楷体_GBK" w:hAnsi="方正楷体_GBK" w:eastAsia="方正楷体_GBK" w:cs="方正楷体_GBK"/>
          <w:b w:val="0"/>
          <w:bCs/>
          <w:color w:val="auto"/>
          <w:sz w:val="32"/>
          <w:szCs w:val="32"/>
          <w:highlight w:val="none"/>
          <w:shd w:val="clear" w:color="auto" w:fill="FFFFFF"/>
        </w:rPr>
        <w:t>自评情况</w:t>
      </w:r>
    </w:p>
    <w:p>
      <w:pPr>
        <w:pStyle w:val="12"/>
        <w:keepNext w:val="0"/>
        <w:keepLines w:val="0"/>
        <w:pageBreakBefore w:val="0"/>
        <w:widowControl w:val="0"/>
        <w:kinsoku/>
        <w:wordWrap/>
        <w:overflowPunct/>
        <w:topLinePunct w:val="0"/>
        <w:autoSpaceDE w:val="0"/>
        <w:autoSpaceDN/>
        <w:bidi w:val="0"/>
        <w:adjustRightInd/>
        <w:spacing w:before="0" w:beforeAutospacing="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shd w:val="clear" w:color="auto" w:fill="FFFFFF"/>
          <w:lang w:bidi="ar"/>
        </w:rPr>
      </w:pPr>
      <w:r>
        <w:rPr>
          <w:rFonts w:hint="default" w:ascii="Times New Roman" w:hAnsi="Times New Roman" w:eastAsia="方正仿宋_GBK" w:cs="Times New Roman"/>
          <w:b w:val="0"/>
          <w:bCs/>
          <w:color w:val="auto"/>
          <w:kern w:val="0"/>
          <w:sz w:val="32"/>
          <w:szCs w:val="32"/>
          <w:highlight w:val="none"/>
          <w:shd w:val="clear" w:fill="FFFFFF"/>
        </w:rPr>
        <w:t>根据预算绩效管理要求，我部门对部门整体和</w:t>
      </w:r>
      <w:r>
        <w:rPr>
          <w:rFonts w:hint="default" w:ascii="Times New Roman" w:hAnsi="Times New Roman" w:eastAsia="方正仿宋_GBK" w:cs="Times New Roman"/>
          <w:b w:val="0"/>
          <w:bCs/>
          <w:color w:val="auto"/>
          <w:sz w:val="32"/>
          <w:szCs w:val="32"/>
          <w:highlight w:val="none"/>
          <w:lang w:val="en-US" w:eastAsia="zh-CN"/>
        </w:rPr>
        <w:t>12</w:t>
      </w:r>
      <w:r>
        <w:rPr>
          <w:rFonts w:hint="default" w:ascii="Times New Roman" w:hAnsi="Times New Roman" w:eastAsia="方正仿宋_GBK" w:cs="Times New Roman"/>
          <w:b w:val="0"/>
          <w:bCs/>
          <w:color w:val="auto"/>
          <w:kern w:val="0"/>
          <w:sz w:val="32"/>
          <w:szCs w:val="32"/>
          <w:highlight w:val="none"/>
          <w:shd w:val="clear" w:fill="FFFFFF"/>
        </w:rPr>
        <w:t>个二级项目开展了绩效自评，涉及财政拨款项目支出资金</w:t>
      </w:r>
      <w:r>
        <w:rPr>
          <w:rFonts w:hint="default" w:ascii="Times New Roman" w:hAnsi="Times New Roman" w:eastAsia="方正仿宋_GBK" w:cs="Times New Roman"/>
          <w:b w:val="0"/>
          <w:bCs/>
          <w:color w:val="auto"/>
          <w:sz w:val="32"/>
          <w:szCs w:val="32"/>
          <w:highlight w:val="none"/>
          <w:lang w:val="en-US" w:eastAsia="zh-CN"/>
        </w:rPr>
        <w:t>3922.15</w:t>
      </w:r>
      <w:r>
        <w:rPr>
          <w:rFonts w:hint="default" w:ascii="Times New Roman" w:hAnsi="Times New Roman" w:eastAsia="方正仿宋_GBK" w:cs="Times New Roman"/>
          <w:b w:val="0"/>
          <w:bCs/>
          <w:color w:val="auto"/>
          <w:kern w:val="0"/>
          <w:sz w:val="32"/>
          <w:szCs w:val="32"/>
          <w:highlight w:val="none"/>
          <w:shd w:val="clear" w:fill="FFFFFF"/>
        </w:rPr>
        <w:t>万元</w:t>
      </w:r>
      <w:r>
        <w:rPr>
          <w:rFonts w:hint="default" w:ascii="Times New Roman" w:hAnsi="Times New Roman" w:eastAsia="方正仿宋_GBK" w:cs="Times New Roman"/>
          <w:b w:val="0"/>
          <w:bCs/>
          <w:color w:val="auto"/>
          <w:kern w:val="0"/>
          <w:sz w:val="32"/>
          <w:szCs w:val="32"/>
          <w:highlight w:val="none"/>
          <w:shd w:val="clear" w:fill="FFFFFF"/>
          <w:lang w:eastAsia="zh-CN"/>
        </w:rPr>
        <w:t>。</w:t>
      </w:r>
      <w:r>
        <w:rPr>
          <w:rFonts w:hint="default" w:ascii="Times New Roman" w:hAnsi="Times New Roman" w:eastAsia="方正仿宋_GBK" w:cs="Times New Roman"/>
          <w:b w:val="0"/>
          <w:bCs/>
          <w:color w:val="auto"/>
          <w:kern w:val="0"/>
          <w:sz w:val="32"/>
          <w:szCs w:val="32"/>
          <w:highlight w:val="none"/>
          <w:lang w:val="en-US" w:eastAsia="zh-CN" w:bidi="ar-SA"/>
        </w:rPr>
        <w:t>从评价情况看，项目立项规范，绩效目标设定明确，专款专用，切实推进项目实施进度，有力保障了各项工作开展，达到了预期效果。</w:t>
      </w:r>
    </w:p>
    <w:tbl>
      <w:tblPr>
        <w:tblStyle w:val="7"/>
        <w:tblW w:w="8432" w:type="dxa"/>
        <w:jc w:val="center"/>
        <w:tblInd w:w="2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22"/>
        <w:gridCol w:w="318"/>
        <w:gridCol w:w="385"/>
        <w:gridCol w:w="607"/>
        <w:gridCol w:w="416"/>
        <w:gridCol w:w="505"/>
        <w:gridCol w:w="436"/>
        <w:gridCol w:w="518"/>
        <w:gridCol w:w="595"/>
        <w:gridCol w:w="121"/>
        <w:gridCol w:w="470"/>
        <w:gridCol w:w="114"/>
        <w:gridCol w:w="650"/>
        <w:gridCol w:w="55"/>
        <w:gridCol w:w="449"/>
        <w:gridCol w:w="256"/>
        <w:gridCol w:w="222"/>
        <w:gridCol w:w="483"/>
        <w:gridCol w:w="280"/>
        <w:gridCol w:w="440"/>
        <w:gridCol w:w="51"/>
        <w:gridCol w:w="300"/>
        <w:gridCol w:w="491"/>
        <w:gridCol w:w="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gridBefore w:val="1"/>
          <w:wBefore w:w="122" w:type="dxa"/>
          <w:trHeight w:val="1140" w:hRule="atLeast"/>
          <w:jc w:val="center"/>
        </w:trPr>
        <w:tc>
          <w:tcPr>
            <w:tcW w:w="8310" w:type="dxa"/>
            <w:gridSpan w:val="23"/>
            <w:tcBorders>
              <w:top w:val="nil"/>
              <w:left w:val="nil"/>
              <w:right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ascii="方正小标宋_GBK" w:hAnsi="方正小标宋_GBK" w:eastAsia="方正小标宋_GBK" w:cs="方正小标宋_GBK"/>
                <w:i w:val="0"/>
                <w:color w:val="000000"/>
                <w:sz w:val="36"/>
                <w:szCs w:val="36"/>
                <w:u w:val="none"/>
              </w:rPr>
            </w:pPr>
            <w:r>
              <w:rPr>
                <w:rFonts w:hint="eastAsia" w:ascii="方正小标宋_GBK" w:hAnsi="方正小标宋_GBK" w:eastAsia="方正小标宋_GBK" w:cs="方正小标宋_GBK"/>
                <w:i w:val="0"/>
                <w:color w:val="000000"/>
                <w:kern w:val="0"/>
                <w:sz w:val="36"/>
                <w:szCs w:val="36"/>
                <w:u w:val="none"/>
                <w:lang w:val="en-US" w:eastAsia="zh-CN" w:bidi="ar"/>
              </w:rPr>
              <w:t>秀山土家族苗族自治县医疗保障局</w:t>
            </w:r>
            <w:r>
              <w:rPr>
                <w:rFonts w:hint="eastAsia" w:ascii="方正小标宋_GBK" w:hAnsi="方正小标宋_GBK" w:eastAsia="方正小标宋_GBK" w:cs="方正小标宋_GBK"/>
                <w:i w:val="0"/>
                <w:color w:val="000000"/>
                <w:kern w:val="0"/>
                <w:sz w:val="36"/>
                <w:szCs w:val="36"/>
                <w:u w:val="none"/>
                <w:lang w:val="en-US" w:eastAsia="zh-CN" w:bidi="ar"/>
              </w:rPr>
              <w:br w:type="textWrapping"/>
            </w:r>
            <w:r>
              <w:rPr>
                <w:rFonts w:hint="eastAsia" w:ascii="方正小标宋_GBK" w:hAnsi="方正小标宋_GBK" w:eastAsia="方正小标宋_GBK" w:cs="方正小标宋_GBK"/>
                <w:i w:val="0"/>
                <w:color w:val="000000"/>
                <w:kern w:val="0"/>
                <w:sz w:val="36"/>
                <w:szCs w:val="36"/>
                <w:u w:val="none"/>
                <w:lang w:val="en-US" w:eastAsia="zh-CN" w:bidi="ar"/>
              </w:rPr>
              <w:t>2024年度部门整体绩效自评表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122" w:type="dxa"/>
          <w:trHeight w:val="500" w:hRule="atLeast"/>
          <w:jc w:val="center"/>
        </w:trPr>
        <w:tc>
          <w:tcPr>
            <w:tcW w:w="70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主管部门</w:t>
            </w:r>
          </w:p>
        </w:tc>
        <w:tc>
          <w:tcPr>
            <w:tcW w:w="1964" w:type="dxa"/>
            <w:gridSpan w:val="4"/>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left"/>
              <w:textAlignment w:val="center"/>
              <w:rPr>
                <w:rFonts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20"/>
                <w:szCs w:val="20"/>
                <w:u w:val="none"/>
                <w:lang w:val="en-US" w:eastAsia="zh-CN" w:bidi="ar"/>
              </w:rPr>
              <w:t>秀山土家族苗族自治县医疗保障局</w:t>
            </w:r>
          </w:p>
        </w:tc>
        <w:tc>
          <w:tcPr>
            <w:tcW w:w="111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部门编码</w:t>
            </w:r>
          </w:p>
        </w:tc>
        <w:tc>
          <w:tcPr>
            <w:tcW w:w="705" w:type="dxa"/>
            <w:gridSpan w:val="3"/>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182</w:t>
            </w:r>
          </w:p>
        </w:tc>
        <w:tc>
          <w:tcPr>
            <w:tcW w:w="1410" w:type="dxa"/>
            <w:gridSpan w:val="4"/>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自评总分（分）</w:t>
            </w:r>
          </w:p>
        </w:tc>
        <w:tc>
          <w:tcPr>
            <w:tcW w:w="2415" w:type="dxa"/>
            <w:gridSpan w:val="8"/>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lang w:val="en-US"/>
              </w:rPr>
            </w:pPr>
            <w:r>
              <w:rPr>
                <w:rFonts w:hint="eastAsia" w:ascii="Times New Roman" w:hAnsi="Times New Roman" w:cs="Times New Roman"/>
                <w:i w:val="0"/>
                <w:color w:val="000000"/>
                <w:kern w:val="0"/>
                <w:sz w:val="22"/>
                <w:szCs w:val="22"/>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122" w:type="dxa"/>
          <w:trHeight w:val="600" w:hRule="atLeast"/>
          <w:jc w:val="center"/>
        </w:trPr>
        <w:tc>
          <w:tcPr>
            <w:tcW w:w="70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left"/>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部门联系人</w:t>
            </w:r>
          </w:p>
        </w:tc>
        <w:tc>
          <w:tcPr>
            <w:tcW w:w="3782" w:type="dxa"/>
            <w:gridSpan w:val="9"/>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lang w:val="en-US" w:eastAsia="zh-CN"/>
              </w:rPr>
            </w:pPr>
            <w:r>
              <w:rPr>
                <w:rFonts w:hint="eastAsia" w:ascii="方正仿宋_GBK" w:hAnsi="方正仿宋_GBK" w:eastAsia="方正仿宋_GBK" w:cs="方正仿宋_GBK"/>
                <w:i w:val="0"/>
                <w:color w:val="000000"/>
                <w:sz w:val="21"/>
                <w:szCs w:val="21"/>
                <w:u w:val="none"/>
                <w:lang w:val="en-US" w:eastAsia="zh-CN"/>
              </w:rPr>
              <w:t>陈聪</w:t>
            </w:r>
          </w:p>
        </w:tc>
        <w:tc>
          <w:tcPr>
            <w:tcW w:w="1410" w:type="dxa"/>
            <w:gridSpan w:val="4"/>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联系电话</w:t>
            </w:r>
          </w:p>
        </w:tc>
        <w:tc>
          <w:tcPr>
            <w:tcW w:w="2415" w:type="dxa"/>
            <w:gridSpan w:val="8"/>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lang w:val="en-US"/>
              </w:rPr>
            </w:pPr>
            <w:r>
              <w:rPr>
                <w:rFonts w:hint="default" w:ascii="Times New Roman" w:hAnsi="Times New Roman" w:eastAsia="宋体" w:cs="Times New Roman"/>
                <w:i w:val="0"/>
                <w:color w:val="000000"/>
                <w:kern w:val="0"/>
                <w:sz w:val="22"/>
                <w:szCs w:val="22"/>
                <w:u w:val="none"/>
                <w:lang w:val="en-US" w:eastAsia="zh-CN" w:bidi="ar"/>
              </w:rPr>
              <w:t>023-766</w:t>
            </w:r>
            <w:r>
              <w:rPr>
                <w:rFonts w:hint="eastAsia" w:ascii="Times New Roman" w:hAnsi="Times New Roman" w:cs="Times New Roman"/>
                <w:i w:val="0"/>
                <w:color w:val="000000"/>
                <w:kern w:val="0"/>
                <w:sz w:val="22"/>
                <w:szCs w:val="22"/>
                <w:u w:val="none"/>
                <w:lang w:val="en-US" w:eastAsia="zh-CN" w:bidi="ar"/>
              </w:rPr>
              <w:t>68145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122" w:type="dxa"/>
          <w:trHeight w:val="760" w:hRule="atLeast"/>
          <w:jc w:val="center"/>
        </w:trPr>
        <w:tc>
          <w:tcPr>
            <w:tcW w:w="70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both"/>
              <w:rPr>
                <w:rFonts w:hint="eastAsia" w:ascii="方正仿宋_GBK" w:hAnsi="方正仿宋_GBK" w:eastAsia="方正仿宋_GBK" w:cs="方正仿宋_GBK"/>
                <w:i w:val="0"/>
                <w:color w:val="000000"/>
                <w:sz w:val="18"/>
                <w:szCs w:val="18"/>
                <w:u w:val="none"/>
              </w:rPr>
            </w:pPr>
          </w:p>
        </w:tc>
        <w:tc>
          <w:tcPr>
            <w:tcW w:w="1964" w:type="dxa"/>
            <w:gridSpan w:val="4"/>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年初预算数</w:t>
            </w:r>
          </w:p>
        </w:tc>
        <w:tc>
          <w:tcPr>
            <w:tcW w:w="1818" w:type="dxa"/>
            <w:gridSpan w:val="5"/>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全年（调整）预算数</w:t>
            </w:r>
          </w:p>
        </w:tc>
        <w:tc>
          <w:tcPr>
            <w:tcW w:w="1410" w:type="dxa"/>
            <w:gridSpan w:val="4"/>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全年执行数</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执行率（%）</w:t>
            </w:r>
          </w:p>
        </w:tc>
        <w:tc>
          <w:tcPr>
            <w:tcW w:w="720"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执行率权重</w:t>
            </w:r>
          </w:p>
        </w:tc>
        <w:tc>
          <w:tcPr>
            <w:tcW w:w="990" w:type="dxa"/>
            <w:gridSpan w:val="4"/>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执行率得分（分）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122" w:type="dxa"/>
          <w:trHeight w:val="90" w:hRule="atLeast"/>
          <w:jc w:val="center"/>
        </w:trPr>
        <w:tc>
          <w:tcPr>
            <w:tcW w:w="70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年度总金额</w:t>
            </w:r>
          </w:p>
        </w:tc>
        <w:tc>
          <w:tcPr>
            <w:tcW w:w="1964" w:type="dxa"/>
            <w:gridSpan w:val="4"/>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right"/>
              <w:textAlignment w:val="center"/>
              <w:rPr>
                <w:rFonts w:hint="default" w:ascii="Times New Roman" w:hAnsi="Times New Roman" w:eastAsia="宋体" w:cs="Times New Roman"/>
                <w:i w:val="0"/>
                <w:color w:val="000000"/>
                <w:sz w:val="22"/>
                <w:szCs w:val="22"/>
                <w:u w:val="none"/>
              </w:rPr>
            </w:pPr>
            <w:r>
              <w:rPr>
                <w:rFonts w:hint="eastAsia" w:ascii="Times New Roman" w:hAnsi="Times New Roman" w:cs="Times New Roman"/>
                <w:i w:val="0"/>
                <w:color w:val="000000"/>
                <w:kern w:val="0"/>
                <w:sz w:val="22"/>
                <w:szCs w:val="22"/>
                <w:u w:val="none"/>
                <w:lang w:val="en-US" w:eastAsia="zh-CN" w:bidi="ar"/>
              </w:rPr>
              <w:t>5876.65</w:t>
            </w:r>
            <w:r>
              <w:rPr>
                <w:rFonts w:hint="default" w:ascii="Times New Roman" w:hAnsi="Times New Roman" w:eastAsia="宋体" w:cs="Times New Roman"/>
                <w:i w:val="0"/>
                <w:color w:val="000000"/>
                <w:kern w:val="0"/>
                <w:sz w:val="22"/>
                <w:szCs w:val="22"/>
                <w:u w:val="none"/>
                <w:lang w:val="en-US" w:eastAsia="zh-CN" w:bidi="ar"/>
              </w:rPr>
              <w:t xml:space="preserve"> </w:t>
            </w:r>
          </w:p>
        </w:tc>
        <w:tc>
          <w:tcPr>
            <w:tcW w:w="1818" w:type="dxa"/>
            <w:gridSpan w:val="5"/>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right"/>
              <w:textAlignment w:val="center"/>
              <w:rPr>
                <w:rFonts w:hint="default" w:ascii="Times New Roman" w:hAnsi="Times New Roman" w:eastAsia="宋体" w:cs="Times New Roman"/>
                <w:i w:val="0"/>
                <w:color w:val="000000"/>
                <w:sz w:val="22"/>
                <w:szCs w:val="22"/>
                <w:u w:val="none"/>
              </w:rPr>
            </w:pPr>
            <w:r>
              <w:rPr>
                <w:rFonts w:hint="eastAsia" w:ascii="Times New Roman" w:hAnsi="Times New Roman" w:cs="Times New Roman"/>
                <w:i w:val="0"/>
                <w:color w:val="000000"/>
                <w:kern w:val="0"/>
                <w:sz w:val="22"/>
                <w:szCs w:val="22"/>
                <w:u w:val="none"/>
                <w:lang w:val="en-US" w:eastAsia="zh-CN" w:bidi="ar"/>
              </w:rPr>
              <w:t>6790.81</w:t>
            </w:r>
            <w:r>
              <w:rPr>
                <w:rFonts w:hint="default" w:ascii="Times New Roman" w:hAnsi="Times New Roman" w:eastAsia="宋体" w:cs="Times New Roman"/>
                <w:i w:val="0"/>
                <w:color w:val="000000"/>
                <w:kern w:val="0"/>
                <w:sz w:val="22"/>
                <w:szCs w:val="22"/>
                <w:u w:val="none"/>
                <w:lang w:val="en-US" w:eastAsia="zh-CN" w:bidi="ar"/>
              </w:rPr>
              <w:t xml:space="preserve"> </w:t>
            </w:r>
          </w:p>
        </w:tc>
        <w:tc>
          <w:tcPr>
            <w:tcW w:w="1410" w:type="dxa"/>
            <w:gridSpan w:val="4"/>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right"/>
              <w:textAlignment w:val="center"/>
              <w:rPr>
                <w:rFonts w:hint="default" w:ascii="Times New Roman" w:hAnsi="Times New Roman" w:eastAsia="宋体" w:cs="Times New Roman"/>
                <w:i w:val="0"/>
                <w:color w:val="000000"/>
                <w:sz w:val="22"/>
                <w:szCs w:val="22"/>
                <w:u w:val="none"/>
              </w:rPr>
            </w:pPr>
            <w:r>
              <w:rPr>
                <w:rFonts w:hint="eastAsia" w:ascii="Times New Roman" w:hAnsi="Times New Roman" w:cs="Times New Roman"/>
                <w:i w:val="0"/>
                <w:color w:val="000000"/>
                <w:kern w:val="0"/>
                <w:sz w:val="22"/>
                <w:szCs w:val="22"/>
                <w:u w:val="none"/>
                <w:lang w:val="en-US" w:eastAsia="zh-CN" w:bidi="ar"/>
              </w:rPr>
              <w:t>5644.58</w:t>
            </w:r>
            <w:r>
              <w:rPr>
                <w:rFonts w:hint="default" w:ascii="Times New Roman" w:hAnsi="Times New Roman" w:eastAsia="宋体" w:cs="Times New Roman"/>
                <w:i w:val="0"/>
                <w:color w:val="000000"/>
                <w:kern w:val="0"/>
                <w:sz w:val="22"/>
                <w:szCs w:val="22"/>
                <w:u w:val="none"/>
                <w:lang w:val="en-US" w:eastAsia="zh-CN" w:bidi="ar"/>
              </w:rPr>
              <w:t xml:space="preserve"> </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20"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90" w:type="dxa"/>
            <w:gridSpan w:val="4"/>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122" w:type="dxa"/>
          <w:trHeight w:val="620" w:hRule="atLeast"/>
          <w:jc w:val="center"/>
        </w:trPr>
        <w:tc>
          <w:tcPr>
            <w:tcW w:w="70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其中：财政拨款</w:t>
            </w:r>
          </w:p>
        </w:tc>
        <w:tc>
          <w:tcPr>
            <w:tcW w:w="1964" w:type="dxa"/>
            <w:gridSpan w:val="4"/>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right"/>
              <w:textAlignment w:val="center"/>
              <w:rPr>
                <w:rFonts w:hint="default" w:ascii="Times New Roman" w:hAnsi="Times New Roman" w:eastAsia="宋体" w:cs="Times New Roman"/>
                <w:i w:val="0"/>
                <w:color w:val="000000"/>
                <w:sz w:val="22"/>
                <w:szCs w:val="22"/>
                <w:u w:val="none"/>
              </w:rPr>
            </w:pPr>
            <w:r>
              <w:rPr>
                <w:rFonts w:hint="eastAsia" w:ascii="Times New Roman" w:hAnsi="Times New Roman" w:cs="Times New Roman"/>
                <w:i w:val="0"/>
                <w:color w:val="000000"/>
                <w:kern w:val="0"/>
                <w:sz w:val="22"/>
                <w:szCs w:val="22"/>
                <w:u w:val="none"/>
                <w:lang w:val="en-US" w:eastAsia="zh-CN" w:bidi="ar"/>
              </w:rPr>
              <w:t>5876.65</w:t>
            </w:r>
            <w:r>
              <w:rPr>
                <w:rFonts w:hint="default" w:ascii="Times New Roman" w:hAnsi="Times New Roman" w:eastAsia="宋体" w:cs="Times New Roman"/>
                <w:i w:val="0"/>
                <w:color w:val="000000"/>
                <w:kern w:val="0"/>
                <w:sz w:val="22"/>
                <w:szCs w:val="22"/>
                <w:u w:val="none"/>
                <w:lang w:val="en-US" w:eastAsia="zh-CN" w:bidi="ar"/>
              </w:rPr>
              <w:t xml:space="preserve"> </w:t>
            </w:r>
          </w:p>
        </w:tc>
        <w:tc>
          <w:tcPr>
            <w:tcW w:w="1818" w:type="dxa"/>
            <w:gridSpan w:val="5"/>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right"/>
              <w:textAlignment w:val="center"/>
              <w:rPr>
                <w:rFonts w:hint="default" w:ascii="Times New Roman" w:hAnsi="Times New Roman" w:eastAsia="宋体" w:cs="Times New Roman"/>
                <w:i w:val="0"/>
                <w:color w:val="000000"/>
                <w:sz w:val="22"/>
                <w:szCs w:val="22"/>
                <w:u w:val="none"/>
              </w:rPr>
            </w:pPr>
            <w:r>
              <w:rPr>
                <w:rFonts w:hint="eastAsia" w:ascii="Times New Roman" w:hAnsi="Times New Roman" w:cs="Times New Roman"/>
                <w:i w:val="0"/>
                <w:color w:val="000000"/>
                <w:kern w:val="0"/>
                <w:sz w:val="22"/>
                <w:szCs w:val="22"/>
                <w:u w:val="none"/>
                <w:lang w:val="en-US" w:eastAsia="zh-CN" w:bidi="ar"/>
              </w:rPr>
              <w:t>6790.81</w:t>
            </w:r>
            <w:r>
              <w:rPr>
                <w:rFonts w:hint="default" w:ascii="Times New Roman" w:hAnsi="Times New Roman" w:eastAsia="宋体" w:cs="Times New Roman"/>
                <w:i w:val="0"/>
                <w:color w:val="000000"/>
                <w:kern w:val="0"/>
                <w:sz w:val="22"/>
                <w:szCs w:val="22"/>
                <w:u w:val="none"/>
                <w:lang w:val="en-US" w:eastAsia="zh-CN" w:bidi="ar"/>
              </w:rPr>
              <w:t xml:space="preserve"> </w:t>
            </w:r>
          </w:p>
        </w:tc>
        <w:tc>
          <w:tcPr>
            <w:tcW w:w="1410" w:type="dxa"/>
            <w:gridSpan w:val="4"/>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right"/>
              <w:textAlignment w:val="center"/>
              <w:rPr>
                <w:rFonts w:hint="default" w:ascii="Times New Roman" w:hAnsi="Times New Roman" w:eastAsia="宋体" w:cs="Times New Roman"/>
                <w:i w:val="0"/>
                <w:color w:val="000000"/>
                <w:sz w:val="22"/>
                <w:szCs w:val="22"/>
                <w:u w:val="none"/>
              </w:rPr>
            </w:pPr>
            <w:r>
              <w:rPr>
                <w:rFonts w:hint="eastAsia" w:ascii="Times New Roman" w:hAnsi="Times New Roman" w:cs="Times New Roman"/>
                <w:i w:val="0"/>
                <w:color w:val="000000"/>
                <w:kern w:val="0"/>
                <w:sz w:val="22"/>
                <w:szCs w:val="22"/>
                <w:u w:val="none"/>
                <w:lang w:val="en-US" w:eastAsia="zh-CN" w:bidi="ar"/>
              </w:rPr>
              <w:t>5644.58</w:t>
            </w:r>
            <w:r>
              <w:rPr>
                <w:rFonts w:hint="default" w:ascii="Times New Roman" w:hAnsi="Times New Roman" w:eastAsia="宋体" w:cs="Times New Roman"/>
                <w:i w:val="0"/>
                <w:color w:val="000000"/>
                <w:kern w:val="0"/>
                <w:sz w:val="22"/>
                <w:szCs w:val="22"/>
                <w:u w:val="none"/>
                <w:lang w:val="en-US" w:eastAsia="zh-CN" w:bidi="ar"/>
              </w:rPr>
              <w:t xml:space="preserve"> </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right"/>
              <w:textAlignment w:val="center"/>
              <w:rPr>
                <w:rFonts w:hint="default" w:ascii="Times New Roman" w:hAnsi="Times New Roman" w:eastAsia="宋体" w:cs="Times New Roman"/>
                <w:i w:val="0"/>
                <w:color w:val="000000"/>
                <w:sz w:val="22"/>
                <w:szCs w:val="22"/>
                <w:u w:val="none"/>
                <w:lang w:val="en-US"/>
              </w:rPr>
            </w:pPr>
            <w:r>
              <w:rPr>
                <w:rFonts w:hint="eastAsia" w:ascii="Times New Roman" w:hAnsi="Times New Roman" w:cs="Times New Roman"/>
                <w:i w:val="0"/>
                <w:color w:val="000000"/>
                <w:kern w:val="0"/>
                <w:sz w:val="22"/>
                <w:szCs w:val="22"/>
                <w:u w:val="none"/>
                <w:lang w:val="en-US" w:eastAsia="zh-CN" w:bidi="ar"/>
              </w:rPr>
              <w:t>83.12</w:t>
            </w:r>
          </w:p>
        </w:tc>
        <w:tc>
          <w:tcPr>
            <w:tcW w:w="720"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10.00</w:t>
            </w:r>
          </w:p>
        </w:tc>
        <w:tc>
          <w:tcPr>
            <w:tcW w:w="990" w:type="dxa"/>
            <w:gridSpan w:val="4"/>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ind w:firstLineChars="100"/>
              <w:jc w:val="right"/>
              <w:textAlignment w:val="center"/>
              <w:rPr>
                <w:rFonts w:hint="default" w:ascii="Times New Roman" w:hAnsi="Times New Roman" w:eastAsia="宋体" w:cs="Times New Roman"/>
                <w:i w:val="0"/>
                <w:color w:val="000000"/>
                <w:sz w:val="22"/>
                <w:szCs w:val="22"/>
                <w:u w:val="none"/>
              </w:rPr>
            </w:pPr>
            <w:r>
              <w:rPr>
                <w:rFonts w:hint="eastAsia" w:ascii="Times New Roman" w:hAnsi="Times New Roman" w:cs="Times New Roman"/>
                <w:i w:val="0"/>
                <w:color w:val="000000"/>
                <w:kern w:val="0"/>
                <w:sz w:val="22"/>
                <w:szCs w:val="22"/>
                <w:u w:val="none"/>
                <w:lang w:val="en-US" w:eastAsia="zh-CN" w:bidi="ar"/>
              </w:rPr>
              <w:t>8.31</w:t>
            </w:r>
            <w:r>
              <w:rPr>
                <w:rFonts w:hint="default" w:ascii="Times New Roman" w:hAnsi="Times New Roman" w:eastAsia="宋体" w:cs="Times New Roman"/>
                <w:i w:val="0"/>
                <w:color w:val="000000"/>
                <w:kern w:val="0"/>
                <w:sz w:val="22"/>
                <w:szCs w:val="22"/>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122" w:type="dxa"/>
          <w:trHeight w:val="500" w:hRule="atLeast"/>
          <w:jc w:val="center"/>
        </w:trPr>
        <w:tc>
          <w:tcPr>
            <w:tcW w:w="70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一般公共预算</w:t>
            </w:r>
          </w:p>
        </w:tc>
        <w:tc>
          <w:tcPr>
            <w:tcW w:w="1964" w:type="dxa"/>
            <w:gridSpan w:val="4"/>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right"/>
              <w:textAlignment w:val="center"/>
              <w:rPr>
                <w:rFonts w:hint="default" w:ascii="Times New Roman" w:hAnsi="Times New Roman" w:eastAsia="宋体" w:cs="Times New Roman"/>
                <w:i w:val="0"/>
                <w:color w:val="000000"/>
                <w:sz w:val="22"/>
                <w:szCs w:val="22"/>
                <w:u w:val="none"/>
              </w:rPr>
            </w:pPr>
            <w:r>
              <w:rPr>
                <w:rFonts w:hint="eastAsia" w:ascii="Times New Roman" w:hAnsi="Times New Roman" w:cs="Times New Roman"/>
                <w:i w:val="0"/>
                <w:color w:val="000000"/>
                <w:kern w:val="0"/>
                <w:sz w:val="22"/>
                <w:szCs w:val="22"/>
                <w:u w:val="none"/>
                <w:lang w:val="en-US" w:eastAsia="zh-CN" w:bidi="ar"/>
              </w:rPr>
              <w:t>5876.65</w:t>
            </w:r>
            <w:r>
              <w:rPr>
                <w:rFonts w:hint="default" w:ascii="Times New Roman" w:hAnsi="Times New Roman" w:eastAsia="宋体" w:cs="Times New Roman"/>
                <w:i w:val="0"/>
                <w:color w:val="000000"/>
                <w:kern w:val="0"/>
                <w:sz w:val="22"/>
                <w:szCs w:val="22"/>
                <w:u w:val="none"/>
                <w:lang w:val="en-US" w:eastAsia="zh-CN" w:bidi="ar"/>
              </w:rPr>
              <w:t xml:space="preserve"> </w:t>
            </w:r>
          </w:p>
        </w:tc>
        <w:tc>
          <w:tcPr>
            <w:tcW w:w="1818" w:type="dxa"/>
            <w:gridSpan w:val="5"/>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right"/>
              <w:textAlignment w:val="center"/>
              <w:rPr>
                <w:rFonts w:hint="default" w:ascii="Times New Roman" w:hAnsi="Times New Roman" w:eastAsia="宋体" w:cs="Times New Roman"/>
                <w:i w:val="0"/>
                <w:color w:val="000000"/>
                <w:sz w:val="22"/>
                <w:szCs w:val="22"/>
                <w:u w:val="none"/>
              </w:rPr>
            </w:pPr>
            <w:r>
              <w:rPr>
                <w:rFonts w:hint="eastAsia" w:ascii="Times New Roman" w:hAnsi="Times New Roman" w:cs="Times New Roman"/>
                <w:i w:val="0"/>
                <w:color w:val="000000"/>
                <w:kern w:val="0"/>
                <w:sz w:val="22"/>
                <w:szCs w:val="22"/>
                <w:u w:val="none"/>
                <w:lang w:val="en-US" w:eastAsia="zh-CN" w:bidi="ar"/>
              </w:rPr>
              <w:t>6790.81</w:t>
            </w:r>
            <w:r>
              <w:rPr>
                <w:rFonts w:hint="default" w:ascii="Times New Roman" w:hAnsi="Times New Roman" w:eastAsia="宋体" w:cs="Times New Roman"/>
                <w:i w:val="0"/>
                <w:color w:val="000000"/>
                <w:kern w:val="0"/>
                <w:sz w:val="22"/>
                <w:szCs w:val="22"/>
                <w:u w:val="none"/>
                <w:lang w:val="en-US" w:eastAsia="zh-CN" w:bidi="ar"/>
              </w:rPr>
              <w:t xml:space="preserve"> </w:t>
            </w:r>
          </w:p>
        </w:tc>
        <w:tc>
          <w:tcPr>
            <w:tcW w:w="1410" w:type="dxa"/>
            <w:gridSpan w:val="4"/>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right"/>
              <w:textAlignment w:val="center"/>
              <w:rPr>
                <w:rFonts w:hint="default" w:ascii="Times New Roman" w:hAnsi="Times New Roman" w:eastAsia="宋体" w:cs="Times New Roman"/>
                <w:i w:val="0"/>
                <w:color w:val="000000"/>
                <w:sz w:val="22"/>
                <w:szCs w:val="22"/>
                <w:u w:val="none"/>
              </w:rPr>
            </w:pPr>
            <w:r>
              <w:rPr>
                <w:rFonts w:hint="eastAsia" w:ascii="Times New Roman" w:hAnsi="Times New Roman" w:cs="Times New Roman"/>
                <w:i w:val="0"/>
                <w:color w:val="000000"/>
                <w:kern w:val="0"/>
                <w:sz w:val="22"/>
                <w:szCs w:val="22"/>
                <w:u w:val="none"/>
                <w:lang w:val="en-US" w:eastAsia="zh-CN" w:bidi="ar"/>
              </w:rPr>
              <w:t>5644.58</w:t>
            </w:r>
            <w:r>
              <w:rPr>
                <w:rFonts w:hint="default" w:ascii="Times New Roman" w:hAnsi="Times New Roman" w:eastAsia="宋体" w:cs="Times New Roman"/>
                <w:i w:val="0"/>
                <w:color w:val="000000"/>
                <w:kern w:val="0"/>
                <w:sz w:val="22"/>
                <w:szCs w:val="22"/>
                <w:u w:val="none"/>
                <w:lang w:val="en-US" w:eastAsia="zh-CN" w:bidi="ar"/>
              </w:rPr>
              <w:t xml:space="preserve"> </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20"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90" w:type="dxa"/>
            <w:gridSpan w:val="4"/>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122" w:type="dxa"/>
          <w:trHeight w:val="500" w:hRule="atLeast"/>
          <w:jc w:val="center"/>
        </w:trPr>
        <w:tc>
          <w:tcPr>
            <w:tcW w:w="703" w:type="dxa"/>
            <w:gridSpan w:val="2"/>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当年绩效</w:t>
            </w:r>
            <w:r>
              <w:rPr>
                <w:rFonts w:hint="eastAsia" w:ascii="方正黑体_GBK" w:hAnsi="方正黑体_GBK" w:eastAsia="方正黑体_GBK" w:cs="方正黑体_GBK"/>
                <w:i w:val="0"/>
                <w:color w:val="000000"/>
                <w:kern w:val="0"/>
                <w:sz w:val="20"/>
                <w:szCs w:val="20"/>
                <w:u w:val="none"/>
                <w:lang w:val="en-US" w:eastAsia="zh-CN" w:bidi="ar"/>
              </w:rPr>
              <w:br w:type="textWrapping"/>
            </w:r>
            <w:r>
              <w:rPr>
                <w:rFonts w:hint="eastAsia" w:ascii="方正黑体_GBK" w:hAnsi="方正黑体_GBK" w:eastAsia="方正黑体_GBK" w:cs="方正黑体_GBK"/>
                <w:i w:val="0"/>
                <w:color w:val="000000"/>
                <w:kern w:val="0"/>
                <w:sz w:val="20"/>
                <w:szCs w:val="20"/>
                <w:u w:val="none"/>
                <w:lang w:val="en-US" w:eastAsia="zh-CN" w:bidi="ar"/>
              </w:rPr>
              <w:t>目标</w:t>
            </w:r>
          </w:p>
        </w:tc>
        <w:tc>
          <w:tcPr>
            <w:tcW w:w="2482" w:type="dxa"/>
            <w:gridSpan w:val="5"/>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年初绩效目标</w:t>
            </w:r>
          </w:p>
        </w:tc>
        <w:tc>
          <w:tcPr>
            <w:tcW w:w="2710" w:type="dxa"/>
            <w:gridSpan w:val="8"/>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全年（调整）绩效目标</w:t>
            </w:r>
          </w:p>
        </w:tc>
        <w:tc>
          <w:tcPr>
            <w:tcW w:w="2415" w:type="dxa"/>
            <w:gridSpan w:val="8"/>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全年目标实际完成情况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122" w:type="dxa"/>
          <w:trHeight w:val="1540" w:hRule="atLeast"/>
          <w:jc w:val="center"/>
        </w:trPr>
        <w:tc>
          <w:tcPr>
            <w:tcW w:w="703"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黑体_GBK" w:hAnsi="方正黑体_GBK" w:eastAsia="方正黑体_GBK" w:cs="方正黑体_GBK"/>
                <w:i w:val="0"/>
                <w:color w:val="000000"/>
                <w:sz w:val="20"/>
                <w:szCs w:val="20"/>
                <w:u w:val="none"/>
              </w:rPr>
            </w:pPr>
          </w:p>
        </w:tc>
        <w:tc>
          <w:tcPr>
            <w:tcW w:w="2482" w:type="dxa"/>
            <w:gridSpan w:val="5"/>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left"/>
              <w:textAlignment w:val="center"/>
              <w:rPr>
                <w:rFonts w:hint="eastAsia" w:ascii="方正仿宋_GBK" w:hAnsi="方正仿宋_GBK" w:eastAsia="方正仿宋_GBK" w:cs="方正仿宋_GBK"/>
                <w:i w:val="0"/>
                <w:color w:val="000000"/>
                <w:kern w:val="0"/>
                <w:sz w:val="18"/>
                <w:szCs w:val="18"/>
                <w:u w:val="none"/>
                <w:lang w:val="en-US" w:eastAsia="zh-CN" w:bidi="ar"/>
              </w:rPr>
            </w:pPr>
            <w:r>
              <w:rPr>
                <w:rFonts w:hint="eastAsia" w:ascii="方正仿宋_GBK" w:hAnsi="方正仿宋_GBK" w:eastAsia="方正仿宋_GBK" w:cs="方正仿宋_GBK"/>
                <w:i w:val="0"/>
                <w:color w:val="000000"/>
                <w:kern w:val="0"/>
                <w:sz w:val="18"/>
                <w:szCs w:val="18"/>
                <w:u w:val="none"/>
                <w:lang w:val="en-US" w:eastAsia="zh-CN" w:bidi="ar"/>
              </w:rPr>
              <w:t>一、完成各类专项检查、政策宣传、业务培训，进一步提高群众政策知晓率，提升医保基金监管能力，持续保持打击欺诈骗保高压态势，营造全社会共同维护医保基金安全的良好氛围。</w:t>
            </w:r>
          </w:p>
          <w:p>
            <w:pPr>
              <w:keepNext w:val="0"/>
              <w:keepLines w:val="0"/>
              <w:pageBreakBefore w:val="0"/>
              <w:widowControl w:val="0"/>
              <w:suppressLineNumbers w:val="0"/>
              <w:kinsoku/>
              <w:wordWrap/>
              <w:overflowPunct/>
              <w:topLinePunct w:val="0"/>
              <w:autoSpaceDN/>
              <w:bidi w:val="0"/>
              <w:adjustRightInd/>
              <w:jc w:val="left"/>
              <w:textAlignment w:val="center"/>
              <w:rPr>
                <w:rFonts w:hint="eastAsia" w:ascii="方正仿宋_GBK" w:hAnsi="方正仿宋_GBK" w:eastAsia="方正仿宋_GBK" w:cs="方正仿宋_GBK"/>
                <w:i w:val="0"/>
                <w:color w:val="000000"/>
                <w:kern w:val="0"/>
                <w:sz w:val="18"/>
                <w:szCs w:val="18"/>
                <w:u w:val="none"/>
                <w:lang w:val="en-US" w:eastAsia="zh-CN" w:bidi="ar"/>
              </w:rPr>
            </w:pPr>
            <w:r>
              <w:rPr>
                <w:rFonts w:hint="eastAsia" w:ascii="方正仿宋_GBK" w:hAnsi="方正仿宋_GBK" w:eastAsia="方正仿宋_GBK" w:cs="方正仿宋_GBK"/>
                <w:i w:val="0"/>
                <w:color w:val="000000"/>
                <w:kern w:val="0"/>
                <w:sz w:val="18"/>
                <w:szCs w:val="18"/>
                <w:u w:val="none"/>
                <w:lang w:val="en-US" w:eastAsia="zh-CN" w:bidi="ar"/>
              </w:rPr>
              <w:t>二、完成全年参保目标任务，确保城乡医疗保险参保率稳定在95%以上。</w:t>
            </w:r>
          </w:p>
          <w:p>
            <w:pPr>
              <w:keepNext w:val="0"/>
              <w:keepLines w:val="0"/>
              <w:pageBreakBefore w:val="0"/>
              <w:widowControl w:val="0"/>
              <w:suppressLineNumbers w:val="0"/>
              <w:kinsoku/>
              <w:wordWrap/>
              <w:overflowPunct/>
              <w:topLinePunct w:val="0"/>
              <w:autoSpaceDN/>
              <w:bidi w:val="0"/>
              <w:adjustRightInd/>
              <w:jc w:val="left"/>
              <w:textAlignment w:val="center"/>
              <w:rPr>
                <w:rFonts w:hint="eastAsia" w:ascii="方正仿宋_GBK" w:hAnsi="方正仿宋_GBK" w:eastAsia="方正仿宋_GBK" w:cs="方正仿宋_GBK"/>
                <w:i w:val="0"/>
                <w:color w:val="000000"/>
                <w:kern w:val="0"/>
                <w:sz w:val="18"/>
                <w:szCs w:val="18"/>
                <w:u w:val="none"/>
                <w:lang w:val="en-US" w:eastAsia="zh-CN" w:bidi="ar"/>
              </w:rPr>
            </w:pPr>
            <w:r>
              <w:rPr>
                <w:rFonts w:hint="eastAsia" w:ascii="方正仿宋_GBK" w:hAnsi="方正仿宋_GBK" w:eastAsia="方正仿宋_GBK" w:cs="方正仿宋_GBK"/>
                <w:i w:val="0"/>
                <w:color w:val="000000"/>
                <w:kern w:val="0"/>
                <w:sz w:val="18"/>
                <w:szCs w:val="18"/>
                <w:u w:val="none"/>
                <w:lang w:val="en-US" w:eastAsia="zh-CN" w:bidi="ar"/>
              </w:rPr>
              <w:t>三、加强基本医疗保险网上审核力度，加强管理，提高医保基金使用率，保障基金使用安全，着力优质、高效、规范、标准服务，打造医保经办服务良好形象。</w:t>
            </w:r>
          </w:p>
          <w:p>
            <w:pPr>
              <w:keepNext w:val="0"/>
              <w:keepLines w:val="0"/>
              <w:pageBreakBefore w:val="0"/>
              <w:widowControl w:val="0"/>
              <w:suppressLineNumbers w:val="0"/>
              <w:kinsoku/>
              <w:wordWrap/>
              <w:overflowPunct/>
              <w:topLinePunct w:val="0"/>
              <w:autoSpaceDN/>
              <w:bidi w:val="0"/>
              <w:adjustRightInd/>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四、完成带量采购品种数量500种以上，履约率达到95%以上。</w:t>
            </w:r>
          </w:p>
        </w:tc>
        <w:tc>
          <w:tcPr>
            <w:tcW w:w="2710" w:type="dxa"/>
            <w:gridSpan w:val="8"/>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left"/>
              <w:textAlignment w:val="center"/>
              <w:rPr>
                <w:rFonts w:hint="eastAsia" w:ascii="方正仿宋_GBK" w:hAnsi="方正仿宋_GBK" w:eastAsia="方正仿宋_GBK" w:cs="方正仿宋_GBK"/>
                <w:i w:val="0"/>
                <w:color w:val="000000"/>
                <w:sz w:val="18"/>
                <w:szCs w:val="18"/>
                <w:u w:val="none"/>
              </w:rPr>
            </w:pPr>
          </w:p>
        </w:tc>
        <w:tc>
          <w:tcPr>
            <w:tcW w:w="2415" w:type="dxa"/>
            <w:gridSpan w:val="8"/>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left"/>
              <w:textAlignment w:val="center"/>
              <w:rPr>
                <w:rFonts w:hint="eastAsia" w:ascii="方正仿宋_GBK" w:hAnsi="方正仿宋_GBK" w:eastAsia="方正仿宋_GBK" w:cs="方正仿宋_GBK"/>
                <w:i w:val="0"/>
                <w:color w:val="000000"/>
                <w:kern w:val="0"/>
                <w:sz w:val="18"/>
                <w:szCs w:val="18"/>
                <w:u w:val="none"/>
                <w:lang w:val="en-US" w:eastAsia="zh-CN" w:bidi="ar"/>
              </w:rPr>
            </w:pPr>
            <w:r>
              <w:rPr>
                <w:rFonts w:hint="eastAsia" w:ascii="方正仿宋_GBK" w:hAnsi="方正仿宋_GBK" w:eastAsia="方正仿宋_GBK" w:cs="方正仿宋_GBK"/>
                <w:i w:val="0"/>
                <w:color w:val="000000"/>
                <w:kern w:val="0"/>
                <w:sz w:val="18"/>
                <w:szCs w:val="18"/>
                <w:u w:val="none"/>
                <w:lang w:val="en-US" w:eastAsia="zh-CN" w:bidi="ar"/>
              </w:rPr>
              <w:t>一、完成各类专项检查、政策宣传、业务培训，进一步提高群众政策知晓率，提升医保基金监管能力，持续保持打击欺诈骗保高压态势，营造全社会共同维护医保基金安全的良好氛围。</w:t>
            </w:r>
          </w:p>
          <w:p>
            <w:pPr>
              <w:keepNext w:val="0"/>
              <w:keepLines w:val="0"/>
              <w:pageBreakBefore w:val="0"/>
              <w:widowControl w:val="0"/>
              <w:suppressLineNumbers w:val="0"/>
              <w:kinsoku/>
              <w:wordWrap/>
              <w:overflowPunct/>
              <w:topLinePunct w:val="0"/>
              <w:autoSpaceDN/>
              <w:bidi w:val="0"/>
              <w:adjustRightInd/>
              <w:jc w:val="left"/>
              <w:textAlignment w:val="center"/>
              <w:rPr>
                <w:rFonts w:hint="eastAsia" w:ascii="方正仿宋_GBK" w:hAnsi="方正仿宋_GBK" w:eastAsia="方正仿宋_GBK" w:cs="方正仿宋_GBK"/>
                <w:i w:val="0"/>
                <w:color w:val="000000"/>
                <w:kern w:val="0"/>
                <w:sz w:val="18"/>
                <w:szCs w:val="18"/>
                <w:u w:val="none"/>
                <w:lang w:val="en-US" w:eastAsia="zh-CN" w:bidi="ar"/>
              </w:rPr>
            </w:pPr>
            <w:r>
              <w:rPr>
                <w:rFonts w:hint="eastAsia" w:ascii="方正仿宋_GBK" w:hAnsi="方正仿宋_GBK" w:eastAsia="方正仿宋_GBK" w:cs="方正仿宋_GBK"/>
                <w:i w:val="0"/>
                <w:color w:val="000000"/>
                <w:kern w:val="0"/>
                <w:sz w:val="18"/>
                <w:szCs w:val="18"/>
                <w:u w:val="none"/>
                <w:lang w:val="en-US" w:eastAsia="zh-CN" w:bidi="ar"/>
              </w:rPr>
              <w:t>二、完成全年参保目标任务，确保城乡医疗保险参保率稳定在95%以上。</w:t>
            </w:r>
          </w:p>
          <w:p>
            <w:pPr>
              <w:keepNext w:val="0"/>
              <w:keepLines w:val="0"/>
              <w:pageBreakBefore w:val="0"/>
              <w:widowControl w:val="0"/>
              <w:suppressLineNumbers w:val="0"/>
              <w:kinsoku/>
              <w:wordWrap/>
              <w:overflowPunct/>
              <w:topLinePunct w:val="0"/>
              <w:autoSpaceDN/>
              <w:bidi w:val="0"/>
              <w:adjustRightInd/>
              <w:jc w:val="left"/>
              <w:textAlignment w:val="center"/>
              <w:rPr>
                <w:rFonts w:hint="eastAsia" w:ascii="方正仿宋_GBK" w:hAnsi="方正仿宋_GBK" w:eastAsia="方正仿宋_GBK" w:cs="方正仿宋_GBK"/>
                <w:i w:val="0"/>
                <w:color w:val="000000"/>
                <w:kern w:val="0"/>
                <w:sz w:val="18"/>
                <w:szCs w:val="18"/>
                <w:u w:val="none"/>
                <w:lang w:val="en-US" w:eastAsia="zh-CN" w:bidi="ar"/>
              </w:rPr>
            </w:pPr>
            <w:r>
              <w:rPr>
                <w:rFonts w:hint="eastAsia" w:ascii="方正仿宋_GBK" w:hAnsi="方正仿宋_GBK" w:eastAsia="方正仿宋_GBK" w:cs="方正仿宋_GBK"/>
                <w:i w:val="0"/>
                <w:color w:val="000000"/>
                <w:kern w:val="0"/>
                <w:sz w:val="18"/>
                <w:szCs w:val="18"/>
                <w:u w:val="none"/>
                <w:lang w:val="en-US" w:eastAsia="zh-CN" w:bidi="ar"/>
              </w:rPr>
              <w:t>三、加强基本医疗保险网上审核力度，加强管理，提高医保基金使用率，保障基金使用安全，着力优质、高效、规范、标准服务，打造医保经办服务良好形象。</w:t>
            </w:r>
          </w:p>
          <w:p>
            <w:pPr>
              <w:keepNext w:val="0"/>
              <w:keepLines w:val="0"/>
              <w:pageBreakBefore w:val="0"/>
              <w:widowControl w:val="0"/>
              <w:suppressLineNumbers w:val="0"/>
              <w:kinsoku/>
              <w:wordWrap/>
              <w:overflowPunct/>
              <w:topLinePunct w:val="0"/>
              <w:autoSpaceDN/>
              <w:bidi w:val="0"/>
              <w:adjustRightInd/>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四、完成带量采购品种数量756种，履约率达到95%以上。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122" w:type="dxa"/>
          <w:trHeight w:val="1000" w:hRule="atLeast"/>
          <w:jc w:val="center"/>
        </w:trPr>
        <w:tc>
          <w:tcPr>
            <w:tcW w:w="703" w:type="dxa"/>
            <w:gridSpan w:val="2"/>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绩效指标</w:t>
            </w:r>
          </w:p>
        </w:tc>
        <w:tc>
          <w:tcPr>
            <w:tcW w:w="102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指标名称</w:t>
            </w:r>
          </w:p>
        </w:tc>
        <w:tc>
          <w:tcPr>
            <w:tcW w:w="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计量单位</w:t>
            </w:r>
          </w:p>
        </w:tc>
        <w:tc>
          <w:tcPr>
            <w:tcW w:w="43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指标性质</w:t>
            </w:r>
          </w:p>
        </w:tc>
        <w:tc>
          <w:tcPr>
            <w:tcW w:w="51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指标值</w:t>
            </w:r>
          </w:p>
        </w:tc>
        <w:tc>
          <w:tcPr>
            <w:tcW w:w="5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全年完成值</w:t>
            </w:r>
          </w:p>
        </w:tc>
        <w:tc>
          <w:tcPr>
            <w:tcW w:w="705" w:type="dxa"/>
            <w:gridSpan w:val="3"/>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偏离度（%）</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得分系数（%）</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指标权重（分）</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指标得分（分）</w:t>
            </w:r>
          </w:p>
        </w:tc>
        <w:tc>
          <w:tcPr>
            <w:tcW w:w="1710"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122" w:type="dxa"/>
          <w:trHeight w:val="500" w:hRule="atLeast"/>
          <w:jc w:val="center"/>
        </w:trPr>
        <w:tc>
          <w:tcPr>
            <w:tcW w:w="703"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黑体_GBK" w:hAnsi="方正黑体_GBK" w:eastAsia="方正黑体_GBK" w:cs="方正黑体_GBK"/>
                <w:i w:val="0"/>
                <w:color w:val="000000"/>
                <w:sz w:val="20"/>
                <w:szCs w:val="20"/>
                <w:u w:val="none"/>
              </w:rPr>
            </w:pPr>
          </w:p>
        </w:tc>
        <w:tc>
          <w:tcPr>
            <w:tcW w:w="102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查处违约金</w:t>
            </w:r>
          </w:p>
        </w:tc>
        <w:tc>
          <w:tcPr>
            <w:tcW w:w="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eastAsia" w:ascii="方正仿宋_GBK" w:hAnsi="方正仿宋_GBK" w:eastAsia="方正仿宋_GBK" w:cs="方正仿宋_GBK"/>
                <w:i w:val="0"/>
                <w:color w:val="000000"/>
                <w:kern w:val="0"/>
                <w:sz w:val="18"/>
                <w:szCs w:val="18"/>
                <w:u w:val="none"/>
                <w:lang w:val="en-US" w:eastAsia="zh-CN" w:bidi="ar"/>
              </w:rPr>
              <w:t>万元</w:t>
            </w:r>
          </w:p>
        </w:tc>
        <w:tc>
          <w:tcPr>
            <w:tcW w:w="43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1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lang w:val="en-US"/>
              </w:rPr>
            </w:pPr>
            <w:r>
              <w:rPr>
                <w:rFonts w:hint="eastAsia" w:ascii="Times New Roman" w:hAnsi="Times New Roman" w:cs="Times New Roman"/>
                <w:i w:val="0"/>
                <w:color w:val="000000"/>
                <w:kern w:val="0"/>
                <w:sz w:val="22"/>
                <w:szCs w:val="22"/>
                <w:u w:val="none"/>
                <w:lang w:val="en-US" w:eastAsia="zh-CN" w:bidi="ar"/>
              </w:rPr>
              <w:t>80</w:t>
            </w:r>
          </w:p>
        </w:tc>
        <w:tc>
          <w:tcPr>
            <w:tcW w:w="5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lang w:val="en-US"/>
              </w:rPr>
            </w:pPr>
            <w:r>
              <w:rPr>
                <w:rFonts w:hint="eastAsia" w:ascii="Times New Roman" w:hAnsi="Times New Roman" w:cs="Times New Roman"/>
                <w:i w:val="0"/>
                <w:color w:val="000000"/>
                <w:kern w:val="0"/>
                <w:sz w:val="22"/>
                <w:szCs w:val="22"/>
                <w:u w:val="none"/>
                <w:lang w:val="en-US" w:eastAsia="zh-CN" w:bidi="ar"/>
              </w:rPr>
              <w:t>310</w:t>
            </w:r>
          </w:p>
        </w:tc>
        <w:tc>
          <w:tcPr>
            <w:tcW w:w="705" w:type="dxa"/>
            <w:gridSpan w:val="3"/>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lang w:val="en-US"/>
              </w:rPr>
            </w:pPr>
            <w:r>
              <w:rPr>
                <w:rFonts w:hint="eastAsia" w:ascii="Times New Roman" w:hAnsi="Times New Roman" w:cs="Times New Roman"/>
                <w:i w:val="0"/>
                <w:color w:val="000000"/>
                <w:kern w:val="0"/>
                <w:sz w:val="22"/>
                <w:szCs w:val="22"/>
                <w:u w:val="none"/>
                <w:lang w:val="en-US" w:eastAsia="zh-CN" w:bidi="ar"/>
              </w:rPr>
              <w:t>287.5</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lang w:val="en-US"/>
              </w:rPr>
            </w:pPr>
            <w:r>
              <w:rPr>
                <w:rFonts w:hint="eastAsia" w:ascii="Times New Roman" w:hAnsi="Times New Roman" w:cs="Times New Roman"/>
                <w:i w:val="0"/>
                <w:color w:val="000000"/>
                <w:kern w:val="0"/>
                <w:sz w:val="22"/>
                <w:szCs w:val="22"/>
                <w:u w:val="none"/>
                <w:lang w:val="en-US" w:eastAsia="zh-CN" w:bidi="ar"/>
              </w:rPr>
              <w:t>10</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lang w:val="en-US"/>
              </w:rPr>
            </w:pPr>
            <w:r>
              <w:rPr>
                <w:rFonts w:hint="eastAsia" w:ascii="Times New Roman" w:hAnsi="Times New Roman" w:cs="Times New Roman"/>
                <w:i w:val="0"/>
                <w:color w:val="000000"/>
                <w:kern w:val="0"/>
                <w:sz w:val="22"/>
                <w:szCs w:val="22"/>
                <w:u w:val="none"/>
                <w:lang w:val="en-US" w:eastAsia="zh-CN" w:bidi="ar"/>
              </w:rPr>
              <w:t>10</w:t>
            </w:r>
          </w:p>
        </w:tc>
        <w:tc>
          <w:tcPr>
            <w:tcW w:w="1710"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rPr>
              <w:t>开展第三方基金监管审计工作，加大监管力度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122" w:type="dxa"/>
          <w:trHeight w:val="500" w:hRule="atLeast"/>
          <w:jc w:val="center"/>
        </w:trPr>
        <w:tc>
          <w:tcPr>
            <w:tcW w:w="703"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黑体_GBK" w:hAnsi="方正黑体_GBK" w:eastAsia="方正黑体_GBK" w:cs="方正黑体_GBK"/>
                <w:i w:val="0"/>
                <w:color w:val="000000"/>
                <w:sz w:val="20"/>
                <w:szCs w:val="20"/>
                <w:u w:val="none"/>
              </w:rPr>
            </w:pPr>
          </w:p>
        </w:tc>
        <w:tc>
          <w:tcPr>
            <w:tcW w:w="102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城乡医疗保险参保率</w:t>
            </w:r>
          </w:p>
        </w:tc>
        <w:tc>
          <w:tcPr>
            <w:tcW w:w="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43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1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lang w:val="en-US"/>
              </w:rPr>
            </w:pPr>
            <w:r>
              <w:rPr>
                <w:rFonts w:hint="eastAsia" w:ascii="Times New Roman" w:hAnsi="Times New Roman" w:cs="Times New Roman"/>
                <w:i w:val="0"/>
                <w:color w:val="000000"/>
                <w:kern w:val="0"/>
                <w:sz w:val="22"/>
                <w:szCs w:val="22"/>
                <w:u w:val="none"/>
                <w:lang w:val="en-US" w:eastAsia="zh-CN" w:bidi="ar"/>
              </w:rPr>
              <w:t>95</w:t>
            </w:r>
          </w:p>
        </w:tc>
        <w:tc>
          <w:tcPr>
            <w:tcW w:w="5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lang w:val="en-US"/>
              </w:rPr>
            </w:pPr>
            <w:r>
              <w:rPr>
                <w:rFonts w:hint="eastAsia" w:ascii="Times New Roman" w:hAnsi="Times New Roman" w:cs="Times New Roman"/>
                <w:i w:val="0"/>
                <w:color w:val="000000"/>
                <w:kern w:val="0"/>
                <w:sz w:val="22"/>
                <w:szCs w:val="22"/>
                <w:u w:val="none"/>
                <w:lang w:val="en-US" w:eastAsia="zh-CN" w:bidi="ar"/>
              </w:rPr>
              <w:t>95</w:t>
            </w:r>
          </w:p>
        </w:tc>
        <w:tc>
          <w:tcPr>
            <w:tcW w:w="705" w:type="dxa"/>
            <w:gridSpan w:val="3"/>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eastAsia" w:ascii="Times New Roman" w:hAnsi="Times New Roman" w:cs="Times New Roman"/>
                <w:i w:val="0"/>
                <w:color w:val="000000"/>
                <w:kern w:val="0"/>
                <w:sz w:val="22"/>
                <w:szCs w:val="22"/>
                <w:u w:val="none"/>
                <w:lang w:val="en-US" w:eastAsia="zh-CN" w:bidi="ar"/>
              </w:rPr>
              <w:t>10</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eastAsia" w:ascii="Times New Roman" w:hAnsi="Times New Roman" w:cs="Times New Roman"/>
                <w:i w:val="0"/>
                <w:color w:val="000000"/>
                <w:kern w:val="0"/>
                <w:sz w:val="22"/>
                <w:szCs w:val="22"/>
                <w:u w:val="none"/>
                <w:lang w:val="en-US" w:eastAsia="zh-CN" w:bidi="ar"/>
              </w:rPr>
              <w:t>10</w:t>
            </w:r>
          </w:p>
        </w:tc>
        <w:tc>
          <w:tcPr>
            <w:tcW w:w="1710"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Times New Roman" w:hAnsi="Times New Roman" w:cs="Times New Roman"/>
                <w:i w:val="0"/>
                <w:color w:val="000000"/>
                <w:kern w:val="0"/>
                <w:sz w:val="22"/>
                <w:szCs w:val="22"/>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122" w:type="dxa"/>
          <w:trHeight w:val="500" w:hRule="atLeast"/>
          <w:jc w:val="center"/>
        </w:trPr>
        <w:tc>
          <w:tcPr>
            <w:tcW w:w="703"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黑体_GBK" w:hAnsi="方正黑体_GBK" w:eastAsia="方正黑体_GBK" w:cs="方正黑体_GBK"/>
                <w:i w:val="0"/>
                <w:color w:val="000000"/>
                <w:sz w:val="20"/>
                <w:szCs w:val="20"/>
                <w:u w:val="none"/>
              </w:rPr>
            </w:pPr>
          </w:p>
        </w:tc>
        <w:tc>
          <w:tcPr>
            <w:tcW w:w="102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处理举报投诉案件</w:t>
            </w:r>
          </w:p>
        </w:tc>
        <w:tc>
          <w:tcPr>
            <w:tcW w:w="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43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1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5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705" w:type="dxa"/>
            <w:gridSpan w:val="3"/>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eastAsia" w:ascii="Times New Roman" w:hAnsi="Times New Roman" w:cs="Times New Roman"/>
                <w:i w:val="0"/>
                <w:color w:val="000000"/>
                <w:kern w:val="0"/>
                <w:sz w:val="22"/>
                <w:szCs w:val="22"/>
                <w:u w:val="none"/>
                <w:lang w:val="en-US" w:eastAsia="zh-CN" w:bidi="ar"/>
              </w:rPr>
              <w:t>10</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eastAsia" w:ascii="Times New Roman" w:hAnsi="Times New Roman" w:cs="Times New Roman"/>
                <w:i w:val="0"/>
                <w:color w:val="000000"/>
                <w:kern w:val="0"/>
                <w:sz w:val="22"/>
                <w:szCs w:val="22"/>
                <w:u w:val="none"/>
                <w:lang w:val="en-US" w:eastAsia="zh-CN" w:bidi="ar"/>
              </w:rPr>
              <w:t>10</w:t>
            </w:r>
          </w:p>
        </w:tc>
        <w:tc>
          <w:tcPr>
            <w:tcW w:w="1710"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122" w:type="dxa"/>
          <w:trHeight w:val="500" w:hRule="atLeast"/>
          <w:jc w:val="center"/>
        </w:trPr>
        <w:tc>
          <w:tcPr>
            <w:tcW w:w="703"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黑体_GBK" w:hAnsi="方正黑体_GBK" w:eastAsia="方正黑体_GBK" w:cs="方正黑体_GBK"/>
                <w:i w:val="0"/>
                <w:color w:val="000000"/>
                <w:sz w:val="20"/>
                <w:szCs w:val="20"/>
                <w:u w:val="none"/>
              </w:rPr>
            </w:pPr>
          </w:p>
        </w:tc>
        <w:tc>
          <w:tcPr>
            <w:tcW w:w="102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lang w:eastAsia="zh-CN"/>
              </w:rPr>
            </w:pPr>
            <w:r>
              <w:rPr>
                <w:rFonts w:hint="eastAsia" w:ascii="方正仿宋_GBK" w:hAnsi="方正仿宋_GBK" w:eastAsia="方正仿宋_GBK" w:cs="方正仿宋_GBK"/>
                <w:i w:val="0"/>
                <w:color w:val="000000"/>
                <w:sz w:val="18"/>
                <w:szCs w:val="18"/>
                <w:u w:val="none"/>
                <w:lang w:eastAsia="zh-CN"/>
              </w:rPr>
              <w:t>带量采购履约率</w:t>
            </w:r>
          </w:p>
        </w:tc>
        <w:tc>
          <w:tcPr>
            <w:tcW w:w="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43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1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eastAsia" w:ascii="Times New Roman" w:hAnsi="Times New Roman" w:cs="Times New Roman"/>
                <w:i w:val="0"/>
                <w:color w:val="000000"/>
                <w:kern w:val="0"/>
                <w:sz w:val="22"/>
                <w:szCs w:val="22"/>
                <w:u w:val="none"/>
                <w:lang w:val="en-US" w:eastAsia="zh-CN" w:bidi="ar"/>
              </w:rPr>
              <w:t>95</w:t>
            </w:r>
          </w:p>
        </w:tc>
        <w:tc>
          <w:tcPr>
            <w:tcW w:w="5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lang w:val="en-US" w:eastAsia="zh-CN"/>
              </w:rPr>
            </w:pPr>
            <w:r>
              <w:rPr>
                <w:rFonts w:hint="eastAsia" w:ascii="Times New Roman" w:hAnsi="Times New Roman" w:cs="Times New Roman"/>
                <w:i w:val="0"/>
                <w:color w:val="000000"/>
                <w:sz w:val="22"/>
                <w:szCs w:val="22"/>
                <w:u w:val="none"/>
                <w:lang w:val="en-US" w:eastAsia="zh-CN"/>
              </w:rPr>
              <w:t>100</w:t>
            </w:r>
          </w:p>
        </w:tc>
        <w:tc>
          <w:tcPr>
            <w:tcW w:w="705" w:type="dxa"/>
            <w:gridSpan w:val="3"/>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lang w:val="en-US" w:eastAsia="zh-CN"/>
              </w:rPr>
            </w:pPr>
            <w:r>
              <w:rPr>
                <w:rFonts w:hint="eastAsia" w:ascii="Times New Roman" w:hAnsi="Times New Roman" w:cs="Times New Roman"/>
                <w:i w:val="0"/>
                <w:color w:val="000000"/>
                <w:sz w:val="22"/>
                <w:szCs w:val="22"/>
                <w:u w:val="none"/>
                <w:lang w:val="en-US" w:eastAsia="zh-CN"/>
              </w:rPr>
              <w:t>5.26</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eastAsia" w:ascii="Times New Roman" w:hAnsi="Times New Roman" w:cs="Times New Roman"/>
                <w:i w:val="0"/>
                <w:color w:val="000000"/>
                <w:kern w:val="0"/>
                <w:sz w:val="22"/>
                <w:szCs w:val="22"/>
                <w:u w:val="none"/>
                <w:lang w:val="en-US" w:eastAsia="zh-CN" w:bidi="ar"/>
              </w:rPr>
              <w:t>10</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eastAsia" w:ascii="Times New Roman" w:hAnsi="Times New Roman" w:cs="Times New Roman"/>
                <w:i w:val="0"/>
                <w:color w:val="000000"/>
                <w:kern w:val="0"/>
                <w:sz w:val="22"/>
                <w:szCs w:val="22"/>
                <w:u w:val="none"/>
                <w:lang w:val="en-US" w:eastAsia="zh-CN" w:bidi="ar"/>
              </w:rPr>
              <w:t>10</w:t>
            </w:r>
          </w:p>
        </w:tc>
        <w:tc>
          <w:tcPr>
            <w:tcW w:w="1710"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122" w:type="dxa"/>
          <w:trHeight w:val="500" w:hRule="atLeast"/>
          <w:jc w:val="center"/>
        </w:trPr>
        <w:tc>
          <w:tcPr>
            <w:tcW w:w="703"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黑体_GBK" w:hAnsi="方正黑体_GBK" w:eastAsia="方正黑体_GBK" w:cs="方正黑体_GBK"/>
                <w:i w:val="0"/>
                <w:color w:val="000000"/>
                <w:sz w:val="20"/>
                <w:szCs w:val="20"/>
                <w:u w:val="none"/>
              </w:rPr>
            </w:pPr>
          </w:p>
        </w:tc>
        <w:tc>
          <w:tcPr>
            <w:tcW w:w="102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带量采购品种数量</w:t>
            </w:r>
          </w:p>
        </w:tc>
        <w:tc>
          <w:tcPr>
            <w:tcW w:w="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种</w:t>
            </w:r>
          </w:p>
        </w:tc>
        <w:tc>
          <w:tcPr>
            <w:tcW w:w="43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1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eastAsia" w:ascii="Times New Roman" w:hAnsi="Times New Roman" w:cs="Times New Roman"/>
                <w:i w:val="0"/>
                <w:color w:val="000000"/>
                <w:kern w:val="0"/>
                <w:sz w:val="22"/>
                <w:szCs w:val="22"/>
                <w:u w:val="none"/>
                <w:lang w:val="en-US" w:eastAsia="zh-CN" w:bidi="ar"/>
              </w:rPr>
              <w:t>500</w:t>
            </w:r>
          </w:p>
        </w:tc>
        <w:tc>
          <w:tcPr>
            <w:tcW w:w="5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lang w:val="en-US"/>
              </w:rPr>
            </w:pPr>
            <w:r>
              <w:rPr>
                <w:rFonts w:hint="eastAsia" w:ascii="Times New Roman" w:hAnsi="Times New Roman" w:cs="Times New Roman"/>
                <w:i w:val="0"/>
                <w:color w:val="000000"/>
                <w:kern w:val="0"/>
                <w:sz w:val="22"/>
                <w:szCs w:val="22"/>
                <w:u w:val="none"/>
                <w:lang w:val="en-US" w:eastAsia="zh-CN" w:bidi="ar"/>
              </w:rPr>
              <w:t>756</w:t>
            </w:r>
          </w:p>
        </w:tc>
        <w:tc>
          <w:tcPr>
            <w:tcW w:w="705" w:type="dxa"/>
            <w:gridSpan w:val="3"/>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lang w:val="en-US"/>
              </w:rPr>
            </w:pPr>
            <w:r>
              <w:rPr>
                <w:rFonts w:hint="eastAsia" w:ascii="Times New Roman" w:hAnsi="Times New Roman" w:cs="Times New Roman"/>
                <w:i w:val="0"/>
                <w:color w:val="000000"/>
                <w:kern w:val="0"/>
                <w:sz w:val="22"/>
                <w:szCs w:val="22"/>
                <w:u w:val="none"/>
                <w:lang w:val="en-US" w:eastAsia="zh-CN" w:bidi="ar"/>
              </w:rPr>
              <w:t>51.2</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eastAsia" w:ascii="Times New Roman" w:hAnsi="Times New Roman" w:cs="Times New Roman"/>
                <w:i w:val="0"/>
                <w:color w:val="000000"/>
                <w:kern w:val="0"/>
                <w:sz w:val="22"/>
                <w:szCs w:val="22"/>
                <w:u w:val="none"/>
                <w:lang w:val="en-US" w:eastAsia="zh-CN" w:bidi="ar"/>
              </w:rPr>
              <w:t>10</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eastAsia" w:ascii="Times New Roman" w:hAnsi="Times New Roman" w:cs="Times New Roman"/>
                <w:i w:val="0"/>
                <w:color w:val="000000"/>
                <w:kern w:val="0"/>
                <w:sz w:val="22"/>
                <w:szCs w:val="22"/>
                <w:u w:val="none"/>
                <w:lang w:val="en-US" w:eastAsia="zh-CN" w:bidi="ar"/>
              </w:rPr>
              <w:t>10</w:t>
            </w:r>
          </w:p>
        </w:tc>
        <w:tc>
          <w:tcPr>
            <w:tcW w:w="1710"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市医保局2024年集中带量采购工作加速，国家集采与地方集采同时开展，导致带量采购品种增加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122" w:type="dxa"/>
          <w:trHeight w:val="500" w:hRule="atLeast"/>
          <w:jc w:val="center"/>
        </w:trPr>
        <w:tc>
          <w:tcPr>
            <w:tcW w:w="703"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黑体_GBK" w:hAnsi="方正黑体_GBK" w:eastAsia="方正黑体_GBK" w:cs="方正黑体_GBK"/>
                <w:i w:val="0"/>
                <w:color w:val="000000"/>
                <w:sz w:val="20"/>
                <w:szCs w:val="20"/>
                <w:u w:val="none"/>
              </w:rPr>
            </w:pPr>
          </w:p>
        </w:tc>
        <w:tc>
          <w:tcPr>
            <w:tcW w:w="102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lang w:eastAsia="zh-CN"/>
              </w:rPr>
            </w:pPr>
            <w:r>
              <w:rPr>
                <w:rFonts w:hint="eastAsia" w:ascii="方正仿宋_GBK" w:hAnsi="方正仿宋_GBK" w:eastAsia="方正仿宋_GBK" w:cs="方正仿宋_GBK"/>
                <w:i w:val="0"/>
                <w:color w:val="000000"/>
                <w:sz w:val="18"/>
                <w:szCs w:val="18"/>
                <w:u w:val="none"/>
                <w:lang w:eastAsia="zh-CN"/>
              </w:rPr>
              <w:t>发布宣传信息</w:t>
            </w:r>
          </w:p>
        </w:tc>
        <w:tc>
          <w:tcPr>
            <w:tcW w:w="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lang w:eastAsia="zh-CN"/>
              </w:rPr>
            </w:pPr>
            <w:r>
              <w:rPr>
                <w:rFonts w:hint="eastAsia" w:ascii="方正仿宋_GBK" w:hAnsi="方正仿宋_GBK" w:eastAsia="方正仿宋_GBK" w:cs="方正仿宋_GBK"/>
                <w:i w:val="0"/>
                <w:color w:val="000000"/>
                <w:sz w:val="18"/>
                <w:szCs w:val="18"/>
                <w:u w:val="none"/>
                <w:lang w:eastAsia="zh-CN"/>
              </w:rPr>
              <w:t>条</w:t>
            </w:r>
          </w:p>
        </w:tc>
        <w:tc>
          <w:tcPr>
            <w:tcW w:w="43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kern w:val="0"/>
                <w:sz w:val="22"/>
                <w:szCs w:val="22"/>
                <w:u w:val="none"/>
                <w:lang w:val="en-US" w:eastAsia="zh-CN" w:bidi="ar"/>
              </w:rPr>
              <w:t>≥</w:t>
            </w:r>
          </w:p>
        </w:tc>
        <w:tc>
          <w:tcPr>
            <w:tcW w:w="51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lang w:val="en-US" w:eastAsia="zh-CN"/>
              </w:rPr>
            </w:pPr>
            <w:r>
              <w:rPr>
                <w:rFonts w:hint="eastAsia" w:ascii="Times New Roman" w:hAnsi="Times New Roman" w:cs="Times New Roman"/>
                <w:i w:val="0"/>
                <w:color w:val="000000"/>
                <w:sz w:val="22"/>
                <w:szCs w:val="22"/>
                <w:u w:val="none"/>
                <w:lang w:val="en-US" w:eastAsia="zh-CN"/>
              </w:rPr>
              <w:t>200</w:t>
            </w:r>
          </w:p>
        </w:tc>
        <w:tc>
          <w:tcPr>
            <w:tcW w:w="5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eastAsia" w:ascii="Times New Roman" w:hAnsi="Times New Roman" w:cs="Times New Roman"/>
                <w:i w:val="0"/>
                <w:color w:val="000000"/>
                <w:sz w:val="22"/>
                <w:szCs w:val="22"/>
                <w:u w:val="none"/>
                <w:lang w:val="en-US" w:eastAsia="zh-CN"/>
              </w:rPr>
              <w:t>295</w:t>
            </w:r>
          </w:p>
        </w:tc>
        <w:tc>
          <w:tcPr>
            <w:tcW w:w="705" w:type="dxa"/>
            <w:gridSpan w:val="3"/>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lang w:val="en-US" w:eastAsia="zh-CN"/>
              </w:rPr>
            </w:pPr>
            <w:r>
              <w:rPr>
                <w:rFonts w:hint="eastAsia" w:ascii="Times New Roman" w:hAnsi="Times New Roman" w:cs="Times New Roman"/>
                <w:i w:val="0"/>
                <w:color w:val="000000"/>
                <w:sz w:val="22"/>
                <w:szCs w:val="22"/>
                <w:u w:val="none"/>
                <w:lang w:val="en-US" w:eastAsia="zh-CN"/>
              </w:rPr>
              <w:t>47.5</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w:t>
            </w:r>
          </w:p>
        </w:tc>
        <w:tc>
          <w:tcPr>
            <w:tcW w:w="1710"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rPr>
              <w:t>因门诊共济、医保支付方式改革等政策落地，加强宣传引导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122" w:type="dxa"/>
          <w:trHeight w:val="500" w:hRule="atLeast"/>
          <w:jc w:val="center"/>
        </w:trPr>
        <w:tc>
          <w:tcPr>
            <w:tcW w:w="703"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黑体_GBK" w:hAnsi="方正黑体_GBK" w:eastAsia="方正黑体_GBK" w:cs="方正黑体_GBK"/>
                <w:i w:val="0"/>
                <w:color w:val="000000"/>
                <w:sz w:val="20"/>
                <w:szCs w:val="20"/>
                <w:u w:val="none"/>
              </w:rPr>
            </w:pPr>
          </w:p>
        </w:tc>
        <w:tc>
          <w:tcPr>
            <w:tcW w:w="102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培训人次</w:t>
            </w:r>
          </w:p>
        </w:tc>
        <w:tc>
          <w:tcPr>
            <w:tcW w:w="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eastAsia" w:ascii="方正仿宋_GBK" w:hAnsi="方正仿宋_GBK" w:eastAsia="方正仿宋_GBK" w:cs="方正仿宋_GBK"/>
                <w:i w:val="0"/>
                <w:color w:val="000000"/>
                <w:kern w:val="0"/>
                <w:sz w:val="18"/>
                <w:szCs w:val="18"/>
                <w:u w:val="none"/>
                <w:lang w:val="en-US" w:eastAsia="zh-CN" w:bidi="ar"/>
              </w:rPr>
              <w:t>人次</w:t>
            </w:r>
          </w:p>
        </w:tc>
        <w:tc>
          <w:tcPr>
            <w:tcW w:w="43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1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1000</w:t>
            </w:r>
          </w:p>
        </w:tc>
        <w:tc>
          <w:tcPr>
            <w:tcW w:w="5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1000</w:t>
            </w:r>
          </w:p>
        </w:tc>
        <w:tc>
          <w:tcPr>
            <w:tcW w:w="705" w:type="dxa"/>
            <w:gridSpan w:val="3"/>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1710"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122" w:type="dxa"/>
          <w:trHeight w:val="500" w:hRule="atLeast"/>
          <w:jc w:val="center"/>
        </w:trPr>
        <w:tc>
          <w:tcPr>
            <w:tcW w:w="703"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黑体_GBK" w:hAnsi="方正黑体_GBK" w:eastAsia="方正黑体_GBK" w:cs="方正黑体_GBK"/>
                <w:i w:val="0"/>
                <w:color w:val="000000"/>
                <w:sz w:val="20"/>
                <w:szCs w:val="20"/>
                <w:u w:val="none"/>
              </w:rPr>
            </w:pPr>
          </w:p>
        </w:tc>
        <w:tc>
          <w:tcPr>
            <w:tcW w:w="102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医保手工报销人次</w:t>
            </w:r>
          </w:p>
        </w:tc>
        <w:tc>
          <w:tcPr>
            <w:tcW w:w="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eastAsia" w:ascii="方正仿宋_GBK" w:hAnsi="方正仿宋_GBK" w:eastAsia="方正仿宋_GBK" w:cs="方正仿宋_GBK"/>
                <w:i w:val="0"/>
                <w:color w:val="000000"/>
                <w:kern w:val="0"/>
                <w:sz w:val="18"/>
                <w:szCs w:val="18"/>
                <w:u w:val="none"/>
                <w:lang w:val="en-US" w:eastAsia="zh-CN" w:bidi="ar"/>
              </w:rPr>
              <w:t>人次</w:t>
            </w:r>
          </w:p>
        </w:tc>
        <w:tc>
          <w:tcPr>
            <w:tcW w:w="43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1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lang w:val="en-US"/>
              </w:rPr>
            </w:pPr>
            <w:r>
              <w:rPr>
                <w:rFonts w:hint="eastAsia" w:ascii="Times New Roman" w:hAnsi="Times New Roman" w:cs="Times New Roman"/>
                <w:i w:val="0"/>
                <w:color w:val="000000"/>
                <w:kern w:val="0"/>
                <w:sz w:val="22"/>
                <w:szCs w:val="22"/>
                <w:u w:val="none"/>
                <w:lang w:val="en-US" w:eastAsia="zh-CN" w:bidi="ar"/>
              </w:rPr>
              <w:t>1500</w:t>
            </w:r>
          </w:p>
        </w:tc>
        <w:tc>
          <w:tcPr>
            <w:tcW w:w="5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lang w:val="en-US"/>
              </w:rPr>
            </w:pPr>
            <w:r>
              <w:rPr>
                <w:rFonts w:hint="eastAsia" w:ascii="Times New Roman" w:hAnsi="Times New Roman" w:cs="Times New Roman"/>
                <w:i w:val="0"/>
                <w:color w:val="000000"/>
                <w:kern w:val="0"/>
                <w:sz w:val="22"/>
                <w:szCs w:val="22"/>
                <w:u w:val="none"/>
                <w:lang w:val="en-US" w:eastAsia="zh-CN" w:bidi="ar"/>
              </w:rPr>
              <w:t>2748</w:t>
            </w:r>
          </w:p>
        </w:tc>
        <w:tc>
          <w:tcPr>
            <w:tcW w:w="705" w:type="dxa"/>
            <w:gridSpan w:val="3"/>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lang w:val="en-US"/>
              </w:rPr>
            </w:pPr>
            <w:r>
              <w:rPr>
                <w:rFonts w:hint="eastAsia" w:ascii="Times New Roman" w:hAnsi="Times New Roman" w:cs="Times New Roman"/>
                <w:i w:val="0"/>
                <w:color w:val="000000"/>
                <w:kern w:val="0"/>
                <w:sz w:val="22"/>
                <w:szCs w:val="22"/>
                <w:u w:val="none"/>
                <w:lang w:val="en-US" w:eastAsia="zh-CN" w:bidi="ar"/>
              </w:rPr>
              <w:t>83.2</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1710"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门诊共济后，手工报销人次增加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122" w:type="dxa"/>
          <w:trHeight w:val="500" w:hRule="atLeast"/>
          <w:jc w:val="center"/>
        </w:trPr>
        <w:tc>
          <w:tcPr>
            <w:tcW w:w="703"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黑体_GBK" w:hAnsi="方正黑体_GBK" w:eastAsia="方正黑体_GBK" w:cs="方正黑体_GBK"/>
                <w:i w:val="0"/>
                <w:color w:val="000000"/>
                <w:sz w:val="20"/>
                <w:szCs w:val="20"/>
                <w:u w:val="none"/>
              </w:rPr>
            </w:pPr>
          </w:p>
        </w:tc>
        <w:tc>
          <w:tcPr>
            <w:tcW w:w="102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印制医保宣传资料</w:t>
            </w:r>
          </w:p>
        </w:tc>
        <w:tc>
          <w:tcPr>
            <w:tcW w:w="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eastAsia" w:ascii="方正仿宋_GBK" w:hAnsi="方正仿宋_GBK" w:eastAsia="方正仿宋_GBK" w:cs="方正仿宋_GBK"/>
                <w:i w:val="0"/>
                <w:color w:val="000000"/>
                <w:kern w:val="0"/>
                <w:sz w:val="18"/>
                <w:szCs w:val="18"/>
                <w:u w:val="none"/>
                <w:lang w:val="en-US" w:eastAsia="zh-CN" w:bidi="ar"/>
              </w:rPr>
              <w:t>万份</w:t>
            </w:r>
          </w:p>
        </w:tc>
        <w:tc>
          <w:tcPr>
            <w:tcW w:w="43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1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95</w:t>
            </w:r>
          </w:p>
        </w:tc>
        <w:tc>
          <w:tcPr>
            <w:tcW w:w="5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705" w:type="dxa"/>
            <w:gridSpan w:val="3"/>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5.26</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1710"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122" w:type="dxa"/>
          <w:trHeight w:val="500" w:hRule="atLeast"/>
          <w:jc w:val="center"/>
        </w:trPr>
        <w:tc>
          <w:tcPr>
            <w:tcW w:w="703"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黑体_GBK" w:hAnsi="方正黑体_GBK" w:eastAsia="方正黑体_GBK" w:cs="方正黑体_GBK"/>
                <w:i w:val="0"/>
                <w:color w:val="000000"/>
                <w:sz w:val="20"/>
                <w:szCs w:val="20"/>
                <w:u w:val="none"/>
              </w:rPr>
            </w:pPr>
          </w:p>
        </w:tc>
        <w:tc>
          <w:tcPr>
            <w:tcW w:w="102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lang w:eastAsia="zh-CN"/>
              </w:rPr>
            </w:pPr>
            <w:r>
              <w:rPr>
                <w:rFonts w:hint="eastAsia" w:ascii="方正仿宋_GBK" w:hAnsi="方正仿宋_GBK" w:eastAsia="方正仿宋_GBK" w:cs="方正仿宋_GBK"/>
                <w:i w:val="0"/>
                <w:color w:val="000000"/>
                <w:kern w:val="0"/>
                <w:sz w:val="18"/>
                <w:szCs w:val="18"/>
                <w:u w:val="none"/>
                <w:lang w:val="en-US" w:eastAsia="zh-CN" w:bidi="ar"/>
              </w:rPr>
              <w:t>追回医保基金</w:t>
            </w:r>
          </w:p>
        </w:tc>
        <w:tc>
          <w:tcPr>
            <w:tcW w:w="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万元</w:t>
            </w:r>
          </w:p>
        </w:tc>
        <w:tc>
          <w:tcPr>
            <w:tcW w:w="43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1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5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lang w:val="en-US"/>
              </w:rPr>
            </w:pPr>
            <w:r>
              <w:rPr>
                <w:rFonts w:hint="eastAsia" w:ascii="Times New Roman" w:hAnsi="Times New Roman" w:cs="Times New Roman"/>
                <w:i w:val="0"/>
                <w:color w:val="000000"/>
                <w:kern w:val="0"/>
                <w:sz w:val="22"/>
                <w:szCs w:val="22"/>
                <w:u w:val="none"/>
                <w:lang w:val="en-US" w:eastAsia="zh-CN" w:bidi="ar"/>
              </w:rPr>
              <w:t>531</w:t>
            </w:r>
          </w:p>
        </w:tc>
        <w:tc>
          <w:tcPr>
            <w:tcW w:w="705" w:type="dxa"/>
            <w:gridSpan w:val="3"/>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lang w:val="en-US"/>
              </w:rPr>
            </w:pPr>
            <w:r>
              <w:rPr>
                <w:rFonts w:hint="eastAsia" w:ascii="Times New Roman" w:hAnsi="Times New Roman" w:cs="Times New Roman"/>
                <w:i w:val="0"/>
                <w:color w:val="000000"/>
                <w:kern w:val="0"/>
                <w:sz w:val="22"/>
                <w:szCs w:val="22"/>
                <w:u w:val="none"/>
                <w:lang w:val="en-US" w:eastAsia="zh-CN" w:bidi="ar"/>
              </w:rPr>
              <w:t>431</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1710"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开展第三方审计，加强基金监管力度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122" w:type="dxa"/>
          <w:trHeight w:val="500" w:hRule="atLeast"/>
          <w:jc w:val="center"/>
        </w:trPr>
        <w:tc>
          <w:tcPr>
            <w:tcW w:w="703"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黑体_GBK" w:hAnsi="方正黑体_GBK" w:eastAsia="方正黑体_GBK" w:cs="方正黑体_GBK"/>
                <w:i w:val="0"/>
                <w:color w:val="000000"/>
                <w:sz w:val="20"/>
                <w:szCs w:val="20"/>
                <w:u w:val="none"/>
              </w:rPr>
            </w:pPr>
          </w:p>
        </w:tc>
        <w:tc>
          <w:tcPr>
            <w:tcW w:w="102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eastAsia="zh-CN"/>
              </w:rPr>
              <w:t>医保机构检查覆盖率</w:t>
            </w:r>
          </w:p>
        </w:tc>
        <w:tc>
          <w:tcPr>
            <w:tcW w:w="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43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1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lang w:val="en-US" w:eastAsia="zh-CN"/>
              </w:rPr>
            </w:pPr>
            <w:r>
              <w:rPr>
                <w:rFonts w:hint="eastAsia" w:ascii="Times New Roman" w:hAnsi="Times New Roman" w:cs="Times New Roman"/>
                <w:i w:val="0"/>
                <w:color w:val="000000"/>
                <w:sz w:val="22"/>
                <w:szCs w:val="22"/>
                <w:u w:val="none"/>
                <w:lang w:val="en-US" w:eastAsia="zh-CN"/>
              </w:rPr>
              <w:t>90</w:t>
            </w:r>
          </w:p>
        </w:tc>
        <w:tc>
          <w:tcPr>
            <w:tcW w:w="5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lang w:val="en-US" w:eastAsia="zh-CN"/>
              </w:rPr>
            </w:pPr>
            <w:r>
              <w:rPr>
                <w:rFonts w:hint="eastAsia" w:ascii="Times New Roman" w:hAnsi="Times New Roman" w:cs="Times New Roman"/>
                <w:i w:val="0"/>
                <w:color w:val="000000"/>
                <w:sz w:val="22"/>
                <w:szCs w:val="22"/>
                <w:u w:val="none"/>
                <w:lang w:val="en-US" w:eastAsia="zh-CN"/>
              </w:rPr>
              <w:t>100</w:t>
            </w:r>
          </w:p>
        </w:tc>
        <w:tc>
          <w:tcPr>
            <w:tcW w:w="705" w:type="dxa"/>
            <w:gridSpan w:val="3"/>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lang w:val="en-US" w:eastAsia="zh-CN"/>
              </w:rPr>
            </w:pPr>
            <w:r>
              <w:rPr>
                <w:rFonts w:hint="eastAsia" w:ascii="Times New Roman" w:hAnsi="Times New Roman" w:cs="Times New Roman"/>
                <w:i w:val="0"/>
                <w:color w:val="000000"/>
                <w:sz w:val="22"/>
                <w:szCs w:val="22"/>
                <w:u w:val="none"/>
                <w:lang w:val="en-US" w:eastAsia="zh-CN"/>
              </w:rPr>
              <w:t>11.11</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lang w:val="en-US" w:eastAsia="zh-CN"/>
              </w:rPr>
            </w:pPr>
            <w:r>
              <w:rPr>
                <w:rFonts w:hint="eastAsia" w:ascii="Times New Roman" w:hAnsi="Times New Roman" w:cs="Times New Roman"/>
                <w:i w:val="0"/>
                <w:color w:val="000000"/>
                <w:sz w:val="22"/>
                <w:szCs w:val="22"/>
                <w:u w:val="none"/>
                <w:lang w:val="en-US" w:eastAsia="zh-CN"/>
              </w:rPr>
              <w:t>100</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Times New Roman" w:hAnsi="Times New Roman" w:eastAsia="宋体" w:cs="Times New Roman"/>
                <w:i w:val="0"/>
                <w:color w:val="000000"/>
                <w:sz w:val="22"/>
                <w:szCs w:val="22"/>
                <w:u w:val="none"/>
                <w:lang w:val="en-US" w:eastAsia="zh-CN"/>
              </w:rPr>
            </w:pPr>
            <w:r>
              <w:rPr>
                <w:rFonts w:hint="eastAsia" w:ascii="Times New Roman" w:hAnsi="Times New Roman" w:cs="Times New Roman"/>
                <w:i w:val="0"/>
                <w:color w:val="000000"/>
                <w:sz w:val="22"/>
                <w:szCs w:val="22"/>
                <w:u w:val="none"/>
                <w:lang w:val="en-US" w:eastAsia="zh-CN"/>
              </w:rPr>
              <w:t>5</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Times New Roman" w:hAnsi="Times New Roman" w:eastAsia="宋体" w:cs="Times New Roman"/>
                <w:i w:val="0"/>
                <w:color w:val="000000"/>
                <w:sz w:val="22"/>
                <w:szCs w:val="22"/>
                <w:u w:val="none"/>
                <w:lang w:val="en-US" w:eastAsia="zh-CN"/>
              </w:rPr>
            </w:pPr>
            <w:r>
              <w:rPr>
                <w:rFonts w:hint="eastAsia" w:ascii="Times New Roman" w:hAnsi="Times New Roman" w:cs="Times New Roman"/>
                <w:i w:val="0"/>
                <w:color w:val="000000"/>
                <w:sz w:val="22"/>
                <w:szCs w:val="22"/>
                <w:u w:val="none"/>
                <w:lang w:val="en-US" w:eastAsia="zh-CN"/>
              </w:rPr>
              <w:t>5</w:t>
            </w:r>
          </w:p>
        </w:tc>
        <w:tc>
          <w:tcPr>
            <w:tcW w:w="1710"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122" w:type="dxa"/>
          <w:trHeight w:val="480" w:hRule="atLeast"/>
          <w:jc w:val="center"/>
        </w:trPr>
        <w:tc>
          <w:tcPr>
            <w:tcW w:w="70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总体说明</w:t>
            </w:r>
          </w:p>
        </w:tc>
        <w:tc>
          <w:tcPr>
            <w:tcW w:w="7607" w:type="dxa"/>
            <w:gridSpan w:val="21"/>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年度目标均已完成，下一步将持续推进项目实施，切实保障我县医保服务能力迈上新台阶。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480" w:hRule="atLeast"/>
          <w:jc w:val="center"/>
        </w:trPr>
        <w:tc>
          <w:tcPr>
            <w:tcW w:w="8284" w:type="dxa"/>
            <w:gridSpan w:val="23"/>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小标宋_GBK" w:hAnsi="方正小标宋_GBK" w:eastAsia="方正小标宋_GBK" w:cs="方正小标宋_GBK"/>
                <w:i w:val="0"/>
                <w:color w:val="000000"/>
                <w:kern w:val="0"/>
                <w:sz w:val="36"/>
                <w:szCs w:val="36"/>
                <w:u w:val="none"/>
                <w:lang w:val="en-US" w:eastAsia="zh-CN" w:bidi="ar"/>
              </w:rPr>
            </w:pPr>
          </w:p>
          <w:p>
            <w:pPr>
              <w:keepNext w:val="0"/>
              <w:keepLines w:val="0"/>
              <w:pageBreakBefore w:val="0"/>
              <w:widowControl w:val="0"/>
              <w:suppressLineNumbers w:val="0"/>
              <w:kinsoku/>
              <w:wordWrap/>
              <w:overflowPunct/>
              <w:topLinePunct w:val="0"/>
              <w:autoSpaceDN/>
              <w:bidi w:val="0"/>
              <w:adjustRightInd/>
              <w:jc w:val="center"/>
              <w:textAlignment w:val="center"/>
              <w:rPr>
                <w:rFonts w:ascii="方正小标宋_GBK" w:hAnsi="方正小标宋_GBK" w:eastAsia="方正小标宋_GBK" w:cs="方正小标宋_GBK"/>
                <w:i w:val="0"/>
                <w:color w:val="000000"/>
                <w:sz w:val="36"/>
                <w:szCs w:val="36"/>
                <w:u w:val="none"/>
              </w:rPr>
            </w:pPr>
            <w:r>
              <w:rPr>
                <w:rFonts w:hint="eastAsia" w:ascii="方正小标宋_GBK" w:hAnsi="方正小标宋_GBK" w:eastAsia="方正小标宋_GBK" w:cs="方正小标宋_GBK"/>
                <w:i w:val="0"/>
                <w:color w:val="000000"/>
                <w:kern w:val="0"/>
                <w:sz w:val="36"/>
                <w:szCs w:val="36"/>
                <w:u w:val="none"/>
                <w:lang w:val="en-US" w:eastAsia="zh-CN" w:bidi="ar"/>
              </w:rPr>
              <w:t>秀山土家族苗族自治县医疗保障局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510" w:hRule="atLeast"/>
          <w:jc w:val="center"/>
        </w:trPr>
        <w:tc>
          <w:tcPr>
            <w:tcW w:w="8284" w:type="dxa"/>
            <w:gridSpan w:val="23"/>
            <w:tcBorders>
              <w:top w:val="nil"/>
              <w:left w:val="nil"/>
              <w:bottom w:val="single" w:color="auto" w:sz="4" w:space="0"/>
              <w:right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小标宋_GBK" w:hAnsi="方正小标宋_GBK" w:eastAsia="方正小标宋_GBK" w:cs="方正小标宋_GBK"/>
                <w:i w:val="0"/>
                <w:color w:val="000000"/>
                <w:sz w:val="36"/>
                <w:szCs w:val="36"/>
                <w:u w:val="none"/>
              </w:rPr>
            </w:pPr>
            <w:r>
              <w:rPr>
                <w:rFonts w:hint="eastAsia" w:ascii="方正小标宋_GBK" w:hAnsi="方正小标宋_GBK" w:eastAsia="方正小标宋_GBK" w:cs="方正小标宋_GBK"/>
                <w:i w:val="0"/>
                <w:color w:val="000000"/>
                <w:kern w:val="0"/>
                <w:sz w:val="36"/>
                <w:szCs w:val="36"/>
                <w:u w:val="none"/>
                <w:lang w:val="en-US" w:eastAsia="zh-CN" w:bidi="ar"/>
              </w:rPr>
              <w:t>2024年度项目支出绩效自评情况表（二级项目）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584" w:hRule="atLeast"/>
          <w:jc w:val="center"/>
        </w:trPr>
        <w:tc>
          <w:tcPr>
            <w:tcW w:w="440" w:type="dxa"/>
            <w:gridSpan w:val="2"/>
            <w:tcBorders>
              <w:top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序号</w:t>
            </w:r>
          </w:p>
        </w:tc>
        <w:tc>
          <w:tcPr>
            <w:tcW w:w="992" w:type="dxa"/>
            <w:gridSpan w:val="2"/>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项目名称</w:t>
            </w:r>
          </w:p>
        </w:tc>
        <w:tc>
          <w:tcPr>
            <w:tcW w:w="2591" w:type="dxa"/>
            <w:gridSpan w:val="6"/>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指标名称</w:t>
            </w:r>
          </w:p>
        </w:tc>
        <w:tc>
          <w:tcPr>
            <w:tcW w:w="470" w:type="dxa"/>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指标性质</w:t>
            </w:r>
          </w:p>
        </w:tc>
        <w:tc>
          <w:tcPr>
            <w:tcW w:w="764" w:type="dxa"/>
            <w:gridSpan w:val="2"/>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指标值</w:t>
            </w:r>
          </w:p>
        </w:tc>
        <w:tc>
          <w:tcPr>
            <w:tcW w:w="504" w:type="dxa"/>
            <w:gridSpan w:val="2"/>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计量单位</w:t>
            </w:r>
          </w:p>
        </w:tc>
        <w:tc>
          <w:tcPr>
            <w:tcW w:w="478" w:type="dxa"/>
            <w:gridSpan w:val="2"/>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指标权重</w:t>
            </w:r>
          </w:p>
        </w:tc>
        <w:tc>
          <w:tcPr>
            <w:tcW w:w="763" w:type="dxa"/>
            <w:gridSpan w:val="2"/>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全年完成值</w:t>
            </w:r>
          </w:p>
        </w:tc>
        <w:tc>
          <w:tcPr>
            <w:tcW w:w="491" w:type="dxa"/>
            <w:gridSpan w:val="2"/>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指标得分</w:t>
            </w:r>
          </w:p>
        </w:tc>
        <w:tc>
          <w:tcPr>
            <w:tcW w:w="300" w:type="dxa"/>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说明</w:t>
            </w:r>
          </w:p>
        </w:tc>
        <w:tc>
          <w:tcPr>
            <w:tcW w:w="491" w:type="dxa"/>
            <w:tcBorders>
              <w:top w:val="single" w:color="auto" w:sz="4" w:space="0"/>
              <w:lef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300" w:hRule="atLeast"/>
          <w:jc w:val="center"/>
        </w:trPr>
        <w:tc>
          <w:tcPr>
            <w:tcW w:w="440" w:type="dxa"/>
            <w:gridSpan w:val="2"/>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992" w:type="dxa"/>
            <w:gridSpan w:val="2"/>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医疗救助中央补助资金（城乡医疗救助）</w:t>
            </w:r>
          </w:p>
        </w:tc>
        <w:tc>
          <w:tcPr>
            <w:tcW w:w="2591"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到定点救治医疗机构就诊率</w:t>
            </w:r>
          </w:p>
        </w:tc>
        <w:tc>
          <w:tcPr>
            <w:tcW w:w="47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90</w:t>
            </w:r>
          </w:p>
        </w:tc>
        <w:tc>
          <w:tcPr>
            <w:tcW w:w="50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478"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76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90</w:t>
            </w:r>
          </w:p>
        </w:tc>
        <w:tc>
          <w:tcPr>
            <w:tcW w:w="491"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30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600" w:hRule="atLeast"/>
          <w:jc w:val="center"/>
        </w:trPr>
        <w:tc>
          <w:tcPr>
            <w:tcW w:w="440"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重点救助对象自负费用年度限额内住院救助比例</w:t>
            </w:r>
          </w:p>
        </w:tc>
        <w:tc>
          <w:tcPr>
            <w:tcW w:w="47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70</w:t>
            </w:r>
          </w:p>
        </w:tc>
        <w:tc>
          <w:tcPr>
            <w:tcW w:w="50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478"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76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70</w:t>
            </w:r>
          </w:p>
        </w:tc>
        <w:tc>
          <w:tcPr>
            <w:tcW w:w="491"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30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600" w:hRule="atLeast"/>
          <w:jc w:val="center"/>
        </w:trPr>
        <w:tc>
          <w:tcPr>
            <w:tcW w:w="440"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重特大疾病医疗救助人次占直接救助人次比例</w:t>
            </w:r>
          </w:p>
        </w:tc>
        <w:tc>
          <w:tcPr>
            <w:tcW w:w="47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28</w:t>
            </w:r>
          </w:p>
        </w:tc>
        <w:tc>
          <w:tcPr>
            <w:tcW w:w="50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478"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76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28</w:t>
            </w:r>
          </w:p>
        </w:tc>
        <w:tc>
          <w:tcPr>
            <w:tcW w:w="491"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30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300" w:hRule="atLeast"/>
          <w:jc w:val="center"/>
        </w:trPr>
        <w:tc>
          <w:tcPr>
            <w:tcW w:w="440"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政策知晓率</w:t>
            </w:r>
          </w:p>
        </w:tc>
        <w:tc>
          <w:tcPr>
            <w:tcW w:w="47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95</w:t>
            </w:r>
          </w:p>
        </w:tc>
        <w:tc>
          <w:tcPr>
            <w:tcW w:w="50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478"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76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95</w:t>
            </w:r>
          </w:p>
        </w:tc>
        <w:tc>
          <w:tcPr>
            <w:tcW w:w="491"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30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300" w:hRule="atLeast"/>
          <w:jc w:val="center"/>
        </w:trPr>
        <w:tc>
          <w:tcPr>
            <w:tcW w:w="440"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资金到位率</w:t>
            </w:r>
          </w:p>
        </w:tc>
        <w:tc>
          <w:tcPr>
            <w:tcW w:w="47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50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478"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76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491"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30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300" w:hRule="atLeast"/>
          <w:jc w:val="center"/>
        </w:trPr>
        <w:tc>
          <w:tcPr>
            <w:tcW w:w="440"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减轻医疗负担</w:t>
            </w:r>
          </w:p>
        </w:tc>
        <w:tc>
          <w:tcPr>
            <w:tcW w:w="47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3000</w:t>
            </w:r>
          </w:p>
        </w:tc>
        <w:tc>
          <w:tcPr>
            <w:tcW w:w="50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万元</w:t>
            </w:r>
          </w:p>
        </w:tc>
        <w:tc>
          <w:tcPr>
            <w:tcW w:w="478"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eastAsia="zh-CN"/>
              </w:rPr>
            </w:pPr>
            <w:r>
              <w:rPr>
                <w:rFonts w:hint="eastAsia" w:ascii="方正仿宋_GBK" w:hAnsi="方正仿宋_GBK" w:eastAsia="方正仿宋_GBK" w:cs="方正仿宋_GBK"/>
                <w:i w:val="0"/>
                <w:color w:val="000000"/>
                <w:sz w:val="18"/>
                <w:szCs w:val="18"/>
                <w:u w:val="none"/>
                <w:lang w:val="en-US" w:eastAsia="zh-CN"/>
              </w:rPr>
              <w:t>30</w:t>
            </w:r>
          </w:p>
        </w:tc>
        <w:tc>
          <w:tcPr>
            <w:tcW w:w="76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3137</w:t>
            </w:r>
          </w:p>
        </w:tc>
        <w:tc>
          <w:tcPr>
            <w:tcW w:w="491"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30</w:t>
            </w:r>
          </w:p>
        </w:tc>
        <w:tc>
          <w:tcPr>
            <w:tcW w:w="30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436" w:hRule="atLeast"/>
          <w:jc w:val="center"/>
        </w:trPr>
        <w:tc>
          <w:tcPr>
            <w:tcW w:w="440" w:type="dxa"/>
            <w:gridSpan w:val="2"/>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92" w:type="dxa"/>
            <w:gridSpan w:val="2"/>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2024年脱贫人口城乡居民医疗保险参保补贴项目</w:t>
            </w:r>
          </w:p>
        </w:tc>
        <w:tc>
          <w:tcPr>
            <w:tcW w:w="2591"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脱贫人口参保率</w:t>
            </w:r>
          </w:p>
        </w:tc>
        <w:tc>
          <w:tcPr>
            <w:tcW w:w="47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99</w:t>
            </w:r>
          </w:p>
        </w:tc>
        <w:tc>
          <w:tcPr>
            <w:tcW w:w="50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478"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30</w:t>
            </w:r>
          </w:p>
        </w:tc>
        <w:tc>
          <w:tcPr>
            <w:tcW w:w="76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491"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30</w:t>
            </w:r>
          </w:p>
        </w:tc>
        <w:tc>
          <w:tcPr>
            <w:tcW w:w="30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300" w:hRule="atLeast"/>
          <w:jc w:val="center"/>
        </w:trPr>
        <w:tc>
          <w:tcPr>
            <w:tcW w:w="440"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补贴率</w:t>
            </w:r>
          </w:p>
        </w:tc>
        <w:tc>
          <w:tcPr>
            <w:tcW w:w="47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50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478"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76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491"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30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300" w:hRule="atLeast"/>
          <w:jc w:val="center"/>
        </w:trPr>
        <w:tc>
          <w:tcPr>
            <w:tcW w:w="440"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减轻脱贫人口负担</w:t>
            </w:r>
          </w:p>
        </w:tc>
        <w:tc>
          <w:tcPr>
            <w:tcW w:w="47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30</w:t>
            </w:r>
          </w:p>
        </w:tc>
        <w:tc>
          <w:tcPr>
            <w:tcW w:w="50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元/人年</w:t>
            </w:r>
          </w:p>
        </w:tc>
        <w:tc>
          <w:tcPr>
            <w:tcW w:w="478"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76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30</w:t>
            </w:r>
          </w:p>
        </w:tc>
        <w:tc>
          <w:tcPr>
            <w:tcW w:w="491"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30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300" w:hRule="atLeast"/>
          <w:jc w:val="center"/>
        </w:trPr>
        <w:tc>
          <w:tcPr>
            <w:tcW w:w="440"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政策知晓率</w:t>
            </w:r>
          </w:p>
        </w:tc>
        <w:tc>
          <w:tcPr>
            <w:tcW w:w="47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50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478"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76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491"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30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415" w:hRule="atLeast"/>
          <w:jc w:val="center"/>
        </w:trPr>
        <w:tc>
          <w:tcPr>
            <w:tcW w:w="440" w:type="dxa"/>
            <w:gridSpan w:val="2"/>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92" w:type="dxa"/>
            <w:gridSpan w:val="2"/>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企业离退干部、老干部、伤残军人医疗补助</w:t>
            </w:r>
          </w:p>
        </w:tc>
        <w:tc>
          <w:tcPr>
            <w:tcW w:w="2591"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救助人次</w:t>
            </w:r>
          </w:p>
        </w:tc>
        <w:tc>
          <w:tcPr>
            <w:tcW w:w="47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50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人次</w:t>
            </w:r>
          </w:p>
        </w:tc>
        <w:tc>
          <w:tcPr>
            <w:tcW w:w="478"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40</w:t>
            </w:r>
          </w:p>
        </w:tc>
        <w:tc>
          <w:tcPr>
            <w:tcW w:w="76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491"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40</w:t>
            </w:r>
          </w:p>
        </w:tc>
        <w:tc>
          <w:tcPr>
            <w:tcW w:w="30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429" w:hRule="atLeast"/>
          <w:jc w:val="center"/>
        </w:trPr>
        <w:tc>
          <w:tcPr>
            <w:tcW w:w="440"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减轻医疗负担</w:t>
            </w:r>
          </w:p>
        </w:tc>
        <w:tc>
          <w:tcPr>
            <w:tcW w:w="47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180</w:t>
            </w:r>
          </w:p>
        </w:tc>
        <w:tc>
          <w:tcPr>
            <w:tcW w:w="50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万元</w:t>
            </w:r>
          </w:p>
        </w:tc>
        <w:tc>
          <w:tcPr>
            <w:tcW w:w="478"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40</w:t>
            </w:r>
          </w:p>
        </w:tc>
        <w:tc>
          <w:tcPr>
            <w:tcW w:w="76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200</w:t>
            </w:r>
          </w:p>
        </w:tc>
        <w:tc>
          <w:tcPr>
            <w:tcW w:w="491"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40</w:t>
            </w:r>
          </w:p>
        </w:tc>
        <w:tc>
          <w:tcPr>
            <w:tcW w:w="30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900" w:hRule="atLeast"/>
          <w:jc w:val="center"/>
        </w:trPr>
        <w:tc>
          <w:tcPr>
            <w:tcW w:w="440"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资金到位率</w:t>
            </w:r>
          </w:p>
        </w:tc>
        <w:tc>
          <w:tcPr>
            <w:tcW w:w="47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50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478"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76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491"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30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300" w:hRule="atLeast"/>
          <w:jc w:val="center"/>
        </w:trPr>
        <w:tc>
          <w:tcPr>
            <w:tcW w:w="440" w:type="dxa"/>
            <w:gridSpan w:val="2"/>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992" w:type="dxa"/>
            <w:gridSpan w:val="2"/>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医疗服务与保障能力提升补助资金（医疗保障服务能力提升部分）</w:t>
            </w:r>
          </w:p>
        </w:tc>
        <w:tc>
          <w:tcPr>
            <w:tcW w:w="2591"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定点医药机构监督检查覆盖率</w:t>
            </w:r>
          </w:p>
        </w:tc>
        <w:tc>
          <w:tcPr>
            <w:tcW w:w="47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90</w:t>
            </w:r>
          </w:p>
        </w:tc>
        <w:tc>
          <w:tcPr>
            <w:tcW w:w="50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478"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76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491"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30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300" w:hRule="atLeast"/>
          <w:jc w:val="center"/>
        </w:trPr>
        <w:tc>
          <w:tcPr>
            <w:tcW w:w="440"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kern w:val="0"/>
                <w:sz w:val="18"/>
                <w:szCs w:val="18"/>
                <w:u w:val="none"/>
                <w:lang w:val="en-US" w:eastAsia="zh-CN" w:bidi="ar"/>
              </w:rPr>
            </w:pPr>
            <w:r>
              <w:rPr>
                <w:rFonts w:hint="eastAsia" w:ascii="方正仿宋_GBK" w:hAnsi="方正仿宋_GBK" w:eastAsia="方正仿宋_GBK" w:cs="方正仿宋_GBK"/>
                <w:i w:val="0"/>
                <w:color w:val="000000"/>
                <w:kern w:val="0"/>
                <w:sz w:val="18"/>
                <w:szCs w:val="18"/>
                <w:u w:val="none"/>
                <w:lang w:val="en-US" w:eastAsia="zh-CN" w:bidi="ar"/>
              </w:rPr>
              <w:t>基本医保参保人数</w:t>
            </w:r>
          </w:p>
        </w:tc>
        <w:tc>
          <w:tcPr>
            <w:tcW w:w="47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kern w:val="0"/>
                <w:sz w:val="18"/>
                <w:szCs w:val="18"/>
                <w:u w:val="none"/>
                <w:lang w:val="en-US" w:eastAsia="zh-CN" w:bidi="ar"/>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kern w:val="0"/>
                <w:sz w:val="18"/>
                <w:szCs w:val="18"/>
                <w:u w:val="none"/>
                <w:lang w:val="en-US" w:eastAsia="zh-CN" w:bidi="ar"/>
              </w:rPr>
            </w:pPr>
            <w:r>
              <w:rPr>
                <w:rFonts w:hint="eastAsia" w:ascii="方正仿宋_GBK" w:hAnsi="方正仿宋_GBK" w:eastAsia="方正仿宋_GBK" w:cs="方正仿宋_GBK"/>
                <w:i w:val="0"/>
                <w:color w:val="000000"/>
                <w:kern w:val="0"/>
                <w:sz w:val="18"/>
                <w:szCs w:val="18"/>
                <w:u w:val="none"/>
                <w:lang w:val="en-US" w:eastAsia="zh-CN" w:bidi="ar"/>
              </w:rPr>
              <w:t>58</w:t>
            </w:r>
          </w:p>
        </w:tc>
        <w:tc>
          <w:tcPr>
            <w:tcW w:w="50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kern w:val="0"/>
                <w:sz w:val="18"/>
                <w:szCs w:val="18"/>
                <w:u w:val="none"/>
                <w:lang w:val="en-US" w:eastAsia="zh-CN" w:bidi="ar"/>
              </w:rPr>
            </w:pPr>
            <w:r>
              <w:rPr>
                <w:rFonts w:hint="eastAsia" w:ascii="方正仿宋_GBK" w:hAnsi="方正仿宋_GBK" w:eastAsia="方正仿宋_GBK" w:cs="方正仿宋_GBK"/>
                <w:i w:val="0"/>
                <w:color w:val="000000"/>
                <w:kern w:val="0"/>
                <w:sz w:val="18"/>
                <w:szCs w:val="18"/>
                <w:u w:val="none"/>
                <w:lang w:val="en-US" w:eastAsia="zh-CN" w:bidi="ar"/>
              </w:rPr>
              <w:t>万人</w:t>
            </w:r>
          </w:p>
        </w:tc>
        <w:tc>
          <w:tcPr>
            <w:tcW w:w="478"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kern w:val="0"/>
                <w:sz w:val="18"/>
                <w:szCs w:val="18"/>
                <w:u w:val="none"/>
                <w:lang w:val="en-US" w:eastAsia="zh-CN" w:bidi="ar"/>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76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kern w:val="0"/>
                <w:sz w:val="18"/>
                <w:szCs w:val="18"/>
                <w:u w:val="none"/>
                <w:lang w:val="en-US" w:eastAsia="zh-CN" w:bidi="ar"/>
              </w:rPr>
            </w:pPr>
            <w:r>
              <w:rPr>
                <w:rFonts w:hint="eastAsia" w:ascii="方正仿宋_GBK" w:hAnsi="方正仿宋_GBK" w:eastAsia="方正仿宋_GBK" w:cs="方正仿宋_GBK"/>
                <w:i w:val="0"/>
                <w:color w:val="000000"/>
                <w:kern w:val="0"/>
                <w:sz w:val="18"/>
                <w:szCs w:val="18"/>
                <w:u w:val="none"/>
                <w:lang w:val="en-US" w:eastAsia="zh-CN" w:bidi="ar"/>
              </w:rPr>
              <w:t>58.23</w:t>
            </w:r>
          </w:p>
        </w:tc>
        <w:tc>
          <w:tcPr>
            <w:tcW w:w="491"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kern w:val="0"/>
                <w:sz w:val="18"/>
                <w:szCs w:val="18"/>
                <w:u w:val="none"/>
                <w:lang w:val="en-US" w:eastAsia="zh-CN" w:bidi="ar"/>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30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300" w:hRule="atLeast"/>
          <w:jc w:val="center"/>
        </w:trPr>
        <w:tc>
          <w:tcPr>
            <w:tcW w:w="440"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kern w:val="0"/>
                <w:sz w:val="18"/>
                <w:szCs w:val="18"/>
                <w:u w:val="none"/>
                <w:lang w:val="en-US" w:eastAsia="zh-CN" w:bidi="ar"/>
              </w:rPr>
            </w:pPr>
            <w:r>
              <w:rPr>
                <w:rFonts w:hint="eastAsia" w:ascii="方正仿宋_GBK" w:hAnsi="方正仿宋_GBK" w:eastAsia="方正仿宋_GBK" w:cs="方正仿宋_GBK"/>
                <w:i w:val="0"/>
                <w:color w:val="000000"/>
                <w:kern w:val="0"/>
                <w:sz w:val="18"/>
                <w:szCs w:val="18"/>
                <w:u w:val="none"/>
                <w:lang w:val="en-US" w:eastAsia="zh-CN" w:bidi="ar"/>
              </w:rPr>
              <w:t>帮办代办覆盖率</w:t>
            </w:r>
          </w:p>
        </w:tc>
        <w:tc>
          <w:tcPr>
            <w:tcW w:w="47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kern w:val="0"/>
                <w:sz w:val="18"/>
                <w:szCs w:val="18"/>
                <w:u w:val="none"/>
                <w:lang w:val="en-US" w:eastAsia="zh-CN" w:bidi="ar"/>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kern w:val="0"/>
                <w:sz w:val="18"/>
                <w:szCs w:val="18"/>
                <w:u w:val="none"/>
                <w:lang w:val="en-US" w:eastAsia="zh-CN" w:bidi="ar"/>
              </w:rPr>
            </w:pPr>
            <w:r>
              <w:rPr>
                <w:rFonts w:hint="eastAsia" w:ascii="方正仿宋_GBK" w:hAnsi="方正仿宋_GBK" w:eastAsia="方正仿宋_GBK" w:cs="方正仿宋_GBK"/>
                <w:i w:val="0"/>
                <w:color w:val="000000"/>
                <w:kern w:val="0"/>
                <w:sz w:val="18"/>
                <w:szCs w:val="18"/>
                <w:u w:val="none"/>
                <w:lang w:val="en-US" w:eastAsia="zh-CN" w:bidi="ar"/>
              </w:rPr>
              <w:t>60</w:t>
            </w:r>
          </w:p>
        </w:tc>
        <w:tc>
          <w:tcPr>
            <w:tcW w:w="50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kern w:val="0"/>
                <w:sz w:val="18"/>
                <w:szCs w:val="18"/>
                <w:u w:val="none"/>
                <w:lang w:val="en-US" w:eastAsia="zh-CN" w:bidi="ar"/>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478"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kern w:val="0"/>
                <w:sz w:val="18"/>
                <w:szCs w:val="18"/>
                <w:u w:val="none"/>
                <w:lang w:val="en-US" w:eastAsia="zh-CN" w:bidi="ar"/>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76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kern w:val="0"/>
                <w:sz w:val="18"/>
                <w:szCs w:val="18"/>
                <w:u w:val="none"/>
                <w:lang w:val="en-US" w:eastAsia="zh-CN" w:bidi="ar"/>
              </w:rPr>
            </w:pPr>
            <w:r>
              <w:rPr>
                <w:rFonts w:hint="eastAsia" w:ascii="方正仿宋_GBK" w:hAnsi="方正仿宋_GBK" w:eastAsia="方正仿宋_GBK" w:cs="方正仿宋_GBK"/>
                <w:i w:val="0"/>
                <w:color w:val="000000"/>
                <w:kern w:val="0"/>
                <w:sz w:val="18"/>
                <w:szCs w:val="18"/>
                <w:u w:val="none"/>
                <w:lang w:val="en-US" w:eastAsia="zh-CN" w:bidi="ar"/>
              </w:rPr>
              <w:t>60</w:t>
            </w:r>
          </w:p>
        </w:tc>
        <w:tc>
          <w:tcPr>
            <w:tcW w:w="491"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kern w:val="0"/>
                <w:sz w:val="18"/>
                <w:szCs w:val="18"/>
                <w:u w:val="none"/>
                <w:lang w:val="en-US" w:eastAsia="zh-CN" w:bidi="ar"/>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30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300" w:hRule="atLeast"/>
          <w:jc w:val="center"/>
        </w:trPr>
        <w:tc>
          <w:tcPr>
            <w:tcW w:w="440"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长期护理险试点</w:t>
            </w:r>
          </w:p>
        </w:tc>
        <w:tc>
          <w:tcPr>
            <w:tcW w:w="47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50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478"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w:t>
            </w:r>
          </w:p>
        </w:tc>
        <w:tc>
          <w:tcPr>
            <w:tcW w:w="76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491"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w:t>
            </w:r>
          </w:p>
        </w:tc>
        <w:tc>
          <w:tcPr>
            <w:tcW w:w="30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300" w:hRule="atLeast"/>
          <w:jc w:val="center"/>
        </w:trPr>
        <w:tc>
          <w:tcPr>
            <w:tcW w:w="440"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集中采购落实情况</w:t>
            </w:r>
          </w:p>
        </w:tc>
        <w:tc>
          <w:tcPr>
            <w:tcW w:w="47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50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478"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76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491"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30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300" w:hRule="atLeast"/>
          <w:jc w:val="center"/>
        </w:trPr>
        <w:tc>
          <w:tcPr>
            <w:tcW w:w="440"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开展打击欺诈骗保治理</w:t>
            </w:r>
          </w:p>
        </w:tc>
        <w:tc>
          <w:tcPr>
            <w:tcW w:w="47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50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478"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76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491"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30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300" w:hRule="atLeast"/>
          <w:jc w:val="center"/>
        </w:trPr>
        <w:tc>
          <w:tcPr>
            <w:tcW w:w="440"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信息化建设</w:t>
            </w:r>
          </w:p>
        </w:tc>
        <w:tc>
          <w:tcPr>
            <w:tcW w:w="47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50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478"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w:t>
            </w:r>
          </w:p>
        </w:tc>
        <w:tc>
          <w:tcPr>
            <w:tcW w:w="76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491"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w:t>
            </w:r>
          </w:p>
        </w:tc>
        <w:tc>
          <w:tcPr>
            <w:tcW w:w="30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300" w:hRule="atLeast"/>
          <w:jc w:val="center"/>
        </w:trPr>
        <w:tc>
          <w:tcPr>
            <w:tcW w:w="440"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提高医保综合监管能力</w:t>
            </w:r>
          </w:p>
        </w:tc>
        <w:tc>
          <w:tcPr>
            <w:tcW w:w="47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50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478"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76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491"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30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300" w:hRule="atLeast"/>
          <w:jc w:val="center"/>
        </w:trPr>
        <w:tc>
          <w:tcPr>
            <w:tcW w:w="440"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lang w:eastAsia="zh-CN"/>
              </w:rPr>
            </w:pPr>
            <w:r>
              <w:rPr>
                <w:rFonts w:hint="eastAsia" w:ascii="方正仿宋_GBK" w:hAnsi="方正仿宋_GBK" w:eastAsia="方正仿宋_GBK" w:cs="方正仿宋_GBK"/>
                <w:i w:val="0"/>
                <w:color w:val="000000"/>
                <w:sz w:val="18"/>
                <w:szCs w:val="18"/>
                <w:u w:val="none"/>
                <w:lang w:eastAsia="zh-CN"/>
              </w:rPr>
              <w:t>药品网采率</w:t>
            </w:r>
          </w:p>
        </w:tc>
        <w:tc>
          <w:tcPr>
            <w:tcW w:w="47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eastAsia="zh-CN"/>
              </w:rPr>
            </w:pPr>
            <w:r>
              <w:rPr>
                <w:rFonts w:hint="eastAsia" w:ascii="方正仿宋_GBK" w:hAnsi="方正仿宋_GBK" w:eastAsia="方正仿宋_GBK" w:cs="方正仿宋_GBK"/>
                <w:i w:val="0"/>
                <w:color w:val="000000"/>
                <w:sz w:val="18"/>
                <w:szCs w:val="18"/>
                <w:u w:val="none"/>
                <w:lang w:val="en-US" w:eastAsia="zh-CN"/>
              </w:rPr>
              <w:t>90</w:t>
            </w:r>
          </w:p>
        </w:tc>
        <w:tc>
          <w:tcPr>
            <w:tcW w:w="50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478"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lang w:val="en-US" w:eastAsia="zh-CN"/>
              </w:rPr>
            </w:pPr>
            <w:r>
              <w:rPr>
                <w:rFonts w:hint="eastAsia" w:ascii="方正仿宋_GBK" w:hAnsi="方正仿宋_GBK" w:eastAsia="方正仿宋_GBK" w:cs="方正仿宋_GBK"/>
                <w:i w:val="0"/>
                <w:color w:val="000000"/>
                <w:sz w:val="18"/>
                <w:szCs w:val="18"/>
                <w:u w:val="none"/>
                <w:lang w:val="en-US" w:eastAsia="zh-CN"/>
              </w:rPr>
              <w:t>5</w:t>
            </w:r>
          </w:p>
        </w:tc>
        <w:tc>
          <w:tcPr>
            <w:tcW w:w="76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eastAsia="zh-CN"/>
              </w:rPr>
            </w:pPr>
            <w:r>
              <w:rPr>
                <w:rFonts w:hint="eastAsia" w:ascii="方正仿宋_GBK" w:hAnsi="方正仿宋_GBK" w:eastAsia="方正仿宋_GBK" w:cs="方正仿宋_GBK"/>
                <w:i w:val="0"/>
                <w:color w:val="000000"/>
                <w:sz w:val="18"/>
                <w:szCs w:val="18"/>
                <w:u w:val="none"/>
                <w:lang w:val="en-US" w:eastAsia="zh-CN"/>
              </w:rPr>
              <w:t>101</w:t>
            </w:r>
          </w:p>
        </w:tc>
        <w:tc>
          <w:tcPr>
            <w:tcW w:w="491"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lang w:val="en-US" w:eastAsia="zh-CN"/>
              </w:rPr>
            </w:pPr>
            <w:r>
              <w:rPr>
                <w:rFonts w:hint="eastAsia" w:ascii="方正仿宋_GBK" w:hAnsi="方正仿宋_GBK" w:eastAsia="方正仿宋_GBK" w:cs="方正仿宋_GBK"/>
                <w:i w:val="0"/>
                <w:color w:val="000000"/>
                <w:sz w:val="18"/>
                <w:szCs w:val="18"/>
                <w:u w:val="none"/>
                <w:lang w:val="en-US" w:eastAsia="zh-CN"/>
              </w:rPr>
              <w:t>5</w:t>
            </w:r>
          </w:p>
        </w:tc>
        <w:tc>
          <w:tcPr>
            <w:tcW w:w="30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300" w:hRule="atLeast"/>
          <w:jc w:val="center"/>
        </w:trPr>
        <w:tc>
          <w:tcPr>
            <w:tcW w:w="440"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医保标准化建设</w:t>
            </w:r>
          </w:p>
        </w:tc>
        <w:tc>
          <w:tcPr>
            <w:tcW w:w="47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50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478"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w:t>
            </w:r>
          </w:p>
        </w:tc>
        <w:tc>
          <w:tcPr>
            <w:tcW w:w="76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491"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w:t>
            </w:r>
          </w:p>
        </w:tc>
        <w:tc>
          <w:tcPr>
            <w:tcW w:w="30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300" w:hRule="atLeast"/>
          <w:jc w:val="center"/>
        </w:trPr>
        <w:tc>
          <w:tcPr>
            <w:tcW w:w="440"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医保法治建设能力</w:t>
            </w:r>
          </w:p>
        </w:tc>
        <w:tc>
          <w:tcPr>
            <w:tcW w:w="47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50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478"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76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491"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30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300" w:hRule="atLeast"/>
          <w:jc w:val="center"/>
        </w:trPr>
        <w:tc>
          <w:tcPr>
            <w:tcW w:w="440"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医保宣传能力</w:t>
            </w:r>
          </w:p>
        </w:tc>
        <w:tc>
          <w:tcPr>
            <w:tcW w:w="47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50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478"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w:t>
            </w:r>
          </w:p>
        </w:tc>
        <w:tc>
          <w:tcPr>
            <w:tcW w:w="76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491"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w:t>
            </w:r>
          </w:p>
        </w:tc>
        <w:tc>
          <w:tcPr>
            <w:tcW w:w="30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600" w:hRule="atLeast"/>
          <w:jc w:val="center"/>
        </w:trPr>
        <w:tc>
          <w:tcPr>
            <w:tcW w:w="440"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医药服务价格动态调整与深化医疗服务价格改革试点执行情况</w:t>
            </w:r>
          </w:p>
        </w:tc>
        <w:tc>
          <w:tcPr>
            <w:tcW w:w="47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50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478"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w:t>
            </w:r>
          </w:p>
        </w:tc>
        <w:tc>
          <w:tcPr>
            <w:tcW w:w="76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491"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w:t>
            </w:r>
          </w:p>
        </w:tc>
        <w:tc>
          <w:tcPr>
            <w:tcW w:w="30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300" w:hRule="atLeast"/>
          <w:jc w:val="center"/>
        </w:trPr>
        <w:tc>
          <w:tcPr>
            <w:tcW w:w="440"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追回医保基金及罚没收入</w:t>
            </w:r>
          </w:p>
        </w:tc>
        <w:tc>
          <w:tcPr>
            <w:tcW w:w="47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800</w:t>
            </w:r>
          </w:p>
        </w:tc>
        <w:tc>
          <w:tcPr>
            <w:tcW w:w="50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万元</w:t>
            </w:r>
          </w:p>
        </w:tc>
        <w:tc>
          <w:tcPr>
            <w:tcW w:w="478"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30</w:t>
            </w:r>
          </w:p>
        </w:tc>
        <w:tc>
          <w:tcPr>
            <w:tcW w:w="76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841</w:t>
            </w:r>
          </w:p>
        </w:tc>
        <w:tc>
          <w:tcPr>
            <w:tcW w:w="491"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30</w:t>
            </w:r>
          </w:p>
        </w:tc>
        <w:tc>
          <w:tcPr>
            <w:tcW w:w="30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r>
    </w:tbl>
    <w:p>
      <w:pPr>
        <w:pStyle w:val="11"/>
        <w:keepNext w:val="0"/>
        <w:keepLines w:val="0"/>
        <w:pageBreakBefore w:val="0"/>
        <w:widowControl w:val="0"/>
        <w:kinsoku/>
        <w:wordWrap/>
        <w:overflowPunct/>
        <w:topLinePunct w:val="0"/>
        <w:autoSpaceDE w:val="0"/>
        <w:autoSpaceDN/>
        <w:bidi w:val="0"/>
        <w:adjustRightInd/>
        <w:snapToGrid/>
        <w:spacing w:line="560" w:lineRule="exact"/>
        <w:textAlignment w:val="auto"/>
        <w:rPr>
          <w:rStyle w:val="10"/>
          <w:rFonts w:hint="eastAsia" w:ascii="方正楷体_GBK" w:hAnsi="方正楷体_GBK" w:eastAsia="方正楷体_GBK" w:cs="方正楷体_GBK"/>
          <w:b w:val="0"/>
          <w:bCs/>
          <w:color w:val="auto"/>
          <w:sz w:val="32"/>
          <w:szCs w:val="32"/>
          <w:highlight w:val="none"/>
          <w:shd w:val="clear" w:color="auto" w:fill="FFFFFF"/>
          <w:lang w:val="en-US" w:eastAsia="zh-CN" w:bidi="ar-SA"/>
        </w:rPr>
      </w:pPr>
    </w:p>
    <w:p>
      <w:pPr>
        <w:pStyle w:val="11"/>
        <w:keepNext w:val="0"/>
        <w:keepLines w:val="0"/>
        <w:pageBreakBefore w:val="0"/>
        <w:widowControl w:val="0"/>
        <w:kinsoku/>
        <w:wordWrap/>
        <w:overflowPunct/>
        <w:topLinePunct w:val="0"/>
        <w:autoSpaceDE w:val="0"/>
        <w:autoSpaceDN/>
        <w:bidi w:val="0"/>
        <w:adjustRightInd/>
        <w:snapToGrid/>
        <w:spacing w:line="560" w:lineRule="exact"/>
        <w:textAlignment w:val="auto"/>
        <w:rPr>
          <w:rFonts w:hint="eastAsia" w:ascii="楷体" w:hAnsi="楷体" w:eastAsia="楷体" w:cs="楷体"/>
          <w:b/>
          <w:bCs/>
          <w:sz w:val="32"/>
          <w:szCs w:val="32"/>
          <w:shd w:val="clear" w:color="auto" w:fill="FFFFFF"/>
          <w:lang w:bidi="ar"/>
        </w:rPr>
      </w:pPr>
      <w:r>
        <w:rPr>
          <w:rStyle w:val="10"/>
          <w:rFonts w:hint="eastAsia" w:ascii="方正楷体_GBK" w:hAnsi="方正楷体_GBK" w:eastAsia="方正楷体_GBK" w:cs="方正楷体_GBK"/>
          <w:b w:val="0"/>
          <w:bCs/>
          <w:color w:val="auto"/>
          <w:sz w:val="32"/>
          <w:szCs w:val="32"/>
          <w:highlight w:val="none"/>
          <w:shd w:val="clear" w:color="auto" w:fill="FFFFFF"/>
          <w:lang w:val="en-US" w:eastAsia="zh-CN" w:bidi="ar-SA"/>
        </w:rPr>
        <w:t>（二）部门绩效评价情况</w:t>
      </w:r>
    </w:p>
    <w:p>
      <w:pPr>
        <w:pStyle w:val="14"/>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lef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FFFFFF"/>
        </w:rPr>
      </w:pPr>
      <w:r>
        <w:rPr>
          <w:rFonts w:hint="default" w:ascii="Times New Roman" w:hAnsi="Times New Roman" w:eastAsia="方正仿宋_GBK" w:cs="Times New Roman"/>
          <w:b w:val="0"/>
          <w:bCs w:val="0"/>
          <w:color w:val="auto"/>
          <w:sz w:val="32"/>
          <w:szCs w:val="32"/>
          <w:shd w:val="clear" w:color="auto" w:fill="FFFFFF"/>
        </w:rPr>
        <w:t>我部门</w:t>
      </w:r>
      <w:r>
        <w:rPr>
          <w:rFonts w:hint="default" w:ascii="Times New Roman" w:hAnsi="Times New Roman" w:eastAsia="方正仿宋_GBK" w:cs="Times New Roman"/>
          <w:b w:val="0"/>
          <w:bCs w:val="0"/>
          <w:color w:val="auto"/>
          <w:sz w:val="32"/>
          <w:szCs w:val="32"/>
          <w:shd w:val="clear" w:color="auto" w:fill="FFFFFF"/>
          <w:lang w:eastAsia="zh-CN"/>
        </w:rPr>
        <w:t>对秀山县202</w:t>
      </w:r>
      <w:r>
        <w:rPr>
          <w:rFonts w:hint="default" w:ascii="Times New Roman" w:hAnsi="Times New Roman" w:eastAsia="方正仿宋_GBK" w:cs="Times New Roman"/>
          <w:b w:val="0"/>
          <w:bCs w:val="0"/>
          <w:color w:val="auto"/>
          <w:sz w:val="32"/>
          <w:szCs w:val="32"/>
          <w:shd w:val="clear" w:color="auto" w:fill="FFFFFF"/>
          <w:lang w:val="en-US" w:eastAsia="zh-CN"/>
        </w:rPr>
        <w:t>4</w:t>
      </w:r>
      <w:r>
        <w:rPr>
          <w:rFonts w:hint="default" w:ascii="Times New Roman" w:hAnsi="Times New Roman" w:eastAsia="方正仿宋_GBK" w:cs="Times New Roman"/>
          <w:b w:val="0"/>
          <w:bCs w:val="0"/>
          <w:color w:val="auto"/>
          <w:sz w:val="32"/>
          <w:szCs w:val="32"/>
          <w:shd w:val="clear" w:color="auto" w:fill="FFFFFF"/>
          <w:lang w:eastAsia="zh-CN"/>
        </w:rPr>
        <w:t>年医疗救助基金项目（202</w:t>
      </w:r>
      <w:r>
        <w:rPr>
          <w:rFonts w:hint="default" w:ascii="Times New Roman" w:hAnsi="Times New Roman" w:eastAsia="方正仿宋_GBK" w:cs="Times New Roman"/>
          <w:b w:val="0"/>
          <w:bCs w:val="0"/>
          <w:color w:val="auto"/>
          <w:sz w:val="32"/>
          <w:szCs w:val="32"/>
          <w:shd w:val="clear" w:color="auto" w:fill="FFFFFF"/>
          <w:lang w:val="en-US" w:eastAsia="zh-CN"/>
        </w:rPr>
        <w:t>4</w:t>
      </w:r>
      <w:r>
        <w:rPr>
          <w:rFonts w:hint="default" w:ascii="Times New Roman" w:hAnsi="Times New Roman" w:eastAsia="方正仿宋_GBK" w:cs="Times New Roman"/>
          <w:b w:val="0"/>
          <w:bCs w:val="0"/>
          <w:color w:val="auto"/>
          <w:sz w:val="32"/>
          <w:szCs w:val="32"/>
          <w:shd w:val="clear" w:color="auto" w:fill="FFFFFF"/>
          <w:lang w:eastAsia="zh-CN"/>
        </w:rPr>
        <w:t>年中国农业银行第一批）项目</w:t>
      </w:r>
      <w:r>
        <w:rPr>
          <w:rFonts w:hint="default" w:ascii="Times New Roman" w:hAnsi="Times New Roman" w:eastAsia="方正仿宋_GBK" w:cs="Times New Roman"/>
          <w:b w:val="0"/>
          <w:bCs w:val="0"/>
          <w:color w:val="auto"/>
          <w:sz w:val="32"/>
          <w:szCs w:val="32"/>
          <w:shd w:val="clear" w:color="auto" w:fill="FFFFFF"/>
        </w:rPr>
        <w:t>开展了绩效评价，涉及财政拨款项目资金</w:t>
      </w:r>
      <w:r>
        <w:rPr>
          <w:rFonts w:hint="default" w:ascii="Times New Roman" w:hAnsi="Times New Roman" w:eastAsia="方正仿宋_GBK" w:cs="Times New Roman"/>
          <w:b w:val="0"/>
          <w:bCs w:val="0"/>
          <w:color w:val="auto"/>
          <w:sz w:val="32"/>
          <w:szCs w:val="32"/>
          <w:shd w:val="clear" w:color="auto" w:fill="FFFFFF"/>
          <w:lang w:val="en-US" w:eastAsia="zh-CN"/>
        </w:rPr>
        <w:t>0</w:t>
      </w:r>
      <w:r>
        <w:rPr>
          <w:rFonts w:hint="default" w:ascii="Times New Roman" w:hAnsi="Times New Roman" w:eastAsia="方正仿宋_GBK" w:cs="Times New Roman"/>
          <w:b w:val="0"/>
          <w:bCs w:val="0"/>
          <w:color w:val="auto"/>
          <w:sz w:val="32"/>
          <w:szCs w:val="32"/>
          <w:shd w:val="clear" w:color="auto" w:fill="FFFFFF"/>
        </w:rPr>
        <w:t>万元，评价得分</w:t>
      </w:r>
      <w:r>
        <w:rPr>
          <w:rFonts w:hint="eastAsia" w:ascii="Times New Roman" w:hAnsi="Times New Roman" w:eastAsia="方正仿宋_GBK" w:cs="Times New Roman"/>
          <w:b w:val="0"/>
          <w:bCs w:val="0"/>
          <w:color w:val="auto"/>
          <w:sz w:val="32"/>
          <w:szCs w:val="32"/>
          <w:shd w:val="clear" w:color="auto" w:fill="FFFFFF"/>
          <w:lang w:val="en-US" w:eastAsia="zh-CN"/>
        </w:rPr>
        <w:t>0</w:t>
      </w:r>
      <w:r>
        <w:rPr>
          <w:rFonts w:hint="default" w:ascii="Times New Roman" w:hAnsi="Times New Roman" w:eastAsia="方正仿宋_GBK" w:cs="Times New Roman"/>
          <w:b w:val="0"/>
          <w:bCs w:val="0"/>
          <w:color w:val="auto"/>
          <w:sz w:val="32"/>
          <w:szCs w:val="32"/>
          <w:shd w:val="clear" w:color="auto" w:fill="FFFFFF"/>
        </w:rPr>
        <w:t>分，</w:t>
      </w:r>
      <w:r>
        <w:rPr>
          <w:rFonts w:hint="eastAsia" w:ascii="Times New Roman" w:hAnsi="Times New Roman" w:eastAsia="方正仿宋_GBK" w:cs="Times New Roman"/>
          <w:b w:val="0"/>
          <w:bCs w:val="0"/>
          <w:color w:val="auto"/>
          <w:sz w:val="32"/>
          <w:szCs w:val="32"/>
          <w:shd w:val="clear" w:color="auto" w:fill="FFFFFF"/>
          <w:lang w:eastAsia="zh-CN"/>
        </w:rPr>
        <w:t>主要原因是该项目资金未及时下达，资金下达时间为年底关账以后</w:t>
      </w:r>
      <w:r>
        <w:rPr>
          <w:rFonts w:hint="default" w:ascii="Times New Roman" w:hAnsi="Times New Roman" w:eastAsia="方正仿宋_GBK" w:cs="Times New Roman"/>
          <w:b w:val="0"/>
          <w:bCs w:val="0"/>
          <w:color w:val="auto"/>
          <w:sz w:val="32"/>
          <w:szCs w:val="32"/>
          <w:shd w:val="clear" w:color="auto" w:fill="FFFFFF"/>
          <w:lang w:eastAsia="zh-CN"/>
        </w:rPr>
        <w:t>；</w:t>
      </w:r>
      <w:r>
        <w:rPr>
          <w:rFonts w:hint="default" w:ascii="Times New Roman" w:hAnsi="Times New Roman" w:eastAsia="方正仿宋_GBK" w:cs="Times New Roman"/>
          <w:b w:val="0"/>
          <w:bCs w:val="0"/>
          <w:color w:val="auto"/>
          <w:sz w:val="32"/>
          <w:szCs w:val="32"/>
          <w:shd w:val="clear" w:color="auto" w:fill="FFFFFF"/>
        </w:rPr>
        <w:t>对</w:t>
      </w:r>
      <w:r>
        <w:rPr>
          <w:rFonts w:hint="default" w:ascii="Times New Roman" w:hAnsi="Times New Roman" w:eastAsia="方正仿宋_GBK" w:cs="Times New Roman"/>
          <w:b w:val="0"/>
          <w:bCs w:val="0"/>
          <w:color w:val="auto"/>
          <w:sz w:val="32"/>
          <w:szCs w:val="32"/>
          <w:shd w:val="clear" w:color="auto" w:fill="FFFFFF"/>
          <w:lang w:eastAsia="zh-CN"/>
        </w:rPr>
        <w:t>医疗救助（市级）项目</w:t>
      </w:r>
      <w:r>
        <w:rPr>
          <w:rFonts w:hint="default" w:ascii="Times New Roman" w:hAnsi="Times New Roman" w:eastAsia="方正仿宋_GBK" w:cs="Times New Roman"/>
          <w:b w:val="0"/>
          <w:bCs w:val="0"/>
          <w:color w:val="auto"/>
          <w:sz w:val="32"/>
          <w:szCs w:val="32"/>
          <w:shd w:val="clear" w:color="auto" w:fill="FFFFFF"/>
        </w:rPr>
        <w:t>开展了绩效评价，涉及财政拨款项目资金</w:t>
      </w:r>
      <w:r>
        <w:rPr>
          <w:rFonts w:hint="default" w:ascii="Times New Roman" w:hAnsi="Times New Roman" w:eastAsia="方正仿宋_GBK" w:cs="Times New Roman"/>
          <w:b w:val="0"/>
          <w:bCs w:val="0"/>
          <w:color w:val="auto"/>
          <w:sz w:val="32"/>
          <w:szCs w:val="32"/>
          <w:shd w:val="clear" w:color="auto" w:fill="FFFFFF"/>
          <w:lang w:val="en-US" w:eastAsia="zh-CN"/>
        </w:rPr>
        <w:t>1737.51</w:t>
      </w:r>
      <w:r>
        <w:rPr>
          <w:rFonts w:hint="default" w:ascii="Times New Roman" w:hAnsi="Times New Roman" w:eastAsia="方正仿宋_GBK" w:cs="Times New Roman"/>
          <w:b w:val="0"/>
          <w:bCs w:val="0"/>
          <w:color w:val="auto"/>
          <w:sz w:val="32"/>
          <w:szCs w:val="32"/>
          <w:shd w:val="clear" w:color="auto" w:fill="FFFFFF"/>
        </w:rPr>
        <w:t>万元，评价得分</w:t>
      </w:r>
      <w:r>
        <w:rPr>
          <w:rFonts w:hint="default" w:ascii="Times New Roman" w:hAnsi="Times New Roman" w:eastAsia="方正仿宋_GBK" w:cs="Times New Roman"/>
          <w:b w:val="0"/>
          <w:bCs w:val="0"/>
          <w:color w:val="auto"/>
          <w:sz w:val="32"/>
          <w:szCs w:val="32"/>
          <w:shd w:val="clear" w:color="auto" w:fill="FFFFFF"/>
          <w:lang w:val="en-US" w:eastAsia="zh-CN"/>
        </w:rPr>
        <w:t>100</w:t>
      </w:r>
      <w:r>
        <w:rPr>
          <w:rFonts w:hint="default" w:ascii="Times New Roman" w:hAnsi="Times New Roman" w:eastAsia="方正仿宋_GBK" w:cs="Times New Roman"/>
          <w:b w:val="0"/>
          <w:bCs w:val="0"/>
          <w:color w:val="auto"/>
          <w:sz w:val="32"/>
          <w:szCs w:val="32"/>
          <w:shd w:val="clear" w:color="auto" w:fill="FFFFFF"/>
        </w:rPr>
        <w:t>分，评价等次为</w:t>
      </w:r>
      <w:r>
        <w:rPr>
          <w:rFonts w:hint="default" w:ascii="Times New Roman" w:hAnsi="Times New Roman" w:eastAsia="方正仿宋_GBK" w:cs="Times New Roman"/>
          <w:b w:val="0"/>
          <w:bCs w:val="0"/>
          <w:color w:val="auto"/>
          <w:sz w:val="32"/>
          <w:szCs w:val="32"/>
          <w:shd w:val="clear" w:color="auto" w:fill="FFFFFF"/>
          <w:lang w:eastAsia="zh-CN"/>
        </w:rPr>
        <w:t>优；</w:t>
      </w:r>
      <w:r>
        <w:rPr>
          <w:rFonts w:hint="default" w:ascii="Times New Roman" w:hAnsi="Times New Roman" w:eastAsia="方正仿宋_GBK" w:cs="Times New Roman"/>
          <w:b w:val="0"/>
          <w:bCs w:val="0"/>
          <w:color w:val="auto"/>
          <w:sz w:val="32"/>
          <w:szCs w:val="32"/>
          <w:shd w:val="clear" w:color="auto" w:fill="FFFFFF"/>
        </w:rPr>
        <w:t>对医疗救助（县级）</w:t>
      </w:r>
      <w:r>
        <w:rPr>
          <w:rFonts w:hint="default" w:ascii="Times New Roman" w:hAnsi="Times New Roman" w:eastAsia="方正仿宋_GBK" w:cs="Times New Roman"/>
          <w:b w:val="0"/>
          <w:bCs w:val="0"/>
          <w:color w:val="auto"/>
          <w:sz w:val="32"/>
          <w:szCs w:val="32"/>
          <w:shd w:val="clear" w:color="auto" w:fill="FFFFFF"/>
          <w:lang w:eastAsia="zh-CN"/>
        </w:rPr>
        <w:t>项目</w:t>
      </w:r>
      <w:r>
        <w:rPr>
          <w:rFonts w:hint="default" w:ascii="Times New Roman" w:hAnsi="Times New Roman" w:eastAsia="方正仿宋_GBK" w:cs="Times New Roman"/>
          <w:b w:val="0"/>
          <w:bCs w:val="0"/>
          <w:color w:val="auto"/>
          <w:sz w:val="32"/>
          <w:szCs w:val="32"/>
          <w:shd w:val="clear" w:color="auto" w:fill="FFFFFF"/>
        </w:rPr>
        <w:t>开展了绩效评价，涉及财政拨款项目资金</w:t>
      </w:r>
      <w:r>
        <w:rPr>
          <w:rFonts w:hint="default" w:ascii="Times New Roman" w:hAnsi="Times New Roman" w:eastAsia="方正仿宋_GBK" w:cs="Times New Roman"/>
          <w:b w:val="0"/>
          <w:bCs w:val="0"/>
          <w:color w:val="auto"/>
          <w:sz w:val="32"/>
          <w:szCs w:val="32"/>
          <w:shd w:val="clear" w:color="auto" w:fill="FFFFFF"/>
          <w:lang w:val="en-US" w:eastAsia="zh-CN"/>
        </w:rPr>
        <w:t>220.00</w:t>
      </w:r>
      <w:r>
        <w:rPr>
          <w:rFonts w:hint="default" w:ascii="Times New Roman" w:hAnsi="Times New Roman" w:eastAsia="方正仿宋_GBK" w:cs="Times New Roman"/>
          <w:b w:val="0"/>
          <w:bCs w:val="0"/>
          <w:color w:val="auto"/>
          <w:sz w:val="32"/>
          <w:szCs w:val="32"/>
          <w:shd w:val="clear" w:color="auto" w:fill="FFFFFF"/>
        </w:rPr>
        <w:t>万元，评价得分</w:t>
      </w:r>
      <w:r>
        <w:rPr>
          <w:rFonts w:hint="default" w:ascii="Times New Roman" w:hAnsi="Times New Roman" w:eastAsia="方正仿宋_GBK" w:cs="Times New Roman"/>
          <w:b w:val="0"/>
          <w:bCs w:val="0"/>
          <w:color w:val="auto"/>
          <w:sz w:val="32"/>
          <w:szCs w:val="32"/>
          <w:shd w:val="clear" w:color="auto" w:fill="FFFFFF"/>
          <w:lang w:val="en-US" w:eastAsia="zh-CN"/>
        </w:rPr>
        <w:t>100</w:t>
      </w:r>
      <w:r>
        <w:rPr>
          <w:rFonts w:hint="default" w:ascii="Times New Roman" w:hAnsi="Times New Roman" w:eastAsia="方正仿宋_GBK" w:cs="Times New Roman"/>
          <w:b w:val="0"/>
          <w:bCs w:val="0"/>
          <w:color w:val="auto"/>
          <w:sz w:val="32"/>
          <w:szCs w:val="32"/>
          <w:shd w:val="clear" w:color="auto" w:fill="FFFFFF"/>
        </w:rPr>
        <w:t>分，评价等次为</w:t>
      </w:r>
      <w:r>
        <w:rPr>
          <w:rFonts w:hint="default" w:ascii="Times New Roman" w:hAnsi="Times New Roman" w:eastAsia="方正仿宋_GBK" w:cs="Times New Roman"/>
          <w:b w:val="0"/>
          <w:bCs w:val="0"/>
          <w:color w:val="auto"/>
          <w:sz w:val="32"/>
          <w:szCs w:val="32"/>
          <w:shd w:val="clear" w:color="auto" w:fill="FFFFFF"/>
          <w:lang w:eastAsia="zh-CN"/>
        </w:rPr>
        <w:t>优；</w:t>
      </w:r>
      <w:r>
        <w:rPr>
          <w:rFonts w:hint="default" w:ascii="Times New Roman" w:hAnsi="Times New Roman" w:eastAsia="方正仿宋_GBK" w:cs="Times New Roman"/>
          <w:b w:val="0"/>
          <w:bCs w:val="0"/>
          <w:color w:val="auto"/>
          <w:sz w:val="32"/>
          <w:szCs w:val="32"/>
          <w:shd w:val="clear" w:color="auto" w:fill="FFFFFF"/>
        </w:rPr>
        <w:t>对医疗救助中央补助资金（城乡医疗救助）</w:t>
      </w:r>
      <w:r>
        <w:rPr>
          <w:rFonts w:hint="default" w:ascii="Times New Roman" w:hAnsi="Times New Roman" w:eastAsia="方正仿宋_GBK" w:cs="Times New Roman"/>
          <w:b w:val="0"/>
          <w:bCs w:val="0"/>
          <w:color w:val="auto"/>
          <w:sz w:val="32"/>
          <w:szCs w:val="32"/>
          <w:shd w:val="clear" w:color="auto" w:fill="FFFFFF"/>
          <w:lang w:eastAsia="zh-CN"/>
        </w:rPr>
        <w:t>项目</w:t>
      </w:r>
      <w:r>
        <w:rPr>
          <w:rFonts w:hint="default" w:ascii="Times New Roman" w:hAnsi="Times New Roman" w:eastAsia="方正仿宋_GBK" w:cs="Times New Roman"/>
          <w:b w:val="0"/>
          <w:bCs w:val="0"/>
          <w:color w:val="auto"/>
          <w:sz w:val="32"/>
          <w:szCs w:val="32"/>
          <w:shd w:val="clear" w:color="auto" w:fill="FFFFFF"/>
        </w:rPr>
        <w:t>开展了绩效评价，涉及财政拨款项目资金</w:t>
      </w:r>
      <w:r>
        <w:rPr>
          <w:rFonts w:hint="default" w:ascii="Times New Roman" w:hAnsi="Times New Roman" w:eastAsia="方正仿宋_GBK" w:cs="Times New Roman"/>
          <w:b w:val="0"/>
          <w:bCs w:val="0"/>
          <w:color w:val="auto"/>
          <w:sz w:val="32"/>
          <w:szCs w:val="32"/>
          <w:shd w:val="clear" w:color="auto" w:fill="FFFFFF"/>
          <w:lang w:val="en-US" w:eastAsia="zh-CN"/>
        </w:rPr>
        <w:t>1110.00</w:t>
      </w:r>
      <w:r>
        <w:rPr>
          <w:rFonts w:hint="default" w:ascii="Times New Roman" w:hAnsi="Times New Roman" w:eastAsia="方正仿宋_GBK" w:cs="Times New Roman"/>
          <w:b w:val="0"/>
          <w:bCs w:val="0"/>
          <w:color w:val="auto"/>
          <w:sz w:val="32"/>
          <w:szCs w:val="32"/>
          <w:shd w:val="clear" w:color="auto" w:fill="FFFFFF"/>
        </w:rPr>
        <w:t>万元，评价得分</w:t>
      </w:r>
      <w:r>
        <w:rPr>
          <w:rFonts w:hint="default" w:ascii="Times New Roman" w:hAnsi="Times New Roman" w:eastAsia="方正仿宋_GBK" w:cs="Times New Roman"/>
          <w:b w:val="0"/>
          <w:bCs w:val="0"/>
          <w:color w:val="auto"/>
          <w:sz w:val="32"/>
          <w:szCs w:val="32"/>
          <w:shd w:val="clear" w:color="auto" w:fill="FFFFFF"/>
          <w:lang w:val="en-US" w:eastAsia="zh-CN"/>
        </w:rPr>
        <w:t>100</w:t>
      </w:r>
      <w:r>
        <w:rPr>
          <w:rFonts w:hint="default" w:ascii="Times New Roman" w:hAnsi="Times New Roman" w:eastAsia="方正仿宋_GBK" w:cs="Times New Roman"/>
          <w:b w:val="0"/>
          <w:bCs w:val="0"/>
          <w:color w:val="auto"/>
          <w:sz w:val="32"/>
          <w:szCs w:val="32"/>
          <w:shd w:val="clear" w:color="auto" w:fill="FFFFFF"/>
        </w:rPr>
        <w:t>分，评价等次为</w:t>
      </w:r>
      <w:r>
        <w:rPr>
          <w:rFonts w:hint="default" w:ascii="Times New Roman" w:hAnsi="Times New Roman" w:eastAsia="方正仿宋_GBK" w:cs="Times New Roman"/>
          <w:b w:val="0"/>
          <w:bCs w:val="0"/>
          <w:color w:val="auto"/>
          <w:sz w:val="32"/>
          <w:szCs w:val="32"/>
          <w:shd w:val="clear" w:color="auto" w:fill="FFFFFF"/>
          <w:lang w:eastAsia="zh-CN"/>
        </w:rPr>
        <w:t>优；</w:t>
      </w:r>
      <w:r>
        <w:rPr>
          <w:rFonts w:hint="default" w:ascii="Times New Roman" w:hAnsi="Times New Roman" w:eastAsia="方正仿宋_GBK" w:cs="Times New Roman"/>
          <w:b w:val="0"/>
          <w:bCs w:val="0"/>
          <w:color w:val="auto"/>
          <w:sz w:val="32"/>
          <w:szCs w:val="32"/>
          <w:shd w:val="clear" w:color="auto" w:fill="FFFFFF"/>
        </w:rPr>
        <w:t>对医疗服务与保障能力提升补助资金（医疗保障服务能力提升部分）</w:t>
      </w:r>
      <w:r>
        <w:rPr>
          <w:rFonts w:hint="default" w:ascii="Times New Roman" w:hAnsi="Times New Roman" w:eastAsia="方正仿宋_GBK" w:cs="Times New Roman"/>
          <w:b w:val="0"/>
          <w:bCs w:val="0"/>
          <w:color w:val="auto"/>
          <w:sz w:val="32"/>
          <w:szCs w:val="32"/>
          <w:shd w:val="clear" w:color="auto" w:fill="FFFFFF"/>
          <w:lang w:eastAsia="zh-CN"/>
        </w:rPr>
        <w:t>项目</w:t>
      </w:r>
      <w:r>
        <w:rPr>
          <w:rFonts w:hint="default" w:ascii="Times New Roman" w:hAnsi="Times New Roman" w:eastAsia="方正仿宋_GBK" w:cs="Times New Roman"/>
          <w:b w:val="0"/>
          <w:bCs w:val="0"/>
          <w:color w:val="auto"/>
          <w:sz w:val="32"/>
          <w:szCs w:val="32"/>
          <w:shd w:val="clear" w:color="auto" w:fill="FFFFFF"/>
        </w:rPr>
        <w:t>开展了绩效评价，涉及财政拨款项目资金</w:t>
      </w:r>
      <w:r>
        <w:rPr>
          <w:rFonts w:hint="default" w:ascii="Times New Roman" w:hAnsi="Times New Roman" w:eastAsia="方正仿宋_GBK" w:cs="Times New Roman"/>
          <w:b w:val="0"/>
          <w:bCs w:val="0"/>
          <w:color w:val="auto"/>
          <w:sz w:val="32"/>
          <w:szCs w:val="32"/>
          <w:shd w:val="clear" w:color="auto" w:fill="FFFFFF"/>
          <w:lang w:val="en-US" w:eastAsia="zh-CN"/>
        </w:rPr>
        <w:t>122.08</w:t>
      </w:r>
      <w:r>
        <w:rPr>
          <w:rFonts w:hint="default" w:ascii="Times New Roman" w:hAnsi="Times New Roman" w:eastAsia="方正仿宋_GBK" w:cs="Times New Roman"/>
          <w:b w:val="0"/>
          <w:bCs w:val="0"/>
          <w:color w:val="auto"/>
          <w:sz w:val="32"/>
          <w:szCs w:val="32"/>
          <w:shd w:val="clear" w:color="auto" w:fill="FFFFFF"/>
        </w:rPr>
        <w:t>万元，评价得分</w:t>
      </w:r>
      <w:r>
        <w:rPr>
          <w:rFonts w:hint="default" w:ascii="Times New Roman" w:hAnsi="Times New Roman" w:eastAsia="方正仿宋_GBK" w:cs="Times New Roman"/>
          <w:b w:val="0"/>
          <w:bCs w:val="0"/>
          <w:color w:val="auto"/>
          <w:sz w:val="32"/>
          <w:szCs w:val="32"/>
          <w:shd w:val="clear" w:color="auto" w:fill="FFFFFF"/>
          <w:lang w:val="en-US" w:eastAsia="zh-CN"/>
        </w:rPr>
        <w:t>100</w:t>
      </w:r>
      <w:r>
        <w:rPr>
          <w:rFonts w:hint="default" w:ascii="Times New Roman" w:hAnsi="Times New Roman" w:eastAsia="方正仿宋_GBK" w:cs="Times New Roman"/>
          <w:b w:val="0"/>
          <w:bCs w:val="0"/>
          <w:color w:val="auto"/>
          <w:sz w:val="32"/>
          <w:szCs w:val="32"/>
          <w:shd w:val="clear" w:color="auto" w:fill="FFFFFF"/>
        </w:rPr>
        <w:t>分，评价等次为</w:t>
      </w:r>
      <w:r>
        <w:rPr>
          <w:rFonts w:hint="default" w:ascii="Times New Roman" w:hAnsi="Times New Roman" w:eastAsia="方正仿宋_GBK" w:cs="Times New Roman"/>
          <w:b w:val="0"/>
          <w:bCs w:val="0"/>
          <w:color w:val="auto"/>
          <w:sz w:val="32"/>
          <w:szCs w:val="32"/>
          <w:shd w:val="clear" w:color="auto" w:fill="FFFFFF"/>
          <w:lang w:eastAsia="zh-CN"/>
        </w:rPr>
        <w:t>优；</w:t>
      </w:r>
      <w:r>
        <w:rPr>
          <w:rFonts w:hint="default" w:ascii="Times New Roman" w:hAnsi="Times New Roman" w:eastAsia="方正仿宋_GBK" w:cs="Times New Roman"/>
          <w:b w:val="0"/>
          <w:bCs w:val="0"/>
          <w:color w:val="auto"/>
          <w:sz w:val="32"/>
          <w:szCs w:val="32"/>
          <w:shd w:val="clear" w:color="auto" w:fill="FFFFFF"/>
        </w:rPr>
        <w:t>对</w:t>
      </w:r>
      <w:r>
        <w:rPr>
          <w:rFonts w:hint="default" w:ascii="Times New Roman" w:hAnsi="Times New Roman" w:eastAsia="方正仿宋_GBK" w:cs="Times New Roman"/>
          <w:b w:val="0"/>
          <w:bCs w:val="0"/>
          <w:color w:val="auto"/>
          <w:sz w:val="32"/>
          <w:szCs w:val="32"/>
          <w:shd w:val="clear" w:color="auto" w:fill="FFFFFF"/>
          <w:lang w:eastAsia="zh-CN"/>
        </w:rPr>
        <w:t>城乡居民基本医疗保险工作经费项目</w:t>
      </w:r>
      <w:r>
        <w:rPr>
          <w:rFonts w:hint="default" w:ascii="Times New Roman" w:hAnsi="Times New Roman" w:eastAsia="方正仿宋_GBK" w:cs="Times New Roman"/>
          <w:b w:val="0"/>
          <w:bCs w:val="0"/>
          <w:color w:val="auto"/>
          <w:sz w:val="32"/>
          <w:szCs w:val="32"/>
          <w:shd w:val="clear" w:color="auto" w:fill="FFFFFF"/>
        </w:rPr>
        <w:t>开展了绩效评价，涉及财政拨款项目资金</w:t>
      </w:r>
      <w:r>
        <w:rPr>
          <w:rFonts w:hint="default" w:ascii="Times New Roman" w:hAnsi="Times New Roman" w:eastAsia="方正仿宋_GBK" w:cs="Times New Roman"/>
          <w:b w:val="0"/>
          <w:bCs w:val="0"/>
          <w:color w:val="auto"/>
          <w:sz w:val="32"/>
          <w:szCs w:val="32"/>
          <w:shd w:val="clear" w:color="auto" w:fill="FFFFFF"/>
          <w:lang w:val="en-US" w:eastAsia="zh-CN"/>
        </w:rPr>
        <w:t>27.00</w:t>
      </w:r>
      <w:r>
        <w:rPr>
          <w:rFonts w:hint="default" w:ascii="Times New Roman" w:hAnsi="Times New Roman" w:eastAsia="方正仿宋_GBK" w:cs="Times New Roman"/>
          <w:b w:val="0"/>
          <w:bCs w:val="0"/>
          <w:color w:val="auto"/>
          <w:sz w:val="32"/>
          <w:szCs w:val="32"/>
          <w:shd w:val="clear" w:color="auto" w:fill="FFFFFF"/>
        </w:rPr>
        <w:t>万元，评价得分</w:t>
      </w:r>
      <w:r>
        <w:rPr>
          <w:rFonts w:hint="default" w:ascii="Times New Roman" w:hAnsi="Times New Roman" w:eastAsia="方正仿宋_GBK" w:cs="Times New Roman"/>
          <w:b w:val="0"/>
          <w:bCs w:val="0"/>
          <w:color w:val="auto"/>
          <w:sz w:val="32"/>
          <w:szCs w:val="32"/>
          <w:shd w:val="clear" w:color="auto" w:fill="FFFFFF"/>
          <w:lang w:val="en-US" w:eastAsia="zh-CN"/>
        </w:rPr>
        <w:t>100</w:t>
      </w:r>
      <w:r>
        <w:rPr>
          <w:rFonts w:hint="default" w:ascii="Times New Roman" w:hAnsi="Times New Roman" w:eastAsia="方正仿宋_GBK" w:cs="Times New Roman"/>
          <w:b w:val="0"/>
          <w:bCs w:val="0"/>
          <w:color w:val="auto"/>
          <w:sz w:val="32"/>
          <w:szCs w:val="32"/>
          <w:shd w:val="clear" w:color="auto" w:fill="FFFFFF"/>
        </w:rPr>
        <w:t>分，评价等次为</w:t>
      </w:r>
      <w:r>
        <w:rPr>
          <w:rFonts w:hint="default" w:ascii="Times New Roman" w:hAnsi="Times New Roman" w:eastAsia="方正仿宋_GBK" w:cs="Times New Roman"/>
          <w:b w:val="0"/>
          <w:bCs w:val="0"/>
          <w:color w:val="auto"/>
          <w:sz w:val="32"/>
          <w:szCs w:val="32"/>
          <w:shd w:val="clear" w:color="auto" w:fill="FFFFFF"/>
          <w:lang w:eastAsia="zh-CN"/>
        </w:rPr>
        <w:t>优；</w:t>
      </w:r>
      <w:r>
        <w:rPr>
          <w:rFonts w:hint="default" w:ascii="Times New Roman" w:hAnsi="Times New Roman" w:eastAsia="方正仿宋_GBK" w:cs="Times New Roman"/>
          <w:b w:val="0"/>
          <w:bCs w:val="0"/>
          <w:color w:val="auto"/>
          <w:sz w:val="32"/>
          <w:szCs w:val="32"/>
          <w:shd w:val="clear" w:color="auto" w:fill="FFFFFF"/>
        </w:rPr>
        <w:t>对国企单双解等人员参加职工医保财政补助项目开展了绩效评价，涉及财政拨款项目资金</w:t>
      </w:r>
      <w:r>
        <w:rPr>
          <w:rFonts w:hint="default" w:ascii="Times New Roman" w:hAnsi="Times New Roman" w:eastAsia="方正仿宋_GBK" w:cs="Times New Roman"/>
          <w:b w:val="0"/>
          <w:bCs w:val="0"/>
          <w:color w:val="auto"/>
          <w:sz w:val="32"/>
          <w:szCs w:val="32"/>
          <w:shd w:val="clear" w:color="auto" w:fill="FFFFFF"/>
          <w:lang w:val="en-US" w:eastAsia="zh-CN"/>
        </w:rPr>
        <w:t>20.00</w:t>
      </w:r>
      <w:r>
        <w:rPr>
          <w:rFonts w:hint="default" w:ascii="Times New Roman" w:hAnsi="Times New Roman" w:eastAsia="方正仿宋_GBK" w:cs="Times New Roman"/>
          <w:b w:val="0"/>
          <w:bCs w:val="0"/>
          <w:color w:val="auto"/>
          <w:sz w:val="32"/>
          <w:szCs w:val="32"/>
          <w:shd w:val="clear" w:color="auto" w:fill="FFFFFF"/>
        </w:rPr>
        <w:t>万元，评价得分</w:t>
      </w:r>
      <w:r>
        <w:rPr>
          <w:rFonts w:hint="default" w:ascii="Times New Roman" w:hAnsi="Times New Roman" w:eastAsia="方正仿宋_GBK" w:cs="Times New Roman"/>
          <w:b w:val="0"/>
          <w:bCs w:val="0"/>
          <w:color w:val="auto"/>
          <w:sz w:val="32"/>
          <w:szCs w:val="32"/>
          <w:shd w:val="clear" w:color="auto" w:fill="FFFFFF"/>
          <w:lang w:val="en-US" w:eastAsia="zh-CN"/>
        </w:rPr>
        <w:t>100</w:t>
      </w:r>
      <w:r>
        <w:rPr>
          <w:rFonts w:hint="default" w:ascii="Times New Roman" w:hAnsi="Times New Roman" w:eastAsia="方正仿宋_GBK" w:cs="Times New Roman"/>
          <w:b w:val="0"/>
          <w:bCs w:val="0"/>
          <w:color w:val="auto"/>
          <w:sz w:val="32"/>
          <w:szCs w:val="32"/>
          <w:shd w:val="clear" w:color="auto" w:fill="FFFFFF"/>
        </w:rPr>
        <w:t>分，评价等次为</w:t>
      </w:r>
      <w:r>
        <w:rPr>
          <w:rFonts w:hint="default" w:ascii="Times New Roman" w:hAnsi="Times New Roman" w:eastAsia="方正仿宋_GBK" w:cs="Times New Roman"/>
          <w:b w:val="0"/>
          <w:bCs w:val="0"/>
          <w:color w:val="auto"/>
          <w:sz w:val="32"/>
          <w:szCs w:val="32"/>
          <w:shd w:val="clear" w:color="auto" w:fill="FFFFFF"/>
          <w:lang w:eastAsia="zh-CN"/>
        </w:rPr>
        <w:t>优。</w:t>
      </w:r>
      <w:r>
        <w:rPr>
          <w:rFonts w:hint="default" w:ascii="Times New Roman" w:hAnsi="Times New Roman" w:eastAsia="方正仿宋_GBK" w:cs="Times New Roman"/>
          <w:b w:val="0"/>
          <w:bCs w:val="0"/>
          <w:color w:val="auto"/>
          <w:sz w:val="32"/>
          <w:szCs w:val="32"/>
          <w:shd w:val="clear" w:color="auto" w:fill="FFFFFF"/>
        </w:rPr>
        <w:t>对国企单双解等人员参加职工医保市级补助</w:t>
      </w:r>
      <w:r>
        <w:rPr>
          <w:rFonts w:hint="default" w:ascii="Times New Roman" w:hAnsi="Times New Roman" w:eastAsia="方正仿宋_GBK" w:cs="Times New Roman"/>
          <w:b w:val="0"/>
          <w:bCs w:val="0"/>
          <w:color w:val="auto"/>
          <w:sz w:val="32"/>
          <w:szCs w:val="32"/>
          <w:shd w:val="clear" w:color="auto" w:fill="FFFFFF"/>
          <w:lang w:eastAsia="zh-CN"/>
        </w:rPr>
        <w:t>项目</w:t>
      </w:r>
      <w:r>
        <w:rPr>
          <w:rFonts w:hint="default" w:ascii="Times New Roman" w:hAnsi="Times New Roman" w:eastAsia="方正仿宋_GBK" w:cs="Times New Roman"/>
          <w:b w:val="0"/>
          <w:bCs w:val="0"/>
          <w:color w:val="auto"/>
          <w:sz w:val="32"/>
          <w:szCs w:val="32"/>
          <w:shd w:val="clear" w:color="auto" w:fill="FFFFFF"/>
        </w:rPr>
        <w:t>开展了绩效评价，涉及财政拨款项目资金</w:t>
      </w:r>
      <w:r>
        <w:rPr>
          <w:rFonts w:hint="default" w:ascii="Times New Roman" w:hAnsi="Times New Roman" w:eastAsia="方正仿宋_GBK" w:cs="Times New Roman"/>
          <w:b w:val="0"/>
          <w:bCs w:val="0"/>
          <w:color w:val="auto"/>
          <w:sz w:val="32"/>
          <w:szCs w:val="32"/>
          <w:shd w:val="clear" w:color="auto" w:fill="FFFFFF"/>
          <w:lang w:val="en-US" w:eastAsia="zh-CN"/>
        </w:rPr>
        <w:t>20.00</w:t>
      </w:r>
      <w:r>
        <w:rPr>
          <w:rFonts w:hint="default" w:ascii="Times New Roman" w:hAnsi="Times New Roman" w:eastAsia="方正仿宋_GBK" w:cs="Times New Roman"/>
          <w:b w:val="0"/>
          <w:bCs w:val="0"/>
          <w:color w:val="auto"/>
          <w:sz w:val="32"/>
          <w:szCs w:val="32"/>
          <w:shd w:val="clear" w:color="auto" w:fill="FFFFFF"/>
        </w:rPr>
        <w:t>万元，评价得分</w:t>
      </w:r>
      <w:r>
        <w:rPr>
          <w:rFonts w:hint="default" w:ascii="Times New Roman" w:hAnsi="Times New Roman" w:eastAsia="方正仿宋_GBK" w:cs="Times New Roman"/>
          <w:b w:val="0"/>
          <w:bCs w:val="0"/>
          <w:color w:val="auto"/>
          <w:sz w:val="32"/>
          <w:szCs w:val="32"/>
          <w:shd w:val="clear" w:color="auto" w:fill="FFFFFF"/>
          <w:lang w:val="en-US" w:eastAsia="zh-CN"/>
        </w:rPr>
        <w:t>100</w:t>
      </w:r>
      <w:r>
        <w:rPr>
          <w:rFonts w:hint="default" w:ascii="Times New Roman" w:hAnsi="Times New Roman" w:eastAsia="方正仿宋_GBK" w:cs="Times New Roman"/>
          <w:b w:val="0"/>
          <w:bCs w:val="0"/>
          <w:color w:val="auto"/>
          <w:sz w:val="32"/>
          <w:szCs w:val="32"/>
          <w:shd w:val="clear" w:color="auto" w:fill="FFFFFF"/>
        </w:rPr>
        <w:t>分，评价等次为</w:t>
      </w:r>
      <w:r>
        <w:rPr>
          <w:rFonts w:hint="default" w:ascii="Times New Roman" w:hAnsi="Times New Roman" w:eastAsia="方正仿宋_GBK" w:cs="Times New Roman"/>
          <w:b w:val="0"/>
          <w:bCs w:val="0"/>
          <w:color w:val="auto"/>
          <w:sz w:val="32"/>
          <w:szCs w:val="32"/>
          <w:shd w:val="clear" w:color="auto" w:fill="FFFFFF"/>
          <w:lang w:eastAsia="zh-CN"/>
        </w:rPr>
        <w:t>优；对大病救助（</w:t>
      </w:r>
      <w:r>
        <w:rPr>
          <w:rFonts w:hint="default" w:ascii="Times New Roman" w:hAnsi="Times New Roman" w:eastAsia="方正仿宋_GBK" w:cs="Times New Roman"/>
          <w:b w:val="0"/>
          <w:bCs w:val="0"/>
          <w:color w:val="auto"/>
          <w:sz w:val="32"/>
          <w:szCs w:val="32"/>
          <w:shd w:val="clear" w:color="auto" w:fill="FFFFFF"/>
          <w:lang w:val="en-US" w:eastAsia="zh-CN"/>
        </w:rPr>
        <w:t>2024年德州帮扶</w:t>
      </w:r>
      <w:r>
        <w:rPr>
          <w:rFonts w:hint="default" w:ascii="Times New Roman" w:hAnsi="Times New Roman" w:eastAsia="方正仿宋_GBK" w:cs="Times New Roman"/>
          <w:b w:val="0"/>
          <w:bCs w:val="0"/>
          <w:color w:val="auto"/>
          <w:sz w:val="32"/>
          <w:szCs w:val="32"/>
          <w:shd w:val="clear" w:color="auto" w:fill="FFFFFF"/>
          <w:lang w:eastAsia="zh-CN"/>
        </w:rPr>
        <w:t>）项目</w:t>
      </w:r>
      <w:r>
        <w:rPr>
          <w:rFonts w:hint="default" w:ascii="Times New Roman" w:hAnsi="Times New Roman" w:eastAsia="方正仿宋_GBK" w:cs="Times New Roman"/>
          <w:b w:val="0"/>
          <w:bCs w:val="0"/>
          <w:color w:val="auto"/>
          <w:sz w:val="32"/>
          <w:szCs w:val="32"/>
          <w:shd w:val="clear" w:color="auto" w:fill="FFFFFF"/>
        </w:rPr>
        <w:t>开展了绩效评价，涉及财政拨款项目资金</w:t>
      </w:r>
      <w:r>
        <w:rPr>
          <w:rFonts w:hint="default" w:ascii="Times New Roman" w:hAnsi="Times New Roman" w:eastAsia="方正仿宋_GBK" w:cs="Times New Roman"/>
          <w:b w:val="0"/>
          <w:bCs w:val="0"/>
          <w:color w:val="auto"/>
          <w:sz w:val="32"/>
          <w:szCs w:val="32"/>
          <w:shd w:val="clear" w:color="auto" w:fill="FFFFFF"/>
          <w:lang w:val="en-US" w:eastAsia="zh-CN"/>
        </w:rPr>
        <w:t>324</w:t>
      </w:r>
      <w:r>
        <w:rPr>
          <w:rFonts w:hint="default" w:ascii="Times New Roman" w:hAnsi="Times New Roman" w:eastAsia="方正仿宋_GBK" w:cs="Times New Roman"/>
          <w:b w:val="0"/>
          <w:bCs w:val="0"/>
          <w:color w:val="auto"/>
          <w:sz w:val="32"/>
          <w:szCs w:val="32"/>
          <w:shd w:val="clear" w:color="auto" w:fill="FFFFFF"/>
        </w:rPr>
        <w:t>万元，评价得分</w:t>
      </w:r>
      <w:r>
        <w:rPr>
          <w:rFonts w:hint="default" w:ascii="Times New Roman" w:hAnsi="Times New Roman" w:eastAsia="方正仿宋_GBK" w:cs="Times New Roman"/>
          <w:b w:val="0"/>
          <w:bCs w:val="0"/>
          <w:color w:val="auto"/>
          <w:sz w:val="32"/>
          <w:szCs w:val="32"/>
          <w:shd w:val="clear" w:color="auto" w:fill="FFFFFF"/>
          <w:lang w:val="en-US" w:eastAsia="zh-CN"/>
        </w:rPr>
        <w:t>100</w:t>
      </w:r>
      <w:r>
        <w:rPr>
          <w:rFonts w:hint="default" w:ascii="Times New Roman" w:hAnsi="Times New Roman" w:eastAsia="方正仿宋_GBK" w:cs="Times New Roman"/>
          <w:b w:val="0"/>
          <w:bCs w:val="0"/>
          <w:color w:val="auto"/>
          <w:sz w:val="32"/>
          <w:szCs w:val="32"/>
          <w:shd w:val="clear" w:color="auto" w:fill="FFFFFF"/>
        </w:rPr>
        <w:t>分，评价等次为</w:t>
      </w:r>
      <w:r>
        <w:rPr>
          <w:rFonts w:hint="default" w:ascii="Times New Roman" w:hAnsi="Times New Roman" w:eastAsia="方正仿宋_GBK" w:cs="Times New Roman"/>
          <w:b w:val="0"/>
          <w:bCs w:val="0"/>
          <w:color w:val="auto"/>
          <w:sz w:val="32"/>
          <w:szCs w:val="32"/>
          <w:shd w:val="clear" w:color="auto" w:fill="FFFFFF"/>
          <w:lang w:eastAsia="zh-CN"/>
        </w:rPr>
        <w:t>优；</w:t>
      </w:r>
      <w:r>
        <w:rPr>
          <w:rFonts w:hint="default" w:ascii="Times New Roman" w:hAnsi="Times New Roman" w:eastAsia="方正仿宋_GBK" w:cs="Times New Roman"/>
          <w:b w:val="0"/>
          <w:bCs w:val="0"/>
          <w:color w:val="auto"/>
          <w:sz w:val="32"/>
          <w:szCs w:val="32"/>
          <w:shd w:val="clear" w:color="auto" w:fill="FFFFFF"/>
        </w:rPr>
        <w:t>对</w:t>
      </w:r>
      <w:r>
        <w:rPr>
          <w:rFonts w:hint="default" w:ascii="Times New Roman" w:hAnsi="Times New Roman" w:eastAsia="方正仿宋_GBK" w:cs="Times New Roman"/>
          <w:b w:val="0"/>
          <w:bCs w:val="0"/>
          <w:color w:val="auto"/>
          <w:sz w:val="32"/>
          <w:szCs w:val="32"/>
          <w:shd w:val="clear" w:color="auto" w:fill="FFFFFF"/>
          <w:lang w:eastAsia="zh-CN"/>
        </w:rPr>
        <w:t>扶贫济困医疗基金项目</w:t>
      </w:r>
      <w:r>
        <w:rPr>
          <w:rFonts w:hint="default" w:ascii="Times New Roman" w:hAnsi="Times New Roman" w:eastAsia="方正仿宋_GBK" w:cs="Times New Roman"/>
          <w:b w:val="0"/>
          <w:bCs w:val="0"/>
          <w:color w:val="auto"/>
          <w:sz w:val="32"/>
          <w:szCs w:val="32"/>
          <w:shd w:val="clear" w:color="auto" w:fill="FFFFFF"/>
        </w:rPr>
        <w:t>开展了绩效评价，涉及财政拨款项目资金</w:t>
      </w:r>
      <w:r>
        <w:rPr>
          <w:rFonts w:hint="default" w:ascii="Times New Roman" w:hAnsi="Times New Roman" w:eastAsia="方正仿宋_GBK" w:cs="Times New Roman"/>
          <w:b w:val="0"/>
          <w:bCs w:val="0"/>
          <w:color w:val="auto"/>
          <w:sz w:val="32"/>
          <w:szCs w:val="32"/>
          <w:shd w:val="clear" w:color="auto" w:fill="FFFFFF"/>
          <w:lang w:val="en-US" w:eastAsia="zh-CN"/>
        </w:rPr>
        <w:t>2.30</w:t>
      </w:r>
      <w:r>
        <w:rPr>
          <w:rFonts w:hint="default" w:ascii="Times New Roman" w:hAnsi="Times New Roman" w:eastAsia="方正仿宋_GBK" w:cs="Times New Roman"/>
          <w:b w:val="0"/>
          <w:bCs w:val="0"/>
          <w:color w:val="auto"/>
          <w:sz w:val="32"/>
          <w:szCs w:val="32"/>
          <w:shd w:val="clear" w:color="auto" w:fill="FFFFFF"/>
        </w:rPr>
        <w:t>万元，评价得分</w:t>
      </w:r>
      <w:r>
        <w:rPr>
          <w:rFonts w:hint="default" w:ascii="Times New Roman" w:hAnsi="Times New Roman" w:eastAsia="方正仿宋_GBK" w:cs="Times New Roman"/>
          <w:b w:val="0"/>
          <w:bCs w:val="0"/>
          <w:color w:val="auto"/>
          <w:sz w:val="32"/>
          <w:szCs w:val="32"/>
          <w:shd w:val="clear" w:color="auto" w:fill="FFFFFF"/>
          <w:lang w:val="en-US" w:eastAsia="zh-CN"/>
        </w:rPr>
        <w:t>100</w:t>
      </w:r>
      <w:r>
        <w:rPr>
          <w:rFonts w:hint="default" w:ascii="Times New Roman" w:hAnsi="Times New Roman" w:eastAsia="方正仿宋_GBK" w:cs="Times New Roman"/>
          <w:b w:val="0"/>
          <w:bCs w:val="0"/>
          <w:color w:val="auto"/>
          <w:sz w:val="32"/>
          <w:szCs w:val="32"/>
          <w:shd w:val="clear" w:color="auto" w:fill="FFFFFF"/>
        </w:rPr>
        <w:t>分，评价等次为</w:t>
      </w:r>
      <w:r>
        <w:rPr>
          <w:rFonts w:hint="default" w:ascii="Times New Roman" w:hAnsi="Times New Roman" w:eastAsia="方正仿宋_GBK" w:cs="Times New Roman"/>
          <w:b w:val="0"/>
          <w:bCs w:val="0"/>
          <w:color w:val="auto"/>
          <w:sz w:val="32"/>
          <w:szCs w:val="32"/>
          <w:shd w:val="clear" w:color="auto" w:fill="FFFFFF"/>
          <w:lang w:eastAsia="zh-CN"/>
        </w:rPr>
        <w:t>优；对</w:t>
      </w:r>
      <w:r>
        <w:rPr>
          <w:rFonts w:hint="default" w:ascii="Times New Roman" w:hAnsi="Times New Roman" w:eastAsia="方正仿宋_GBK" w:cs="Times New Roman"/>
          <w:b w:val="0"/>
          <w:bCs w:val="0"/>
          <w:color w:val="auto"/>
          <w:sz w:val="32"/>
          <w:szCs w:val="32"/>
          <w:shd w:val="clear" w:color="auto" w:fill="FFFFFF"/>
        </w:rPr>
        <w:t>2024年脱贫人口城乡居民医疗保险参保补贴项目开展了绩效评价，涉及财政拨款项目资金</w:t>
      </w:r>
      <w:r>
        <w:rPr>
          <w:rFonts w:hint="default" w:ascii="Times New Roman" w:hAnsi="Times New Roman" w:eastAsia="方正仿宋_GBK" w:cs="Times New Roman"/>
          <w:b w:val="0"/>
          <w:bCs w:val="0"/>
          <w:color w:val="auto"/>
          <w:sz w:val="32"/>
          <w:szCs w:val="32"/>
          <w:shd w:val="clear" w:color="auto" w:fill="FFFFFF"/>
          <w:lang w:val="en-US" w:eastAsia="zh-CN"/>
        </w:rPr>
        <w:t>139.26</w:t>
      </w:r>
      <w:r>
        <w:rPr>
          <w:rFonts w:hint="default" w:ascii="Times New Roman" w:hAnsi="Times New Roman" w:eastAsia="方正仿宋_GBK" w:cs="Times New Roman"/>
          <w:b w:val="0"/>
          <w:bCs w:val="0"/>
          <w:color w:val="auto"/>
          <w:sz w:val="32"/>
          <w:szCs w:val="32"/>
          <w:shd w:val="clear" w:color="auto" w:fill="FFFFFF"/>
        </w:rPr>
        <w:t>万元，评价得分</w:t>
      </w:r>
      <w:r>
        <w:rPr>
          <w:rFonts w:hint="default" w:ascii="Times New Roman" w:hAnsi="Times New Roman" w:eastAsia="方正仿宋_GBK" w:cs="Times New Roman"/>
          <w:b w:val="0"/>
          <w:bCs w:val="0"/>
          <w:color w:val="auto"/>
          <w:sz w:val="32"/>
          <w:szCs w:val="32"/>
          <w:shd w:val="clear" w:color="auto" w:fill="FFFFFF"/>
          <w:lang w:val="en-US" w:eastAsia="zh-CN"/>
        </w:rPr>
        <w:t>100</w:t>
      </w:r>
      <w:r>
        <w:rPr>
          <w:rFonts w:hint="default" w:ascii="Times New Roman" w:hAnsi="Times New Roman" w:eastAsia="方正仿宋_GBK" w:cs="Times New Roman"/>
          <w:b w:val="0"/>
          <w:bCs w:val="0"/>
          <w:color w:val="auto"/>
          <w:sz w:val="32"/>
          <w:szCs w:val="32"/>
          <w:shd w:val="clear" w:color="auto" w:fill="FFFFFF"/>
        </w:rPr>
        <w:t>分，评价等次为</w:t>
      </w:r>
      <w:r>
        <w:rPr>
          <w:rFonts w:hint="default" w:ascii="Times New Roman" w:hAnsi="Times New Roman" w:eastAsia="方正仿宋_GBK" w:cs="Times New Roman"/>
          <w:b w:val="0"/>
          <w:bCs w:val="0"/>
          <w:color w:val="auto"/>
          <w:sz w:val="32"/>
          <w:szCs w:val="32"/>
          <w:shd w:val="clear" w:color="auto" w:fill="FFFFFF"/>
          <w:lang w:eastAsia="zh-CN"/>
        </w:rPr>
        <w:t>优；对企业离退干部、老干部、伤残军人医疗补助项目</w:t>
      </w:r>
      <w:r>
        <w:rPr>
          <w:rFonts w:hint="default" w:ascii="Times New Roman" w:hAnsi="Times New Roman" w:eastAsia="方正仿宋_GBK" w:cs="Times New Roman"/>
          <w:b w:val="0"/>
          <w:bCs w:val="0"/>
          <w:color w:val="auto"/>
          <w:sz w:val="32"/>
          <w:szCs w:val="32"/>
          <w:shd w:val="clear" w:color="auto" w:fill="FFFFFF"/>
        </w:rPr>
        <w:t>开展了绩效评价，涉及财政拨款项目资金</w:t>
      </w:r>
      <w:r>
        <w:rPr>
          <w:rFonts w:hint="default" w:ascii="Times New Roman" w:hAnsi="Times New Roman" w:eastAsia="方正仿宋_GBK" w:cs="Times New Roman"/>
          <w:b w:val="0"/>
          <w:bCs w:val="0"/>
          <w:color w:val="auto"/>
          <w:sz w:val="32"/>
          <w:szCs w:val="32"/>
          <w:shd w:val="clear" w:color="auto" w:fill="FFFFFF"/>
          <w:lang w:val="en-US" w:eastAsia="zh-CN"/>
        </w:rPr>
        <w:t>200.00</w:t>
      </w:r>
      <w:r>
        <w:rPr>
          <w:rFonts w:hint="default" w:ascii="Times New Roman" w:hAnsi="Times New Roman" w:eastAsia="方正仿宋_GBK" w:cs="Times New Roman"/>
          <w:b w:val="0"/>
          <w:bCs w:val="0"/>
          <w:color w:val="auto"/>
          <w:sz w:val="32"/>
          <w:szCs w:val="32"/>
          <w:shd w:val="clear" w:color="auto" w:fill="FFFFFF"/>
        </w:rPr>
        <w:t>万元，评价得分</w:t>
      </w:r>
      <w:r>
        <w:rPr>
          <w:rFonts w:hint="default" w:ascii="Times New Roman" w:hAnsi="Times New Roman" w:eastAsia="方正仿宋_GBK" w:cs="Times New Roman"/>
          <w:b w:val="0"/>
          <w:bCs w:val="0"/>
          <w:color w:val="auto"/>
          <w:sz w:val="32"/>
          <w:szCs w:val="32"/>
          <w:shd w:val="clear" w:color="auto" w:fill="FFFFFF"/>
          <w:lang w:val="en-US" w:eastAsia="zh-CN"/>
        </w:rPr>
        <w:t>100</w:t>
      </w:r>
      <w:r>
        <w:rPr>
          <w:rFonts w:hint="default" w:ascii="Times New Roman" w:hAnsi="Times New Roman" w:eastAsia="方正仿宋_GBK" w:cs="Times New Roman"/>
          <w:b w:val="0"/>
          <w:bCs w:val="0"/>
          <w:color w:val="auto"/>
          <w:sz w:val="32"/>
          <w:szCs w:val="32"/>
          <w:shd w:val="clear" w:color="auto" w:fill="FFFFFF"/>
        </w:rPr>
        <w:t>分，评价等次为</w:t>
      </w:r>
      <w:r>
        <w:rPr>
          <w:rFonts w:hint="default" w:ascii="Times New Roman" w:hAnsi="Times New Roman" w:eastAsia="方正仿宋_GBK" w:cs="Times New Roman"/>
          <w:b w:val="0"/>
          <w:bCs w:val="0"/>
          <w:color w:val="auto"/>
          <w:sz w:val="32"/>
          <w:szCs w:val="32"/>
          <w:shd w:val="clear" w:color="auto" w:fill="FFFFFF"/>
          <w:lang w:eastAsia="zh-CN"/>
        </w:rPr>
        <w:t>优。</w:t>
      </w:r>
      <w:r>
        <w:rPr>
          <w:rFonts w:hint="default" w:ascii="Times New Roman" w:hAnsi="Times New Roman" w:eastAsia="方正仿宋_GBK" w:cs="Times New Roman"/>
          <w:b w:val="0"/>
          <w:bCs w:val="0"/>
          <w:color w:val="auto"/>
          <w:sz w:val="32"/>
          <w:szCs w:val="32"/>
          <w:shd w:val="clear" w:color="auto" w:fill="FFFFFF"/>
        </w:rPr>
        <w:t>下一步</w:t>
      </w:r>
      <w:r>
        <w:rPr>
          <w:rFonts w:hint="default" w:ascii="Times New Roman" w:hAnsi="Times New Roman" w:eastAsia="方正仿宋_GBK" w:cs="Times New Roman"/>
          <w:b w:val="0"/>
          <w:bCs w:val="0"/>
          <w:color w:val="auto"/>
          <w:sz w:val="32"/>
          <w:szCs w:val="32"/>
          <w:shd w:val="clear" w:color="auto" w:fill="FFFFFF"/>
          <w:lang w:eastAsia="zh-CN"/>
        </w:rPr>
        <w:t>，</w:t>
      </w:r>
      <w:r>
        <w:rPr>
          <w:rFonts w:hint="default" w:ascii="Times New Roman" w:hAnsi="Times New Roman" w:eastAsia="方正仿宋_GBK" w:cs="Times New Roman"/>
          <w:b w:val="0"/>
          <w:bCs w:val="0"/>
          <w:color w:val="auto"/>
          <w:sz w:val="32"/>
          <w:szCs w:val="32"/>
          <w:shd w:val="clear" w:color="auto" w:fill="FFFFFF"/>
          <w:lang w:val="zh-CN" w:eastAsia="zh-CN"/>
        </w:rPr>
        <w:t>我部门将持续推进项目实施，充分考虑专项资金支出平均性，加强预算执行管理，根据工作开展情况合理调整支出进度，加强业务培训，多层次、多类别组织开展经办业务、执法能力提升培训，切实保障我县医保服务能力迈上新台阶。</w:t>
      </w:r>
    </w:p>
    <w:p>
      <w:pPr>
        <w:pStyle w:val="11"/>
        <w:keepNext w:val="0"/>
        <w:keepLines w:val="0"/>
        <w:pageBreakBefore w:val="0"/>
        <w:widowControl w:val="0"/>
        <w:kinsoku/>
        <w:wordWrap/>
        <w:overflowPunct/>
        <w:topLinePunct w:val="0"/>
        <w:autoSpaceDE w:val="0"/>
        <w:autoSpaceDN/>
        <w:bidi w:val="0"/>
        <w:adjustRightInd/>
        <w:spacing w:line="560" w:lineRule="exact"/>
        <w:ind w:firstLine="640"/>
        <w:jc w:val="both"/>
        <w:textAlignment w:val="auto"/>
        <w:rPr>
          <w:rFonts w:hint="default" w:ascii="Times New Roman" w:hAnsi="Times New Roman" w:eastAsia="方正仿宋_GBK" w:cs="Times New Roman"/>
          <w:b w:val="0"/>
          <w:bCs w:val="0"/>
          <w:sz w:val="32"/>
          <w:szCs w:val="32"/>
          <w:shd w:val="clear" w:color="auto" w:fill="FFFFFF"/>
          <w:lang w:bidi="ar"/>
        </w:rPr>
      </w:pPr>
      <w:r>
        <w:rPr>
          <w:rStyle w:val="10"/>
          <w:rFonts w:hint="default" w:ascii="方正楷体_GBK" w:hAnsi="方正楷体_GBK" w:eastAsia="方正楷体_GBK" w:cs="方正楷体_GBK"/>
          <w:b w:val="0"/>
          <w:bCs/>
          <w:color w:val="auto"/>
          <w:sz w:val="32"/>
          <w:szCs w:val="32"/>
          <w:highlight w:val="none"/>
          <w:shd w:val="clear" w:color="auto" w:fill="FFFFFF"/>
          <w:lang w:val="en-US" w:eastAsia="zh-CN" w:bidi="ar-SA"/>
        </w:rPr>
        <w:t>（三）财政绩效评价情况</w:t>
      </w:r>
    </w:p>
    <w:p>
      <w:pPr>
        <w:pStyle w:val="11"/>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Style w:val="10"/>
          <w:rFonts w:hint="default" w:ascii="Times New Roman" w:hAnsi="Times New Roman" w:eastAsia="方正仿宋_GBK" w:cs="Times New Roman"/>
          <w:b w:val="0"/>
          <w:bCs w:val="0"/>
          <w:sz w:val="32"/>
          <w:szCs w:val="32"/>
          <w:highlight w:val="none"/>
          <w:shd w:val="clear" w:color="auto" w:fill="FFFFFF"/>
          <w:lang w:val="en-US" w:eastAsia="zh-CN" w:bidi="ar-SA"/>
        </w:rPr>
      </w:pPr>
      <w:r>
        <w:rPr>
          <w:rFonts w:hint="default" w:ascii="Times New Roman" w:hAnsi="Times New Roman" w:eastAsia="方正仿宋_GBK" w:cs="Times New Roman"/>
          <w:b w:val="0"/>
          <w:bCs w:val="0"/>
          <w:sz w:val="32"/>
          <w:szCs w:val="32"/>
          <w:highlight w:val="none"/>
          <w:shd w:val="clear" w:color="auto" w:fill="FFFFFF"/>
          <w:lang w:val="en-US" w:eastAsia="zh-CN" w:bidi="ar"/>
        </w:rPr>
        <w:t>区</w:t>
      </w:r>
      <w:r>
        <w:rPr>
          <w:rFonts w:hint="default" w:ascii="Times New Roman" w:hAnsi="Times New Roman" w:eastAsia="方正仿宋_GBK" w:cs="Times New Roman"/>
          <w:b w:val="0"/>
          <w:bCs w:val="0"/>
          <w:sz w:val="32"/>
          <w:szCs w:val="32"/>
          <w:highlight w:val="none"/>
          <w:shd w:val="clear" w:color="auto" w:fill="FFFFFF"/>
          <w:lang w:eastAsia="zh-CN" w:bidi="ar"/>
        </w:rPr>
        <w:t>财政局未委托第三方对我部门开展绩效评价。</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0"/>
          <w:rFonts w:hint="default" w:ascii="方正黑体_GBK" w:hAnsi="方正黑体_GBK" w:eastAsia="方正黑体_GBK" w:cs="方正黑体_GBK"/>
          <w:b w:val="0"/>
          <w:bCs/>
          <w:color w:val="auto"/>
          <w:sz w:val="32"/>
          <w:szCs w:val="32"/>
          <w:highlight w:val="none"/>
          <w:shd w:val="clear" w:color="auto" w:fill="FFFFFF"/>
        </w:rPr>
      </w:pPr>
      <w:r>
        <w:rPr>
          <w:rStyle w:val="10"/>
          <w:rFonts w:hint="default" w:ascii="方正黑体_GBK" w:hAnsi="方正黑体_GBK" w:eastAsia="方正黑体_GBK" w:cs="方正黑体_GBK"/>
          <w:b w:val="0"/>
          <w:bCs/>
          <w:color w:val="auto"/>
          <w:sz w:val="32"/>
          <w:szCs w:val="32"/>
          <w:highlight w:val="none"/>
          <w:shd w:val="clear" w:color="auto" w:fill="FFFFFF"/>
          <w:lang w:eastAsia="zh-CN"/>
        </w:rPr>
        <w:t>六</w:t>
      </w:r>
      <w:r>
        <w:rPr>
          <w:rStyle w:val="10"/>
          <w:rFonts w:hint="default" w:ascii="方正黑体_GBK" w:hAnsi="方正黑体_GBK" w:eastAsia="方正黑体_GBK" w:cs="方正黑体_GBK"/>
          <w:b w:val="0"/>
          <w:bCs/>
          <w:color w:val="auto"/>
          <w:sz w:val="32"/>
          <w:szCs w:val="32"/>
          <w:highlight w:val="none"/>
          <w:shd w:val="clear" w:color="auto" w:fill="FFFFFF"/>
        </w:rPr>
        <w:t>、专业名词解释</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0"/>
          <w:rFonts w:hint="eastAsia" w:ascii="方正楷体_GBK" w:hAnsi="方正楷体_GBK" w:eastAsia="方正楷体_GBK" w:cs="方正楷体_GBK"/>
          <w:b w:val="0"/>
          <w:bCs/>
          <w:color w:val="auto"/>
          <w:sz w:val="32"/>
          <w:szCs w:val="32"/>
          <w:highlight w:val="none"/>
          <w:shd w:val="clear" w:color="auto" w:fill="FFFFFF"/>
        </w:rPr>
        <w:t>（一）财政拨款收入：</w:t>
      </w:r>
      <w:r>
        <w:rPr>
          <w:rFonts w:hint="default" w:ascii="Times New Roman" w:hAnsi="Times New Roman" w:eastAsia="方正仿宋_GBK" w:cs="Times New Roman"/>
          <w:b w:val="0"/>
          <w:bCs w:val="0"/>
          <w:sz w:val="32"/>
          <w:szCs w:val="32"/>
          <w:shd w:val="clear" w:color="auto" w:fill="FFFFFF"/>
        </w:rPr>
        <w:t>指本年度从本级财政部门取得的财政拨款。</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0"/>
          <w:rFonts w:hint="default" w:ascii="方正楷体_GBK" w:hAnsi="方正楷体_GBK" w:eastAsia="方正楷体_GBK" w:cs="方正楷体_GBK"/>
          <w:b w:val="0"/>
          <w:bCs/>
          <w:color w:val="auto"/>
          <w:sz w:val="32"/>
          <w:szCs w:val="32"/>
          <w:highlight w:val="none"/>
          <w:shd w:val="clear" w:color="auto" w:fill="FFFFFF"/>
        </w:rPr>
        <w:t>（二）事业收入：</w:t>
      </w:r>
      <w:r>
        <w:rPr>
          <w:rFonts w:hint="default" w:ascii="Times New Roman" w:hAnsi="Times New Roman" w:eastAsia="方正仿宋_GBK" w:cs="Times New Roman"/>
          <w:b w:val="0"/>
          <w:bCs w:val="0"/>
          <w:sz w:val="32"/>
          <w:szCs w:val="32"/>
          <w:shd w:val="clear" w:color="auto" w:fill="FFFFFF"/>
        </w:rPr>
        <w:t>指事业单位开展专业业务活动及其辅助活动取得的</w:t>
      </w:r>
      <w:r>
        <w:rPr>
          <w:rFonts w:hint="default" w:ascii="Times New Roman" w:hAnsi="Times New Roman" w:eastAsia="方正仿宋_GBK" w:cs="Times New Roman"/>
          <w:b w:val="0"/>
          <w:bCs w:val="0"/>
          <w:sz w:val="32"/>
          <w:szCs w:val="32"/>
          <w:shd w:val="clear" w:color="auto" w:fill="FFFFFF"/>
          <w:lang w:eastAsia="zh-CN"/>
        </w:rPr>
        <w:t>收入</w:t>
      </w:r>
      <w:r>
        <w:rPr>
          <w:rFonts w:hint="default" w:ascii="Times New Roman" w:hAnsi="Times New Roman" w:eastAsia="方正仿宋_GBK" w:cs="Times New Roman"/>
          <w:b w:val="0"/>
          <w:bCs w:val="0"/>
          <w:sz w:val="32"/>
          <w:szCs w:val="32"/>
          <w:shd w:val="clear" w:color="auto" w:fill="FFFFFF"/>
        </w:rPr>
        <w:t>。</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0"/>
          <w:rFonts w:hint="default" w:ascii="方正楷体_GBK" w:hAnsi="方正楷体_GBK" w:eastAsia="方正楷体_GBK" w:cs="方正楷体_GBK"/>
          <w:b w:val="0"/>
          <w:bCs/>
          <w:color w:val="auto"/>
          <w:sz w:val="32"/>
          <w:szCs w:val="32"/>
          <w:highlight w:val="none"/>
          <w:shd w:val="clear" w:color="auto" w:fill="FFFFFF"/>
        </w:rPr>
        <w:t>（三）经营收入：</w:t>
      </w:r>
      <w:r>
        <w:rPr>
          <w:rFonts w:hint="default" w:ascii="Times New Roman" w:hAnsi="Times New Roman" w:eastAsia="方正仿宋_GBK" w:cs="Times New Roman"/>
          <w:b w:val="0"/>
          <w:bCs w:val="0"/>
          <w:sz w:val="32"/>
          <w:szCs w:val="32"/>
          <w:shd w:val="clear" w:color="auto" w:fill="FFFFFF"/>
        </w:rPr>
        <w:t>指事业单位在专业业务活动及其辅助活动之外开展非独立核算经营活动取得的</w:t>
      </w:r>
      <w:r>
        <w:rPr>
          <w:rFonts w:hint="default" w:ascii="Times New Roman" w:hAnsi="Times New Roman" w:eastAsia="方正仿宋_GBK" w:cs="Times New Roman"/>
          <w:b w:val="0"/>
          <w:bCs w:val="0"/>
          <w:sz w:val="32"/>
          <w:szCs w:val="32"/>
          <w:shd w:val="clear" w:color="auto" w:fill="FFFFFF"/>
          <w:lang w:eastAsia="zh-CN"/>
        </w:rPr>
        <w:t>收入</w:t>
      </w:r>
      <w:r>
        <w:rPr>
          <w:rFonts w:hint="default" w:ascii="Times New Roman" w:hAnsi="Times New Roman" w:eastAsia="方正仿宋_GBK" w:cs="Times New Roman"/>
          <w:b w:val="0"/>
          <w:bCs w:val="0"/>
          <w:sz w:val="32"/>
          <w:szCs w:val="32"/>
          <w:shd w:val="clear" w:color="auto" w:fill="FFFFFF"/>
        </w:rPr>
        <w:t>。</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0"/>
          <w:rFonts w:hint="default" w:ascii="方正楷体_GBK" w:hAnsi="方正楷体_GBK" w:eastAsia="方正楷体_GBK" w:cs="方正楷体_GBK"/>
          <w:b w:val="0"/>
          <w:bCs/>
          <w:color w:val="auto"/>
          <w:sz w:val="32"/>
          <w:szCs w:val="32"/>
          <w:highlight w:val="none"/>
          <w:shd w:val="clear" w:color="auto" w:fill="FFFFFF"/>
        </w:rPr>
        <w:t>（四）其他收入：</w:t>
      </w:r>
      <w:r>
        <w:rPr>
          <w:rFonts w:hint="default" w:ascii="Times New Roman" w:hAnsi="Times New Roman" w:eastAsia="方正仿宋_GBK" w:cs="Times New Roman"/>
          <w:b w:val="0"/>
          <w:bCs w:val="0"/>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0"/>
          <w:rFonts w:hint="default" w:ascii="方正楷体_GBK" w:hAnsi="方正楷体_GBK" w:eastAsia="方正楷体_GBK" w:cs="方正楷体_GBK"/>
          <w:b w:val="0"/>
          <w:bCs/>
          <w:color w:val="auto"/>
          <w:sz w:val="32"/>
          <w:szCs w:val="32"/>
          <w:highlight w:val="none"/>
          <w:shd w:val="clear" w:color="auto" w:fill="FFFFFF"/>
        </w:rPr>
        <w:t>（五）使用非财政拨款结余</w:t>
      </w:r>
      <w:r>
        <w:rPr>
          <w:rStyle w:val="10"/>
          <w:rFonts w:hint="default" w:ascii="方正楷体_GBK" w:hAnsi="方正楷体_GBK" w:eastAsia="方正楷体_GBK" w:cs="方正楷体_GBK"/>
          <w:b w:val="0"/>
          <w:bCs/>
          <w:color w:val="auto"/>
          <w:sz w:val="32"/>
          <w:szCs w:val="32"/>
          <w:highlight w:val="none"/>
          <w:shd w:val="clear" w:color="auto" w:fill="FFFFFF"/>
          <w:lang w:eastAsia="zh-CN"/>
        </w:rPr>
        <w:t>（含专用结余）</w:t>
      </w:r>
      <w:r>
        <w:rPr>
          <w:rStyle w:val="10"/>
          <w:rFonts w:hint="default" w:ascii="方正楷体_GBK" w:hAnsi="方正楷体_GBK" w:eastAsia="方正楷体_GBK" w:cs="方正楷体_GBK"/>
          <w:b w:val="0"/>
          <w:bCs/>
          <w:color w:val="auto"/>
          <w:sz w:val="32"/>
          <w:szCs w:val="32"/>
          <w:highlight w:val="none"/>
          <w:shd w:val="clear" w:color="auto" w:fill="FFFFFF"/>
        </w:rPr>
        <w:t>：</w:t>
      </w:r>
      <w:r>
        <w:rPr>
          <w:rFonts w:hint="default" w:ascii="Times New Roman" w:hAnsi="Times New Roman" w:eastAsia="方正仿宋_GBK" w:cs="Times New Roman"/>
          <w:b w:val="0"/>
          <w:bCs w:val="0"/>
          <w:sz w:val="32"/>
          <w:szCs w:val="32"/>
          <w:shd w:val="clear" w:color="auto" w:fill="FFFFFF"/>
        </w:rPr>
        <w:t>指</w:t>
      </w:r>
      <w:r>
        <w:rPr>
          <w:rFonts w:hint="default" w:ascii="Times New Roman" w:hAnsi="Times New Roman" w:eastAsia="方正仿宋_GBK" w:cs="Times New Roman"/>
          <w:b w:val="0"/>
          <w:bCs w:val="0"/>
          <w:sz w:val="32"/>
          <w:szCs w:val="32"/>
          <w:shd w:val="clear" w:color="auto" w:fill="FFFFFF"/>
          <w:lang w:eastAsia="zh-CN"/>
        </w:rPr>
        <w:t>事业单位按照预算管理要求使用非财政拨款结余弥补收支差额的金额，以及使用专用结余安排支出的金额。</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0"/>
          <w:rFonts w:hint="default" w:ascii="方正楷体_GBK" w:hAnsi="方正楷体_GBK" w:eastAsia="方正楷体_GBK" w:cs="方正楷体_GBK"/>
          <w:b w:val="0"/>
          <w:bCs/>
          <w:color w:val="auto"/>
          <w:sz w:val="32"/>
          <w:szCs w:val="32"/>
          <w:highlight w:val="none"/>
          <w:shd w:val="clear" w:color="auto" w:fill="FFFFFF"/>
        </w:rPr>
        <w:t>（六）年初结转和结余：</w:t>
      </w:r>
      <w:r>
        <w:rPr>
          <w:rFonts w:hint="default" w:ascii="Times New Roman" w:hAnsi="Times New Roman" w:eastAsia="方正仿宋_GBK" w:cs="Times New Roman"/>
          <w:b w:val="0"/>
          <w:bCs w:val="0"/>
          <w:sz w:val="32"/>
          <w:szCs w:val="32"/>
          <w:shd w:val="clear" w:color="auto" w:fill="FFFFFF"/>
        </w:rPr>
        <w:t>指单位上年结转本年使用的基本支出结转、项目支出结转和结余、经营结余。</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0"/>
          <w:rFonts w:hint="default" w:ascii="方正楷体_GBK" w:hAnsi="方正楷体_GBK" w:eastAsia="方正楷体_GBK" w:cs="方正楷体_GBK"/>
          <w:b w:val="0"/>
          <w:bCs/>
          <w:color w:val="auto"/>
          <w:sz w:val="32"/>
          <w:szCs w:val="32"/>
          <w:highlight w:val="none"/>
          <w:shd w:val="clear" w:color="auto" w:fill="FFFFFF"/>
        </w:rPr>
        <w:t>（七）结余分配：</w:t>
      </w:r>
      <w:r>
        <w:rPr>
          <w:rFonts w:hint="default" w:ascii="Times New Roman" w:hAnsi="Times New Roman" w:eastAsia="方正仿宋_GBK" w:cs="Times New Roman"/>
          <w:b w:val="0"/>
          <w:bCs w:val="0"/>
          <w:sz w:val="32"/>
          <w:szCs w:val="32"/>
          <w:shd w:val="clear" w:color="auto" w:fill="FFFFFF"/>
        </w:rPr>
        <w:t>指单位按照国家有关规定，缴纳所得税、提取专用基金、转入非财政拨款结余等当年结余的分配情况。</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0"/>
          <w:rFonts w:hint="default" w:ascii="方正楷体_GBK" w:hAnsi="方正楷体_GBK" w:eastAsia="方正楷体_GBK" w:cs="方正楷体_GBK"/>
          <w:b w:val="0"/>
          <w:bCs/>
          <w:color w:val="auto"/>
          <w:sz w:val="32"/>
          <w:szCs w:val="32"/>
          <w:highlight w:val="none"/>
          <w:shd w:val="clear" w:color="auto" w:fill="FFFFFF"/>
        </w:rPr>
        <w:t>（八）年末结转和结余：</w:t>
      </w:r>
      <w:r>
        <w:rPr>
          <w:rFonts w:hint="default" w:ascii="Times New Roman" w:hAnsi="Times New Roman" w:eastAsia="方正仿宋_GBK" w:cs="Times New Roman"/>
          <w:b w:val="0"/>
          <w:bCs w:val="0"/>
          <w:sz w:val="32"/>
          <w:szCs w:val="32"/>
          <w:shd w:val="clear" w:color="auto" w:fill="FFFFFF"/>
        </w:rPr>
        <w:t>指单位结转下年的基本支出结转、项目支出结转和结余、经营结余。</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0"/>
          <w:rFonts w:hint="default" w:ascii="方正楷体_GBK" w:hAnsi="方正楷体_GBK" w:eastAsia="方正楷体_GBK" w:cs="方正楷体_GBK"/>
          <w:b w:val="0"/>
          <w:bCs/>
          <w:color w:val="auto"/>
          <w:sz w:val="32"/>
          <w:szCs w:val="32"/>
          <w:highlight w:val="none"/>
          <w:shd w:val="clear" w:color="auto" w:fill="FFFFFF"/>
        </w:rPr>
        <w:t>（九）基本支出：</w:t>
      </w:r>
      <w:r>
        <w:rPr>
          <w:rFonts w:hint="default" w:ascii="Times New Roman" w:hAnsi="Times New Roman" w:eastAsia="方正仿宋_GBK" w:cs="Times New Roman"/>
          <w:b w:val="0"/>
          <w:bCs w:val="0"/>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0"/>
          <w:rFonts w:hint="default" w:ascii="方正楷体_GBK" w:hAnsi="方正楷体_GBK" w:eastAsia="方正楷体_GBK" w:cs="方正楷体_GBK"/>
          <w:b w:val="0"/>
          <w:bCs/>
          <w:color w:val="auto"/>
          <w:sz w:val="32"/>
          <w:szCs w:val="32"/>
          <w:highlight w:val="none"/>
          <w:shd w:val="clear" w:color="auto" w:fill="FFFFFF"/>
        </w:rPr>
        <w:t>（十）项目支出：</w:t>
      </w:r>
      <w:r>
        <w:rPr>
          <w:rFonts w:hint="default" w:ascii="Times New Roman" w:hAnsi="Times New Roman" w:eastAsia="方正仿宋_GBK" w:cs="Times New Roman"/>
          <w:b w:val="0"/>
          <w:bCs w:val="0"/>
          <w:sz w:val="32"/>
          <w:szCs w:val="32"/>
          <w:shd w:val="clear" w:color="auto" w:fill="FFFFFF"/>
        </w:rPr>
        <w:t>指在基本支出之外为完成特定行政任务和事业发展目标所发生的支出。</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0"/>
          <w:rFonts w:hint="default" w:ascii="方正楷体_GBK" w:hAnsi="方正楷体_GBK" w:eastAsia="方正楷体_GBK" w:cs="方正楷体_GBK"/>
          <w:b w:val="0"/>
          <w:bCs/>
          <w:color w:val="auto"/>
          <w:sz w:val="32"/>
          <w:szCs w:val="32"/>
          <w:highlight w:val="none"/>
          <w:shd w:val="clear" w:color="auto" w:fill="FFFFFF"/>
        </w:rPr>
        <w:t>（十一）经营支出：</w:t>
      </w:r>
      <w:r>
        <w:rPr>
          <w:rFonts w:hint="default" w:ascii="Times New Roman" w:hAnsi="Times New Roman" w:eastAsia="方正仿宋_GBK" w:cs="Times New Roman"/>
          <w:b w:val="0"/>
          <w:bCs w:val="0"/>
          <w:sz w:val="32"/>
          <w:szCs w:val="32"/>
          <w:shd w:val="clear" w:color="auto" w:fill="FFFFFF"/>
        </w:rPr>
        <w:t>指事业单位在专业业务活动及其辅助活动之外开展非独立核算经营活动发生的支出。</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0"/>
          <w:rFonts w:hint="default" w:ascii="方正楷体_GBK" w:hAnsi="方正楷体_GBK" w:eastAsia="方正楷体_GBK" w:cs="方正楷体_GBK"/>
          <w:b w:val="0"/>
          <w:bCs/>
          <w:color w:val="auto"/>
          <w:sz w:val="32"/>
          <w:szCs w:val="32"/>
          <w:highlight w:val="none"/>
          <w:shd w:val="clear" w:color="auto" w:fill="FFFFFF"/>
        </w:rPr>
        <w:t>（十二）“三公”经费：</w:t>
      </w:r>
      <w:r>
        <w:rPr>
          <w:rFonts w:hint="default" w:ascii="Times New Roman" w:hAnsi="Times New Roman" w:eastAsia="方正仿宋_GBK" w:cs="Times New Roman"/>
          <w:b w:val="0"/>
          <w:bCs w:val="0"/>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0"/>
          <w:rFonts w:hint="default" w:ascii="方正楷体_GBK" w:hAnsi="方正楷体_GBK" w:eastAsia="方正楷体_GBK" w:cs="方正楷体_GBK"/>
          <w:b w:val="0"/>
          <w:bCs/>
          <w:color w:val="auto"/>
          <w:sz w:val="32"/>
          <w:szCs w:val="32"/>
          <w:highlight w:val="none"/>
          <w:shd w:val="clear" w:color="auto" w:fill="FFFFFF"/>
        </w:rPr>
        <w:t>（十三）机关运行经费：</w:t>
      </w:r>
      <w:r>
        <w:rPr>
          <w:rFonts w:hint="default" w:ascii="Times New Roman" w:hAnsi="Times New Roman" w:eastAsia="方正仿宋_GBK" w:cs="Times New Roman"/>
          <w:b w:val="0"/>
          <w:bCs w:val="0"/>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0"/>
          <w:rFonts w:hint="default" w:ascii="方正楷体_GBK" w:hAnsi="方正楷体_GBK" w:eastAsia="方正楷体_GBK" w:cs="方正楷体_GBK"/>
          <w:b w:val="0"/>
          <w:bCs/>
          <w:color w:val="auto"/>
          <w:sz w:val="32"/>
          <w:szCs w:val="32"/>
          <w:highlight w:val="none"/>
          <w:shd w:val="clear" w:color="auto" w:fill="FFFFFF"/>
        </w:rPr>
        <w:t>（十四）工资福利支出（支出经济分类科目类级）：</w:t>
      </w:r>
      <w:r>
        <w:rPr>
          <w:rFonts w:hint="default" w:ascii="Times New Roman" w:hAnsi="Times New Roman" w:eastAsia="方正仿宋_GBK" w:cs="Times New Roman"/>
          <w:b w:val="0"/>
          <w:bCs w:val="0"/>
          <w:sz w:val="32"/>
          <w:szCs w:val="32"/>
          <w:shd w:val="clear" w:color="auto" w:fill="FFFFFF"/>
        </w:rPr>
        <w:t>反映单位开支的在职职工和编制外长期聘用人员的各类劳动报酬，以及为上述人员缴纳的各项社会保险费等。</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0"/>
          <w:rFonts w:hint="default" w:ascii="方正楷体_GBK" w:hAnsi="方正楷体_GBK" w:eastAsia="方正楷体_GBK" w:cs="方正楷体_GBK"/>
          <w:b w:val="0"/>
          <w:bCs/>
          <w:color w:val="auto"/>
          <w:sz w:val="32"/>
          <w:szCs w:val="32"/>
          <w:highlight w:val="none"/>
          <w:shd w:val="clear" w:color="auto" w:fill="FFFFFF"/>
        </w:rPr>
        <w:t>（十五）商品和服务支出（支出经济分类科目类级）：</w:t>
      </w:r>
      <w:r>
        <w:rPr>
          <w:rFonts w:hint="default" w:ascii="Times New Roman" w:hAnsi="Times New Roman" w:eastAsia="方正仿宋_GBK" w:cs="Times New Roman"/>
          <w:b w:val="0"/>
          <w:bCs w:val="0"/>
          <w:sz w:val="32"/>
          <w:szCs w:val="32"/>
          <w:shd w:val="clear" w:color="auto" w:fill="FFFFFF"/>
        </w:rPr>
        <w:t>反映单位购买商品和服务的支出（不包括用于购置固定资产的支出、战略性和应急储备支出）。</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0"/>
          <w:rFonts w:hint="default" w:ascii="方正楷体_GBK" w:hAnsi="方正楷体_GBK" w:eastAsia="方正楷体_GBK" w:cs="方正楷体_GBK"/>
          <w:b w:val="0"/>
          <w:bCs/>
          <w:color w:val="auto"/>
          <w:sz w:val="32"/>
          <w:szCs w:val="32"/>
          <w:highlight w:val="none"/>
          <w:shd w:val="clear" w:color="auto" w:fill="FFFFFF"/>
        </w:rPr>
        <w:t>（十六）对个人和家庭的补助（支出经济分类科目类级）：</w:t>
      </w:r>
      <w:r>
        <w:rPr>
          <w:rFonts w:hint="default" w:ascii="Times New Roman" w:hAnsi="Times New Roman" w:eastAsia="方正仿宋_GBK" w:cs="Times New Roman"/>
          <w:b w:val="0"/>
          <w:bCs w:val="0"/>
          <w:sz w:val="32"/>
          <w:szCs w:val="32"/>
          <w:shd w:val="clear" w:color="auto" w:fill="FFFFFF"/>
        </w:rPr>
        <w:t>反映用于对个人和家庭的补助支出。</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10"/>
          <w:rFonts w:hint="default" w:ascii="方正楷体_GBK" w:hAnsi="方正楷体_GBK" w:eastAsia="方正楷体_GBK" w:cs="方正楷体_GBK"/>
          <w:b w:val="0"/>
          <w:bCs/>
          <w:color w:val="auto"/>
          <w:sz w:val="32"/>
          <w:szCs w:val="32"/>
          <w:highlight w:val="none"/>
          <w:shd w:val="clear" w:color="auto" w:fill="FFFFFF"/>
        </w:rPr>
        <w:t>（十七）其他资本性支出（支出经济分类科目类级）：</w:t>
      </w:r>
      <w:r>
        <w:rPr>
          <w:rFonts w:hint="default" w:ascii="Times New Roman" w:hAnsi="Times New Roman" w:eastAsia="方正仿宋_GBK" w:cs="Times New Roman"/>
          <w:b w:val="0"/>
          <w:bCs w:val="0"/>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0"/>
          <w:rFonts w:hint="default" w:ascii="方正黑体_GBK" w:hAnsi="方正黑体_GBK" w:eastAsia="方正黑体_GBK" w:cs="方正黑体_GBK"/>
          <w:b w:val="0"/>
          <w:bCs/>
          <w:color w:val="auto"/>
          <w:sz w:val="32"/>
          <w:szCs w:val="32"/>
          <w:highlight w:val="none"/>
          <w:shd w:val="clear" w:color="auto" w:fill="FFFFFF"/>
        </w:rPr>
      </w:pPr>
      <w:r>
        <w:rPr>
          <w:rStyle w:val="10"/>
          <w:rFonts w:hint="default" w:ascii="方正黑体_GBK" w:hAnsi="方正黑体_GBK" w:eastAsia="方正黑体_GBK" w:cs="方正黑体_GBK"/>
          <w:b w:val="0"/>
          <w:bCs/>
          <w:color w:val="auto"/>
          <w:sz w:val="32"/>
          <w:szCs w:val="32"/>
          <w:highlight w:val="none"/>
          <w:shd w:val="clear" w:color="auto" w:fill="FFFFFF"/>
          <w:lang w:eastAsia="zh-CN"/>
        </w:rPr>
        <w:t>七</w:t>
      </w:r>
      <w:r>
        <w:rPr>
          <w:rStyle w:val="10"/>
          <w:rFonts w:hint="default" w:ascii="方正黑体_GBK" w:hAnsi="方正黑体_GBK" w:eastAsia="方正黑体_GBK" w:cs="方正黑体_GBK"/>
          <w:b w:val="0"/>
          <w:bCs/>
          <w:color w:val="auto"/>
          <w:sz w:val="32"/>
          <w:szCs w:val="32"/>
          <w:highlight w:val="none"/>
          <w:shd w:val="clear" w:color="auto" w:fill="FFFFFF"/>
        </w:rPr>
        <w:t>、决算公开联系方式及信息反馈渠道</w:t>
      </w:r>
    </w:p>
    <w:p>
      <w:pPr>
        <w:pStyle w:val="11"/>
        <w:keepNext w:val="0"/>
        <w:keepLines w:val="0"/>
        <w:pageBreakBefore w:val="0"/>
        <w:widowControl w:val="0"/>
        <w:kinsoku/>
        <w:wordWrap/>
        <w:overflowPunct/>
        <w:topLinePunct w:val="0"/>
        <w:autoSpaceDE w:val="0"/>
        <w:autoSpaceDN/>
        <w:bidi w:val="0"/>
        <w:adjustRightInd/>
        <w:spacing w:line="560" w:lineRule="exact"/>
        <w:ind w:firstLine="640"/>
        <w:jc w:val="both"/>
        <w:textAlignment w:val="auto"/>
        <w:rPr>
          <w:rFonts w:hint="eastAsia" w:ascii="方正仿宋_GBK" w:hAnsi="方正仿宋_GBK" w:eastAsia="方正仿宋_GBK" w:cs="方正仿宋_GBK"/>
          <w:color w:val="FF0000"/>
          <w:sz w:val="32"/>
          <w:szCs w:val="32"/>
          <w:shd w:val="clear" w:color="auto" w:fill="FFFFFF"/>
          <w:lang w:val="en-US" w:eastAsia="zh-CN" w:bidi="ar-SA"/>
        </w:rPr>
        <w:sectPr>
          <w:footerReference r:id="rId3" w:type="default"/>
          <w:pgSz w:w="11915" w:h="16840"/>
          <w:pgMar w:top="2098" w:right="1474" w:bottom="1984" w:left="1587"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default" w:ascii="Times New Roman" w:hAnsi="Times New Roman" w:eastAsia="方正仿宋_GBK" w:cs="Times New Roman"/>
          <w:b w:val="0"/>
          <w:bCs w:val="0"/>
          <w:sz w:val="32"/>
          <w:szCs w:val="32"/>
          <w:shd w:val="clear" w:color="auto" w:fill="FFFFFF"/>
        </w:rPr>
        <w:t>本部门决算公开信息反馈和联系方式：</w:t>
      </w:r>
      <w:r>
        <w:rPr>
          <w:rFonts w:hint="default" w:ascii="Times New Roman" w:hAnsi="Times New Roman" w:eastAsia="方正仿宋_GBK" w:cs="Times New Roman"/>
          <w:b w:val="0"/>
          <w:bCs w:val="0"/>
          <w:color w:val="auto"/>
          <w:sz w:val="32"/>
          <w:szCs w:val="32"/>
          <w:shd w:val="clear" w:color="auto" w:fill="auto"/>
          <w:lang w:eastAsia="zh-CN"/>
        </w:rPr>
        <w:t>陈聪</w:t>
      </w:r>
      <w:r>
        <w:rPr>
          <w:rFonts w:hint="default" w:ascii="Times New Roman" w:hAnsi="Times New Roman" w:eastAsia="方正仿宋_GBK" w:cs="Times New Roman"/>
          <w:b w:val="0"/>
          <w:bCs w:val="0"/>
          <w:color w:val="auto"/>
          <w:sz w:val="32"/>
          <w:szCs w:val="32"/>
          <w:shd w:val="clear" w:color="auto" w:fill="auto"/>
          <w:lang w:val="en-US" w:eastAsia="zh-CN"/>
        </w:rPr>
        <w:t xml:space="preserve"> 023-7666814</w:t>
      </w: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部门：</w:t>
            </w:r>
            <w:r>
              <w:rPr>
                <w:sz w:val="20"/>
                <w:u w:color="auto"/>
              </w:rPr>
              <w:t>秀山土家族苗族自治县医疗保障局</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5,644.58</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95.71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5,036.18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463.26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5,644.58</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5,644.58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5,644.58</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5,644.58</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4870" w:type="dxa"/>
        <w:tblInd w:w="0" w:type="dxa"/>
        <w:tblLayout w:type="fixed"/>
        <w:tblCellMar>
          <w:top w:w="0" w:type="dxa"/>
          <w:left w:w="0" w:type="dxa"/>
          <w:bottom w:w="0" w:type="dxa"/>
          <w:right w:w="0" w:type="dxa"/>
        </w:tblCellMar>
      </w:tblPr>
      <w:tblGrid>
        <w:gridCol w:w="1436"/>
        <w:gridCol w:w="3116"/>
        <w:gridCol w:w="1349"/>
        <w:gridCol w:w="1408"/>
        <w:gridCol w:w="1228"/>
        <w:gridCol w:w="1228"/>
        <w:gridCol w:w="1361"/>
        <w:gridCol w:w="1299"/>
        <w:gridCol w:w="1432"/>
        <w:gridCol w:w="1013"/>
      </w:tblGrid>
      <w:tr>
        <w:tblPrEx>
          <w:tblLayout w:type="fixed"/>
          <w:tblCellMar>
            <w:top w:w="0" w:type="dxa"/>
            <w:left w:w="0" w:type="dxa"/>
            <w:bottom w:w="0" w:type="dxa"/>
            <w:right w:w="0" w:type="dxa"/>
          </w:tblCellMar>
        </w:tblPrEx>
        <w:trPr>
          <w:trHeight w:val="641" w:hRule="atLeast"/>
        </w:trPr>
        <w:tc>
          <w:tcPr>
            <w:tcW w:w="14870"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01"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sz w:val="20"/>
                <w:u w:color="auto"/>
              </w:rPr>
              <w:t>秀山土家族苗族自治县医疗保障局</w:t>
            </w:r>
          </w:p>
        </w:tc>
        <w:tc>
          <w:tcPr>
            <w:tcW w:w="140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6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01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0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0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6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01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552"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116"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5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5,644.58</w:t>
            </w:r>
            <w:r>
              <w:rPr>
                <w:rFonts w:ascii="Times New Roman" w:hAnsi="Times New Roman"/>
                <w:b/>
                <w:color w:val="000000"/>
                <w:sz w:val="20"/>
                <w:u w:color="auto"/>
              </w:rPr>
              <w:t xml:space="preserve"> </w:t>
            </w:r>
          </w:p>
        </w:tc>
        <w:tc>
          <w:tcPr>
            <w:tcW w:w="14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5,644.58</w:t>
            </w:r>
            <w:r>
              <w:rPr>
                <w:rFonts w:ascii="Times New Roman" w:hAnsi="Times New Roman"/>
                <w:b/>
                <w:color w:val="000000"/>
                <w:sz w:val="20"/>
                <w:u w:color="auto"/>
              </w:rPr>
              <w:t xml:space="preserve"> </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0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2013204</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95.71</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95.71</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95.71</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95.71</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62.09</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62.09</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31.04</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31.04</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5,036.18</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5,036.18</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1,044.36</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1,044.36</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31.68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31.68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21013</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医疗救助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3,087.51</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3,087.51</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2101301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城乡医疗救助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3,067.51</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3,067.51</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2101399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其他医疗救助支出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904.31</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904.31</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433.82</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433.82</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202.30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202.30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医疗保障政策管理</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0.31</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0.31</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158.77</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158.77</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2101550</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89.10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89.10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其他医疗保障管理事务支出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463.26</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463.26</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463.26</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463.26</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463.26</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463.26</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48.53</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48.53</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48.53</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48.53</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48.53</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48.53</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14652" w:type="dxa"/>
        <w:tblInd w:w="0" w:type="dxa"/>
        <w:tblLayout w:type="fixed"/>
        <w:tblCellMar>
          <w:top w:w="0" w:type="dxa"/>
          <w:left w:w="0" w:type="dxa"/>
          <w:bottom w:w="0" w:type="dxa"/>
          <w:right w:w="0" w:type="dxa"/>
        </w:tblCellMar>
      </w:tblPr>
      <w:tblGrid>
        <w:gridCol w:w="1483"/>
        <w:gridCol w:w="3552"/>
        <w:gridCol w:w="1667"/>
        <w:gridCol w:w="1716"/>
        <w:gridCol w:w="1649"/>
        <w:gridCol w:w="1581"/>
        <w:gridCol w:w="1716"/>
        <w:gridCol w:w="1288"/>
      </w:tblGrid>
      <w:tr>
        <w:tblPrEx>
          <w:tblLayout w:type="fixed"/>
          <w:tblCellMar>
            <w:top w:w="0" w:type="dxa"/>
            <w:left w:w="0" w:type="dxa"/>
            <w:bottom w:w="0" w:type="dxa"/>
            <w:right w:w="0" w:type="dxa"/>
          </w:tblCellMar>
        </w:tblPrEx>
        <w:trPr>
          <w:trHeight w:val="654" w:hRule="atLeast"/>
        </w:trPr>
        <w:tc>
          <w:tcPr>
            <w:tcW w:w="1465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0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 xml:space="preserve">秀山土家族苗族自治县医疗保障局 </w:t>
            </w:r>
          </w:p>
        </w:tc>
        <w:tc>
          <w:tcPr>
            <w:tcW w:w="171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8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88"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0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8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88"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2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48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52"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5,644.58</w:t>
            </w:r>
            <w:r>
              <w:rPr>
                <w:rFonts w:ascii="Times New Roman" w:hAnsi="Times New Roman"/>
                <w:b/>
                <w:color w:val="000000"/>
                <w:sz w:val="20"/>
                <w:u w:color="auto"/>
              </w:rPr>
              <w:t xml:space="preserve"> </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1,722.43</w:t>
            </w:r>
            <w:r>
              <w:rPr>
                <w:rFonts w:ascii="Times New Roman" w:hAnsi="Times New Roman"/>
                <w:b/>
                <w:color w:val="000000"/>
                <w:sz w:val="20"/>
                <w:u w:color="auto"/>
              </w:rPr>
              <w:t xml:space="preserve"> </w:t>
            </w:r>
          </w:p>
        </w:tc>
        <w:tc>
          <w:tcPr>
            <w:tcW w:w="16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3,922.15</w:t>
            </w:r>
            <w:r>
              <w:rPr>
                <w:rFonts w:ascii="Times New Roman" w:hAnsi="Times New Roman"/>
                <w:b/>
                <w:color w:val="000000"/>
                <w:sz w:val="20"/>
                <w:u w:color="auto"/>
              </w:rPr>
              <w:t xml:space="preserve"> </w:t>
            </w:r>
          </w:p>
        </w:tc>
        <w:tc>
          <w:tcPr>
            <w:tcW w:w="15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2013204</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95.71</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95.71</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95.71</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95.71</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62.09</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62.09</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31.04</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31.04</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5,036.18</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1,577.29</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3,458.89</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1,044.36</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1,044.36</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31.68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31.68</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7.68</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21013</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医疗救助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3,087.51</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3,087.51</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2101301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城乡医疗救助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3,067.51</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3,067.51</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2101399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其他医疗救助支出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904.31</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532.93</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371.38</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2101501</w:t>
            </w:r>
          </w:p>
        </w:tc>
        <w:tc>
          <w:tcPr>
            <w:tcW w:w="355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433.82</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433.82</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202.30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202.30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医疗保障政策管理</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0.31</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0.31</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158.77</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148.77</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2101550</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89.10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89.10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其他医疗保障管理事务支出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463.26</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463.26</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463.26</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463.26</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463.26</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463.26</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48.53</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48.53</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48.53</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48.53</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48.53</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48.53</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u w:color="auto"/>
              </w:rPr>
              <w:t>秀山土家族苗族自治县医疗保障局</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5,644.58</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95.71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95.71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5,036.18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5,036.18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463.26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463.26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48.53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48.53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5,644.58</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5,644.58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5,644.58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5,644.58</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5,644.58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5,644.58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4652" w:type="dxa"/>
        <w:tblInd w:w="0" w:type="dxa"/>
        <w:tblLayout w:type="fixed"/>
        <w:tblCellMar>
          <w:top w:w="0" w:type="dxa"/>
          <w:left w:w="0" w:type="dxa"/>
          <w:bottom w:w="0" w:type="dxa"/>
          <w:right w:w="0" w:type="dxa"/>
        </w:tblCellMar>
      </w:tblPr>
      <w:tblGrid>
        <w:gridCol w:w="1486"/>
        <w:gridCol w:w="3895"/>
        <w:gridCol w:w="3306"/>
        <w:gridCol w:w="3300"/>
        <w:gridCol w:w="2665"/>
      </w:tblGrid>
      <w:tr>
        <w:tblPrEx>
          <w:tblLayout w:type="fixed"/>
          <w:tblCellMar>
            <w:top w:w="0" w:type="dxa"/>
            <w:left w:w="0" w:type="dxa"/>
            <w:bottom w:w="0" w:type="dxa"/>
            <w:right w:w="0" w:type="dxa"/>
          </w:tblCellMar>
        </w:tblPrEx>
        <w:trPr>
          <w:trHeight w:val="510" w:hRule="atLeast"/>
        </w:trPr>
        <w:tc>
          <w:tcPr>
            <w:tcW w:w="1465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秀山土家族苗族自治县医疗保障局</w:t>
            </w: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66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66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27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26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6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6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5,644.58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1,722.43</w:t>
            </w:r>
            <w:r>
              <w:rPr>
                <w:rFonts w:ascii="Times New Roman" w:hAnsi="Times New Roman"/>
                <w:b/>
                <w:color w:val="000000"/>
                <w:sz w:val="20"/>
                <w:u w:color="auto"/>
              </w:rPr>
              <w:t xml:space="preserve"> </w:t>
            </w:r>
          </w:p>
        </w:tc>
        <w:tc>
          <w:tcPr>
            <w:tcW w:w="2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3,922.15</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u w:color="auto"/>
              </w:rPr>
              <w:t xml:space="preserve"> </w:t>
            </w:r>
          </w:p>
        </w:tc>
        <w:tc>
          <w:tcPr>
            <w:tcW w:w="2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u w:color="auto"/>
              </w:rPr>
              <w:t xml:space="preserve"> </w:t>
            </w:r>
          </w:p>
        </w:tc>
        <w:tc>
          <w:tcPr>
            <w:tcW w:w="2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2013204</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0.90</w:t>
            </w:r>
            <w:r>
              <w:rPr>
                <w:rFonts w:ascii="Times New Roman" w:hAnsi="Times New Roman"/>
                <w:color w:val="000000"/>
                <w:sz w:val="20"/>
                <w:u w:color="auto"/>
              </w:rPr>
              <w:t xml:space="preserve"> </w:t>
            </w:r>
          </w:p>
        </w:tc>
        <w:tc>
          <w:tcPr>
            <w:tcW w:w="2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95.71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95.71</w:t>
            </w:r>
            <w:r>
              <w:rPr>
                <w:rFonts w:ascii="Times New Roman" w:hAnsi="Times New Roman"/>
                <w:b/>
                <w:color w:val="000000"/>
                <w:sz w:val="20"/>
                <w:u w:color="auto"/>
              </w:rPr>
              <w:t xml:space="preserve"> </w:t>
            </w:r>
          </w:p>
        </w:tc>
        <w:tc>
          <w:tcPr>
            <w:tcW w:w="2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95.71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95.71</w:t>
            </w:r>
            <w:r>
              <w:rPr>
                <w:rFonts w:ascii="Times New Roman" w:hAnsi="Times New Roman"/>
                <w:b/>
                <w:color w:val="000000"/>
                <w:sz w:val="20"/>
                <w:u w:color="auto"/>
              </w:rPr>
              <w:t xml:space="preserve"> </w:t>
            </w:r>
          </w:p>
        </w:tc>
        <w:tc>
          <w:tcPr>
            <w:tcW w:w="2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2.58</w:t>
            </w:r>
            <w:r>
              <w:rPr>
                <w:rFonts w:ascii="Times New Roman" w:hAnsi="Times New Roman"/>
                <w:color w:val="000000"/>
                <w:sz w:val="20"/>
                <w:u w:color="auto"/>
              </w:rPr>
              <w:t xml:space="preserve"> </w:t>
            </w:r>
          </w:p>
        </w:tc>
        <w:tc>
          <w:tcPr>
            <w:tcW w:w="2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62.09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62.09</w:t>
            </w:r>
            <w:r>
              <w:rPr>
                <w:rFonts w:ascii="Times New Roman" w:hAnsi="Times New Roman"/>
                <w:color w:val="000000"/>
                <w:sz w:val="20"/>
                <w:u w:color="auto"/>
              </w:rPr>
              <w:t xml:space="preserve"> </w:t>
            </w:r>
          </w:p>
        </w:tc>
        <w:tc>
          <w:tcPr>
            <w:tcW w:w="2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31.04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31.04</w:t>
            </w:r>
            <w:r>
              <w:rPr>
                <w:rFonts w:ascii="Times New Roman" w:hAnsi="Times New Roman"/>
                <w:color w:val="000000"/>
                <w:sz w:val="20"/>
                <w:u w:color="auto"/>
              </w:rPr>
              <w:t xml:space="preserve"> </w:t>
            </w:r>
          </w:p>
        </w:tc>
        <w:tc>
          <w:tcPr>
            <w:tcW w:w="2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5,036.18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1,577.29</w:t>
            </w:r>
            <w:r>
              <w:rPr>
                <w:rFonts w:ascii="Times New Roman" w:hAnsi="Times New Roman"/>
                <w:b/>
                <w:color w:val="000000"/>
                <w:sz w:val="20"/>
                <w:u w:color="auto"/>
              </w:rPr>
              <w:t xml:space="preserve"> </w:t>
            </w:r>
          </w:p>
        </w:tc>
        <w:tc>
          <w:tcPr>
            <w:tcW w:w="2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3,458.89</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1,044.36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1,044.36</w:t>
            </w:r>
            <w:r>
              <w:rPr>
                <w:rFonts w:ascii="Times New Roman" w:hAnsi="Times New Roman"/>
                <w:b/>
                <w:color w:val="000000"/>
                <w:sz w:val="20"/>
                <w:u w:color="auto"/>
              </w:rPr>
              <w:t xml:space="preserve"> </w:t>
            </w:r>
          </w:p>
        </w:tc>
        <w:tc>
          <w:tcPr>
            <w:tcW w:w="2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31.68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31.68</w:t>
            </w:r>
            <w:r>
              <w:rPr>
                <w:rFonts w:ascii="Times New Roman" w:hAnsi="Times New Roman"/>
                <w:color w:val="000000"/>
                <w:sz w:val="20"/>
                <w:u w:color="auto"/>
              </w:rPr>
              <w:t xml:space="preserve"> </w:t>
            </w:r>
          </w:p>
        </w:tc>
        <w:tc>
          <w:tcPr>
            <w:tcW w:w="2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2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1,000.00</w:t>
            </w:r>
            <w:r>
              <w:rPr>
                <w:rFonts w:ascii="Times New Roman" w:hAnsi="Times New Roman"/>
                <w:color w:val="000000"/>
                <w:sz w:val="20"/>
                <w:u w:color="auto"/>
              </w:rPr>
              <w:t xml:space="preserve"> </w:t>
            </w:r>
          </w:p>
        </w:tc>
        <w:tc>
          <w:tcPr>
            <w:tcW w:w="2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7.68</w:t>
            </w:r>
            <w:r>
              <w:rPr>
                <w:rFonts w:ascii="Times New Roman" w:hAnsi="Times New Roman"/>
                <w:color w:val="000000"/>
                <w:sz w:val="20"/>
                <w:u w:color="auto"/>
              </w:rPr>
              <w:t xml:space="preserve"> </w:t>
            </w:r>
          </w:p>
        </w:tc>
        <w:tc>
          <w:tcPr>
            <w:tcW w:w="2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21013</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医疗救助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3,087.51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3,087.51</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2101301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城乡医疗救助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3,067.51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3,067.51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2101399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其他医疗救助支出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904.31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532.93</w:t>
            </w:r>
            <w:r>
              <w:rPr>
                <w:rFonts w:ascii="Times New Roman" w:hAnsi="Times New Roman"/>
                <w:b/>
                <w:color w:val="000000"/>
                <w:sz w:val="20"/>
                <w:u w:color="auto"/>
              </w:rPr>
              <w:t xml:space="preserve"> </w:t>
            </w:r>
          </w:p>
        </w:tc>
        <w:tc>
          <w:tcPr>
            <w:tcW w:w="2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371.38</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433.82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433.82</w:t>
            </w:r>
            <w:r>
              <w:rPr>
                <w:rFonts w:ascii="Times New Roman" w:hAnsi="Times New Roman"/>
                <w:color w:val="000000"/>
                <w:sz w:val="20"/>
                <w:u w:color="auto"/>
              </w:rPr>
              <w:t xml:space="preserve"> </w:t>
            </w:r>
          </w:p>
        </w:tc>
        <w:tc>
          <w:tcPr>
            <w:tcW w:w="2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202.30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202.30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2101505</w:t>
            </w:r>
          </w:p>
        </w:tc>
        <w:tc>
          <w:tcPr>
            <w:tcW w:w="3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医疗保障政策管理</w:t>
            </w:r>
          </w:p>
        </w:tc>
        <w:tc>
          <w:tcPr>
            <w:tcW w:w="33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0.31</w:t>
            </w:r>
            <w:r>
              <w:rPr>
                <w:rFonts w:ascii="Times New Roman" w:hAnsi="Times New Roman"/>
                <w:color w:val="000000"/>
                <w:sz w:val="20"/>
                <w:u w:color="auto"/>
              </w:rPr>
              <w:t xml:space="preserve"> </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8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330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158.77</w:t>
            </w:r>
            <w:r>
              <w:rPr>
                <w:rFonts w:ascii="Times New Roman" w:hAnsi="Times New Roman"/>
                <w:color w:val="000000"/>
                <w:sz w:val="20"/>
                <w:u w:color="auto"/>
              </w:rPr>
              <w:t xml:space="preserve"> </w:t>
            </w:r>
          </w:p>
        </w:tc>
        <w:tc>
          <w:tcPr>
            <w:tcW w:w="33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266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148.77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2101550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89.10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89.10</w:t>
            </w:r>
            <w:r>
              <w:rPr>
                <w:rFonts w:ascii="Times New Roman" w:hAnsi="Times New Roman"/>
                <w:color w:val="000000"/>
                <w:sz w:val="20"/>
                <w:u w:color="auto"/>
              </w:rPr>
              <w:t xml:space="preserve"> </w:t>
            </w:r>
          </w:p>
        </w:tc>
        <w:tc>
          <w:tcPr>
            <w:tcW w:w="2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其他医疗保障管理事务支出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463.26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463.26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463.26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463.26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463.26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463.26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48.53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48.53</w:t>
            </w:r>
            <w:r>
              <w:rPr>
                <w:rFonts w:ascii="Times New Roman" w:hAnsi="Times New Roman"/>
                <w:b/>
                <w:color w:val="000000"/>
                <w:sz w:val="20"/>
                <w:u w:color="auto"/>
              </w:rPr>
              <w:t xml:space="preserve"> </w:t>
            </w:r>
          </w:p>
        </w:tc>
        <w:tc>
          <w:tcPr>
            <w:tcW w:w="2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48.53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48.53</w:t>
            </w:r>
            <w:r>
              <w:rPr>
                <w:rFonts w:ascii="Times New Roman" w:hAnsi="Times New Roman"/>
                <w:b/>
                <w:color w:val="000000"/>
                <w:sz w:val="20"/>
                <w:u w:color="auto"/>
              </w:rPr>
              <w:t xml:space="preserve"> </w:t>
            </w:r>
          </w:p>
        </w:tc>
        <w:tc>
          <w:tcPr>
            <w:tcW w:w="2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48.53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48.53</w:t>
            </w:r>
            <w:r>
              <w:rPr>
                <w:rFonts w:ascii="Times New Roman" w:hAnsi="Times New Roman"/>
                <w:color w:val="000000"/>
                <w:sz w:val="20"/>
                <w:u w:color="auto"/>
              </w:rPr>
              <w:t xml:space="preserve"> </w:t>
            </w:r>
          </w:p>
        </w:tc>
        <w:tc>
          <w:tcPr>
            <w:tcW w:w="2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035"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613"/>
      </w:tblGrid>
      <w:tr>
        <w:tblPrEx>
          <w:tblLayout w:type="fixed"/>
          <w:tblCellMar>
            <w:top w:w="0" w:type="dxa"/>
            <w:left w:w="0" w:type="dxa"/>
            <w:bottom w:w="0" w:type="dxa"/>
            <w:right w:w="0" w:type="dxa"/>
          </w:tblCellMar>
        </w:tblPrEx>
        <w:trPr>
          <w:trHeight w:val="90" w:hRule="atLeast"/>
        </w:trPr>
        <w:tc>
          <w:tcPr>
            <w:tcW w:w="15035" w:type="dxa"/>
            <w:gridSpan w:val="9"/>
            <w:tcBorders>
              <w:top w:val="nil"/>
              <w:left w:val="nil"/>
              <w:bottom w:val="nil"/>
              <w:right w:val="nil"/>
            </w:tcBorders>
            <w:shd w:val="clear" w:color="auto" w:fill="auto"/>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u w:color="auto"/>
              </w:rPr>
              <w:t>秀山土家族苗族自治县医疗保障局</w:t>
            </w: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13"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13"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331"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1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1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1,638.07</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81.78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149.93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20.25</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108.30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143.86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48.86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0.56</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62.09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31.04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36.68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1,000.00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48.53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0.26</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23.05</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1,640.65</w:t>
            </w:r>
            <w:r>
              <w:rPr>
                <w:rFonts w:ascii="Times New Roman" w:hAnsi="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6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81.78</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089"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600"/>
      </w:tblGrid>
      <w:tr>
        <w:tblPrEx>
          <w:tblLayout w:type="fixed"/>
          <w:tblCellMar>
            <w:top w:w="0" w:type="dxa"/>
            <w:left w:w="0" w:type="dxa"/>
            <w:bottom w:w="0" w:type="dxa"/>
            <w:right w:w="0" w:type="dxa"/>
          </w:tblCellMar>
        </w:tblPrEx>
        <w:trPr>
          <w:trHeight w:val="644" w:hRule="atLeast"/>
        </w:trPr>
        <w:tc>
          <w:tcPr>
            <w:tcW w:w="15089"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秀山土家族苗族自治县医疗保障局</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00"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00"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4980" w:type="dxa"/>
        <w:tblInd w:w="0" w:type="dxa"/>
        <w:tblLayout w:type="fixed"/>
        <w:tblCellMar>
          <w:top w:w="0" w:type="dxa"/>
          <w:left w:w="0" w:type="dxa"/>
          <w:bottom w:w="0" w:type="dxa"/>
          <w:right w:w="0" w:type="dxa"/>
        </w:tblCellMar>
      </w:tblPr>
      <w:tblGrid>
        <w:gridCol w:w="2001"/>
        <w:gridCol w:w="2917"/>
        <w:gridCol w:w="3264"/>
        <w:gridCol w:w="199"/>
        <w:gridCol w:w="3463"/>
        <w:gridCol w:w="77"/>
        <w:gridCol w:w="3059"/>
      </w:tblGrid>
      <w:tr>
        <w:tblPrEx>
          <w:tblLayout w:type="fixed"/>
          <w:tblCellMar>
            <w:top w:w="0" w:type="dxa"/>
            <w:left w:w="0" w:type="dxa"/>
            <w:bottom w:w="0" w:type="dxa"/>
            <w:right w:w="0" w:type="dxa"/>
          </w:tblCellMar>
        </w:tblPrEx>
        <w:trPr>
          <w:trHeight w:val="650" w:hRule="atLeast"/>
        </w:trPr>
        <w:tc>
          <w:tcPr>
            <w:tcW w:w="14980"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秀山土家族苗族自治县医疗保障局</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059"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059"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06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136"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36"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36"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36"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13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13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部门</w:t>
            </w:r>
            <w:r>
              <w:rPr>
                <w:rFonts w:cs="宋体"/>
                <w:color w:val="000000"/>
                <w:kern w:val="2"/>
                <w:sz w:val="20"/>
                <w:szCs w:val="20"/>
              </w:rPr>
              <w:t>：</w:t>
            </w:r>
            <w:r>
              <w:rPr>
                <w:color w:val="000000"/>
                <w:sz w:val="20"/>
                <w:u w:color="auto"/>
              </w:rPr>
              <w:t>秀山土家族苗族自治县医疗保障局</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73.85</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2.46</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2.46</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25.15</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48.69</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1.69</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1.69</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1.69</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1.69</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0.77</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0.77</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0.77</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3.88</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3.88</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3.88</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3.88</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0.62</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21.33</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11.09</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Borders>
        <w:top w:val="none" w:sz="0" w:space="0"/>
        <w:left w:val="none" w:sz="0" w:space="0"/>
        <w:bottom w:val="none" w:sz="0" w:space="0"/>
        <w:right w:val="none" w:sz="0" w:space="0"/>
      </w:pgBorders>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35FCD0"/>
    <w:multiLevelType w:val="singleLevel"/>
    <w:tmpl w:val="CB35FCD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HorizontalSpacing w:val="120"/>
  <w:drawingGridVerticalSpacing w:val="164"/>
  <w:displayHorizontalDrawingGridEvery w:val="1"/>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B87EA0"/>
    <w:rsid w:val="03E3214F"/>
    <w:rsid w:val="044C50BA"/>
    <w:rsid w:val="045074EE"/>
    <w:rsid w:val="056E0B41"/>
    <w:rsid w:val="05BC6D49"/>
    <w:rsid w:val="06194FF1"/>
    <w:rsid w:val="06A2550B"/>
    <w:rsid w:val="06F80EE2"/>
    <w:rsid w:val="07001CCA"/>
    <w:rsid w:val="075678DB"/>
    <w:rsid w:val="079D7CC7"/>
    <w:rsid w:val="08051BCA"/>
    <w:rsid w:val="086C12F4"/>
    <w:rsid w:val="087B3940"/>
    <w:rsid w:val="08BA052C"/>
    <w:rsid w:val="08DB07BA"/>
    <w:rsid w:val="0969353F"/>
    <w:rsid w:val="098305D0"/>
    <w:rsid w:val="098A0877"/>
    <w:rsid w:val="0A5C4B69"/>
    <w:rsid w:val="0A86124A"/>
    <w:rsid w:val="0AB54CC0"/>
    <w:rsid w:val="0B3A699F"/>
    <w:rsid w:val="0B9335CE"/>
    <w:rsid w:val="0BA07890"/>
    <w:rsid w:val="0C034F72"/>
    <w:rsid w:val="0C7927C4"/>
    <w:rsid w:val="0C9B098C"/>
    <w:rsid w:val="0D673E11"/>
    <w:rsid w:val="0D96461D"/>
    <w:rsid w:val="0DDA54E4"/>
    <w:rsid w:val="0E3A5F83"/>
    <w:rsid w:val="0E74421A"/>
    <w:rsid w:val="0E8F12B4"/>
    <w:rsid w:val="0EA46639"/>
    <w:rsid w:val="0EC6180C"/>
    <w:rsid w:val="0F497FB6"/>
    <w:rsid w:val="0F836721"/>
    <w:rsid w:val="0FA25D96"/>
    <w:rsid w:val="0FF25630"/>
    <w:rsid w:val="107B59E5"/>
    <w:rsid w:val="10B37208"/>
    <w:rsid w:val="10EC0126"/>
    <w:rsid w:val="10F70B9A"/>
    <w:rsid w:val="111445C7"/>
    <w:rsid w:val="11202064"/>
    <w:rsid w:val="114278C6"/>
    <w:rsid w:val="1158083A"/>
    <w:rsid w:val="11643A4B"/>
    <w:rsid w:val="11ED0F98"/>
    <w:rsid w:val="11F03528"/>
    <w:rsid w:val="12C921C4"/>
    <w:rsid w:val="12E83CF9"/>
    <w:rsid w:val="12F52ECF"/>
    <w:rsid w:val="13871C70"/>
    <w:rsid w:val="139D5716"/>
    <w:rsid w:val="13A71CB4"/>
    <w:rsid w:val="13AF1D43"/>
    <w:rsid w:val="13CE1647"/>
    <w:rsid w:val="13DA0C25"/>
    <w:rsid w:val="13FD55AB"/>
    <w:rsid w:val="14200702"/>
    <w:rsid w:val="14907817"/>
    <w:rsid w:val="14DD304B"/>
    <w:rsid w:val="163A6CEE"/>
    <w:rsid w:val="173708E3"/>
    <w:rsid w:val="174C19C7"/>
    <w:rsid w:val="17C374FC"/>
    <w:rsid w:val="189079DC"/>
    <w:rsid w:val="189B0D0B"/>
    <w:rsid w:val="18B43F7C"/>
    <w:rsid w:val="194A1770"/>
    <w:rsid w:val="19B906A4"/>
    <w:rsid w:val="19B96C3A"/>
    <w:rsid w:val="1B6F15B6"/>
    <w:rsid w:val="1BAA2EDC"/>
    <w:rsid w:val="1C5C0973"/>
    <w:rsid w:val="1C826441"/>
    <w:rsid w:val="1CA55E64"/>
    <w:rsid w:val="1D014A01"/>
    <w:rsid w:val="1D022362"/>
    <w:rsid w:val="1D1B04B0"/>
    <w:rsid w:val="1D6534C4"/>
    <w:rsid w:val="1DBD6767"/>
    <w:rsid w:val="1DC52125"/>
    <w:rsid w:val="1DD26311"/>
    <w:rsid w:val="1E374ACB"/>
    <w:rsid w:val="1E5E27E3"/>
    <w:rsid w:val="1EA33588"/>
    <w:rsid w:val="1ECF0A66"/>
    <w:rsid w:val="1EF67CA4"/>
    <w:rsid w:val="1F020D3A"/>
    <w:rsid w:val="1F2C5189"/>
    <w:rsid w:val="1F3A20ED"/>
    <w:rsid w:val="1F4B0B02"/>
    <w:rsid w:val="1FBB35CD"/>
    <w:rsid w:val="1FCD26AF"/>
    <w:rsid w:val="20642787"/>
    <w:rsid w:val="21556F04"/>
    <w:rsid w:val="22403BD3"/>
    <w:rsid w:val="235C270A"/>
    <w:rsid w:val="23DA37D9"/>
    <w:rsid w:val="24B92327"/>
    <w:rsid w:val="24C14514"/>
    <w:rsid w:val="2533755C"/>
    <w:rsid w:val="25575A2B"/>
    <w:rsid w:val="25791755"/>
    <w:rsid w:val="25DB6A41"/>
    <w:rsid w:val="26396DF4"/>
    <w:rsid w:val="267D4546"/>
    <w:rsid w:val="27167136"/>
    <w:rsid w:val="27B23302"/>
    <w:rsid w:val="29310A5F"/>
    <w:rsid w:val="29C37A35"/>
    <w:rsid w:val="2A076083"/>
    <w:rsid w:val="2A73162E"/>
    <w:rsid w:val="2B167953"/>
    <w:rsid w:val="2B200583"/>
    <w:rsid w:val="2B220436"/>
    <w:rsid w:val="2B8209DE"/>
    <w:rsid w:val="2B9A00AB"/>
    <w:rsid w:val="2C6762A3"/>
    <w:rsid w:val="2D04733C"/>
    <w:rsid w:val="2D5A6C5C"/>
    <w:rsid w:val="2EBF7B3E"/>
    <w:rsid w:val="2EDE1934"/>
    <w:rsid w:val="2FCA4B37"/>
    <w:rsid w:val="2FE029D7"/>
    <w:rsid w:val="2FF06E00"/>
    <w:rsid w:val="2FF676F7"/>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4D92688"/>
    <w:rsid w:val="350E5B6C"/>
    <w:rsid w:val="352930DB"/>
    <w:rsid w:val="35573069"/>
    <w:rsid w:val="355F6038"/>
    <w:rsid w:val="358C217E"/>
    <w:rsid w:val="35937598"/>
    <w:rsid w:val="36C9128A"/>
    <w:rsid w:val="36E57AED"/>
    <w:rsid w:val="372E3953"/>
    <w:rsid w:val="37841E99"/>
    <w:rsid w:val="37BF1123"/>
    <w:rsid w:val="383C3F15"/>
    <w:rsid w:val="38BE4696"/>
    <w:rsid w:val="3939115E"/>
    <w:rsid w:val="396B275E"/>
    <w:rsid w:val="39B82A39"/>
    <w:rsid w:val="39C42CA8"/>
    <w:rsid w:val="39DC4FD6"/>
    <w:rsid w:val="39F03D7A"/>
    <w:rsid w:val="39F33306"/>
    <w:rsid w:val="3A22292D"/>
    <w:rsid w:val="3A2C1C67"/>
    <w:rsid w:val="3B1705E5"/>
    <w:rsid w:val="3B18334B"/>
    <w:rsid w:val="3B36794F"/>
    <w:rsid w:val="3C566AD6"/>
    <w:rsid w:val="3C6A5B02"/>
    <w:rsid w:val="3CD45FD0"/>
    <w:rsid w:val="3D2757A1"/>
    <w:rsid w:val="3D3D4FC4"/>
    <w:rsid w:val="3DDF3AB1"/>
    <w:rsid w:val="3E1D0952"/>
    <w:rsid w:val="3E42660A"/>
    <w:rsid w:val="3E6C71FA"/>
    <w:rsid w:val="3E7555B1"/>
    <w:rsid w:val="3E787ED9"/>
    <w:rsid w:val="3EEC37F3"/>
    <w:rsid w:val="3F032E93"/>
    <w:rsid w:val="3F0527E5"/>
    <w:rsid w:val="3F4814B0"/>
    <w:rsid w:val="3F5E5D98"/>
    <w:rsid w:val="3F694D83"/>
    <w:rsid w:val="3F885DCC"/>
    <w:rsid w:val="3FCD675E"/>
    <w:rsid w:val="3FD86860"/>
    <w:rsid w:val="4004000C"/>
    <w:rsid w:val="40D54604"/>
    <w:rsid w:val="40F16DC2"/>
    <w:rsid w:val="411B6CE5"/>
    <w:rsid w:val="412070D7"/>
    <w:rsid w:val="41314E40"/>
    <w:rsid w:val="41E0734B"/>
    <w:rsid w:val="42394D3B"/>
    <w:rsid w:val="426554D0"/>
    <w:rsid w:val="426C1EA8"/>
    <w:rsid w:val="42736402"/>
    <w:rsid w:val="42E86A87"/>
    <w:rsid w:val="43307B09"/>
    <w:rsid w:val="43470647"/>
    <w:rsid w:val="438D0E97"/>
    <w:rsid w:val="43BB152F"/>
    <w:rsid w:val="43BB3748"/>
    <w:rsid w:val="44494994"/>
    <w:rsid w:val="44B96DCF"/>
    <w:rsid w:val="44C37687"/>
    <w:rsid w:val="45044A25"/>
    <w:rsid w:val="45CB699A"/>
    <w:rsid w:val="465B470D"/>
    <w:rsid w:val="469D6AD4"/>
    <w:rsid w:val="471E6C84"/>
    <w:rsid w:val="4748792B"/>
    <w:rsid w:val="475D719D"/>
    <w:rsid w:val="47674801"/>
    <w:rsid w:val="48225EF7"/>
    <w:rsid w:val="486F465E"/>
    <w:rsid w:val="488F422B"/>
    <w:rsid w:val="48E36915"/>
    <w:rsid w:val="495C4A24"/>
    <w:rsid w:val="497135DF"/>
    <w:rsid w:val="4A1605D9"/>
    <w:rsid w:val="4A263DF2"/>
    <w:rsid w:val="4A6F6675"/>
    <w:rsid w:val="4ABF0746"/>
    <w:rsid w:val="4B0502DF"/>
    <w:rsid w:val="4B135857"/>
    <w:rsid w:val="4B7951CB"/>
    <w:rsid w:val="4B7C315C"/>
    <w:rsid w:val="4CCF773C"/>
    <w:rsid w:val="4D2C616F"/>
    <w:rsid w:val="4DAC4ACA"/>
    <w:rsid w:val="4DBE01D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861779"/>
    <w:rsid w:val="552256E1"/>
    <w:rsid w:val="552D1346"/>
    <w:rsid w:val="554E5773"/>
    <w:rsid w:val="555A3CBC"/>
    <w:rsid w:val="5582012B"/>
    <w:rsid w:val="558E4E05"/>
    <w:rsid w:val="55BE2E85"/>
    <w:rsid w:val="55D82B6C"/>
    <w:rsid w:val="561D52C4"/>
    <w:rsid w:val="5651697D"/>
    <w:rsid w:val="56530F5D"/>
    <w:rsid w:val="56692AE5"/>
    <w:rsid w:val="567700D3"/>
    <w:rsid w:val="56FF7E9E"/>
    <w:rsid w:val="578867FC"/>
    <w:rsid w:val="5842572D"/>
    <w:rsid w:val="59AA03CE"/>
    <w:rsid w:val="59D930CD"/>
    <w:rsid w:val="5A3B59D6"/>
    <w:rsid w:val="5AB02D42"/>
    <w:rsid w:val="5AD134D8"/>
    <w:rsid w:val="5AE77173"/>
    <w:rsid w:val="5B6503B1"/>
    <w:rsid w:val="5C0F7EC4"/>
    <w:rsid w:val="5C1038F7"/>
    <w:rsid w:val="5C263CE4"/>
    <w:rsid w:val="5C5D2777"/>
    <w:rsid w:val="5CF66BF3"/>
    <w:rsid w:val="5D290C69"/>
    <w:rsid w:val="5D316534"/>
    <w:rsid w:val="5E4F0B1E"/>
    <w:rsid w:val="5F2D4A41"/>
    <w:rsid w:val="60C74F6C"/>
    <w:rsid w:val="60F81AB5"/>
    <w:rsid w:val="61025A59"/>
    <w:rsid w:val="613D5BBC"/>
    <w:rsid w:val="61536C39"/>
    <w:rsid w:val="61E64F4A"/>
    <w:rsid w:val="623E0993"/>
    <w:rsid w:val="62944DD7"/>
    <w:rsid w:val="6319381F"/>
    <w:rsid w:val="63236436"/>
    <w:rsid w:val="63303185"/>
    <w:rsid w:val="63C25DC5"/>
    <w:rsid w:val="63C62057"/>
    <w:rsid w:val="64571EF5"/>
    <w:rsid w:val="64CB0157"/>
    <w:rsid w:val="64FB113D"/>
    <w:rsid w:val="65036946"/>
    <w:rsid w:val="654A25FE"/>
    <w:rsid w:val="656152C6"/>
    <w:rsid w:val="6585461F"/>
    <w:rsid w:val="6587477F"/>
    <w:rsid w:val="658C3A08"/>
    <w:rsid w:val="65C031CA"/>
    <w:rsid w:val="65CE6852"/>
    <w:rsid w:val="65EB6584"/>
    <w:rsid w:val="66267C04"/>
    <w:rsid w:val="663F505A"/>
    <w:rsid w:val="66967186"/>
    <w:rsid w:val="66EE5541"/>
    <w:rsid w:val="67924660"/>
    <w:rsid w:val="67B3608E"/>
    <w:rsid w:val="682A588A"/>
    <w:rsid w:val="683200C2"/>
    <w:rsid w:val="68407834"/>
    <w:rsid w:val="6883293E"/>
    <w:rsid w:val="688412AD"/>
    <w:rsid w:val="68EB1B71"/>
    <w:rsid w:val="69475C96"/>
    <w:rsid w:val="6AAD2300"/>
    <w:rsid w:val="6B474EF5"/>
    <w:rsid w:val="6BBF53FD"/>
    <w:rsid w:val="6BDD0356"/>
    <w:rsid w:val="6C2764C6"/>
    <w:rsid w:val="6C560CAE"/>
    <w:rsid w:val="6C576495"/>
    <w:rsid w:val="6D903FF5"/>
    <w:rsid w:val="6DA955B8"/>
    <w:rsid w:val="6DE346AB"/>
    <w:rsid w:val="6DE5391A"/>
    <w:rsid w:val="6E2D3F65"/>
    <w:rsid w:val="6EEA5552"/>
    <w:rsid w:val="6EFD1324"/>
    <w:rsid w:val="6F5A53AC"/>
    <w:rsid w:val="6FAC003D"/>
    <w:rsid w:val="6FE55E12"/>
    <w:rsid w:val="6FFB2E76"/>
    <w:rsid w:val="701B48E6"/>
    <w:rsid w:val="708F6F7F"/>
    <w:rsid w:val="70D94BD3"/>
    <w:rsid w:val="71C34D91"/>
    <w:rsid w:val="72DB435C"/>
    <w:rsid w:val="72E2613A"/>
    <w:rsid w:val="72F771F4"/>
    <w:rsid w:val="734150D5"/>
    <w:rsid w:val="736650B0"/>
    <w:rsid w:val="73934AD2"/>
    <w:rsid w:val="741616A7"/>
    <w:rsid w:val="750837F0"/>
    <w:rsid w:val="754758CF"/>
    <w:rsid w:val="761275E6"/>
    <w:rsid w:val="764F62AB"/>
    <w:rsid w:val="765C45EC"/>
    <w:rsid w:val="768A7619"/>
    <w:rsid w:val="76E029E5"/>
    <w:rsid w:val="772E1EBA"/>
    <w:rsid w:val="77756909"/>
    <w:rsid w:val="77EB79F7"/>
    <w:rsid w:val="792926D0"/>
    <w:rsid w:val="796D60A4"/>
    <w:rsid w:val="79A031D5"/>
    <w:rsid w:val="79A32619"/>
    <w:rsid w:val="7A1525F7"/>
    <w:rsid w:val="7B420052"/>
    <w:rsid w:val="7B861484"/>
    <w:rsid w:val="7BD06A28"/>
    <w:rsid w:val="7C3A7C0B"/>
    <w:rsid w:val="7C5248E4"/>
    <w:rsid w:val="7C566698"/>
    <w:rsid w:val="7C5866A3"/>
    <w:rsid w:val="7D7406BB"/>
    <w:rsid w:val="7DE94331"/>
    <w:rsid w:val="7E6F27D6"/>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qFormat/>
    <w:uiPriority w:val="99"/>
    <w:pPr>
      <w:ind w:firstLine="420" w:firstLineChars="200"/>
    </w:pPr>
    <w:rPr>
      <w:rFonts w:hint="default" w:ascii="宋体" w:hAnsi="宋体" w:eastAsia="宋体" w:cs="Times New Roman"/>
      <w:sz w:val="24"/>
      <w:szCs w:val="24"/>
      <w:lang w:val="en-US" w:eastAsia="zh-CN" w:bidi="ar-SA"/>
    </w:rPr>
  </w:style>
  <w:style w:type="character" w:customStyle="1" w:styleId="17">
    <w:name w:val="font61"/>
    <w:basedOn w:val="9"/>
    <w:qFormat/>
    <w:uiPriority w:val="0"/>
    <w:rPr>
      <w:rFonts w:hint="default" w:ascii="Times New Roman" w:hAnsi="Times New Roman" w:cs="Times New Roman"/>
      <w:color w:val="000000"/>
      <w:sz w:val="18"/>
      <w:szCs w:val="18"/>
      <w:u w:val="none"/>
    </w:rPr>
  </w:style>
  <w:style w:type="character" w:customStyle="1" w:styleId="18">
    <w:name w:val="font01"/>
    <w:basedOn w:val="9"/>
    <w:qFormat/>
    <w:uiPriority w:val="0"/>
    <w:rPr>
      <w:rFonts w:hint="eastAsia" w:ascii="方正仿宋_GBK" w:hAnsi="方正仿宋_GBK" w:eastAsia="方正仿宋_GBK" w:cs="方正仿宋_GBK"/>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3933</Words>
  <Characters>22421</Characters>
  <Lines>186</Lines>
  <Paragraphs>52</Paragraphs>
  <TotalTime>0</TotalTime>
  <ScaleCrop>false</ScaleCrop>
  <LinksUpToDate>false</LinksUpToDate>
  <CharactersWithSpaces>26302</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Administrator</cp:lastModifiedBy>
  <cp:lastPrinted>2025-10-11T09:23:00Z</cp:lastPrinted>
  <dcterms:modified xsi:type="dcterms:W3CDTF">2025-10-24T02:35:47Z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BB46EABDBB2749749395447164B066B3_12</vt:lpwstr>
  </property>
</Properties>
</file>