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秀山土家族苗族自治县工资统发中心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10"/>
          <w:rFonts w:hint="default" w:ascii="Times New Roman" w:hAnsi="Times New Roman" w:eastAsia="方正楷体_GBK" w:cs="Times New Roman"/>
          <w:b w:val="0"/>
          <w:bCs/>
          <w:sz w:val="32"/>
          <w:szCs w:val="32"/>
          <w:shd w:val="clear" w:color="auto" w:fill="FFFFFF"/>
        </w:rPr>
        <w:t>（一）职能职责</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Style w:val="10"/>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lang w:val="en-US" w:eastAsia="zh-CN"/>
        </w:rPr>
        <w:t>负责全县机关事业单位工作人员工资及离休人员离休费统一发放、审核等事务性工作，督促检查统发单位的工资发放情况。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Style w:val="10"/>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lang w:val="en-US" w:eastAsia="zh-CN"/>
        </w:rPr>
        <w:t>承办机关事业单位工资统发数据的收集、统计、分析等工作。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Style w:val="10"/>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lang w:val="en-US" w:eastAsia="zh-CN"/>
        </w:rPr>
        <w:t>负责机关事业单位工资统发系统的建设维护。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Style w:val="10"/>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lang w:val="en-US" w:eastAsia="zh-CN"/>
        </w:rPr>
        <w:t>承办上级业务部门及县人力资源和社会保障局交办的其它工作。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10"/>
          <w:rFonts w:hint="default" w:ascii="Times New Roman" w:hAnsi="Times New Roman" w:eastAsia="方正楷体_GBK" w:cs="Times New Roman"/>
          <w:b w:val="0"/>
          <w:bCs/>
          <w:sz w:val="32"/>
          <w:szCs w:val="32"/>
          <w:shd w:val="clear" w:color="auto" w:fill="FFFFFF"/>
        </w:rPr>
        <w:t>（二）机构设置</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i w:val="0"/>
          <w:iCs w:val="0"/>
          <w:caps w:val="0"/>
          <w:color w:val="333333"/>
          <w:spacing w:val="0"/>
          <w:sz w:val="32"/>
          <w:szCs w:val="32"/>
          <w:shd w:val="clear" w:fill="FFFFFF"/>
          <w:lang w:eastAsia="zh-CN"/>
        </w:rPr>
        <w:t>秀山县工资统发中心</w:t>
      </w:r>
      <w:r>
        <w:rPr>
          <w:rFonts w:hint="default" w:ascii="Times New Roman" w:hAnsi="Times New Roman" w:eastAsia="方正仿宋_GBK" w:cs="Times New Roman"/>
          <w:i w:val="0"/>
          <w:iCs w:val="0"/>
          <w:caps w:val="0"/>
          <w:color w:val="333333"/>
          <w:spacing w:val="0"/>
          <w:sz w:val="32"/>
          <w:szCs w:val="32"/>
          <w:shd w:val="clear" w:fill="FFFFFF"/>
        </w:rPr>
        <w:t>为</w:t>
      </w:r>
      <w:r>
        <w:rPr>
          <w:rFonts w:hint="eastAsia" w:ascii="Times New Roman" w:hAnsi="Times New Roman" w:eastAsia="方正仿宋_GBK" w:cs="Times New Roman"/>
          <w:i w:val="0"/>
          <w:iCs w:val="0"/>
          <w:caps w:val="0"/>
          <w:color w:val="333333"/>
          <w:spacing w:val="0"/>
          <w:sz w:val="32"/>
          <w:szCs w:val="32"/>
          <w:shd w:val="clear" w:fill="FFFFFF"/>
          <w:lang w:eastAsia="zh-CN"/>
        </w:rPr>
        <w:t>秀山县人力资源和社会保障局下属事业单位</w:t>
      </w:r>
      <w:r>
        <w:rPr>
          <w:rFonts w:hint="default" w:ascii="Times New Roman" w:hAnsi="Times New Roman" w:eastAsia="方正仿宋_GBK" w:cs="Times New Roman"/>
          <w:i w:val="0"/>
          <w:iCs w:val="0"/>
          <w:caps w:val="0"/>
          <w:color w:val="333333"/>
          <w:spacing w:val="0"/>
          <w:sz w:val="32"/>
          <w:szCs w:val="32"/>
          <w:shd w:val="clear" w:fill="FFFFFF"/>
        </w:rPr>
        <w:t>，内设</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个职能科室，</w:t>
      </w:r>
      <w:r>
        <w:rPr>
          <w:rFonts w:hint="eastAsia" w:ascii="Times New Roman" w:hAnsi="Times New Roman" w:eastAsia="方正仿宋_GBK" w:cs="Times New Roman"/>
          <w:i w:val="0"/>
          <w:iCs w:val="0"/>
          <w:caps w:val="0"/>
          <w:color w:val="333333"/>
          <w:spacing w:val="0"/>
          <w:sz w:val="32"/>
          <w:szCs w:val="32"/>
          <w:shd w:val="clear" w:fill="FFFFFF"/>
          <w:lang w:eastAsia="zh-CN"/>
        </w:rPr>
        <w:t>工资统发中心</w:t>
      </w:r>
      <w:r>
        <w:rPr>
          <w:rFonts w:hint="default" w:ascii="Times New Roman" w:hAnsi="Times New Roman" w:eastAsia="方正仿宋_GBK" w:cs="Times New Roman"/>
          <w:sz w:val="32"/>
          <w:szCs w:val="32"/>
          <w:lang w:val="en-US" w:eastAsia="zh-CN"/>
        </w:rPr>
        <w:t>（与工资科合署办公）</w:t>
      </w:r>
      <w:r>
        <w:rPr>
          <w:rFonts w:ascii="方正仿宋_GBK" w:hAnsi="方正仿宋_GBK" w:eastAsia="方正仿宋_GBK" w:cs="方正仿宋_GBK"/>
          <w:i w:val="0"/>
          <w:iCs w:val="0"/>
          <w:caps w:val="0"/>
          <w:color w:val="333333"/>
          <w:spacing w:val="0"/>
          <w:sz w:val="32"/>
          <w:szCs w:val="32"/>
          <w:shd w:val="clear"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t>（一）收入支出决算总体情况说明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万元，支出总计</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收支较上年决算数增加</w:t>
      </w:r>
      <w:r>
        <w:rPr>
          <w:rFonts w:hint="eastAsia" w:ascii="Times New Roman" w:hAnsi="Times New Roman" w:eastAsia="方正仿宋_GBK" w:cs="Times New Roman"/>
          <w:color w:val="auto"/>
          <w:sz w:val="32"/>
          <w:szCs w:val="32"/>
          <w:shd w:val="clear" w:color="auto" w:fill="FFFFFF"/>
          <w:lang w:val="en-US" w:eastAsia="zh-CN"/>
        </w:rPr>
        <w:t>14.61</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28.54</w:t>
      </w:r>
      <w:r>
        <w:rPr>
          <w:rFonts w:hint="default" w:ascii="Times New Roman" w:hAnsi="Times New Roman" w:eastAsia="方正仿宋_GBK" w:cs="Times New Roman"/>
          <w:color w:val="auto"/>
          <w:sz w:val="32"/>
          <w:szCs w:val="32"/>
          <w:shd w:val="clear" w:color="auto" w:fill="FFFFFF"/>
          <w:lang w:val="en-US" w:eastAsia="zh-CN"/>
        </w:rPr>
        <w:t>%</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社保基数调增</w:t>
      </w:r>
      <w:r>
        <w:rPr>
          <w:rFonts w:hint="eastAsia" w:ascii="Times New Roman" w:hAnsi="Times New Roman" w:eastAsia="方正仿宋_GBK" w:cs="Times New Roman"/>
          <w:color w:val="auto"/>
          <w:sz w:val="32"/>
          <w:szCs w:val="32"/>
          <w:shd w:val="clear" w:color="auto" w:fill="FFFFFF"/>
          <w:lang w:val="en-US" w:eastAsia="zh-CN"/>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eastAsia" w:ascii="Times New Roman" w:hAnsi="Times New Roman" w:eastAsia="方正仿宋_GBK" w:cs="Times New Roman"/>
          <w:color w:val="auto"/>
          <w:sz w:val="32"/>
          <w:szCs w:val="32"/>
          <w:shd w:val="clear" w:color="auto" w:fill="FFFFFF"/>
          <w:lang w:val="en-US" w:eastAsia="zh-CN"/>
        </w:rPr>
        <w:t>1</w:t>
      </w:r>
      <w:r>
        <w:rPr>
          <w:rStyle w:val="10"/>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较上年决算数增加</w:t>
      </w:r>
      <w:r>
        <w:rPr>
          <w:rFonts w:hint="eastAsia" w:ascii="Times New Roman" w:hAnsi="Times New Roman" w:eastAsia="方正仿宋_GBK" w:cs="Times New Roman"/>
          <w:color w:val="auto"/>
          <w:sz w:val="32"/>
          <w:szCs w:val="32"/>
          <w:shd w:val="clear" w:color="auto" w:fill="FFFFFF"/>
          <w:lang w:val="en-US" w:eastAsia="zh-CN"/>
        </w:rPr>
        <w:t>14.61</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28.54</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社保基数调增</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其中：财政拨款收入</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shd w:val="clear" w:color="auto" w:fill="FFFFFF"/>
        </w:rPr>
      </w:pPr>
      <w:r>
        <w:rPr>
          <w:rStyle w:val="10"/>
          <w:rFonts w:hint="eastAsia" w:ascii="Times New Roman" w:hAnsi="Times New Roman" w:eastAsia="方正仿宋_GBK" w:cs="Times New Roman"/>
          <w:color w:val="auto"/>
          <w:sz w:val="32"/>
          <w:szCs w:val="32"/>
          <w:shd w:val="clear" w:color="auto" w:fill="FFFFFF"/>
          <w:lang w:val="en-US" w:eastAsia="zh-CN"/>
        </w:rPr>
        <w:t>2</w:t>
      </w:r>
      <w:r>
        <w:rPr>
          <w:rStyle w:val="10"/>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较上年决算数增加</w:t>
      </w:r>
      <w:r>
        <w:rPr>
          <w:rFonts w:hint="eastAsia" w:ascii="Times New Roman" w:hAnsi="Times New Roman" w:eastAsia="方正仿宋_GBK" w:cs="Times New Roman"/>
          <w:color w:val="auto"/>
          <w:sz w:val="32"/>
          <w:szCs w:val="32"/>
          <w:shd w:val="clear" w:color="auto" w:fill="FFFFFF"/>
          <w:lang w:val="en-US" w:eastAsia="zh-CN"/>
        </w:rPr>
        <w:t>14.61</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28.54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社保基数调增</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其中：基本支出</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100.00</w:t>
      </w:r>
      <w:r>
        <w:rPr>
          <w:rFonts w:hint="default" w:ascii="Times New Roman" w:hAnsi="Times New Roman" w:eastAsia="方正仿宋_GBK" w:cs="Times New Roman"/>
          <w:color w:val="auto"/>
          <w:sz w:val="32"/>
          <w:szCs w:val="32"/>
          <w:shd w:val="clear" w:color="auto" w:fill="FFFFFF"/>
        </w:rPr>
        <w:t>%；项目支出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10"/>
          <w:rFonts w:hint="eastAsia" w:ascii="Times New Roman" w:hAnsi="Times New Roman" w:eastAsia="方正仿宋_GBK" w:cs="Times New Roman"/>
          <w:color w:val="auto"/>
          <w:sz w:val="32"/>
          <w:szCs w:val="32"/>
          <w:shd w:val="clear" w:color="auto" w:fill="FFFFFF"/>
          <w:lang w:val="en-US" w:eastAsia="zh-CN"/>
        </w:rPr>
        <w:t>3</w:t>
      </w:r>
      <w:r>
        <w:rPr>
          <w:rStyle w:val="10"/>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shd w:val="clear" w:color="auto" w:fill="FFFFFF"/>
          <w:lang w:val="en-US" w:eastAsia="zh-CN"/>
        </w:rPr>
        <w:t>65.81</w:t>
      </w:r>
      <w:r>
        <w:rPr>
          <w:rFonts w:hint="default" w:ascii="Times New Roman" w:hAnsi="Times New Roman" w:eastAsia="方正仿宋_GBK" w:cs="Times New Roman"/>
          <w:color w:val="auto"/>
          <w:sz w:val="32"/>
          <w:szCs w:val="32"/>
          <w:shd w:val="clear" w:color="auto" w:fill="FFFFFF"/>
        </w:rPr>
        <w:t>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14.61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28.54</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社保基数及工资调增</w:t>
      </w:r>
      <w:r>
        <w:rPr>
          <w:rFonts w:hint="eastAsia" w:ascii="Times New Roman" w:hAnsi="Times New Roman" w:eastAsia="方正仿宋_GBK" w:cs="Times New Roman"/>
          <w:color w:val="auto"/>
          <w:sz w:val="32"/>
          <w:szCs w:val="32"/>
          <w:shd w:val="clear" w:color="auto" w:fill="FFFFFF"/>
          <w:lang w:val="en-US"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lang w:val="en-US" w:eastAsia="zh-CN"/>
        </w:rPr>
        <w:t>65.81</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14.61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增长</w:t>
      </w:r>
      <w:r>
        <w:rPr>
          <w:rFonts w:hint="eastAsia" w:ascii="Times New Roman" w:hAnsi="Times New Roman" w:eastAsia="方正仿宋_GBK" w:cs="Times New Roman"/>
          <w:color w:val="auto"/>
          <w:sz w:val="32"/>
          <w:szCs w:val="32"/>
          <w:shd w:val="clear" w:color="auto" w:fill="FFFFFF"/>
          <w:lang w:val="en-US" w:eastAsia="zh-CN"/>
        </w:rPr>
        <w:t>28.54</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社保基数及工资调增，财政增加了一般公共预算指标</w:t>
      </w:r>
      <w:r>
        <w:rPr>
          <w:rFonts w:hint="eastAsia" w:ascii="Times New Roman" w:hAnsi="Times New Roman" w:eastAsia="方正仿宋_GBK" w:cs="Times New Roman"/>
          <w:color w:val="auto"/>
          <w:sz w:val="32"/>
          <w:szCs w:val="32"/>
          <w:shd w:val="clear" w:color="auto" w:fill="FFFFFF"/>
          <w:lang w:val="en-US" w:eastAsia="zh-CN"/>
        </w:rPr>
        <w:t>。</w:t>
      </w:r>
      <w:r>
        <w:rPr>
          <w:rFonts w:hint="eastAsia" w:ascii="Times New Roman" w:hAnsi="Times New Roman" w:eastAsia="方正仿宋_GBK" w:cs="Times New Roman"/>
          <w:color w:val="auto"/>
          <w:sz w:val="32"/>
          <w:szCs w:val="32"/>
          <w:shd w:val="clear" w:color="auto" w:fill="FFFFFF"/>
          <w:lang w:eastAsia="zh-CN"/>
        </w:rPr>
        <w:t>较年初预算数减少</w:t>
      </w:r>
      <w:r>
        <w:rPr>
          <w:rFonts w:hint="eastAsia" w:ascii="Times New Roman" w:hAnsi="Times New Roman" w:eastAsia="方正仿宋_GBK" w:cs="Times New Roman"/>
          <w:color w:val="auto"/>
          <w:sz w:val="32"/>
          <w:szCs w:val="32"/>
          <w:shd w:val="clear" w:color="auto" w:fill="FFFFFF"/>
          <w:lang w:val="en-US" w:eastAsia="zh-CN"/>
        </w:rPr>
        <w:t>3.91</w:t>
      </w:r>
      <w:r>
        <w:rPr>
          <w:rFonts w:hint="eastAsia" w:ascii="Times New Roman" w:hAnsi="Times New Roman" w:eastAsia="方正仿宋_GBK" w:cs="Times New Roman"/>
          <w:color w:val="auto"/>
          <w:sz w:val="32"/>
          <w:szCs w:val="32"/>
          <w:shd w:val="clear" w:color="auto" w:fill="FFFFFF"/>
          <w:lang w:eastAsia="zh-CN"/>
        </w:rPr>
        <w:t>万元，下降</w:t>
      </w:r>
      <w:r>
        <w:rPr>
          <w:rFonts w:hint="eastAsia" w:ascii="Times New Roman" w:hAnsi="Times New Roman" w:eastAsia="方正仿宋_GBK" w:cs="Times New Roman"/>
          <w:color w:val="auto"/>
          <w:sz w:val="32"/>
          <w:szCs w:val="32"/>
          <w:shd w:val="clear" w:color="auto" w:fill="FFFFFF"/>
          <w:lang w:val="en-US" w:eastAsia="zh-CN"/>
        </w:rPr>
        <w:t>5.6</w:t>
      </w:r>
      <w:r>
        <w:rPr>
          <w:rFonts w:hint="eastAsia" w:ascii="Times New Roman" w:hAnsi="Times New Roman" w:eastAsia="方正仿宋_GBK" w:cs="Times New Roman"/>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left"/>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lang w:val="en-US" w:eastAsia="zh-CN"/>
        </w:rPr>
        <w:t>65.81</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14.61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增长</w:t>
      </w:r>
      <w:r>
        <w:rPr>
          <w:rFonts w:hint="eastAsia" w:ascii="Times New Roman" w:hAnsi="Times New Roman" w:eastAsia="方正仿宋_GBK" w:cs="Times New Roman"/>
          <w:color w:val="auto"/>
          <w:sz w:val="32"/>
          <w:szCs w:val="32"/>
          <w:shd w:val="clear" w:color="auto" w:fill="FFFFFF"/>
          <w:lang w:val="en-US" w:eastAsia="zh-CN"/>
        </w:rPr>
        <w:t>28.54</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社保基数及工资调增。较年初预算数减少</w:t>
      </w:r>
      <w:r>
        <w:rPr>
          <w:rFonts w:hint="eastAsia" w:ascii="Times New Roman" w:hAnsi="Times New Roman" w:eastAsia="方正仿宋_GBK" w:cs="Times New Roman"/>
          <w:color w:val="auto"/>
          <w:sz w:val="32"/>
          <w:szCs w:val="32"/>
          <w:shd w:val="clear" w:color="auto" w:fill="FFFFFF"/>
          <w:lang w:val="en-US" w:eastAsia="zh-CN"/>
        </w:rPr>
        <w:t>3.91</w:t>
      </w:r>
      <w:r>
        <w:rPr>
          <w:rFonts w:hint="eastAsia" w:ascii="Times New Roman" w:hAnsi="Times New Roman" w:eastAsia="方正仿宋_GBK" w:cs="Times New Roman"/>
          <w:color w:val="auto"/>
          <w:sz w:val="32"/>
          <w:szCs w:val="32"/>
          <w:shd w:val="clear" w:color="auto" w:fill="FFFFFF"/>
          <w:lang w:eastAsia="zh-CN"/>
        </w:rPr>
        <w:t>万元，下降</w:t>
      </w:r>
      <w:r>
        <w:rPr>
          <w:rFonts w:hint="eastAsia" w:ascii="Times New Roman" w:hAnsi="Times New Roman" w:eastAsia="方正仿宋_GBK" w:cs="Times New Roman"/>
          <w:color w:val="auto"/>
          <w:sz w:val="32"/>
          <w:szCs w:val="32"/>
          <w:shd w:val="clear" w:color="auto" w:fill="FFFFFF"/>
          <w:lang w:val="en-US" w:eastAsia="zh-CN"/>
        </w:rPr>
        <w:t>5.6</w:t>
      </w:r>
      <w:r>
        <w:rPr>
          <w:rFonts w:hint="eastAsia" w:ascii="Times New Roman" w:hAnsi="Times New Roman" w:eastAsia="方正仿宋_GBK" w:cs="Times New Roman"/>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22"/>
          <w:szCs w:val="22"/>
          <w:highlight w:val="none"/>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社会保障与就业支出</w:t>
      </w:r>
      <w:r>
        <w:rPr>
          <w:rFonts w:hint="eastAsia" w:ascii="Times New Roman" w:hAnsi="Times New Roman" w:eastAsia="方正仿宋_GBK" w:cs="Times New Roman"/>
          <w:color w:val="auto"/>
          <w:sz w:val="32"/>
          <w:szCs w:val="32"/>
          <w:lang w:val="en-US" w:eastAsia="zh-CN"/>
        </w:rPr>
        <w:t>58.18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8.40</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lang w:val="en-US" w:eastAsia="zh-CN"/>
        </w:rPr>
        <w:t>3.74</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6.04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3.91</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5.94</w:t>
      </w:r>
      <w:r>
        <w:rPr>
          <w:rFonts w:ascii="方正仿宋_GBK" w:hAnsi="方正仿宋_GBK" w:eastAsia="方正仿宋_GBK" w:cs="方正仿宋_GBK"/>
          <w:color w:val="auto"/>
          <w:sz w:val="32"/>
          <w:szCs w:val="32"/>
          <w:shd w:val="clear" w:color="auto" w:fill="FFFFFF"/>
        </w:rPr>
        <w:t>%，较年初预算数减少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16</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3.93</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left"/>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eastAsia" w:ascii="Times New Roman" w:hAnsi="Times New Roman" w:eastAsia="方正仿宋_GBK" w:cs="Times New Roman"/>
          <w:color w:val="auto"/>
          <w:sz w:val="32"/>
          <w:szCs w:val="32"/>
          <w:lang w:val="en-US" w:eastAsia="zh-CN" w:bidi="ar-SA"/>
        </w:rPr>
        <w:t>3.73</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bidi="ar-SA"/>
        </w:rPr>
        <w:t>5.66</w:t>
      </w:r>
      <w:r>
        <w:rPr>
          <w:rFonts w:hint="default" w:ascii="Times New Roman" w:hAnsi="Times New Roman" w:eastAsia="方正仿宋_GBK" w:cs="Times New Roman"/>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10"/>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lang w:val="en-US" w:eastAsia="zh-CN"/>
        </w:rPr>
        <w:t>65.81</w:t>
      </w:r>
      <w:r>
        <w:rPr>
          <w:rFonts w:hint="default" w:ascii="Times New Roman" w:hAnsi="Times New Roman" w:eastAsia="方正仿宋_GBK" w:cs="Times New Roman"/>
          <w:color w:val="auto"/>
          <w:sz w:val="32"/>
          <w:szCs w:val="32"/>
          <w:shd w:val="clear" w:color="auto" w:fill="FFFFFF"/>
        </w:rPr>
        <w:t>万元。其中：</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w:t>
      </w:r>
      <w:r>
        <w:rPr>
          <w:rFonts w:hint="eastAsia" w:ascii="Times New Roman" w:hAnsi="Times New Roman" w:eastAsia="方正仿宋_GBK" w:cs="Times New Roman"/>
          <w:color w:val="auto"/>
          <w:sz w:val="32"/>
          <w:szCs w:val="32"/>
          <w:lang w:val="en-US" w:eastAsia="zh-CN"/>
        </w:rPr>
        <w:t>60.94</w:t>
      </w:r>
      <w:r>
        <w:rPr>
          <w:rFonts w:hint="default" w:ascii="Times New Roman" w:hAnsi="Times New Roman" w:eastAsia="方正仿宋_GBK" w:cs="Times New Roman"/>
          <w:color w:val="auto"/>
          <w:sz w:val="32"/>
          <w:szCs w:val="32"/>
          <w:shd w:val="clear" w:color="auto" w:fill="FFFFFF"/>
        </w:rPr>
        <w:t>万元，较上年决算数</w:t>
      </w:r>
      <w:r>
        <w:rPr>
          <w:rFonts w:ascii="方正仿宋_GBK" w:hAnsi="方正仿宋_GBK" w:eastAsia="方正仿宋_GBK" w:cs="方正仿宋_GBK"/>
          <w:color w:val="auto"/>
          <w:sz w:val="32"/>
          <w:szCs w:val="32"/>
          <w:shd w:val="clear" w:color="auto" w:fill="FFFFFF"/>
        </w:rPr>
        <w:t>增加</w:t>
      </w:r>
      <w:r>
        <w:rPr>
          <w:rFonts w:hint="eastAsia" w:ascii="Times New Roman" w:hAnsi="Times New Roman" w:eastAsia="方正仿宋_GBK" w:cs="Times New Roman"/>
          <w:color w:val="auto"/>
          <w:sz w:val="32"/>
          <w:szCs w:val="32"/>
          <w:lang w:val="en-US" w:eastAsia="zh-CN"/>
        </w:rPr>
        <w:t>13.47</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Times New Roman"/>
          <w:color w:val="auto"/>
          <w:sz w:val="32"/>
          <w:szCs w:val="32"/>
          <w:lang w:val="en-US" w:eastAsia="zh-CN"/>
        </w:rPr>
        <w:t>28.38%</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val="en-US" w:eastAsia="zh-CN"/>
        </w:rPr>
        <w:t>社保基数</w:t>
      </w:r>
      <w:r>
        <w:rPr>
          <w:rFonts w:hint="eastAsia" w:ascii="Times New Roman" w:hAnsi="Times New Roman" w:eastAsia="方正仿宋_GBK" w:cs="Times New Roman"/>
          <w:color w:val="auto"/>
          <w:sz w:val="32"/>
          <w:szCs w:val="32"/>
          <w:shd w:val="clear" w:color="auto" w:fill="FFFFFF"/>
          <w:lang w:eastAsia="zh-CN"/>
        </w:rPr>
        <w:t>调增</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auto"/>
          <w:sz w:val="36"/>
          <w:szCs w:val="36"/>
          <w:shd w:val="clear" w:color="auto" w:fill="FFFFFF"/>
        </w:rPr>
      </w:pPr>
      <w:bookmarkStart w:id="0" w:name="_GoBack"/>
      <w:bookmarkEnd w:id="0"/>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lang w:val="en-US" w:eastAsia="zh-CN"/>
        </w:rPr>
        <w:t>4.88</w:t>
      </w:r>
      <w:r>
        <w:rPr>
          <w:rFonts w:hint="default" w:ascii="Times New Roman" w:hAnsi="Times New Roman" w:eastAsia="方正仿宋_GBK" w:cs="Times New Roman"/>
          <w:color w:val="auto"/>
          <w:sz w:val="32"/>
          <w:szCs w:val="32"/>
          <w:shd w:val="clear" w:color="auto" w:fill="FFFFFF"/>
        </w:rPr>
        <w:t>万元，较上年决算数增加</w:t>
      </w:r>
      <w:r>
        <w:rPr>
          <w:rFonts w:hint="eastAsia" w:ascii="Times New Roman" w:hAnsi="Times New Roman" w:eastAsia="方正仿宋_GBK" w:cs="Times New Roman"/>
          <w:color w:val="auto"/>
          <w:sz w:val="32"/>
          <w:szCs w:val="32"/>
          <w:lang w:val="en-US" w:eastAsia="zh-CN"/>
        </w:rPr>
        <w:t>1.15</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30.83</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办公费增加</w:t>
      </w:r>
      <w:r>
        <w:rPr>
          <w:rFonts w:hint="eastAsia" w:ascii="Times New Roman" w:hAnsi="Times New Roman" w:eastAsia="方正仿宋_GBK" w:cs="Times New Roman"/>
          <w:color w:val="auto"/>
          <w:sz w:val="32"/>
          <w:szCs w:val="32"/>
          <w:shd w:val="clear" w:color="auto" w:fill="FFFFFF"/>
          <w:lang w:val="en-US" w:eastAsia="zh-CN"/>
        </w:rPr>
        <w:t>1.19万元</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0"/>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color w:val="auto"/>
          <w:sz w:val="32"/>
          <w:szCs w:val="32"/>
          <w:shd w:val="clear" w:color="auto" w:fill="FFFF00"/>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3"/>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万元，较年初预算数</w:t>
      </w:r>
      <w:r>
        <w:rPr>
          <w:rFonts w:hint="eastAsia" w:ascii="Times New Roman" w:hAnsi="Times New Roman" w:eastAsia="方正仿宋_GBK" w:cs="Times New Roman"/>
          <w:sz w:val="32"/>
          <w:szCs w:val="32"/>
          <w:shd w:val="clear" w:color="auto" w:fill="FFFFFF"/>
          <w:lang w:eastAsia="zh-CN"/>
        </w:rPr>
        <w:t>无增减，</w:t>
      </w:r>
      <w:r>
        <w:rPr>
          <w:rFonts w:hint="default" w:ascii="Times New Roman" w:hAnsi="Times New Roman" w:eastAsia="方正仿宋_GBK" w:cs="Times New Roman"/>
          <w:sz w:val="32"/>
          <w:szCs w:val="32"/>
          <w:shd w:val="clear" w:color="auto" w:fill="FFFFFF"/>
        </w:rPr>
        <w:t>较上年支出数</w:t>
      </w:r>
      <w:r>
        <w:rPr>
          <w:rFonts w:hint="eastAsia" w:ascii="Times New Roman" w:hAnsi="Times New Roman" w:eastAsia="方正仿宋_GBK" w:cs="Times New Roman"/>
          <w:sz w:val="32"/>
          <w:szCs w:val="32"/>
          <w:shd w:val="clear" w:color="auto" w:fill="FFFFFF"/>
          <w:lang w:eastAsia="zh-CN"/>
        </w:rPr>
        <w:t>无增</w:t>
      </w:r>
      <w:r>
        <w:rPr>
          <w:rFonts w:hint="eastAsia" w:ascii="Times New Roman" w:hAnsi="Times New Roman" w:eastAsia="方正仿宋_GBK" w:cs="Times New Roman"/>
          <w:color w:val="auto"/>
          <w:sz w:val="32"/>
          <w:szCs w:val="32"/>
          <w:shd w:val="clear" w:color="auto" w:fill="FFFFFF"/>
          <w:lang w:eastAsia="zh-CN"/>
        </w:rPr>
        <w:t>减</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因公出国（境）共计</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个团组，</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人均接待费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3"/>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（一）财政拨款会议费和培训费情况说明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ascii="方正仿宋_GBK" w:hAnsi="方正仿宋_GBK" w:eastAsia="方正仿宋_GBK" w:cs="方正仿宋_GBK"/>
          <w:color w:val="auto"/>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0.04</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0.15</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78.95</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我单位培训项目较少</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机关运行经费情况说明</w:t>
      </w:r>
    </w:p>
    <w:p>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按照部门决算列报口径，我单位不在机关运行经费统计范围之内。</w:t>
      </w:r>
    </w:p>
    <w:p>
      <w:pPr>
        <w:pStyle w:val="13"/>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（三）国有资产占用情况说明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共有车辆</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辆、机要通信用车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辆、应急保障用车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台（套）。</w:t>
      </w:r>
    </w:p>
    <w:p>
      <w:pPr>
        <w:pStyle w:val="13"/>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shd w:val="clear" w:color="auto" w:fill="FFFFFF"/>
        </w:rPr>
        <w:t>年度我单位未发生政府采购事项，无相关经费支出。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color w:val="auto"/>
          <w:sz w:val="32"/>
          <w:szCs w:val="32"/>
          <w:shd w:val="clear" w:color="auto" w:fill="FFFFFF"/>
          <w:lang w:val="en-US" w:eastAsia="zh-CN" w:bidi="ar-SA"/>
        </w:rPr>
      </w:pPr>
      <w:r>
        <w:rPr>
          <w:rStyle w:val="10"/>
          <w:rFonts w:ascii="黑体" w:hAnsi="黑体" w:eastAsia="黑体" w:cs="黑体"/>
          <w:color w:val="auto"/>
          <w:sz w:val="32"/>
          <w:szCs w:val="32"/>
          <w:shd w:val="clear" w:color="auto" w:fill="FFFFFF"/>
        </w:rPr>
        <w:t>五、</w:t>
      </w:r>
      <w:r>
        <w:rPr>
          <w:rStyle w:val="10"/>
          <w:rFonts w:hint="eastAsia" w:ascii="黑体" w:hAnsi="黑体" w:eastAsia="黑体" w:cs="黑体"/>
          <w:color w:val="auto"/>
          <w:sz w:val="32"/>
          <w:szCs w:val="32"/>
          <w:shd w:val="clear" w:color="auto" w:fill="FFFFFF"/>
          <w:lang w:eastAsia="zh-CN"/>
        </w:rPr>
        <w:t>预算</w:t>
      </w:r>
      <w:r>
        <w:rPr>
          <w:rStyle w:val="10"/>
          <w:rFonts w:hint="eastAsia" w:ascii="黑体" w:hAnsi="黑体" w:eastAsia="黑体" w:cs="黑体"/>
          <w:color w:val="auto"/>
          <w:sz w:val="32"/>
          <w:szCs w:val="32"/>
          <w:shd w:val="clear" w:color="auto" w:fill="FFFFFF"/>
          <w:lang w:val="en-US" w:eastAsia="zh-CN" w:bidi="ar-SA"/>
        </w:rPr>
        <w:t>绩效管理情况说明</w:t>
      </w:r>
    </w:p>
    <w:p>
      <w:pPr>
        <w:pStyle w:val="13"/>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4"/>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val="zh-CN" w:bidi="ar"/>
        </w:rPr>
        <w:t>我单位是秀山县人力资源和社会保障局下属二级单位，项目预算由本级统筹管理，无财政拨款项目预算和支出，故未开展项目绩效自评。</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3"/>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eastAsia" w:ascii="方正仿宋_GBK" w:hAnsi="方正仿宋_GBK" w:eastAsia="方正仿宋_GBK" w:cs="方正仿宋_GBK"/>
          <w:sz w:val="32"/>
          <w:szCs w:val="32"/>
          <w:shd w:val="clear" w:color="auto" w:fill="FFFFFF"/>
          <w:lang w:bidi="ar"/>
        </w:rPr>
      </w:pPr>
      <w:r>
        <w:rPr>
          <w:rFonts w:hint="eastAsia" w:ascii="Times New Roman" w:hAnsi="Times New Roman" w:eastAsia="方正仿宋_GBK" w:cs="Times New Roman"/>
          <w:sz w:val="32"/>
          <w:szCs w:val="32"/>
          <w:shd w:val="clear" w:color="auto" w:fill="FFFFFF"/>
          <w:lang w:eastAsia="zh-CN" w:bidi="ar"/>
        </w:rPr>
        <w:t>我</w:t>
      </w:r>
      <w:r>
        <w:rPr>
          <w:rFonts w:hint="eastAsia" w:ascii="Times New Roman" w:hAnsi="Times New Roman" w:eastAsia="方正仿宋_GBK" w:cs="Times New Roman"/>
          <w:sz w:val="32"/>
          <w:szCs w:val="32"/>
          <w:shd w:val="clear" w:color="auto" w:fill="FFFFFF"/>
          <w:lang w:val="en-US" w:eastAsia="zh-CN" w:bidi="ar"/>
        </w:rPr>
        <w:t>单位</w:t>
      </w:r>
      <w:r>
        <w:rPr>
          <w:rFonts w:hint="eastAsia" w:ascii="Times New Roman" w:hAnsi="Times New Roman" w:eastAsia="方正仿宋_GBK" w:cs="Times New Roman"/>
          <w:sz w:val="32"/>
          <w:szCs w:val="32"/>
          <w:shd w:val="clear" w:color="auto" w:fill="FFFFFF"/>
          <w:lang w:eastAsia="zh-CN" w:bidi="ar"/>
        </w:rPr>
        <w:t>未组织开展绩效评价。</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8"/>
        <w:snapToGrid w:val="0"/>
        <w:spacing w:before="0" w:beforeAutospacing="0" w:after="0" w:afterAutospacing="0" w:line="596"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秀山土家族苗族自治县工资统发中心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秀山土家族苗族自治县工资统发中心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秀山土家族苗族自治县工资统发中心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秀山土家族苗族自治县工资统发中心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秀山土家族苗族自治县工资统发中心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秀山土家族苗族自治县工资统发中心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60.94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秀山土家族苗族自治县工资统发中心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秀山土家族苗族自治县工资统发中心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秀山土家族苗族自治县工资统发中心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03EC1"/>
    <w:rsid w:val="03B87EA0"/>
    <w:rsid w:val="03E3214F"/>
    <w:rsid w:val="044C50BA"/>
    <w:rsid w:val="05BC6D49"/>
    <w:rsid w:val="06194FF1"/>
    <w:rsid w:val="06A2550B"/>
    <w:rsid w:val="06F80EE2"/>
    <w:rsid w:val="07001CCA"/>
    <w:rsid w:val="075678DB"/>
    <w:rsid w:val="079D7CC7"/>
    <w:rsid w:val="08051BCA"/>
    <w:rsid w:val="086C12F4"/>
    <w:rsid w:val="08705944"/>
    <w:rsid w:val="08BA052C"/>
    <w:rsid w:val="08C57D61"/>
    <w:rsid w:val="08DB07BA"/>
    <w:rsid w:val="0969353F"/>
    <w:rsid w:val="098305D0"/>
    <w:rsid w:val="09B1218B"/>
    <w:rsid w:val="09D1732F"/>
    <w:rsid w:val="0A3317EA"/>
    <w:rsid w:val="0A5C4B69"/>
    <w:rsid w:val="0A86124A"/>
    <w:rsid w:val="0AB54CC0"/>
    <w:rsid w:val="0B9335CE"/>
    <w:rsid w:val="0BF2311A"/>
    <w:rsid w:val="0C7927C4"/>
    <w:rsid w:val="0C9B098C"/>
    <w:rsid w:val="0D673E11"/>
    <w:rsid w:val="0D8C11A5"/>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614EB6"/>
    <w:rsid w:val="13871C70"/>
    <w:rsid w:val="13A71CB4"/>
    <w:rsid w:val="13AF1D43"/>
    <w:rsid w:val="13BC68B6"/>
    <w:rsid w:val="13CE1647"/>
    <w:rsid w:val="13FD55AB"/>
    <w:rsid w:val="14200702"/>
    <w:rsid w:val="14370EA1"/>
    <w:rsid w:val="145D6F41"/>
    <w:rsid w:val="163A6CEE"/>
    <w:rsid w:val="1673030D"/>
    <w:rsid w:val="16BC571D"/>
    <w:rsid w:val="173708E3"/>
    <w:rsid w:val="17C374FC"/>
    <w:rsid w:val="182E4AB6"/>
    <w:rsid w:val="189079DC"/>
    <w:rsid w:val="189B0D0B"/>
    <w:rsid w:val="18B43F7C"/>
    <w:rsid w:val="191C433B"/>
    <w:rsid w:val="194A1770"/>
    <w:rsid w:val="19B906A4"/>
    <w:rsid w:val="1B6F15B6"/>
    <w:rsid w:val="1BAA2EDC"/>
    <w:rsid w:val="1BD9517B"/>
    <w:rsid w:val="1CA55E64"/>
    <w:rsid w:val="1D014A01"/>
    <w:rsid w:val="1D022362"/>
    <w:rsid w:val="1D1B04B0"/>
    <w:rsid w:val="1DA52501"/>
    <w:rsid w:val="1DBD6767"/>
    <w:rsid w:val="1DC52125"/>
    <w:rsid w:val="1DD26311"/>
    <w:rsid w:val="1E374ACB"/>
    <w:rsid w:val="1E5251ED"/>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5E6191A"/>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0C18F3"/>
    <w:rsid w:val="2DF41D09"/>
    <w:rsid w:val="2E33375D"/>
    <w:rsid w:val="2FCA4B37"/>
    <w:rsid w:val="2FDA38EF"/>
    <w:rsid w:val="2FE029D7"/>
    <w:rsid w:val="2FF06E00"/>
    <w:rsid w:val="300B489A"/>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41D60"/>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A34DAF"/>
    <w:rsid w:val="3C566AD6"/>
    <w:rsid w:val="3C594871"/>
    <w:rsid w:val="3C6A5B02"/>
    <w:rsid w:val="3D091E38"/>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270F5C"/>
    <w:rsid w:val="43307B09"/>
    <w:rsid w:val="436D44AF"/>
    <w:rsid w:val="439A3EB9"/>
    <w:rsid w:val="43A2191B"/>
    <w:rsid w:val="43BB152F"/>
    <w:rsid w:val="44C37687"/>
    <w:rsid w:val="45CB699A"/>
    <w:rsid w:val="46423C66"/>
    <w:rsid w:val="465B470D"/>
    <w:rsid w:val="469D6AD4"/>
    <w:rsid w:val="471E6C84"/>
    <w:rsid w:val="47320889"/>
    <w:rsid w:val="4748792B"/>
    <w:rsid w:val="475D719D"/>
    <w:rsid w:val="47674801"/>
    <w:rsid w:val="48225EF7"/>
    <w:rsid w:val="488F422B"/>
    <w:rsid w:val="48E36915"/>
    <w:rsid w:val="48EB6572"/>
    <w:rsid w:val="495C4A24"/>
    <w:rsid w:val="497135DF"/>
    <w:rsid w:val="49A57372"/>
    <w:rsid w:val="4A263DF2"/>
    <w:rsid w:val="4A2F278B"/>
    <w:rsid w:val="4A6F6675"/>
    <w:rsid w:val="4B135857"/>
    <w:rsid w:val="4B7951CB"/>
    <w:rsid w:val="4B7C315C"/>
    <w:rsid w:val="4C6C503D"/>
    <w:rsid w:val="4C9316A8"/>
    <w:rsid w:val="4D1F53CA"/>
    <w:rsid w:val="4DAC4ACA"/>
    <w:rsid w:val="4DBE01D2"/>
    <w:rsid w:val="4EE55D01"/>
    <w:rsid w:val="4F0C6BA3"/>
    <w:rsid w:val="4F186D58"/>
    <w:rsid w:val="50902018"/>
    <w:rsid w:val="50F06B6E"/>
    <w:rsid w:val="51D21804"/>
    <w:rsid w:val="52234D33"/>
    <w:rsid w:val="522F6E0C"/>
    <w:rsid w:val="52463BA1"/>
    <w:rsid w:val="5255514F"/>
    <w:rsid w:val="52F163D4"/>
    <w:rsid w:val="531A2DB4"/>
    <w:rsid w:val="53832187"/>
    <w:rsid w:val="53C0244D"/>
    <w:rsid w:val="53DD4D4E"/>
    <w:rsid w:val="53E578CE"/>
    <w:rsid w:val="541330F0"/>
    <w:rsid w:val="54272666"/>
    <w:rsid w:val="543B029D"/>
    <w:rsid w:val="54861779"/>
    <w:rsid w:val="552256E1"/>
    <w:rsid w:val="5539631F"/>
    <w:rsid w:val="554E5773"/>
    <w:rsid w:val="555829E0"/>
    <w:rsid w:val="555A3CBC"/>
    <w:rsid w:val="5582012B"/>
    <w:rsid w:val="558E4E05"/>
    <w:rsid w:val="55BE2E85"/>
    <w:rsid w:val="56530F5D"/>
    <w:rsid w:val="565447B2"/>
    <w:rsid w:val="567700D3"/>
    <w:rsid w:val="569E5A73"/>
    <w:rsid w:val="56FF7E9E"/>
    <w:rsid w:val="578867FC"/>
    <w:rsid w:val="57F71F7F"/>
    <w:rsid w:val="5842572D"/>
    <w:rsid w:val="5A3B59D6"/>
    <w:rsid w:val="5AD134D8"/>
    <w:rsid w:val="5BF41F67"/>
    <w:rsid w:val="5C263CE4"/>
    <w:rsid w:val="5C5D2777"/>
    <w:rsid w:val="5CF66BF3"/>
    <w:rsid w:val="5D290C69"/>
    <w:rsid w:val="5DA80C2C"/>
    <w:rsid w:val="5E691B18"/>
    <w:rsid w:val="5F2D4A41"/>
    <w:rsid w:val="5F5C0303"/>
    <w:rsid w:val="60C74F6C"/>
    <w:rsid w:val="61015958"/>
    <w:rsid w:val="61025A59"/>
    <w:rsid w:val="613D5BBC"/>
    <w:rsid w:val="61536C39"/>
    <w:rsid w:val="61894431"/>
    <w:rsid w:val="621C4482"/>
    <w:rsid w:val="62944DD7"/>
    <w:rsid w:val="62FB4A7C"/>
    <w:rsid w:val="63030E70"/>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65E72"/>
    <w:rsid w:val="6AAD2300"/>
    <w:rsid w:val="6B474EF5"/>
    <w:rsid w:val="6C040EC2"/>
    <w:rsid w:val="6C0A5AC5"/>
    <w:rsid w:val="6C34516A"/>
    <w:rsid w:val="6C560CAE"/>
    <w:rsid w:val="6C576495"/>
    <w:rsid w:val="6D903FF5"/>
    <w:rsid w:val="6DA955B8"/>
    <w:rsid w:val="6DE346AB"/>
    <w:rsid w:val="6DE5391A"/>
    <w:rsid w:val="6E6B0F70"/>
    <w:rsid w:val="6EFD1324"/>
    <w:rsid w:val="6F5A53AC"/>
    <w:rsid w:val="6FAC003D"/>
    <w:rsid w:val="6FD926BF"/>
    <w:rsid w:val="6FE55E12"/>
    <w:rsid w:val="6FFB2E76"/>
    <w:rsid w:val="708F6F7F"/>
    <w:rsid w:val="70A4452C"/>
    <w:rsid w:val="70D94BD3"/>
    <w:rsid w:val="71574775"/>
    <w:rsid w:val="71C34D91"/>
    <w:rsid w:val="72DB435C"/>
    <w:rsid w:val="72E2613A"/>
    <w:rsid w:val="72F771F4"/>
    <w:rsid w:val="73934AD2"/>
    <w:rsid w:val="750837F0"/>
    <w:rsid w:val="754758CF"/>
    <w:rsid w:val="75595ECD"/>
    <w:rsid w:val="75FB3F2B"/>
    <w:rsid w:val="761605FC"/>
    <w:rsid w:val="764F62AB"/>
    <w:rsid w:val="765C45EC"/>
    <w:rsid w:val="768A7619"/>
    <w:rsid w:val="772E1EBA"/>
    <w:rsid w:val="781926BC"/>
    <w:rsid w:val="796D60A4"/>
    <w:rsid w:val="797A664A"/>
    <w:rsid w:val="79A031D5"/>
    <w:rsid w:val="79B47FDF"/>
    <w:rsid w:val="79E569A9"/>
    <w:rsid w:val="7A1525F7"/>
    <w:rsid w:val="7A2168CA"/>
    <w:rsid w:val="7AE02FC2"/>
    <w:rsid w:val="7B420052"/>
    <w:rsid w:val="7BD06A28"/>
    <w:rsid w:val="7C3A7C0B"/>
    <w:rsid w:val="7C5248E4"/>
    <w:rsid w:val="7C566698"/>
    <w:rsid w:val="7C5866A3"/>
    <w:rsid w:val="7D3B54BA"/>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2025-09-30T03:24:39Z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