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highlight w:val="none"/>
          <w:shd w:val="clear" w:color="auto" w:fill="FFFFFF"/>
        </w:rPr>
      </w:pPr>
      <w:r>
        <w:rPr>
          <w:rFonts w:ascii="方正小标宋_GBK" w:hAnsi="方正小标宋_GBK" w:eastAsia="方正小标宋_GBK" w:cs="方正小标宋_GBK"/>
          <w:color w:val="auto"/>
          <w:sz w:val="44"/>
          <w:szCs w:val="44"/>
          <w:highlight w:val="none"/>
        </w:rPr>
        <w:t>秀山土家族苗族自治县梅江镇退役军人服务站</w:t>
      </w:r>
      <w:r>
        <w:rPr>
          <w:rFonts w:hint="default" w:ascii="Times New Roman" w:hAnsi="Times New Roman" w:eastAsia="方正小标宋_GBK" w:cs="Times New Roman"/>
          <w:color w:val="auto"/>
          <w:sz w:val="44"/>
          <w:szCs w:val="44"/>
          <w:highlight w:val="none"/>
          <w:shd w:val="clear" w:color="auto" w:fill="FFFFFF"/>
        </w:rPr>
        <w:t>2024</w:t>
      </w:r>
      <w:r>
        <w:rPr>
          <w:rFonts w:ascii="方正小标宋_GBK" w:hAnsi="方正小标宋_GBK" w:eastAsia="方正小标宋_GBK" w:cs="方正小标宋_GBK"/>
          <w:color w:val="auto"/>
          <w:sz w:val="44"/>
          <w:szCs w:val="44"/>
          <w:highlight w:val="none"/>
          <w:shd w:val="clear" w:color="auto" w:fill="FFFFFF"/>
        </w:rPr>
        <w:t>年度决算公开说明</w:t>
      </w:r>
    </w:p>
    <w:p>
      <w:pPr>
        <w:pStyle w:val="9"/>
        <w:keepNext w:val="0"/>
        <w:keepLines w:val="0"/>
        <w:pageBreakBefore w:val="0"/>
        <w:kinsoku/>
        <w:overflowPunct/>
        <w:topLinePunct w:val="0"/>
        <w:autoSpaceDN/>
        <w:bidi w:val="0"/>
        <w:adjustRightInd/>
        <w:spacing w:before="0" w:beforeAutospacing="0" w:afterAutospacing="0" w:line="560" w:lineRule="exact"/>
        <w:jc w:val="center"/>
        <w:rPr>
          <w:rFonts w:hint="default" w:ascii="Times New Roman" w:hAnsi="Times New Roman" w:eastAsia="方正黑体_GBK" w:cs="Times New Roman"/>
          <w:b w:val="0"/>
          <w:bCs w:val="0"/>
          <w:color w:val="auto"/>
          <w:sz w:val="44"/>
          <w:szCs w:val="44"/>
          <w:highlight w:val="none"/>
          <w:shd w:val="clear" w:color="auto" w:fill="FFFFFF"/>
        </w:rPr>
      </w:pP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黑体_GBK" w:cs="Times New Roman"/>
          <w:b w:val="0"/>
          <w:bCs w:val="0"/>
          <w:color w:val="auto"/>
          <w:sz w:val="32"/>
          <w:szCs w:val="32"/>
          <w:highlight w:val="none"/>
        </w:rPr>
      </w:pPr>
      <w:r>
        <w:rPr>
          <w:rStyle w:val="11"/>
          <w:rFonts w:hint="default" w:ascii="Times New Roman" w:hAnsi="Times New Roman" w:eastAsia="方正黑体_GBK" w:cs="Times New Roman"/>
          <w:b w:val="0"/>
          <w:bCs w:val="0"/>
          <w:color w:val="auto"/>
          <w:sz w:val="32"/>
          <w:szCs w:val="32"/>
          <w:highlight w:val="none"/>
          <w:shd w:val="clear" w:color="auto" w:fill="FFFFFF"/>
        </w:rPr>
        <w:t>一、单位基本情况</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color w:val="auto"/>
          <w:sz w:val="32"/>
          <w:szCs w:val="32"/>
          <w:highlight w:val="none"/>
        </w:rPr>
      </w:pPr>
      <w:r>
        <w:rPr>
          <w:rStyle w:val="11"/>
          <w:rFonts w:hint="default" w:ascii="Times New Roman" w:hAnsi="Times New Roman" w:eastAsia="方正楷体_GBK" w:cs="Times New Roman"/>
          <w:b w:val="0"/>
          <w:bCs/>
          <w:color w:val="auto"/>
          <w:sz w:val="32"/>
          <w:szCs w:val="32"/>
          <w:highlight w:val="none"/>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s="Times New Roman"/>
          <w:b w:val="0"/>
          <w:bCs/>
          <w:color w:val="auto"/>
          <w:kern w:val="0"/>
          <w:sz w:val="32"/>
          <w:szCs w:val="32"/>
          <w:highlight w:val="none"/>
          <w:shd w:val="clear" w:fill="FFFFFF"/>
        </w:rPr>
        <w:t>负责推进本乡镇</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最多跑一次</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改革。负责进入中心的政务服务事项和公共服务事项的集中受理、办理。负责便民服务办事窗口的日常管理与运行保障，指导辖区内村（社区）便民服务平台建设。负责便民服务平台日常管理协调工作。承担相关公共服务事务性工作。与民生服务办公室统筹运行。</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color w:val="auto"/>
          <w:sz w:val="32"/>
          <w:szCs w:val="32"/>
          <w:highlight w:val="none"/>
        </w:rPr>
      </w:pPr>
      <w:r>
        <w:rPr>
          <w:rStyle w:val="11"/>
          <w:rFonts w:hint="default" w:ascii="Times New Roman" w:hAnsi="Times New Roman" w:eastAsia="方正楷体_GBK" w:cs="Times New Roman"/>
          <w:b w:val="0"/>
          <w:bCs/>
          <w:color w:val="auto"/>
          <w:sz w:val="32"/>
          <w:szCs w:val="32"/>
          <w:highlight w:val="none"/>
          <w:shd w:val="clear" w:color="auto" w:fill="FFFFFF"/>
        </w:rPr>
        <w:t>（二）机构设置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color="080000" w:fill="FFFFFF"/>
        </w:rPr>
        <w:t>秀山土家族苗族自治县</w:t>
      </w:r>
      <w:r>
        <w:rPr>
          <w:rFonts w:hint="default" w:ascii="Times New Roman" w:hAnsi="Times New Roman" w:eastAsia="方正仿宋_GBK" w:cs="Times New Roman"/>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i w:val="0"/>
          <w:iCs w:val="0"/>
          <w:caps w:val="0"/>
          <w:color w:val="auto"/>
          <w:spacing w:val="0"/>
          <w:sz w:val="32"/>
          <w:szCs w:val="32"/>
          <w:highlight w:val="none"/>
          <w:shd w:val="clear" w:color="080000" w:fill="FFFFFF"/>
        </w:rPr>
        <w:t>镇退役军人服务站为</w:t>
      </w:r>
      <w:r>
        <w:rPr>
          <w:rFonts w:hint="default" w:ascii="Times New Roman" w:hAnsi="Times New Roman" w:eastAsia="方正仿宋_GBK" w:cs="Times New Roman"/>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i w:val="0"/>
          <w:iCs w:val="0"/>
          <w:caps w:val="0"/>
          <w:color w:val="auto"/>
          <w:spacing w:val="0"/>
          <w:sz w:val="32"/>
          <w:szCs w:val="32"/>
          <w:highlight w:val="none"/>
          <w:shd w:val="clear" w:color="080000" w:fill="FFFFFF"/>
        </w:rPr>
        <w:t>镇人民政府下属二级单位。本单位有事业编制人员</w:t>
      </w:r>
      <w:r>
        <w:rPr>
          <w:rFonts w:hint="default" w:ascii="Times New Roman" w:hAnsi="Times New Roman" w:eastAsia="方正仿宋_GBK" w:cs="Times New Roman"/>
          <w:i w:val="0"/>
          <w:iCs w:val="0"/>
          <w:caps w:val="0"/>
          <w:color w:val="auto"/>
          <w:spacing w:val="0"/>
          <w:sz w:val="32"/>
          <w:szCs w:val="32"/>
          <w:highlight w:val="none"/>
          <w:shd w:val="clear" w:color="080000"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color="080000" w:fill="FFFFFF"/>
        </w:rPr>
        <w:t>名</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9"/>
        <w:keepNext w:val="0"/>
        <w:keepLines w:val="0"/>
        <w:pageBreakBefore w:val="0"/>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单位决算情况说明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9"/>
        <w:keepNext w:val="0"/>
        <w:keepLines w:val="0"/>
        <w:pageBreakBefore w:val="0"/>
        <w:widowControl/>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outlineLvl w:val="9"/>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Style w:val="11"/>
          <w:rFonts w:hint="eastAsia" w:ascii="Times New Roman" w:hAnsi="Times New Roman" w:eastAsia="方正仿宋_GBK"/>
          <w:color w:val="auto"/>
          <w:sz w:val="32"/>
          <w:szCs w:val="32"/>
          <w:shd w:val="clear" w:color="auto" w:fill="FFFFFF"/>
          <w:lang w:val="en-US" w:eastAsia="zh-CN"/>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color w:val="auto"/>
          <w:sz w:val="32"/>
          <w:szCs w:val="32"/>
        </w:rPr>
      </w:pPr>
      <w:r>
        <w:rPr>
          <w:rStyle w:val="11"/>
          <w:rFonts w:hint="default"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olor w:val="auto"/>
          <w:sz w:val="32"/>
          <w:szCs w:val="32"/>
          <w:shd w:val="clear" w:color="auto" w:fill="FFFFFF"/>
        </w:rPr>
        <w:t>较年初预算数减少19.37万元，下降33.4%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Style w:val="11"/>
          <w:rFonts w:hint="default"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与2023年度相比，减少12.00万元，下降23.7%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olor w:val="auto"/>
          <w:sz w:val="32"/>
          <w:szCs w:val="32"/>
          <w:shd w:val="clear" w:color="auto" w:fill="FFFFFF"/>
        </w:rPr>
        <w:t>较年初预算数减少19.37万元，下降33.4%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（1）</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37.91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98.1%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较年初预算数减少14.92万元，下降28.2%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0.72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较年初预算数减少2.01万元，下降73.6%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keepNext w:val="0"/>
        <w:keepLines w:val="0"/>
        <w:pageBreakBefore w:val="0"/>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较年初预算数减少2.44万元，下降100.0%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38.63</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35.33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与2023年度相比，减少12.41万元，下降26.0%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落实过紧日子政策，压缩人员经费支出</w:t>
      </w:r>
      <w:r>
        <w:rPr>
          <w:rFonts w:hint="default" w:ascii="Times New Roman" w:hAnsi="Times New Roman" w:eastAsia="方正仿宋_GBK" w:cs="Times New Roman"/>
          <w:b w:val="0"/>
          <w:bCs w:val="0"/>
          <w:color w:val="auto"/>
          <w:sz w:val="32"/>
          <w:szCs w:val="32"/>
          <w:highlight w:val="none"/>
          <w:shd w:val="clear" w:color="auto" w:fill="FFFFFF"/>
        </w:rPr>
        <w:t>。人员经费用途主要包括基本工资、津贴补贴、奖金、社会保障缴费等。</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3.30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与2023年度相比，增加0.41万元，增长14.2%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办公费增加</w:t>
      </w:r>
      <w:r>
        <w:rPr>
          <w:rFonts w:hint="default"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rPr>
        <w:t>公用经费用途主要包括支付办公费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水电费</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网费、</w:t>
      </w:r>
      <w:r>
        <w:rPr>
          <w:rFonts w:hint="default" w:ascii="Times New Roman" w:hAnsi="Times New Roman" w:eastAsia="方正仿宋_GBK" w:cs="Times New Roman"/>
          <w:b w:val="0"/>
          <w:bCs w:val="0"/>
          <w:color w:val="auto"/>
          <w:sz w:val="32"/>
          <w:szCs w:val="32"/>
          <w:highlight w:val="none"/>
          <w:shd w:val="clear" w:color="auto" w:fill="FFFFFF"/>
        </w:rPr>
        <w:t>差旅费等。</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本单位202</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lang w:val="en-US" w:eastAsia="zh-CN"/>
        </w:rPr>
        <w:t>年度无政府性基金预算财政拨款收支。</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14"/>
        <w:keepNext w:val="0"/>
        <w:keepLines w:val="0"/>
        <w:pageBreakBefore w:val="0"/>
        <w:widowControl/>
        <w:numPr>
          <w:ilvl w:val="0"/>
          <w:numId w:val="0"/>
        </w:numPr>
        <w:kinsoku/>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本单位202</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lang w:val="en-US" w:eastAsia="zh-CN"/>
        </w:rPr>
        <w:t>年度无国有资本经营预算财政拨款支出。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三、财政拨款</w:t>
      </w:r>
      <w:r>
        <w:rPr>
          <w:rStyle w:val="11"/>
          <w:rFonts w:hint="eastAsia" w:ascii="Times New Roman" w:hAnsi="Times New Roman" w:eastAsia="方正黑体_GBK" w:cs="Times New Roman"/>
          <w:b w:val="0"/>
          <w:bCs/>
          <w:color w:val="auto"/>
          <w:sz w:val="32"/>
          <w:szCs w:val="32"/>
          <w:highlight w:val="none"/>
          <w:shd w:val="clear" w:color="auto" w:fill="FFFFFF"/>
          <w:lang w:eastAsia="zh-CN"/>
        </w:rPr>
        <w:t>“</w:t>
      </w:r>
      <w:r>
        <w:rPr>
          <w:rStyle w:val="11"/>
          <w:rFonts w:hint="default" w:ascii="Times New Roman" w:hAnsi="Times New Roman" w:eastAsia="方正黑体_GBK" w:cs="Times New Roman"/>
          <w:b w:val="0"/>
          <w:bCs/>
          <w:color w:val="auto"/>
          <w:sz w:val="32"/>
          <w:szCs w:val="32"/>
          <w:highlight w:val="none"/>
          <w:shd w:val="clear" w:color="auto" w:fill="FFFFFF"/>
        </w:rPr>
        <w:t>三公</w:t>
      </w:r>
      <w:r>
        <w:rPr>
          <w:rStyle w:val="11"/>
          <w:rFonts w:hint="eastAsia" w:ascii="Times New Roman" w:hAnsi="Times New Roman" w:eastAsia="方正黑体_GBK" w:cs="Times New Roman"/>
          <w:b w:val="0"/>
          <w:bCs/>
          <w:color w:val="auto"/>
          <w:sz w:val="32"/>
          <w:szCs w:val="32"/>
          <w:highlight w:val="none"/>
          <w:shd w:val="clear" w:color="auto" w:fill="FFFFFF"/>
          <w:lang w:eastAsia="zh-CN"/>
        </w:rPr>
        <w:t>”</w:t>
      </w:r>
      <w:r>
        <w:rPr>
          <w:rStyle w:val="11"/>
          <w:rFonts w:hint="default" w:ascii="Times New Roman" w:hAnsi="Times New Roman" w:eastAsia="方正黑体_GBK" w:cs="Times New Roman"/>
          <w:b w:val="0"/>
          <w:bCs/>
          <w:color w:val="auto"/>
          <w:sz w:val="32"/>
          <w:szCs w:val="32"/>
          <w:highlight w:val="none"/>
          <w:shd w:val="clear" w:color="auto" w:fill="FFFFFF"/>
        </w:rPr>
        <w:t>经费情况说明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w:t>
      </w:r>
      <w:r>
        <w:rPr>
          <w:rFonts w:hint="default" w:ascii="Times New Roman" w:hAnsi="Times New Roman" w:eastAsia="方正仿宋_GBK" w:cs="Times New Roman"/>
          <w:color w:val="auto"/>
          <w:sz w:val="32"/>
          <w:szCs w:val="32"/>
          <w:highlight w:val="none"/>
          <w:shd w:val="clear" w:color="auto" w:fill="FFFFFF"/>
        </w:rPr>
        <w:t>较年初预算数</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w:t>
      </w:r>
      <w:r>
        <w:rPr>
          <w:rFonts w:hint="eastAsia" w:ascii="Times New Roman" w:hAnsi="Times New Roman" w:eastAsia="方正楷体_GBK" w:cs="Times New Roman"/>
          <w:b w:val="0"/>
          <w:bCs w:val="0"/>
          <w:color w:val="auto"/>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经费分项支出情况</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color w:val="auto"/>
          <w:kern w:val="0"/>
          <w:sz w:val="32"/>
          <w:szCs w:val="32"/>
          <w:highlight w:val="none"/>
          <w:shd w:val="clear" w:fill="FFFFFF"/>
        </w:rPr>
      </w:pP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b w:val="0"/>
          <w:bCs/>
          <w:color w:val="auto"/>
          <w:kern w:val="0"/>
          <w:sz w:val="32"/>
          <w:szCs w:val="32"/>
          <w:highlight w:val="none"/>
          <w:shd w:val="clear" w:fill="FFFFFF"/>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color w:val="auto"/>
          <w:kern w:val="0"/>
          <w:sz w:val="32"/>
          <w:szCs w:val="32"/>
          <w:highlight w:val="none"/>
          <w:shd w:val="clear" w:fill="FFFFFF"/>
        </w:rPr>
        <w:t>未发生因公出国（境）费用</w:t>
      </w:r>
      <w:r>
        <w:rPr>
          <w:rFonts w:hint="eastAsia" w:ascii="Times New Roman" w:hAnsi="Times New Roman" w:eastAsia="方正楷体_GBK" w:cs="Times New Roman"/>
          <w:b w:val="0"/>
          <w:bCs w:val="0"/>
          <w:color w:val="auto"/>
          <w:sz w:val="32"/>
          <w:szCs w:val="32"/>
          <w:highlight w:val="none"/>
          <w:shd w:val="clear" w:color="auto"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年度未发生公务车购置费。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b w:val="0"/>
          <w:bCs/>
          <w:color w:val="auto"/>
          <w:kern w:val="0"/>
          <w:sz w:val="32"/>
          <w:szCs w:val="32"/>
          <w:highlight w:val="none"/>
          <w:shd w:val="clear" w:fill="FFFFFF"/>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b w:val="0"/>
          <w:bCs/>
          <w:color w:val="auto"/>
          <w:kern w:val="0"/>
          <w:sz w:val="32"/>
          <w:szCs w:val="32"/>
          <w:highlight w:val="none"/>
          <w:shd w:val="clear"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b w:val="0"/>
          <w:bCs w:val="0"/>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与2023年度相比，增加0.02万元，增长20.0%</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rPr>
        <w:t>本年培训人数增加，导致培训费增多</w:t>
      </w:r>
      <w:r>
        <w:rPr>
          <w:rFonts w:hint="eastAsia" w:ascii="Times New Roman" w:hAnsi="Times New Roman" w:eastAsia="方正仿宋_GBK" w:cs="Times New Roman"/>
          <w:b w:val="0"/>
          <w:bCs w:val="0"/>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与2023年度相比，减少0.25万元，下降100.0%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出差次数减少。</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按照部门决算填报口径，我单位不在机关运行经费统计之内。</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2024年度我单位未发生政府采购事项，无相关经费支出。</w:t>
      </w:r>
    </w:p>
    <w:p>
      <w:pPr>
        <w:pStyle w:val="9"/>
        <w:keepNext w:val="0"/>
        <w:keepLines w:val="0"/>
        <w:pageBreakBefore w:val="0"/>
        <w:numPr>
          <w:ilvl w:val="0"/>
          <w:numId w:val="2"/>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（一）单位自评情况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我单位未组织开展绩效自评。</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（二）单位绩效评价情况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我单位未组织开展绩效评价。</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（三）财政绩效评价情况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lang w:val="en-US" w:eastAsia="zh-CN" w:bidi="ar-SA"/>
        </w:rPr>
      </w:pPr>
      <w:r>
        <w:rPr>
          <w:rFonts w:hint="eastAsia" w:ascii="Times New Roman" w:hAnsi="Times New Roman" w:eastAsia="方正仿宋_GBK" w:cs="Times New Roman"/>
          <w:b w:val="0"/>
          <w:bCs w:val="0"/>
          <w:color w:val="auto"/>
          <w:sz w:val="32"/>
          <w:szCs w:val="32"/>
          <w:highlight w:val="none"/>
          <w:shd w:val="clear" w:color="auto" w:fill="FFFFFF"/>
          <w:lang w:val="en-US" w:eastAsia="zh-CN" w:bidi="ar-SA"/>
        </w:rPr>
        <w:t>县</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财政局未委托第三方对我单位开展绩效评价。</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w:t>
      </w:r>
      <w:bookmarkStart w:id="0" w:name="_GoBack"/>
      <w:bookmarkEnd w:id="0"/>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Style w:val="11"/>
          <w:rFonts w:hint="default" w:ascii="Times New Roman" w:hAnsi="Times New Roman" w:eastAsia="方正仿宋_GBK" w:cs="Times New Roman"/>
          <w:b w:val="0"/>
          <w:bCs w:val="0"/>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eastAsia" w:ascii="Times New Roman" w:hAnsi="Times New Roman" w:eastAsia="方正仿宋_GBK" w:cs="Times New Roman"/>
          <w:color w:val="auto"/>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01</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37.91</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cs="宋体"/>
          <w:color w:val="auto"/>
          <w:sz w:val="20"/>
          <w:szCs w:val="20"/>
          <w:highlight w:val="none"/>
        </w:rPr>
      </w:pPr>
    </w:p>
    <w:p>
      <w:pPr>
        <w:spacing w:line="240" w:lineRule="exact"/>
        <w:rPr>
          <w:rFonts w:hint="default" w:cs="宋体"/>
          <w:color w:val="auto"/>
          <w:sz w:val="20"/>
          <w:szCs w:val="20"/>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.本表反映单位本年度的总收支和年末结转结余情况。</w:t>
      </w:r>
      <w:r>
        <w:rPr>
          <w:rFonts w:cs="宋体"/>
          <w:color w:val="auto"/>
          <w:sz w:val="20"/>
          <w:szCs w:val="20"/>
          <w:highlight w:val="none"/>
        </w:rPr>
        <w:br w:type="textWrapping"/>
      </w:r>
      <w:r>
        <w:rPr>
          <w:rFonts w:cs="宋体"/>
          <w:color w:val="auto"/>
          <w:sz w:val="20"/>
          <w:szCs w:val="20"/>
          <w:highlight w:val="none"/>
        </w:rPr>
        <w:t xml:space="preserve">      </w:t>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02</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20828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2082850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cs="宋体"/>
          <w:color w:val="auto"/>
          <w:sz w:val="20"/>
          <w:szCs w:val="20"/>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.本表反映单位本年度取得的各项收入情况。</w:t>
      </w:r>
      <w:r>
        <w:rPr>
          <w:rFonts w:cs="宋体"/>
          <w:color w:val="auto"/>
          <w:sz w:val="20"/>
          <w:szCs w:val="20"/>
          <w:highlight w:val="none"/>
        </w:rPr>
        <w:br w:type="textWrapping"/>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0"/>
          <w:szCs w:val="20"/>
          <w:highlight w:val="none"/>
        </w:rPr>
      </w:pPr>
      <w:r>
        <w:rPr>
          <w:rFonts w:cs="宋体"/>
          <w:color w:val="auto"/>
          <w:sz w:val="20"/>
          <w:szCs w:val="20"/>
          <w:highlight w:val="none"/>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 xml:space="preserve">秀山土家族苗族自治县梅江镇退役军人服务站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03</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2082850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0"/>
          <w:szCs w:val="20"/>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.本表反映单位本年度各项支出情况。</w:t>
      </w:r>
      <w:r>
        <w:rPr>
          <w:rFonts w:cs="宋体"/>
          <w:color w:val="auto"/>
          <w:sz w:val="20"/>
          <w:szCs w:val="20"/>
          <w:highlight w:val="none"/>
        </w:rPr>
        <w:br w:type="textWrapping"/>
      </w:r>
      <w:r>
        <w:rPr>
          <w:rFonts w:cs="宋体"/>
          <w:color w:val="auto"/>
          <w:sz w:val="20"/>
          <w:szCs w:val="20"/>
          <w:highlight w:val="none"/>
        </w:rPr>
        <w:t xml:space="preserve">      </w:t>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p>
      <w:pPr>
        <w:rPr>
          <w:rFonts w:hint="default" w:cs="宋体"/>
          <w:color w:val="auto"/>
          <w:sz w:val="21"/>
          <w:szCs w:val="21"/>
          <w:highlight w:val="none"/>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04</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37.91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37.91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0.72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0.72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pPr>
        <w:spacing w:line="240" w:lineRule="exact"/>
        <w:rPr>
          <w:rFonts w:hint="default" w:cs="宋体"/>
          <w:color w:val="auto"/>
          <w:sz w:val="20"/>
          <w:szCs w:val="20"/>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.本表反映单位本年度一般公共预算财政拨款、政府性基金预算财政拨款及国有资本经营预算财政拨款的总收支和年末结转结余情况。</w:t>
      </w:r>
      <w:r>
        <w:rPr>
          <w:rFonts w:cs="宋体"/>
          <w:color w:val="auto"/>
          <w:sz w:val="20"/>
          <w:szCs w:val="20"/>
          <w:highlight w:val="none"/>
        </w:rPr>
        <w:br w:type="textWrapping"/>
      </w:r>
      <w:r>
        <w:rPr>
          <w:rFonts w:cs="宋体"/>
          <w:color w:val="auto"/>
          <w:sz w:val="20"/>
          <w:szCs w:val="20"/>
          <w:highlight w:val="none"/>
        </w:rPr>
        <w:t xml:space="preserve">      </w:t>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05</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38.63</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37.91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3.73</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3.23</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0.50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34.18</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34.18</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b/>
                <w:color w:val="auto"/>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0.72</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ascii="Times New Roman" w:hAnsi="Times New Roman" w:cs="宋体"/>
                <w:color w:val="auto"/>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0.72</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.本表反映单位本年度一般公共预算财政拨款支出情况。</w:t>
      </w:r>
      <w:r>
        <w:rPr>
          <w:rFonts w:cs="宋体"/>
          <w:color w:val="auto"/>
          <w:sz w:val="20"/>
          <w:szCs w:val="20"/>
          <w:highlight w:val="none"/>
        </w:rPr>
        <w:br w:type="textWrapping"/>
      </w:r>
      <w:r>
        <w:rPr>
          <w:rFonts w:cs="宋体"/>
          <w:color w:val="auto"/>
          <w:sz w:val="20"/>
          <w:szCs w:val="20"/>
          <w:highlight w:val="none"/>
        </w:rPr>
        <w:t xml:space="preserve">      </w:t>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ind w:firstLine="630" w:firstLineChars="300"/>
        <w:rPr>
          <w:rFonts w:hint="default" w:cs="宋体"/>
          <w:color w:val="auto"/>
          <w:sz w:val="21"/>
          <w:szCs w:val="21"/>
          <w:highlight w:val="none"/>
        </w:rPr>
      </w:pPr>
      <w:r>
        <w:rPr>
          <w:rFonts w:cs="宋体"/>
          <w:color w:val="auto"/>
          <w:sz w:val="21"/>
          <w:szCs w:val="21"/>
          <w:highlight w:val="none"/>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highlight w:val="none"/>
              </w:rPr>
            </w:pPr>
            <w:r>
              <w:rPr>
                <w:rFonts w:cs="宋体"/>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06</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32.10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3.30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11.13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1.96</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3.06</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0.24</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16.45</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0.50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0.72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0.82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highlight w:val="none"/>
              </w:rPr>
            </w:pPr>
            <w:r>
              <w:rPr>
                <w:rFonts w:cs="宋体"/>
                <w:color w:val="auto"/>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0.28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ascii="Times New Roman" w:hAnsi="Times New Roman" w:cs="宋体"/>
                <w:b/>
                <w:bCs/>
                <w:color w:val="auto"/>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ascii="Times New Roman" w:hAnsi="Times New Roman" w:cs="宋体"/>
                <w:color w:val="auto"/>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35.33</w:t>
            </w:r>
            <w:r>
              <w:rPr>
                <w:rFonts w:ascii="Times New Roman" w:hAnsi="Times New Roman"/>
                <w:color w:val="auto"/>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3.30</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highlight w:val="none"/>
        </w:rPr>
      </w:pPr>
      <w:r>
        <w:rPr>
          <w:rFonts w:cs="宋体"/>
          <w:color w:val="auto"/>
          <w:sz w:val="20"/>
          <w:szCs w:val="20"/>
          <w:highlight w:val="none"/>
        </w:rPr>
        <w:t>备注：</w:t>
      </w:r>
      <w:r>
        <w:rPr>
          <w:rFonts w:ascii="Times New Roman" w:hAnsi="Times New Roman" w:cs="宋体"/>
          <w:color w:val="auto"/>
          <w:sz w:val="20"/>
          <w:szCs w:val="20"/>
          <w:highlight w:val="none"/>
        </w:rPr>
        <w:t>1</w:t>
      </w:r>
      <w:r>
        <w:rPr>
          <w:rFonts w:cs="宋体"/>
          <w:color w:val="auto"/>
          <w:sz w:val="20"/>
          <w:szCs w:val="20"/>
          <w:highlight w:val="none"/>
        </w:rPr>
        <w:t>.本表反映单位本年度一般公共预算财政拨款基本支出明细情况。</w:t>
      </w:r>
      <w:r>
        <w:rPr>
          <w:rFonts w:cs="宋体"/>
          <w:color w:val="auto"/>
          <w:sz w:val="20"/>
          <w:szCs w:val="20"/>
          <w:highlight w:val="none"/>
        </w:rPr>
        <w:br w:type="textWrapping"/>
      </w:r>
      <w:r>
        <w:rPr>
          <w:rFonts w:cs="宋体"/>
          <w:color w:val="auto"/>
          <w:sz w:val="20"/>
          <w:szCs w:val="20"/>
          <w:highlight w:val="none"/>
        </w:rPr>
        <w:t xml:space="preserve">      </w:t>
      </w:r>
      <w:r>
        <w:rPr>
          <w:rFonts w:ascii="Times New Roman" w:hAnsi="Times New Roman" w:cs="宋体"/>
          <w:color w:val="auto"/>
          <w:sz w:val="20"/>
          <w:szCs w:val="20"/>
          <w:highlight w:val="none"/>
        </w:rPr>
        <w:t>2</w:t>
      </w:r>
      <w:r>
        <w:rPr>
          <w:rFonts w:cs="宋体"/>
          <w:color w:val="auto"/>
          <w:sz w:val="20"/>
          <w:szCs w:val="20"/>
          <w:highlight w:val="none"/>
        </w:rPr>
        <w:t>.本套报表金额单位转换时可能存在尾数误差。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07</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备注：本表反映单位本年度政府性基金预算财政拨款收入支出及结转和结余情况。本单位无政府性基金收支，故本表无数据。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秀山土家族苗族自治县梅江镇退役军人服务站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08</w:t>
            </w:r>
            <w:r>
              <w:rPr>
                <w:rFonts w:cs="宋体"/>
                <w:color w:val="auto"/>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pPr>
        <w:rPr>
          <w:rFonts w:hint="default" w:cs="宋体"/>
          <w:color w:val="auto"/>
          <w:sz w:val="21"/>
          <w:szCs w:val="21"/>
          <w:highlight w:val="none"/>
        </w:rPr>
      </w:pPr>
      <w:r>
        <w:rPr>
          <w:rFonts w:cs="宋体"/>
          <w:color w:val="auto"/>
          <w:sz w:val="20"/>
          <w:szCs w:val="20"/>
          <w:highlight w:val="none"/>
        </w:rPr>
        <w:t>备注：本表反映单位本年度国有资本经营预算财政拨款支出情况。本单位无国有资本经营收支，故本表无数据。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hint="default" w:cs="宋体"/>
          <w:color w:val="auto"/>
          <w:sz w:val="21"/>
          <w:szCs w:val="21"/>
          <w:highlight w:val="none"/>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highlight w:val="none"/>
              </w:rPr>
            </w:pPr>
            <w:r>
              <w:rPr>
                <w:rFonts w:cs="宋体"/>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公开</w:t>
            </w:r>
            <w:r>
              <w:rPr>
                <w:rFonts w:hint="default" w:ascii="Times New Roman" w:hAnsi="Times New Roman"/>
                <w:color w:val="auto"/>
                <w:kern w:val="2"/>
                <w:sz w:val="20"/>
                <w:szCs w:val="20"/>
                <w:highlight w:val="none"/>
              </w:rPr>
              <w:t>09</w:t>
            </w:r>
            <w:r>
              <w:rPr>
                <w:rFonts w:cs="宋体"/>
                <w:color w:val="auto"/>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r>
              <w:rPr>
                <w:rFonts w:hint="eastAsia" w:cs="宋体"/>
                <w:color w:val="auto"/>
                <w:kern w:val="2"/>
                <w:sz w:val="20"/>
                <w:szCs w:val="20"/>
                <w:highlight w:val="none"/>
                <w:lang w:eastAsia="zh-CN"/>
              </w:rPr>
              <w:t>单位</w:t>
            </w:r>
            <w:r>
              <w:rPr>
                <w:rFonts w:cs="宋体"/>
                <w:color w:val="auto"/>
                <w:kern w:val="2"/>
                <w:sz w:val="20"/>
                <w:szCs w:val="20"/>
                <w:highlight w:val="none"/>
              </w:rPr>
              <w:t>：</w:t>
            </w:r>
            <w:r>
              <w:rPr>
                <w:color w:val="auto"/>
                <w:sz w:val="20"/>
                <w:highlight w:val="none"/>
                <w:u w:color="auto"/>
              </w:rPr>
              <w:t>秀山土家族苗族自治县梅江镇退役军人服务站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3</w:t>
            </w:r>
            <w:r>
              <w:rPr>
                <w:rFonts w:cs="宋体"/>
                <w:b/>
                <w:bCs/>
                <w:color w:val="auto"/>
                <w:kern w:val="2"/>
                <w:sz w:val="16"/>
                <w:szCs w:val="16"/>
                <w:highlight w:val="none"/>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3</w:t>
            </w:r>
            <w:r>
              <w:rPr>
                <w:rFonts w:cs="宋体"/>
                <w:b/>
                <w:bCs/>
                <w:color w:val="auto"/>
                <w:kern w:val="2"/>
                <w:sz w:val="16"/>
                <w:szCs w:val="16"/>
                <w:highlight w:val="none"/>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4</w:t>
            </w:r>
            <w:r>
              <w:rPr>
                <w:rFonts w:cs="宋体"/>
                <w:b/>
                <w:bCs/>
                <w:color w:val="auto"/>
                <w:kern w:val="2"/>
                <w:sz w:val="16"/>
                <w:szCs w:val="16"/>
                <w:highlight w:val="none"/>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5</w:t>
            </w:r>
            <w:r>
              <w:rPr>
                <w:rFonts w:cs="宋体"/>
                <w:b/>
                <w:bCs/>
                <w:color w:val="auto"/>
                <w:kern w:val="2"/>
                <w:sz w:val="16"/>
                <w:szCs w:val="16"/>
                <w:highlight w:val="none"/>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6</w:t>
            </w:r>
            <w:r>
              <w:rPr>
                <w:rFonts w:cs="宋体"/>
                <w:b/>
                <w:bCs/>
                <w:color w:val="auto"/>
                <w:kern w:val="2"/>
                <w:sz w:val="16"/>
                <w:szCs w:val="16"/>
                <w:highlight w:val="none"/>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7</w:t>
            </w:r>
            <w:r>
              <w:rPr>
                <w:rFonts w:cs="宋体"/>
                <w:b/>
                <w:bCs/>
                <w:color w:val="auto"/>
                <w:kern w:val="2"/>
                <w:sz w:val="16"/>
                <w:szCs w:val="16"/>
                <w:highlight w:val="none"/>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8</w:t>
            </w:r>
            <w:r>
              <w:rPr>
                <w:rFonts w:cs="宋体"/>
                <w:b/>
                <w:bCs/>
                <w:color w:val="auto"/>
                <w:kern w:val="2"/>
                <w:sz w:val="16"/>
                <w:szCs w:val="16"/>
                <w:highlight w:val="none"/>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3</w:t>
            </w:r>
            <w:r>
              <w:rPr>
                <w:rFonts w:cs="宋体"/>
                <w:b/>
                <w:bCs/>
                <w:color w:val="auto"/>
                <w:kern w:val="2"/>
                <w:sz w:val="16"/>
                <w:szCs w:val="16"/>
                <w:highlight w:val="none"/>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（二）单价</w:t>
            </w:r>
            <w:r>
              <w:rPr>
                <w:rFonts w:ascii="Times New Roman" w:hAnsi="Times New Roman" w:cs="宋体"/>
                <w:b/>
                <w:bCs/>
                <w:color w:val="auto"/>
                <w:kern w:val="2"/>
                <w:sz w:val="16"/>
                <w:szCs w:val="16"/>
                <w:highlight w:val="none"/>
              </w:rPr>
              <w:t>100</w:t>
            </w:r>
            <w:r>
              <w:rPr>
                <w:rFonts w:cs="宋体"/>
                <w:b/>
                <w:bCs/>
                <w:color w:val="auto"/>
                <w:kern w:val="2"/>
                <w:sz w:val="16"/>
                <w:szCs w:val="16"/>
                <w:highlight w:val="none"/>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4</w:t>
            </w:r>
            <w:r>
              <w:rPr>
                <w:rFonts w:cs="宋体"/>
                <w:b/>
                <w:bCs/>
                <w:color w:val="auto"/>
                <w:kern w:val="2"/>
                <w:sz w:val="16"/>
                <w:szCs w:val="16"/>
                <w:highlight w:val="none"/>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5</w:t>
            </w:r>
            <w:r>
              <w:rPr>
                <w:rFonts w:cs="宋体"/>
                <w:b/>
                <w:bCs/>
                <w:color w:val="auto"/>
                <w:kern w:val="2"/>
                <w:sz w:val="16"/>
                <w:szCs w:val="16"/>
                <w:highlight w:val="none"/>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1</w:t>
            </w:r>
            <w:r>
              <w:rPr>
                <w:rFonts w:cs="宋体"/>
                <w:b/>
                <w:bCs/>
                <w:color w:val="auto"/>
                <w:kern w:val="2"/>
                <w:sz w:val="16"/>
                <w:szCs w:val="16"/>
                <w:highlight w:val="none"/>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6</w:t>
            </w:r>
            <w:r>
              <w:rPr>
                <w:rFonts w:cs="宋体"/>
                <w:b/>
                <w:bCs/>
                <w:color w:val="auto"/>
                <w:kern w:val="2"/>
                <w:sz w:val="16"/>
                <w:szCs w:val="16"/>
                <w:highlight w:val="none"/>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2</w:t>
            </w:r>
            <w:r>
              <w:rPr>
                <w:rFonts w:cs="宋体"/>
                <w:b/>
                <w:bCs/>
                <w:color w:val="auto"/>
                <w:kern w:val="2"/>
                <w:sz w:val="16"/>
                <w:szCs w:val="16"/>
                <w:highlight w:val="none"/>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3</w:t>
            </w:r>
            <w:r>
              <w:rPr>
                <w:rFonts w:cs="宋体"/>
                <w:b/>
                <w:bCs/>
                <w:color w:val="auto"/>
                <w:kern w:val="2"/>
                <w:sz w:val="16"/>
                <w:szCs w:val="16"/>
                <w:highlight w:val="none"/>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7</w:t>
            </w:r>
            <w:r>
              <w:rPr>
                <w:rFonts w:cs="宋体"/>
                <w:b/>
                <w:bCs/>
                <w:color w:val="auto"/>
                <w:kern w:val="2"/>
                <w:sz w:val="16"/>
                <w:szCs w:val="16"/>
                <w:highlight w:val="none"/>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w:t>
            </w:r>
            <w:r>
              <w:rPr>
                <w:rFonts w:ascii="Times New Roman" w:hAnsi="Times New Roman" w:cs="宋体"/>
                <w:b/>
                <w:bCs/>
                <w:color w:val="auto"/>
                <w:kern w:val="2"/>
                <w:sz w:val="16"/>
                <w:szCs w:val="16"/>
                <w:highlight w:val="none"/>
              </w:rPr>
              <w:t>8</w:t>
            </w:r>
            <w:r>
              <w:rPr>
                <w:rFonts w:cs="宋体"/>
                <w:b/>
                <w:bCs/>
                <w:color w:val="auto"/>
                <w:kern w:val="2"/>
                <w:sz w:val="16"/>
                <w:szCs w:val="16"/>
                <w:highlight w:val="none"/>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0.12</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highlight w:val="none"/>
              </w:rPr>
            </w:pPr>
            <w:r>
              <w:rPr>
                <w:rFonts w:cs="宋体"/>
                <w:b/>
                <w:bCs/>
                <w:color w:val="auto"/>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highlight w:val="none"/>
              </w:rPr>
            </w:pPr>
          </w:p>
        </w:tc>
      </w:tr>
    </w:tbl>
    <w:p>
      <w:pPr>
        <w:rPr>
          <w:rFonts w:hint="default" w:ascii="Times New Roman" w:hAnsi="Times New Roman" w:cs="Times New Roman"/>
          <w:color w:val="auto"/>
          <w:sz w:val="21"/>
          <w:szCs w:val="21"/>
          <w:highlight w:val="none"/>
        </w:rPr>
      </w:pPr>
      <w:r>
        <w:rPr>
          <w:rFonts w:cs="宋体"/>
          <w:color w:val="auto"/>
          <w:sz w:val="18"/>
          <w:szCs w:val="18"/>
          <w:highlight w:val="none"/>
        </w:rPr>
        <w:t>备注：</w:t>
      </w:r>
      <w:r>
        <w:rPr>
          <w:rFonts w:ascii="Times New Roman" w:hAnsi="Times New Roman" w:cs="宋体"/>
          <w:color w:val="auto"/>
          <w:sz w:val="18"/>
          <w:szCs w:val="18"/>
          <w:highlight w:val="none"/>
        </w:rPr>
        <w:t>1</w:t>
      </w:r>
      <w:r>
        <w:rPr>
          <w:rFonts w:cs="宋体"/>
          <w:color w:val="auto"/>
          <w:sz w:val="18"/>
          <w:szCs w:val="18"/>
          <w:highlight w:val="none"/>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highlight w:val="none"/>
        </w:rPr>
        <w:br w:type="textWrapping"/>
      </w:r>
      <w:r>
        <w:rPr>
          <w:rFonts w:cs="宋体"/>
          <w:color w:val="auto"/>
          <w:sz w:val="18"/>
          <w:szCs w:val="18"/>
          <w:highlight w:val="none"/>
        </w:rPr>
        <w:t xml:space="preserve">      </w:t>
      </w:r>
      <w:r>
        <w:rPr>
          <w:rFonts w:ascii="Times New Roman" w:hAnsi="Times New Roman" w:cs="宋体"/>
          <w:color w:val="auto"/>
          <w:sz w:val="18"/>
          <w:szCs w:val="18"/>
          <w:highlight w:val="none"/>
        </w:rPr>
        <w:t>2</w:t>
      </w:r>
      <w:r>
        <w:rPr>
          <w:rFonts w:cs="宋体"/>
          <w:color w:val="auto"/>
          <w:sz w:val="18"/>
          <w:szCs w:val="18"/>
          <w:highlight w:val="none"/>
        </w:rPr>
        <w:t>.本套报表金额单位转换时可能存在尾数误差。</w:t>
      </w:r>
      <w:r>
        <w:rPr>
          <w:rFonts w:cs="宋体"/>
          <w:color w:val="auto"/>
          <w:sz w:val="18"/>
          <w:szCs w:val="18"/>
          <w:highlight w:val="none"/>
        </w:rPr>
        <w:br w:type="textWrapping"/>
      </w:r>
      <w:r>
        <w:rPr>
          <w:rFonts w:cs="宋体"/>
          <w:color w:val="auto"/>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346EF"/>
    <w:multiLevelType w:val="singleLevel"/>
    <w:tmpl w:val="847346EF"/>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C4673D"/>
    <w:rsid w:val="00F73F90"/>
    <w:rsid w:val="01474EBF"/>
    <w:rsid w:val="018A4119"/>
    <w:rsid w:val="01BF1EEC"/>
    <w:rsid w:val="01F3521E"/>
    <w:rsid w:val="03B87EA0"/>
    <w:rsid w:val="03E3214F"/>
    <w:rsid w:val="044C50BA"/>
    <w:rsid w:val="047E20AE"/>
    <w:rsid w:val="05796511"/>
    <w:rsid w:val="05BC6D49"/>
    <w:rsid w:val="06194FF1"/>
    <w:rsid w:val="06A2550B"/>
    <w:rsid w:val="06F80EE2"/>
    <w:rsid w:val="07001CCA"/>
    <w:rsid w:val="075678DB"/>
    <w:rsid w:val="079D7CC7"/>
    <w:rsid w:val="08051BCA"/>
    <w:rsid w:val="085C0E32"/>
    <w:rsid w:val="086C12F4"/>
    <w:rsid w:val="08705944"/>
    <w:rsid w:val="08A742C8"/>
    <w:rsid w:val="08BA052C"/>
    <w:rsid w:val="08D248D0"/>
    <w:rsid w:val="08DB07BA"/>
    <w:rsid w:val="0969353F"/>
    <w:rsid w:val="098305D0"/>
    <w:rsid w:val="09E40E23"/>
    <w:rsid w:val="0A3317EA"/>
    <w:rsid w:val="0A5C4B69"/>
    <w:rsid w:val="0A86124A"/>
    <w:rsid w:val="0AB54CC0"/>
    <w:rsid w:val="0B9335CE"/>
    <w:rsid w:val="0BF2311A"/>
    <w:rsid w:val="0C7927C4"/>
    <w:rsid w:val="0C9B098C"/>
    <w:rsid w:val="0CCE77B2"/>
    <w:rsid w:val="0D673E11"/>
    <w:rsid w:val="0DDA54E4"/>
    <w:rsid w:val="0E3A5F83"/>
    <w:rsid w:val="0EED283C"/>
    <w:rsid w:val="0F836721"/>
    <w:rsid w:val="0FA25D96"/>
    <w:rsid w:val="107B59E5"/>
    <w:rsid w:val="10EC0126"/>
    <w:rsid w:val="10F70B9A"/>
    <w:rsid w:val="111445C7"/>
    <w:rsid w:val="114278C6"/>
    <w:rsid w:val="1158083A"/>
    <w:rsid w:val="11643A4B"/>
    <w:rsid w:val="11ED0F98"/>
    <w:rsid w:val="11F03528"/>
    <w:rsid w:val="12C921C4"/>
    <w:rsid w:val="12D1115E"/>
    <w:rsid w:val="13871C70"/>
    <w:rsid w:val="13A71CB4"/>
    <w:rsid w:val="13AF1D43"/>
    <w:rsid w:val="13BA6379"/>
    <w:rsid w:val="13CE1647"/>
    <w:rsid w:val="13E3630C"/>
    <w:rsid w:val="13FD55AB"/>
    <w:rsid w:val="14200702"/>
    <w:rsid w:val="149907A6"/>
    <w:rsid w:val="15273E8F"/>
    <w:rsid w:val="163A6CEE"/>
    <w:rsid w:val="167F6D9B"/>
    <w:rsid w:val="173708E3"/>
    <w:rsid w:val="17C374FC"/>
    <w:rsid w:val="181C0BEC"/>
    <w:rsid w:val="182E4AB6"/>
    <w:rsid w:val="189079DC"/>
    <w:rsid w:val="189B0D0B"/>
    <w:rsid w:val="18B43F7C"/>
    <w:rsid w:val="18EC079E"/>
    <w:rsid w:val="194A1770"/>
    <w:rsid w:val="19B22AE7"/>
    <w:rsid w:val="19B906A4"/>
    <w:rsid w:val="1A862E67"/>
    <w:rsid w:val="1B6744B4"/>
    <w:rsid w:val="1B6F15B6"/>
    <w:rsid w:val="1BAA2EDC"/>
    <w:rsid w:val="1CA55E64"/>
    <w:rsid w:val="1D014A01"/>
    <w:rsid w:val="1D022362"/>
    <w:rsid w:val="1D1B04B0"/>
    <w:rsid w:val="1D6E40BF"/>
    <w:rsid w:val="1DA52501"/>
    <w:rsid w:val="1DBD6767"/>
    <w:rsid w:val="1DC52125"/>
    <w:rsid w:val="1DD26311"/>
    <w:rsid w:val="1E374ACB"/>
    <w:rsid w:val="1E636A4E"/>
    <w:rsid w:val="1ECF0A66"/>
    <w:rsid w:val="1EF67CA4"/>
    <w:rsid w:val="1F020D3A"/>
    <w:rsid w:val="1F2C5189"/>
    <w:rsid w:val="1F4B0B02"/>
    <w:rsid w:val="1FBB35CD"/>
    <w:rsid w:val="1FCD26AF"/>
    <w:rsid w:val="20432526"/>
    <w:rsid w:val="20642787"/>
    <w:rsid w:val="20747B37"/>
    <w:rsid w:val="21362852"/>
    <w:rsid w:val="21556F04"/>
    <w:rsid w:val="22160B38"/>
    <w:rsid w:val="22231B08"/>
    <w:rsid w:val="22403BD3"/>
    <w:rsid w:val="246858F8"/>
    <w:rsid w:val="24B92327"/>
    <w:rsid w:val="24C14514"/>
    <w:rsid w:val="2533755C"/>
    <w:rsid w:val="25791755"/>
    <w:rsid w:val="26396DF4"/>
    <w:rsid w:val="264C303E"/>
    <w:rsid w:val="26734294"/>
    <w:rsid w:val="26AA71AF"/>
    <w:rsid w:val="27167136"/>
    <w:rsid w:val="271B442C"/>
    <w:rsid w:val="27B23302"/>
    <w:rsid w:val="29310A5F"/>
    <w:rsid w:val="29C37A35"/>
    <w:rsid w:val="2A076083"/>
    <w:rsid w:val="2A144931"/>
    <w:rsid w:val="2A73162E"/>
    <w:rsid w:val="2ACD37F2"/>
    <w:rsid w:val="2B167953"/>
    <w:rsid w:val="2B200583"/>
    <w:rsid w:val="2B8209DE"/>
    <w:rsid w:val="2C636760"/>
    <w:rsid w:val="2C6762A3"/>
    <w:rsid w:val="2C7A74CD"/>
    <w:rsid w:val="2E5D5C51"/>
    <w:rsid w:val="2F035281"/>
    <w:rsid w:val="2F187C81"/>
    <w:rsid w:val="2FCA4B37"/>
    <w:rsid w:val="2FE029D7"/>
    <w:rsid w:val="2FF06E00"/>
    <w:rsid w:val="30586FEC"/>
    <w:rsid w:val="30D279D2"/>
    <w:rsid w:val="313748DE"/>
    <w:rsid w:val="315B60D8"/>
    <w:rsid w:val="315F0B22"/>
    <w:rsid w:val="31D37545"/>
    <w:rsid w:val="31D84415"/>
    <w:rsid w:val="32285F6F"/>
    <w:rsid w:val="32770556"/>
    <w:rsid w:val="329C0913"/>
    <w:rsid w:val="32AA0460"/>
    <w:rsid w:val="3337290D"/>
    <w:rsid w:val="337F06FA"/>
    <w:rsid w:val="33E31118"/>
    <w:rsid w:val="33EF7674"/>
    <w:rsid w:val="342D7BC6"/>
    <w:rsid w:val="35114C8E"/>
    <w:rsid w:val="352930DB"/>
    <w:rsid w:val="35573069"/>
    <w:rsid w:val="355F6038"/>
    <w:rsid w:val="358C217E"/>
    <w:rsid w:val="35961E06"/>
    <w:rsid w:val="36C9128A"/>
    <w:rsid w:val="372709B1"/>
    <w:rsid w:val="37581E8B"/>
    <w:rsid w:val="37841E99"/>
    <w:rsid w:val="37BF1123"/>
    <w:rsid w:val="37EF17E1"/>
    <w:rsid w:val="37FC0AEC"/>
    <w:rsid w:val="383C3F15"/>
    <w:rsid w:val="38A30E63"/>
    <w:rsid w:val="38BE4696"/>
    <w:rsid w:val="3939115E"/>
    <w:rsid w:val="39B82A39"/>
    <w:rsid w:val="39C42CA8"/>
    <w:rsid w:val="39DC4FD6"/>
    <w:rsid w:val="39F03D7A"/>
    <w:rsid w:val="39F33306"/>
    <w:rsid w:val="3A2C1C67"/>
    <w:rsid w:val="3A5D5D95"/>
    <w:rsid w:val="3A6421C1"/>
    <w:rsid w:val="3A7F35BE"/>
    <w:rsid w:val="3ADD7F09"/>
    <w:rsid w:val="3B1705E5"/>
    <w:rsid w:val="3B18334B"/>
    <w:rsid w:val="3B36794F"/>
    <w:rsid w:val="3B6F6EE0"/>
    <w:rsid w:val="3C566AD6"/>
    <w:rsid w:val="3C594871"/>
    <w:rsid w:val="3C6A5B02"/>
    <w:rsid w:val="3D2757A1"/>
    <w:rsid w:val="3D3D4FC4"/>
    <w:rsid w:val="3DDF3AB1"/>
    <w:rsid w:val="3E1D0952"/>
    <w:rsid w:val="3E42660A"/>
    <w:rsid w:val="3E6C50BC"/>
    <w:rsid w:val="3E7555B1"/>
    <w:rsid w:val="3E787ED9"/>
    <w:rsid w:val="3F032E93"/>
    <w:rsid w:val="3F0527E5"/>
    <w:rsid w:val="3F694D83"/>
    <w:rsid w:val="3F885DCC"/>
    <w:rsid w:val="3FCD675E"/>
    <w:rsid w:val="3FDE26F2"/>
    <w:rsid w:val="4004000C"/>
    <w:rsid w:val="406A2F39"/>
    <w:rsid w:val="40BD5482"/>
    <w:rsid w:val="411B6CE5"/>
    <w:rsid w:val="412070D7"/>
    <w:rsid w:val="41314E40"/>
    <w:rsid w:val="41E0734B"/>
    <w:rsid w:val="420426FE"/>
    <w:rsid w:val="423D5E1D"/>
    <w:rsid w:val="426C1EA8"/>
    <w:rsid w:val="42736402"/>
    <w:rsid w:val="42E86A87"/>
    <w:rsid w:val="432626EB"/>
    <w:rsid w:val="43307B09"/>
    <w:rsid w:val="439A3EB9"/>
    <w:rsid w:val="43BB152F"/>
    <w:rsid w:val="442D556F"/>
    <w:rsid w:val="44740600"/>
    <w:rsid w:val="44923566"/>
    <w:rsid w:val="44C37687"/>
    <w:rsid w:val="45CB699A"/>
    <w:rsid w:val="46264FCC"/>
    <w:rsid w:val="465B470D"/>
    <w:rsid w:val="469D6AD4"/>
    <w:rsid w:val="46FB77B8"/>
    <w:rsid w:val="471E6C84"/>
    <w:rsid w:val="4748792B"/>
    <w:rsid w:val="475D719D"/>
    <w:rsid w:val="47674801"/>
    <w:rsid w:val="48225EF7"/>
    <w:rsid w:val="488F422B"/>
    <w:rsid w:val="48E36915"/>
    <w:rsid w:val="48EB6572"/>
    <w:rsid w:val="495C4A24"/>
    <w:rsid w:val="497135DF"/>
    <w:rsid w:val="4A263DF2"/>
    <w:rsid w:val="4A3E14D6"/>
    <w:rsid w:val="4A6F6675"/>
    <w:rsid w:val="4B135857"/>
    <w:rsid w:val="4B7951CB"/>
    <w:rsid w:val="4B7C315C"/>
    <w:rsid w:val="4B9C5DC1"/>
    <w:rsid w:val="4BD3760C"/>
    <w:rsid w:val="4CC475C9"/>
    <w:rsid w:val="4D0127A3"/>
    <w:rsid w:val="4D223A42"/>
    <w:rsid w:val="4DAC4ACA"/>
    <w:rsid w:val="4DBE01D2"/>
    <w:rsid w:val="4F0C6BA3"/>
    <w:rsid w:val="4F1823C8"/>
    <w:rsid w:val="4F186D58"/>
    <w:rsid w:val="50B2226D"/>
    <w:rsid w:val="50F06B6E"/>
    <w:rsid w:val="51D21804"/>
    <w:rsid w:val="52234D33"/>
    <w:rsid w:val="522F6E0C"/>
    <w:rsid w:val="522F726D"/>
    <w:rsid w:val="52463BA1"/>
    <w:rsid w:val="527826A6"/>
    <w:rsid w:val="52F163D4"/>
    <w:rsid w:val="531A2DB4"/>
    <w:rsid w:val="53C0244D"/>
    <w:rsid w:val="53DD4D4E"/>
    <w:rsid w:val="53E578CE"/>
    <w:rsid w:val="541330F0"/>
    <w:rsid w:val="54272666"/>
    <w:rsid w:val="543B029D"/>
    <w:rsid w:val="543B5B81"/>
    <w:rsid w:val="54861779"/>
    <w:rsid w:val="54EB2CE9"/>
    <w:rsid w:val="552256E1"/>
    <w:rsid w:val="554E5773"/>
    <w:rsid w:val="555A3CBC"/>
    <w:rsid w:val="5582012B"/>
    <w:rsid w:val="558E4E05"/>
    <w:rsid w:val="55BE2E85"/>
    <w:rsid w:val="56530F5D"/>
    <w:rsid w:val="567700D3"/>
    <w:rsid w:val="569F688A"/>
    <w:rsid w:val="56F02455"/>
    <w:rsid w:val="56FF7E9E"/>
    <w:rsid w:val="571561A2"/>
    <w:rsid w:val="578867FC"/>
    <w:rsid w:val="5842572D"/>
    <w:rsid w:val="58C22C95"/>
    <w:rsid w:val="58D27798"/>
    <w:rsid w:val="5A3B59D6"/>
    <w:rsid w:val="5A5E4F17"/>
    <w:rsid w:val="5AD134D8"/>
    <w:rsid w:val="5C263CE4"/>
    <w:rsid w:val="5C3077B7"/>
    <w:rsid w:val="5C5D2777"/>
    <w:rsid w:val="5CBD1745"/>
    <w:rsid w:val="5CF66BF3"/>
    <w:rsid w:val="5D290C69"/>
    <w:rsid w:val="5F2D4A41"/>
    <w:rsid w:val="5FDD2C9C"/>
    <w:rsid w:val="60C74F6C"/>
    <w:rsid w:val="61025A59"/>
    <w:rsid w:val="611C658C"/>
    <w:rsid w:val="613D5BBC"/>
    <w:rsid w:val="61536C39"/>
    <w:rsid w:val="620B7370"/>
    <w:rsid w:val="62944DD7"/>
    <w:rsid w:val="62AD553C"/>
    <w:rsid w:val="62FB6423"/>
    <w:rsid w:val="6319381F"/>
    <w:rsid w:val="63C25DC5"/>
    <w:rsid w:val="63C62057"/>
    <w:rsid w:val="64571EF5"/>
    <w:rsid w:val="64BE2FB5"/>
    <w:rsid w:val="64FB113D"/>
    <w:rsid w:val="6518206D"/>
    <w:rsid w:val="652466AF"/>
    <w:rsid w:val="65247A62"/>
    <w:rsid w:val="65607077"/>
    <w:rsid w:val="656152C6"/>
    <w:rsid w:val="6587477F"/>
    <w:rsid w:val="658C3A08"/>
    <w:rsid w:val="65C031CA"/>
    <w:rsid w:val="65CE6852"/>
    <w:rsid w:val="65FB5389"/>
    <w:rsid w:val="66267C04"/>
    <w:rsid w:val="663F505A"/>
    <w:rsid w:val="66EE5541"/>
    <w:rsid w:val="67924660"/>
    <w:rsid w:val="68191EC5"/>
    <w:rsid w:val="68407834"/>
    <w:rsid w:val="6883293E"/>
    <w:rsid w:val="688412AD"/>
    <w:rsid w:val="68EB1B71"/>
    <w:rsid w:val="6A1F5A87"/>
    <w:rsid w:val="6A6C7940"/>
    <w:rsid w:val="6A96768A"/>
    <w:rsid w:val="6AAD2300"/>
    <w:rsid w:val="6B474EF5"/>
    <w:rsid w:val="6B844116"/>
    <w:rsid w:val="6C0A5AC5"/>
    <w:rsid w:val="6C3F6F0E"/>
    <w:rsid w:val="6C560CAE"/>
    <w:rsid w:val="6C576495"/>
    <w:rsid w:val="6D903FF5"/>
    <w:rsid w:val="6DA955B8"/>
    <w:rsid w:val="6DE346AB"/>
    <w:rsid w:val="6DE5391A"/>
    <w:rsid w:val="6E4E4729"/>
    <w:rsid w:val="6EA67258"/>
    <w:rsid w:val="6EFD1324"/>
    <w:rsid w:val="6F106A97"/>
    <w:rsid w:val="6F5A53AC"/>
    <w:rsid w:val="6FAC003D"/>
    <w:rsid w:val="6FE55E12"/>
    <w:rsid w:val="6FFB2E76"/>
    <w:rsid w:val="70134444"/>
    <w:rsid w:val="708F6F7F"/>
    <w:rsid w:val="70D94BD3"/>
    <w:rsid w:val="71401D20"/>
    <w:rsid w:val="71C34D91"/>
    <w:rsid w:val="72DB435C"/>
    <w:rsid w:val="72E2613A"/>
    <w:rsid w:val="72F771F4"/>
    <w:rsid w:val="73934AD2"/>
    <w:rsid w:val="74947B13"/>
    <w:rsid w:val="750837F0"/>
    <w:rsid w:val="754758CF"/>
    <w:rsid w:val="764F62AB"/>
    <w:rsid w:val="765C45EC"/>
    <w:rsid w:val="768A7619"/>
    <w:rsid w:val="772E1EBA"/>
    <w:rsid w:val="781926BC"/>
    <w:rsid w:val="781E3867"/>
    <w:rsid w:val="789D4ED3"/>
    <w:rsid w:val="796D60A4"/>
    <w:rsid w:val="7994180A"/>
    <w:rsid w:val="79A031D5"/>
    <w:rsid w:val="79F47956"/>
    <w:rsid w:val="7A1525F7"/>
    <w:rsid w:val="7B420052"/>
    <w:rsid w:val="7B6A3FE3"/>
    <w:rsid w:val="7BD06A28"/>
    <w:rsid w:val="7C3A7C0B"/>
    <w:rsid w:val="7C5248E4"/>
    <w:rsid w:val="7C566698"/>
    <w:rsid w:val="7C5866A3"/>
    <w:rsid w:val="7C984731"/>
    <w:rsid w:val="7CE454AE"/>
    <w:rsid w:val="7D1652DD"/>
    <w:rsid w:val="7D7406BB"/>
    <w:rsid w:val="7DA35B95"/>
    <w:rsid w:val="7DE94331"/>
    <w:rsid w:val="7ED1094A"/>
    <w:rsid w:val="7F446A19"/>
    <w:rsid w:val="7F7452B9"/>
    <w:rsid w:val="7FF4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0</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2025-09-28T02:42:49Z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