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color w:val="auto"/>
          <w:sz w:val="44"/>
          <w:szCs w:val="44"/>
          <w:highlight w:val="none"/>
          <w:shd w:val="clear" w:color="auto" w:fill="FFFFFF"/>
        </w:rPr>
      </w:pPr>
      <w:r>
        <w:rPr>
          <w:rFonts w:hint="default" w:ascii="Times New Roman" w:hAnsi="Times New Roman" w:eastAsia="方正小标宋_GBK" w:cs="Times New Roman"/>
          <w:color w:val="auto"/>
          <w:sz w:val="44"/>
          <w:szCs w:val="44"/>
          <w:highlight w:val="none"/>
        </w:rPr>
        <w:t>重庆市秀山土家族苗族自治县梅江镇人民政府</w:t>
      </w:r>
      <w:r>
        <w:rPr>
          <w:rFonts w:hint="eastAsia" w:ascii="Times New Roman" w:hAnsi="Times New Roman" w:eastAsia="方正小标宋_GBK" w:cs="Times New Roman"/>
          <w:color w:val="auto"/>
          <w:sz w:val="44"/>
          <w:szCs w:val="44"/>
          <w:highlight w:val="none"/>
          <w:shd w:val="clear" w:color="auto" w:fill="FFFFFF"/>
          <w:lang w:eastAsia="zh-CN"/>
        </w:rPr>
        <w:t>2024</w:t>
      </w:r>
      <w:r>
        <w:rPr>
          <w:rFonts w:hint="default" w:ascii="Times New Roman" w:hAnsi="Times New Roman" w:eastAsia="方正小标宋_GBK" w:cs="Times New Roman"/>
          <w:color w:val="auto"/>
          <w:sz w:val="44"/>
          <w:szCs w:val="44"/>
          <w:highlight w:val="none"/>
          <w:shd w:val="clear" w:color="auto" w:fill="FFFFFF"/>
        </w:rPr>
        <w:t>年度决算公开说明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color w:val="auto"/>
          <w:sz w:val="44"/>
          <w:szCs w:val="44"/>
          <w:highlight w:val="none"/>
          <w:shd w:val="clear" w:color="auto" w:fill="FFFFFF"/>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部门基本情况</w:t>
      </w:r>
    </w:p>
    <w:p>
      <w:pPr>
        <w:pStyle w:val="10"/>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rPr>
      </w:pPr>
      <w:r>
        <w:rPr>
          <w:rStyle w:val="12"/>
          <w:rFonts w:hint="default" w:ascii="Times New Roman" w:hAnsi="Times New Roman" w:eastAsia="方正楷体_GBK" w:cs="Times New Roman"/>
          <w:b w:val="0"/>
          <w:bCs/>
          <w:color w:val="auto"/>
          <w:sz w:val="32"/>
          <w:szCs w:val="32"/>
          <w:highlight w:val="none"/>
          <w:shd w:val="clear" w:color="auto" w:fill="FFFFFF"/>
        </w:rPr>
        <w:t>（一）职能职责</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梅江镇</w:t>
      </w:r>
      <w:r>
        <w:rPr>
          <w:rFonts w:hint="eastAsia" w:ascii="Times New Roman" w:hAnsi="Times New Roman" w:eastAsia="方正仿宋_GBK" w:cs="Times New Roman"/>
          <w:color w:val="auto"/>
          <w:sz w:val="32"/>
          <w:szCs w:val="32"/>
          <w:highlight w:val="none"/>
          <w:shd w:val="clear" w:color="auto" w:fill="FFFFFF"/>
          <w:lang w:val="en-US" w:eastAsia="zh-CN"/>
        </w:rPr>
        <w:t>人民政府</w:t>
      </w:r>
      <w:r>
        <w:rPr>
          <w:rFonts w:hint="default" w:ascii="Times New Roman" w:hAnsi="Times New Roman" w:eastAsia="方正仿宋_GBK" w:cs="Times New Roman"/>
          <w:color w:val="auto"/>
          <w:sz w:val="32"/>
          <w:szCs w:val="32"/>
          <w:highlight w:val="none"/>
          <w:shd w:val="clear" w:color="auto" w:fill="FFFFFF"/>
        </w:rPr>
        <w:t>是秀山县</w:t>
      </w:r>
      <w:r>
        <w:rPr>
          <w:rFonts w:hint="eastAsia" w:ascii="Times New Roman" w:hAnsi="Times New Roman" w:eastAsia="方正仿宋_GBK" w:cs="Times New Roman"/>
          <w:color w:val="auto"/>
          <w:sz w:val="32"/>
          <w:szCs w:val="32"/>
          <w:highlight w:val="none"/>
          <w:shd w:val="clear" w:color="auto" w:fill="FFFFFF"/>
          <w:lang w:val="en-US" w:eastAsia="zh-CN"/>
        </w:rPr>
        <w:t>人民</w:t>
      </w:r>
      <w:r>
        <w:rPr>
          <w:rFonts w:hint="default" w:ascii="Times New Roman" w:hAnsi="Times New Roman" w:eastAsia="方正仿宋_GBK" w:cs="Times New Roman"/>
          <w:color w:val="auto"/>
          <w:sz w:val="32"/>
          <w:szCs w:val="32"/>
          <w:highlight w:val="none"/>
          <w:shd w:val="clear" w:color="auto" w:fill="FFFFFF"/>
        </w:rPr>
        <w:t>政府的派出机构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受县政府领导，依据法律、法规，在辖区内行使政府的管理职能。梅江镇政府主要负责党和国家重大方针政策在基层的贯彻落实，聚焦党的建设、经济发展、民生服务、平安法治等核心职能，构建党建统领、权责清晰、运行顺畅、充满活力的基层治理格局。主要职责是：</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加强党的建设。坚持党的全面领导，完善相应体制机制，提升协调能力，贯彻执行党的路线方针政策和国家的法律法规，全面落实上级党委、政府重大决策和工作部署。乡镇党委领导本乡镇党的工作和基层社会治理工作，讨论和决定职责范围内经济建设、政治建设、文化建设、社会建设、生态文明建设和党的建设以及乡村振兴中的重大问题。落实党建工作责任制，强化党的政治建设、思想建设、组织建设、作风建设、纪律建设，把制度建设贯穿始终。</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服务经济发展。负责编制和组织实施辖区国民经济发展规划和年度计划，促进产业结构调整和转型升级，做好产业发展、辖区企业、投融资环境、人才、创业创新等优化服务工作。积极维护经济秩序，营造公正、公平的发展环境。指导农村经济发展，实施乡村振兴战略，推进农业结构调整，因地制宜发展生态特色产业，全面推进巴渝和美乡村建设，促进经济增长方式转变和农民增收。负责编制和组织实施镇村建设规划，组织基础设施、农田水利和各项公益事业建设，改善群众生产生活环境。</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优化公共服务。积极推进基本公共服务均等化，做实公共服务平台，推进服务事项向便民服务中心集中，保障便民服务中心的服务事项整合集中到位，办理权限到位。组织实施公共服务设施建设规划，优化与村（居）民密切相关的卫生健康、文化体育、社区教育、养老服务等公共服务，落实就业创业、社保医保、社会救助、退役军人服务等相关领域的政策。负责精神文明建设，组织群众性文化、体育等各类活动。</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动员社会参与。坚持以党建引领基层治理，动员指导各类单位、社会组织和村（居）民等社会力量参与社会治理，组织和引导辖区单位履行社会责任，整合各种社会力量服务经济社会发展。做实做强党建引领的基层共治基本网格单元，构建党组织统一领导、各类组织积极协同、广大群众广泛参与的基层治理体系。</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领导基层自治。发挥村（社区）党组织在村委会（居委会）等自治组织建设中的领导作用，完善党领导下的基层社会治理体系，推进社会主义基层协商民主建设，负责做好组织群众、宣传群众、凝聚群众、服务群众工作，发挥村（居）民在基层社会治理中的主体作用，提高自治整体水平。</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维护安全稳定。负责平安建设、综合治理、安全生产管理、综合行政执法等工作，处理群众来信来访，有效化解各类矛盾纠纷等。抓好意识形态、网络安全和数据安全工作，加强安全生产和食品药品安全监管，负责做好自然灾害防范和抢险救灾。坚持重心下移、力量下沉、保障下倾，实现区域安全监管执法和综合治理网格化、一体化，提高公共安全体系精细化水平，保障政治稳定和社会安宁。</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完成县委、县政府交办的其他事项。</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b w:val="0"/>
          <w:bCs/>
          <w:color w:val="auto"/>
          <w:sz w:val="32"/>
          <w:szCs w:val="32"/>
          <w:highlight w:val="none"/>
          <w:lang w:val="en-US" w:eastAsia="zh-CN"/>
        </w:rPr>
      </w:pPr>
      <w:r>
        <w:rPr>
          <w:rStyle w:val="12"/>
          <w:rFonts w:hint="default" w:ascii="Times New Roman" w:hAnsi="Times New Roman" w:eastAsia="方正楷体_GBK" w:cs="Times New Roman"/>
          <w:b w:val="0"/>
          <w:bCs/>
          <w:color w:val="auto"/>
          <w:sz w:val="32"/>
          <w:szCs w:val="32"/>
          <w:highlight w:val="none"/>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default" w:ascii="Times New Roman" w:hAnsi="Times New Roman" w:eastAsia="方正仿宋_GBK" w:cs="Times New Roman"/>
          <w:b w:val="0"/>
          <w:bCs/>
          <w:color w:val="auto"/>
          <w:kern w:val="0"/>
          <w:sz w:val="32"/>
          <w:szCs w:val="32"/>
          <w:highlight w:val="none"/>
          <w:shd w:val="clear" w:fill="FFFFFF"/>
        </w:rPr>
        <w:t>梅江镇政府统筹设置内设机构5个，事业单位5个。分别是：</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1.</w:t>
      </w:r>
      <w:r>
        <w:rPr>
          <w:rFonts w:hint="default" w:ascii="Times New Roman" w:hAnsi="Times New Roman" w:eastAsia="方正仿宋_GBK" w:cs="Times New Roman"/>
          <w:b w:val="0"/>
          <w:bCs/>
          <w:color w:val="auto"/>
          <w:kern w:val="0"/>
          <w:sz w:val="32"/>
          <w:szCs w:val="32"/>
          <w:highlight w:val="none"/>
          <w:shd w:val="clear" w:fill="FFFFFF"/>
        </w:rPr>
        <w:t>基层治理综合指挥室。承担机关日常工作的运转协调和应急工作的统筹调度，履行机关日常政务、文秘、督办、保密、后勤保障等日常工作。负责基层社会治理体系建设和指挥。负责统筹协调党的建设、经济发展、民生服务、平安法治四板块工作，健全综合指挥运行管理机制，做好平台事件分析研判、协同流转、交办处置等工作。承担本级数字化城市运行和治理中心日常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2.</w:t>
      </w:r>
      <w:r>
        <w:rPr>
          <w:rFonts w:hint="default" w:ascii="Times New Roman" w:hAnsi="Times New Roman" w:eastAsia="方正仿宋_GBK" w:cs="Times New Roman"/>
          <w:b w:val="0"/>
          <w:bCs/>
          <w:color w:val="auto"/>
          <w:kern w:val="0"/>
          <w:sz w:val="32"/>
          <w:szCs w:val="32"/>
          <w:highlight w:val="none"/>
          <w:shd w:val="clear" w:fill="FFFFFF"/>
        </w:rPr>
        <w:t>党的建设办公室。承担党风廉政、组织人事、社会工作、机构编制、宣传、统战、民族宗教等职责，负责乡镇人大、政协、人民武装及工会、共青团、妇联等群团日常工作。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3.</w:t>
      </w:r>
      <w:r>
        <w:rPr>
          <w:rFonts w:hint="default" w:ascii="Times New Roman" w:hAnsi="Times New Roman" w:eastAsia="方正仿宋_GBK" w:cs="Times New Roman"/>
          <w:b w:val="0"/>
          <w:bCs/>
          <w:color w:val="auto"/>
          <w:kern w:val="0"/>
          <w:sz w:val="32"/>
          <w:szCs w:val="32"/>
          <w:highlight w:val="none"/>
          <w:shd w:val="clear" w:fill="FFFFFF"/>
        </w:rPr>
        <w:t>经济发展办公室。承担辖区经济发展规划、自然资源管理、村镇规划建设、农村公路管理、生态环境保护建设、农村土地承包管理、林权管理、水利建设与管理、农村经济发展与管理等职责。负责财务、国有资产监管工作，加强本级财政管理，编报和执行财政预算。做好经济社会统计和财务内审监督工作。建立健全减轻农民负担的监督管理机制。</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民生服务办公室。承担人力资源和社会保障、民政、残联、退役军人、卫生健康、医疗保障、教育、体育、文化、旅游管理、人居环境综合整治等职责。</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5.</w:t>
      </w:r>
      <w:r>
        <w:rPr>
          <w:rFonts w:hint="default" w:ascii="Times New Roman" w:hAnsi="Times New Roman" w:eastAsia="方正仿宋_GBK" w:cs="Times New Roman"/>
          <w:b w:val="0"/>
          <w:bCs/>
          <w:color w:val="auto"/>
          <w:kern w:val="0"/>
          <w:sz w:val="32"/>
          <w:szCs w:val="32"/>
          <w:highlight w:val="none"/>
          <w:shd w:val="clear" w:fill="FFFFFF"/>
        </w:rPr>
        <w:t>平安法治办公室。承担辖区平安建设、社会治安综合治理、应急管理、消防救援、市场监管、公共安全及安全生产监管等有关工作，处理群众来信来访，反映社情民意，化解矛盾纠纷。</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6.</w:t>
      </w:r>
      <w:r>
        <w:rPr>
          <w:rFonts w:hint="default" w:ascii="Times New Roman" w:hAnsi="Times New Roman" w:eastAsia="方正仿宋_GBK" w:cs="Times New Roman"/>
          <w:b w:val="0"/>
          <w:bCs/>
          <w:color w:val="auto"/>
          <w:kern w:val="0"/>
          <w:sz w:val="32"/>
          <w:szCs w:val="32"/>
          <w:highlight w:val="none"/>
          <w:shd w:val="clear" w:fill="FFFFFF"/>
        </w:rPr>
        <w:t>便民服务中心（退役军人服务站）。负责推进本乡镇</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rPr>
        <w:t>最多跑一次</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rPr>
        <w:t>改革。负责进入中心的政务服务事项和公共服务事项的集中受理、办理。负责便民服务办事窗口的日常管理与运行保障，指导辖区内村（社区）便民服务平台建设。负责便民服务平台日常管理协调工作。承担相关公共服务事务性工作。与民生服务办公室统筹运行。</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7.</w:t>
      </w:r>
      <w:r>
        <w:rPr>
          <w:rFonts w:hint="default" w:ascii="Times New Roman" w:hAnsi="Times New Roman" w:eastAsia="方正仿宋_GBK" w:cs="Times New Roman"/>
          <w:b w:val="0"/>
          <w:bCs/>
          <w:color w:val="auto"/>
          <w:kern w:val="0"/>
          <w:sz w:val="32"/>
          <w:szCs w:val="32"/>
          <w:highlight w:val="none"/>
          <w:shd w:val="clear" w:fill="FFFFFF"/>
        </w:rPr>
        <w:t>综合行政执法大队。负责统一行使乡镇权限范围内的行政处罚以及与之相关的行政检查和行政强制措施，承接部门授权委托的各项行政执法事项，在上级有关执法部门的指导和监督下开展综合行政执法工作。协助配合上级相关执法部门开展执法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8.</w:t>
      </w:r>
      <w:r>
        <w:rPr>
          <w:rFonts w:hint="default" w:ascii="Times New Roman" w:hAnsi="Times New Roman" w:eastAsia="方正仿宋_GBK" w:cs="Times New Roman"/>
          <w:b w:val="0"/>
          <w:bCs/>
          <w:color w:val="auto"/>
          <w:kern w:val="0"/>
          <w:sz w:val="32"/>
          <w:szCs w:val="32"/>
          <w:highlight w:val="none"/>
          <w:shd w:val="clear" w:fill="FFFFFF"/>
        </w:rPr>
        <w:t>新时代文明实践中心。承担辖区内文化、体育阵地建设工作，推动新时代文明实践站常态化开展活动。负责本级新时代文明实践中心日常管理工作，统筹使用基层公共服务阵地资源，承担辖区志愿服务队伍建设、项目培育和活动组织等职责，做好辖区理论学习、政策宣传、价值培育、移风易俗和丰富文化生活等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9.</w:t>
      </w:r>
      <w:r>
        <w:rPr>
          <w:rFonts w:hint="default" w:ascii="Times New Roman" w:hAnsi="Times New Roman" w:eastAsia="方正仿宋_GBK" w:cs="Times New Roman"/>
          <w:b w:val="0"/>
          <w:bCs/>
          <w:color w:val="auto"/>
          <w:kern w:val="0"/>
          <w:sz w:val="32"/>
          <w:szCs w:val="32"/>
          <w:highlight w:val="none"/>
          <w:shd w:val="clear" w:fill="FFFFFF"/>
        </w:rPr>
        <w:t>产业发展服务中心。承担辖区农林牧副渔等产业发展规划、服务与管理工作，协助开展农业植物和动物疫情防控，落实招商引资、乡村振兴、重大项目、特色产业发展等工作，提升产业发展质量。</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eastAsia" w:ascii="Times New Roman" w:hAnsi="Times New Roman" w:eastAsia="方正仿宋_GBK" w:cs="Times New Roman"/>
          <w:b w:val="0"/>
          <w:bCs/>
          <w:color w:val="auto"/>
          <w:kern w:val="0"/>
          <w:sz w:val="32"/>
          <w:szCs w:val="32"/>
          <w:highlight w:val="none"/>
          <w:shd w:val="clear" w:fill="FFFFFF"/>
          <w:lang w:val="en-US" w:eastAsia="zh-CN"/>
        </w:rPr>
        <w:t>10.</w:t>
      </w:r>
      <w:r>
        <w:rPr>
          <w:rFonts w:hint="default" w:ascii="Times New Roman" w:hAnsi="Times New Roman" w:eastAsia="方正仿宋_GBK" w:cs="Times New Roman"/>
          <w:b w:val="0"/>
          <w:bCs/>
          <w:color w:val="auto"/>
          <w:kern w:val="0"/>
          <w:sz w:val="32"/>
          <w:szCs w:val="32"/>
          <w:highlight w:val="none"/>
          <w:shd w:val="clear" w:fill="FFFFFF"/>
        </w:rPr>
        <w:t>园区服务中心。综合协调农业园区规划设计、基础设施建设、项目实施质量监督及管理；指导和协调农业园区农业产业结构调整、农业产业化经营及龙头企业、业主的引进培育；指导和协调农业园区土地流转等工作及承办政府和主管部门交办的其他事项。</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default" w:ascii="Times New Roman" w:hAnsi="Times New Roman" w:eastAsia="方正仿宋_GBK" w:cs="Times New Roman"/>
          <w:b w:val="0"/>
          <w:bCs/>
          <w:color w:val="auto"/>
          <w:kern w:val="0"/>
          <w:sz w:val="32"/>
          <w:szCs w:val="32"/>
          <w:highlight w:val="none"/>
          <w:shd w:val="clear" w:fill="FFFFFF"/>
        </w:rPr>
        <w:t>我部门现有行政编制41个，实有人数3</w:t>
      </w:r>
      <w:r>
        <w:rPr>
          <w:rFonts w:hint="eastAsia" w:ascii="Times New Roman" w:hAnsi="Times New Roman" w:eastAsia="方正仿宋_GBK" w:cs="Times New Roman"/>
          <w:b w:val="0"/>
          <w:bCs/>
          <w:color w:val="auto"/>
          <w:kern w:val="0"/>
          <w:sz w:val="32"/>
          <w:szCs w:val="32"/>
          <w:highlight w:val="none"/>
          <w:shd w:val="clear" w:fill="FFFFFF"/>
          <w:lang w:val="en-US" w:eastAsia="zh-CN"/>
        </w:rPr>
        <w:t>1</w:t>
      </w:r>
      <w:r>
        <w:rPr>
          <w:rFonts w:hint="default" w:ascii="Times New Roman" w:hAnsi="Times New Roman" w:eastAsia="方正仿宋_GBK" w:cs="Times New Roman"/>
          <w:b w:val="0"/>
          <w:bCs/>
          <w:color w:val="auto"/>
          <w:kern w:val="0"/>
          <w:sz w:val="32"/>
          <w:szCs w:val="32"/>
          <w:highlight w:val="none"/>
          <w:shd w:val="clear" w:fill="FFFFFF"/>
        </w:rPr>
        <w:t>人；工勤编制1个，实有人数1人；事业编制38个，实有人数3</w:t>
      </w:r>
      <w:r>
        <w:rPr>
          <w:rFonts w:hint="eastAsia" w:ascii="Times New Roman" w:hAnsi="Times New Roman" w:eastAsia="方正仿宋_GBK" w:cs="Times New Roman"/>
          <w:b w:val="0"/>
          <w:bCs/>
          <w:color w:val="auto"/>
          <w:kern w:val="0"/>
          <w:sz w:val="32"/>
          <w:szCs w:val="32"/>
          <w:highlight w:val="none"/>
          <w:shd w:val="clear" w:fill="FFFFFF"/>
          <w:lang w:val="en-US" w:eastAsia="zh-CN"/>
        </w:rPr>
        <w:t>2</w:t>
      </w:r>
      <w:r>
        <w:rPr>
          <w:rFonts w:hint="default" w:ascii="Times New Roman" w:hAnsi="Times New Roman" w:eastAsia="方正仿宋_GBK" w:cs="Times New Roman"/>
          <w:b w:val="0"/>
          <w:bCs/>
          <w:color w:val="auto"/>
          <w:kern w:val="0"/>
          <w:sz w:val="32"/>
          <w:szCs w:val="32"/>
          <w:highlight w:val="none"/>
          <w:shd w:val="clear" w:fill="FFFFFF"/>
        </w:rPr>
        <w:t>人；离休0人；退休48人。独立核算机构7个。</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二、部门决算情况说明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eastAsia" w:ascii="Times New Roman" w:hAnsi="Times New Roman" w:eastAsia="方正楷体_GBK" w:cs="Times New Roman"/>
          <w:b w:val="0"/>
          <w:bCs w:val="0"/>
          <w:color w:val="auto"/>
          <w:sz w:val="32"/>
          <w:szCs w:val="32"/>
          <w:highlight w:val="none"/>
          <w:shd w:val="clear" w:color="auto" w:fill="FFFFFF"/>
          <w:lang w:eastAsia="zh-CN"/>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4183.59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收、支与2023年度相比，减少685.24万元，下降14.1%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主要原因是本年项目较上年相比减少。</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2"/>
          <w:rFonts w:hint="eastAsia" w:ascii="Times New Roman" w:hAnsi="Times New Roman" w:eastAsia="方正仿宋_GBK" w:cs="Times New Roman"/>
          <w:color w:val="auto"/>
          <w:sz w:val="32"/>
          <w:szCs w:val="32"/>
          <w:highlight w:val="none"/>
          <w:shd w:val="clear" w:color="auto" w:fill="FFFFFF"/>
          <w:lang w:val="en-US" w:eastAsia="zh-CN"/>
        </w:rPr>
        <w:t>1.</w:t>
      </w:r>
      <w:r>
        <w:rPr>
          <w:rStyle w:val="12"/>
          <w:rFonts w:hint="default" w:ascii="Times New Roman" w:hAnsi="Times New Roman" w:eastAsia="方正仿宋_GBK" w:cs="Times New Roman"/>
          <w:color w:val="auto"/>
          <w:sz w:val="32"/>
          <w:szCs w:val="32"/>
          <w:highlight w:val="none"/>
          <w:shd w:val="clear" w:color="auto" w:fill="FFFFFF"/>
        </w:rPr>
        <w:t>收入情况。</w:t>
      </w:r>
      <w:r>
        <w:rPr>
          <w:rFonts w:hint="eastAsia" w:ascii="Times New Roman" w:hAnsi="Times New Roman" w:eastAsia="方正仿宋_GBK" w:cs="Times New Roman"/>
          <w:color w:val="auto"/>
          <w:sz w:val="32"/>
          <w:szCs w:val="32"/>
          <w:highlight w:val="none"/>
          <w:shd w:val="clear" w:color="auto" w:fill="FFFFFF"/>
          <w:lang w:eastAsia="zh-CN"/>
        </w:rPr>
        <w:t>2024</w:t>
      </w:r>
      <w:r>
        <w:rPr>
          <w:rFonts w:hint="default" w:ascii="Times New Roman" w:hAnsi="Times New Roman" w:eastAsia="方正仿宋_GBK" w:cs="Times New Roman"/>
          <w:color w:val="auto"/>
          <w:sz w:val="32"/>
          <w:szCs w:val="32"/>
          <w:highlight w:val="none"/>
          <w:shd w:val="clear" w:color="auto" w:fill="FFFFFF"/>
        </w:rPr>
        <w:t>年度收入合计4109.12万元，</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w:t>
      </w:r>
      <w:r>
        <w:rPr>
          <w:rFonts w:hint="default" w:ascii="Times New Roman" w:hAnsi="Times New Roman" w:eastAsia="方正仿宋_GBK" w:cs="Times New Roman"/>
          <w:color w:val="auto"/>
          <w:sz w:val="32"/>
          <w:szCs w:val="32"/>
          <w:highlight w:val="none"/>
          <w:shd w:val="clear" w:color="auto" w:fill="FFFFFF"/>
        </w:rPr>
        <w:t>减少616.32万元，下降13.</w:t>
      </w:r>
      <w:r>
        <w:rPr>
          <w:rFonts w:hint="eastAsia"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%，主要原因是本年项目较上年相比减少，导致财政收入减少。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4109.12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74.47</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2"/>
          <w:rFonts w:hint="eastAsia" w:ascii="Times New Roman" w:hAnsi="Times New Roman" w:eastAsia="方正仿宋_GBK" w:cs="Times New Roman"/>
          <w:color w:val="auto"/>
          <w:sz w:val="32"/>
          <w:szCs w:val="32"/>
          <w:highlight w:val="none"/>
          <w:shd w:val="clear" w:color="auto" w:fill="FFFFFF"/>
          <w:lang w:val="en-US" w:eastAsia="zh-CN"/>
        </w:rPr>
        <w:t>2</w:t>
      </w:r>
      <w:r>
        <w:rPr>
          <w:rStyle w:val="12"/>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4183.59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与2023年度相比，减少610.77万元，下降12.7%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主要原因是本年项目较上年相比减少，导致财政收入减少。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1845.81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44.1%</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2337.78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55.9%</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Style w:val="12"/>
          <w:rFonts w:hint="eastAsia" w:ascii="Times New Roman" w:hAnsi="Times New Roman" w:eastAsia="方正仿宋_GBK" w:cs="Times New Roman"/>
          <w:color w:val="auto"/>
          <w:sz w:val="32"/>
          <w:szCs w:val="32"/>
          <w:highlight w:val="none"/>
          <w:shd w:val="clear" w:color="auto" w:fill="FFFFFF"/>
          <w:lang w:val="en-US" w:eastAsia="zh-CN"/>
        </w:rPr>
        <w:t>3.</w:t>
      </w:r>
      <w:r>
        <w:rPr>
          <w:rStyle w:val="12"/>
          <w:rFonts w:hint="default" w:ascii="Times New Roman" w:hAnsi="Times New Roman" w:eastAsia="方正仿宋_GBK" w:cs="Times New Roman"/>
          <w:color w:val="auto"/>
          <w:sz w:val="32"/>
          <w:szCs w:val="32"/>
          <w:highlight w:val="none"/>
          <w:shd w:val="clear" w:color="auto" w:fill="FFFFFF"/>
        </w:rPr>
        <w:t>结转结余情况。</w:t>
      </w:r>
      <w:r>
        <w:rPr>
          <w:rFonts w:hint="eastAsia" w:ascii="Times New Roman" w:hAnsi="Times New Roman" w:eastAsia="方正仿宋_GBK" w:cs="Times New Roman"/>
          <w:color w:val="auto"/>
          <w:sz w:val="32"/>
          <w:szCs w:val="32"/>
          <w:highlight w:val="none"/>
          <w:shd w:val="clear" w:color="auto" w:fill="FFFFFF"/>
          <w:lang w:eastAsia="zh-CN"/>
        </w:rPr>
        <w:t>2024</w:t>
      </w:r>
      <w:r>
        <w:rPr>
          <w:rFonts w:hint="default" w:ascii="Times New Roman" w:hAnsi="Times New Roman" w:eastAsia="方正仿宋_GBK" w:cs="Times New Roman"/>
          <w:color w:val="auto"/>
          <w:sz w:val="32"/>
          <w:szCs w:val="32"/>
          <w:highlight w:val="none"/>
          <w:shd w:val="clear" w:color="auto" w:fill="FFFFFF"/>
        </w:rPr>
        <w:t>年度年末结转和结余</w:t>
      </w:r>
      <w:r>
        <w:rPr>
          <w:rFonts w:hint="eastAsia" w:ascii="Times New Roman" w:hAnsi="Times New Roman" w:eastAsia="方正仿宋_GBK" w:cs="Times New Roman"/>
          <w:color w:val="auto"/>
          <w:sz w:val="32"/>
          <w:szCs w:val="32"/>
          <w:highlight w:val="none"/>
          <w:lang w:val="en-US" w:eastAsia="zh-CN"/>
        </w:rPr>
        <w:t>0.00</w:t>
      </w:r>
      <w:r>
        <w:rPr>
          <w:rFonts w:hint="default" w:ascii="Times New Roman" w:hAnsi="Times New Roman" w:eastAsia="方正仿宋_GBK" w:cs="Times New Roman"/>
          <w:color w:val="auto"/>
          <w:sz w:val="32"/>
          <w:szCs w:val="32"/>
          <w:highlight w:val="none"/>
          <w:shd w:val="clear" w:color="auto" w:fill="FFFFFF"/>
        </w:rPr>
        <w:t>万元，较上年决算数</w:t>
      </w:r>
      <w:r>
        <w:rPr>
          <w:rFonts w:hint="eastAsia" w:ascii="Times New Roman" w:hAnsi="Times New Roman" w:eastAsia="方正仿宋_GBK" w:cs="Times New Roman"/>
          <w:color w:val="auto"/>
          <w:sz w:val="32"/>
          <w:szCs w:val="32"/>
          <w:highlight w:val="none"/>
          <w:shd w:val="clear" w:color="auto" w:fill="FFFFFF"/>
          <w:lang w:val="en-US" w:eastAsia="zh-CN"/>
        </w:rPr>
        <w:t>减少</w:t>
      </w:r>
      <w:r>
        <w:rPr>
          <w:rFonts w:hint="default" w:ascii="Times New Roman" w:hAnsi="Times New Roman" w:eastAsia="方正仿宋_GBK" w:cs="Times New Roman"/>
          <w:color w:val="auto"/>
          <w:sz w:val="32"/>
          <w:szCs w:val="32"/>
          <w:highlight w:val="none"/>
          <w:shd w:val="clear" w:color="auto" w:fill="FFFFFF"/>
        </w:rPr>
        <w:t>74.47万元，</w:t>
      </w:r>
      <w:r>
        <w:rPr>
          <w:rFonts w:hint="eastAsia" w:ascii="Times New Roman" w:hAnsi="Times New Roman" w:eastAsia="方正仿宋_GBK" w:cs="Times New Roman"/>
          <w:color w:val="auto"/>
          <w:sz w:val="32"/>
          <w:szCs w:val="32"/>
          <w:highlight w:val="none"/>
          <w:shd w:val="clear" w:color="auto" w:fill="FFFFFF"/>
          <w:lang w:val="en-US" w:eastAsia="zh-CN"/>
        </w:rPr>
        <w:t>下降</w:t>
      </w:r>
      <w:r>
        <w:rPr>
          <w:rFonts w:hint="default" w:ascii="Times New Roman" w:hAnsi="Times New Roman" w:eastAsia="方正仿宋_GBK" w:cs="Times New Roman"/>
          <w:color w:val="auto"/>
          <w:sz w:val="32"/>
          <w:szCs w:val="32"/>
          <w:highlight w:val="none"/>
          <w:shd w:val="clear" w:color="auto" w:fill="FFFFFF"/>
        </w:rPr>
        <w:t>100.0%，主要原因是</w:t>
      </w:r>
      <w:r>
        <w:rPr>
          <w:rFonts w:hint="eastAsia" w:ascii="Times New Roman" w:hAnsi="Times New Roman" w:eastAsia="方正仿宋_GBK" w:cs="Times New Roman"/>
          <w:color w:val="auto"/>
          <w:sz w:val="32"/>
          <w:szCs w:val="32"/>
          <w:highlight w:val="none"/>
          <w:shd w:val="clear" w:color="auto" w:fill="FFFFFF"/>
          <w:lang w:val="en-US" w:eastAsia="zh-CN"/>
        </w:rPr>
        <w:t>上年年末的</w:t>
      </w:r>
      <w:r>
        <w:rPr>
          <w:rFonts w:hint="default" w:ascii="Times New Roman" w:hAnsi="Times New Roman" w:eastAsia="方正仿宋_GBK" w:cs="Times New Roman"/>
          <w:color w:val="auto"/>
          <w:sz w:val="32"/>
          <w:szCs w:val="32"/>
          <w:highlight w:val="none"/>
          <w:shd w:val="clear" w:color="auto" w:fill="FFFFFF"/>
        </w:rPr>
        <w:t>结转</w:t>
      </w:r>
      <w:r>
        <w:rPr>
          <w:rFonts w:hint="eastAsia" w:ascii="Times New Roman" w:hAnsi="Times New Roman" w:eastAsia="方正仿宋_GBK" w:cs="Times New Roman"/>
          <w:color w:val="auto"/>
          <w:sz w:val="32"/>
          <w:szCs w:val="32"/>
          <w:highlight w:val="none"/>
          <w:shd w:val="clear" w:color="auto" w:fill="FFFFFF"/>
          <w:lang w:val="en-US" w:eastAsia="zh-CN"/>
        </w:rPr>
        <w:t>结余资金已在本年全部支付</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故本年年末不存在结转结余资金。</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4183.59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财政拨款收、支总计各减少685.24万元，下降14.1%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主要原因是本年项目较上年相比减少，导致财政收入减少。</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eastAsia" w:ascii="Times New Roman" w:hAnsi="Times New Roman" w:eastAsia="方正楷体_GBK" w:cs="Times New Roman"/>
          <w:b w:val="0"/>
          <w:bCs w:val="0"/>
          <w:color w:val="auto"/>
          <w:sz w:val="32"/>
          <w:szCs w:val="32"/>
          <w:highlight w:val="none"/>
          <w:shd w:val="clear" w:color="auto" w:fill="FFFFFF"/>
          <w:lang w:eastAsia="zh-CN"/>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2"/>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4089.12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与2023年度相比，减少577.25万元，下降12.4%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主要原因是本年项目较上年相比减少，导致财政收入减少。较年初预算数增加1066.07万元，增长35.</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梅江镇2024年民族村茶叶加工厂房建设项目</w:t>
      </w:r>
      <w:r>
        <w:rPr>
          <w:rFonts w:hint="eastAsia" w:ascii="Times New Roman" w:hAnsi="Times New Roman" w:eastAsia="方正仿宋_GBK" w:cs="Times New Roman"/>
          <w:color w:val="auto"/>
          <w:sz w:val="32"/>
          <w:szCs w:val="32"/>
          <w:highlight w:val="none"/>
          <w:shd w:val="clear" w:color="auto" w:fill="FFFFFF"/>
          <w:lang w:eastAsia="zh-CN"/>
        </w:rPr>
        <w:t>、梅江镇2024年关田村茶叶加工厂二期工程建设项目、梅江镇2024年财金协同支持镇乡产业发展奖补资金项目</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r>
        <w:rPr>
          <w:rFonts w:hint="default" w:ascii="Times New Roman" w:hAnsi="Times New Roman" w:eastAsia="方正仿宋_GBK" w:cs="Times New Roman"/>
          <w:color w:val="auto"/>
          <w:sz w:val="32"/>
          <w:szCs w:val="32"/>
          <w:highlight w:val="none"/>
          <w:shd w:val="clear" w:color="auto" w:fill="FFFFFF"/>
        </w:rPr>
        <w:t>此外，年初财政拨款结转和结余</w:t>
      </w:r>
      <w:r>
        <w:rPr>
          <w:rFonts w:hint="default" w:ascii="Times New Roman" w:hAnsi="Times New Roman" w:eastAsia="方正仿宋_GBK" w:cs="Times New Roman"/>
          <w:color w:val="auto"/>
          <w:sz w:val="32"/>
          <w:szCs w:val="32"/>
          <w:highlight w:val="none"/>
        </w:rPr>
        <w:t>74.47</w:t>
      </w:r>
      <w:r>
        <w:rPr>
          <w:rFonts w:hint="default" w:ascii="Times New Roman" w:hAnsi="Times New Roman" w:eastAsia="方正仿宋_GBK" w:cs="Times New Roman"/>
          <w:color w:val="auto"/>
          <w:sz w:val="32"/>
          <w:szCs w:val="32"/>
          <w:highlight w:val="none"/>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4163.59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与2023年度相比，减少571.69万元，下降12.1%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主要原因是本年项目较上年相比减少，导致财政收入减少。较年初预算数增加1140.55万元，增长37.7%。主要原因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梅江镇2024年民族村茶叶加工厂房建设项目</w:t>
      </w:r>
      <w:r>
        <w:rPr>
          <w:rFonts w:hint="eastAsia" w:ascii="Times New Roman" w:hAnsi="Times New Roman" w:eastAsia="方正仿宋_GBK" w:cs="Times New Roman"/>
          <w:color w:val="auto"/>
          <w:sz w:val="32"/>
          <w:szCs w:val="32"/>
          <w:highlight w:val="none"/>
          <w:shd w:val="clear" w:color="auto" w:fill="FFFFFF"/>
          <w:lang w:eastAsia="zh-CN"/>
        </w:rPr>
        <w:t>、梅江镇2024年关田村茶叶加工厂二期工程建设项目、梅江镇2024年财金协同支持镇乡产业发展奖补资金项目</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（1）一般公共服务支出</w:t>
      </w:r>
      <w:r>
        <w:rPr>
          <w:rFonts w:hint="default" w:ascii="Times New Roman" w:hAnsi="Times New Roman" w:eastAsia="方正仿宋_GBK" w:cs="Times New Roman"/>
          <w:color w:val="auto"/>
          <w:sz w:val="32"/>
          <w:szCs w:val="32"/>
          <w:highlight w:val="none"/>
        </w:rPr>
        <w:t>1036.22</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24.</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shd w:val="clear" w:color="auto" w:fill="FFFFFF"/>
        </w:rPr>
        <w:t>，较年初预算数</w:t>
      </w:r>
      <w:r>
        <w:rPr>
          <w:rFonts w:hint="eastAsia" w:ascii="Times New Roman" w:hAnsi="Times New Roman" w:eastAsia="方正仿宋_GBK" w:cs="Times New Roman"/>
          <w:color w:val="auto"/>
          <w:sz w:val="32"/>
          <w:szCs w:val="32"/>
          <w:highlight w:val="none"/>
          <w:shd w:val="clear" w:color="auto" w:fill="FFFFFF"/>
          <w:lang w:val="en-US" w:eastAsia="zh-CN"/>
        </w:rPr>
        <w:t>增加</w:t>
      </w:r>
      <w:r>
        <w:rPr>
          <w:rFonts w:hint="default" w:ascii="Times New Roman" w:hAnsi="Times New Roman" w:eastAsia="方正仿宋_GBK" w:cs="Times New Roman"/>
          <w:color w:val="auto"/>
          <w:sz w:val="32"/>
          <w:szCs w:val="32"/>
          <w:highlight w:val="none"/>
          <w:shd w:val="clear" w:color="auto" w:fill="FFFFFF"/>
        </w:rPr>
        <w:t>170.28万元，</w:t>
      </w:r>
      <w:r>
        <w:rPr>
          <w:rFonts w:hint="eastAsia" w:ascii="Times New Roman" w:hAnsi="Times New Roman" w:eastAsia="方正仿宋_GBK" w:cs="Times New Roman"/>
          <w:color w:val="auto"/>
          <w:sz w:val="32"/>
          <w:szCs w:val="32"/>
          <w:highlight w:val="none"/>
          <w:shd w:val="clear" w:color="auto" w:fill="FFFFFF"/>
          <w:lang w:val="en-US" w:eastAsia="zh-CN"/>
        </w:rPr>
        <w:t>增长</w:t>
      </w:r>
      <w:r>
        <w:rPr>
          <w:rFonts w:hint="default" w:ascii="Times New Roman" w:hAnsi="Times New Roman" w:eastAsia="方正仿宋_GBK" w:cs="Times New Roman"/>
          <w:color w:val="auto"/>
          <w:sz w:val="32"/>
          <w:szCs w:val="32"/>
          <w:highlight w:val="none"/>
          <w:shd w:val="clear" w:color="auto" w:fill="FFFFFF"/>
        </w:rPr>
        <w:t>19.</w:t>
      </w:r>
      <w:r>
        <w:rPr>
          <w:rFonts w:hint="eastAsia"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b w:val="0"/>
          <w:bCs/>
          <w:color w:val="auto"/>
          <w:kern w:val="0"/>
          <w:sz w:val="32"/>
          <w:szCs w:val="32"/>
          <w:highlight w:val="none"/>
          <w:shd w:val="clear" w:fill="FFFFFF"/>
          <w:lang w:eastAsia="zh-CN"/>
        </w:rPr>
        <w:t>党龄40年以上老党员生活补贴</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lang w:eastAsia="zh-CN"/>
        </w:rPr>
        <w:t>丧葬费和一次性抚恤金</w:t>
      </w:r>
      <w:r>
        <w:rPr>
          <w:rFonts w:hint="eastAsia" w:ascii="Times New Roman" w:hAnsi="Times New Roman" w:eastAsia="方正仿宋_GBK" w:cs="Times New Roman"/>
          <w:b w:val="0"/>
          <w:bCs/>
          <w:color w:val="auto"/>
          <w:kern w:val="0"/>
          <w:sz w:val="32"/>
          <w:szCs w:val="32"/>
          <w:highlight w:val="none"/>
          <w:shd w:val="clear" w:fill="FFFFFF"/>
          <w:lang w:val="en-US" w:eastAsia="zh-CN"/>
        </w:rPr>
        <w:t>等</w:t>
      </w:r>
      <w:r>
        <w:rPr>
          <w:rFonts w:hint="eastAsia" w:ascii="Times New Roman" w:hAnsi="Times New Roman" w:eastAsia="方正仿宋_GBK" w:cs="Times New Roman"/>
          <w:color w:val="auto"/>
          <w:sz w:val="32"/>
          <w:szCs w:val="32"/>
          <w:highlight w:val="none"/>
          <w:shd w:val="clear" w:color="auto" w:fill="FFFFFF"/>
          <w:lang w:val="en-US" w:eastAsia="zh-CN"/>
        </w:rPr>
        <w:t>资金。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lang w:eastAsia="zh-CN"/>
        </w:rPr>
      </w:pPr>
      <w:r>
        <w:rPr>
          <w:rFonts w:hint="default" w:ascii="Times New Roman" w:hAnsi="Times New Roman" w:eastAsia="方正仿宋_GBK" w:cs="Times New Roman"/>
          <w:color w:val="auto"/>
          <w:sz w:val="32"/>
          <w:szCs w:val="32"/>
          <w:highlight w:val="none"/>
          <w:u w:val="none"/>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lang w:val="en-US" w:eastAsia="zh-CN"/>
        </w:rPr>
        <w:t>2</w:t>
      </w:r>
      <w:r>
        <w:rPr>
          <w:rFonts w:hint="default" w:ascii="Times New Roman" w:hAnsi="Times New Roman" w:eastAsia="方正仿宋_GBK" w:cs="Times New Roman"/>
          <w:color w:val="auto"/>
          <w:sz w:val="32"/>
          <w:szCs w:val="32"/>
          <w:highlight w:val="none"/>
          <w:u w:val="none"/>
          <w:shd w:val="clear" w:color="auto" w:fill="FFFFFF"/>
        </w:rPr>
        <w:t>）</w:t>
      </w:r>
      <w:r>
        <w:rPr>
          <w:rFonts w:hint="eastAsia" w:ascii="Times New Roman" w:hAnsi="Times New Roman" w:eastAsia="方正仿宋_GBK" w:cs="Times New Roman"/>
          <w:color w:val="auto"/>
          <w:sz w:val="32"/>
          <w:szCs w:val="32"/>
          <w:highlight w:val="none"/>
          <w:u w:val="none"/>
          <w:shd w:val="clear" w:color="auto" w:fill="FFFFFF"/>
          <w:lang w:val="en-US" w:eastAsia="zh-CN"/>
        </w:rPr>
        <w:t>外交</w:t>
      </w:r>
      <w:r>
        <w:rPr>
          <w:rFonts w:hint="default" w:ascii="Times New Roman" w:hAnsi="Times New Roman" w:eastAsia="方正仿宋_GBK" w:cs="Times New Roman"/>
          <w:color w:val="auto"/>
          <w:sz w:val="32"/>
          <w:szCs w:val="32"/>
          <w:highlight w:val="none"/>
          <w:u w:val="none"/>
          <w:shd w:val="clear" w:color="auto" w:fill="FFFFFF"/>
        </w:rPr>
        <w:t>支出</w:t>
      </w:r>
      <w:r>
        <w:rPr>
          <w:rFonts w:hint="eastAsia" w:ascii="Times New Roman" w:hAnsi="Times New Roman" w:eastAsia="方正仿宋_GBK" w:cs="Times New Roman"/>
          <w:color w:val="auto"/>
          <w:sz w:val="32"/>
          <w:szCs w:val="32"/>
          <w:highlight w:val="none"/>
          <w:u w:val="none"/>
          <w:shd w:val="clear" w:color="auto" w:fill="FFFFFF"/>
          <w:lang w:val="en-US" w:eastAsia="zh-CN"/>
        </w:rPr>
        <w:t>0.00</w:t>
      </w:r>
      <w:r>
        <w:rPr>
          <w:rFonts w:hint="default" w:ascii="Times New Roman" w:hAnsi="Times New Roman" w:eastAsia="方正仿宋_GBK" w:cs="Times New Roman"/>
          <w:color w:val="auto"/>
          <w:sz w:val="32"/>
          <w:szCs w:val="32"/>
          <w:highlight w:val="none"/>
          <w:u w:val="none"/>
          <w:shd w:val="clear" w:color="auto" w:fill="FFFFFF"/>
        </w:rPr>
        <w:t>万元，占</w:t>
      </w:r>
      <w:r>
        <w:rPr>
          <w:rFonts w:hint="eastAsia" w:ascii="Times New Roman" w:hAnsi="Times New Roman" w:eastAsia="方正仿宋_GBK" w:cs="Times New Roman"/>
          <w:color w:val="auto"/>
          <w:sz w:val="32"/>
          <w:szCs w:val="32"/>
          <w:highlight w:val="none"/>
          <w:u w:val="none"/>
          <w:lang w:val="en-US" w:eastAsia="zh-CN"/>
        </w:rPr>
        <w:t>0.0</w:t>
      </w:r>
      <w:r>
        <w:rPr>
          <w:rFonts w:hint="default" w:ascii="Times New Roman" w:hAnsi="Times New Roman" w:eastAsia="方正仿宋_GBK" w:cs="Times New Roman"/>
          <w:color w:val="auto"/>
          <w:sz w:val="32"/>
          <w:szCs w:val="32"/>
          <w:highlight w:val="none"/>
          <w:u w:val="none"/>
          <w:shd w:val="clear" w:color="auto" w:fill="FFFFFF"/>
        </w:rPr>
        <w:t>%，较年初预算数</w:t>
      </w:r>
      <w:r>
        <w:rPr>
          <w:rFonts w:hint="eastAsia" w:ascii="Times New Roman" w:hAnsi="Times New Roman" w:eastAsia="方正仿宋_GBK" w:cs="Times New Roman"/>
          <w:color w:val="auto"/>
          <w:sz w:val="32"/>
          <w:szCs w:val="32"/>
          <w:highlight w:val="none"/>
          <w:u w:val="none"/>
          <w:shd w:val="clear" w:color="auto" w:fill="FFFFFF"/>
          <w:lang w:val="en-US" w:eastAsia="zh-CN"/>
        </w:rPr>
        <w:t>无增减</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本年无外交支出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shd w:val="clear" w:color="auto" w:fill="FFFFFF"/>
          <w:lang w:eastAsia="zh-CN"/>
        </w:rPr>
      </w:pPr>
      <w:r>
        <w:rPr>
          <w:rFonts w:hint="default" w:ascii="Times New Roman" w:hAnsi="Times New Roman" w:eastAsia="方正仿宋_GBK" w:cs="Times New Roman"/>
          <w:color w:val="auto"/>
          <w:sz w:val="32"/>
          <w:szCs w:val="32"/>
          <w:highlight w:val="none"/>
          <w:u w:val="none"/>
          <w:shd w:val="clear" w:color="auto" w:fill="FFFFFF"/>
        </w:rPr>
        <w:t>（</w:t>
      </w:r>
      <w:r>
        <w:rPr>
          <w:rFonts w:hint="eastAsia" w:ascii="Times New Roman" w:hAnsi="Times New Roman" w:eastAsia="方正仿宋_GBK" w:cs="Times New Roman"/>
          <w:color w:val="auto"/>
          <w:sz w:val="32"/>
          <w:szCs w:val="32"/>
          <w:highlight w:val="none"/>
          <w:u w:val="none"/>
          <w:shd w:val="clear" w:color="auto" w:fill="FFFFFF"/>
          <w:lang w:val="en-US" w:eastAsia="zh-CN"/>
        </w:rPr>
        <w:t>3</w:t>
      </w:r>
      <w:r>
        <w:rPr>
          <w:rFonts w:hint="default" w:ascii="Times New Roman" w:hAnsi="Times New Roman" w:eastAsia="方正仿宋_GBK" w:cs="Times New Roman"/>
          <w:color w:val="auto"/>
          <w:sz w:val="32"/>
          <w:szCs w:val="32"/>
          <w:highlight w:val="none"/>
          <w:u w:val="none"/>
          <w:shd w:val="clear" w:color="auto" w:fill="FFFFFF"/>
        </w:rPr>
        <w:t>）国防支出</w:t>
      </w:r>
      <w:r>
        <w:rPr>
          <w:rFonts w:hint="eastAsia" w:ascii="Times New Roman" w:hAnsi="Times New Roman" w:eastAsia="方正仿宋_GBK" w:cs="Times New Roman"/>
          <w:color w:val="auto"/>
          <w:sz w:val="32"/>
          <w:szCs w:val="32"/>
          <w:highlight w:val="none"/>
          <w:u w:val="none"/>
          <w:shd w:val="clear" w:color="auto" w:fill="FFFFFF"/>
          <w:lang w:val="en-US" w:eastAsia="zh-CN"/>
        </w:rPr>
        <w:t>0.00</w:t>
      </w:r>
      <w:r>
        <w:rPr>
          <w:rFonts w:hint="default" w:ascii="Times New Roman" w:hAnsi="Times New Roman" w:eastAsia="方正仿宋_GBK" w:cs="Times New Roman"/>
          <w:color w:val="auto"/>
          <w:sz w:val="32"/>
          <w:szCs w:val="32"/>
          <w:highlight w:val="none"/>
          <w:u w:val="none"/>
          <w:shd w:val="clear" w:color="auto" w:fill="FFFFFF"/>
        </w:rPr>
        <w:t>万元，占</w:t>
      </w:r>
      <w:r>
        <w:rPr>
          <w:rFonts w:hint="eastAsia" w:ascii="Times New Roman" w:hAnsi="Times New Roman" w:eastAsia="方正仿宋_GBK" w:cs="Times New Roman"/>
          <w:color w:val="auto"/>
          <w:sz w:val="32"/>
          <w:szCs w:val="32"/>
          <w:highlight w:val="none"/>
          <w:u w:val="none"/>
          <w:lang w:val="en-US" w:eastAsia="zh-CN"/>
        </w:rPr>
        <w:t>0.0</w:t>
      </w:r>
      <w:r>
        <w:rPr>
          <w:rFonts w:hint="default" w:ascii="Times New Roman" w:hAnsi="Times New Roman" w:eastAsia="方正仿宋_GBK" w:cs="Times New Roman"/>
          <w:color w:val="auto"/>
          <w:sz w:val="32"/>
          <w:szCs w:val="32"/>
          <w:highlight w:val="none"/>
          <w:u w:val="none"/>
          <w:shd w:val="clear" w:color="auto" w:fill="FFFFFF"/>
        </w:rPr>
        <w:t>%，较年初预算数</w:t>
      </w:r>
      <w:r>
        <w:rPr>
          <w:rFonts w:hint="eastAsia" w:ascii="Times New Roman" w:hAnsi="Times New Roman" w:eastAsia="方正仿宋_GBK" w:cs="Times New Roman"/>
          <w:color w:val="auto"/>
          <w:sz w:val="32"/>
          <w:szCs w:val="32"/>
          <w:highlight w:val="none"/>
          <w:u w:val="none"/>
          <w:shd w:val="clear" w:color="auto" w:fill="FFFFFF"/>
          <w:lang w:val="en-US" w:eastAsia="zh-CN"/>
        </w:rPr>
        <w:t>无增减</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本年无国防支出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12.37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较年初预算数减少186.97万元，下降93.8%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主要原因基层治理（平安及法治建设）奖补</w:t>
      </w:r>
      <w:r>
        <w:rPr>
          <w:rFonts w:hint="eastAsia" w:ascii="Times New Roman" w:hAnsi="Times New Roman" w:eastAsia="方正仿宋_GBK" w:cs="Times New Roman"/>
          <w:color w:val="auto"/>
          <w:sz w:val="32"/>
          <w:szCs w:val="32"/>
          <w:highlight w:val="none"/>
          <w:shd w:val="clear" w:color="auto" w:fill="FFFFFF"/>
          <w:lang w:val="en-US" w:eastAsia="zh-CN"/>
        </w:rPr>
        <w:t>等项目支出减少。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shd w:val="clear" w:color="auto" w:fill="FFFFFF"/>
          <w:lang w:eastAsia="zh-CN"/>
        </w:rPr>
      </w:pPr>
      <w:r>
        <w:rPr>
          <w:rFonts w:hint="default" w:ascii="Times New Roman" w:hAnsi="Times New Roman" w:eastAsia="方正仿宋_GBK" w:cs="Times New Roman"/>
          <w:color w:val="auto"/>
          <w:sz w:val="32"/>
          <w:szCs w:val="32"/>
          <w:highlight w:val="none"/>
          <w:u w:val="none"/>
          <w:shd w:val="clear" w:color="auto" w:fill="FFFFFF"/>
        </w:rPr>
        <w:t>（</w:t>
      </w:r>
      <w:r>
        <w:rPr>
          <w:rFonts w:hint="eastAsia" w:ascii="Times New Roman" w:hAnsi="Times New Roman" w:eastAsia="方正仿宋_GBK" w:cs="Times New Roman"/>
          <w:color w:val="auto"/>
          <w:sz w:val="32"/>
          <w:szCs w:val="32"/>
          <w:highlight w:val="none"/>
          <w:u w:val="none"/>
          <w:shd w:val="clear" w:color="auto" w:fill="FFFFFF"/>
          <w:lang w:val="en-US" w:eastAsia="zh-CN"/>
        </w:rPr>
        <w:t>5</w:t>
      </w:r>
      <w:r>
        <w:rPr>
          <w:rFonts w:hint="default" w:ascii="Times New Roman" w:hAnsi="Times New Roman" w:eastAsia="方正仿宋_GBK" w:cs="Times New Roman"/>
          <w:color w:val="auto"/>
          <w:sz w:val="32"/>
          <w:szCs w:val="32"/>
          <w:highlight w:val="none"/>
          <w:u w:val="none"/>
          <w:shd w:val="clear" w:color="auto" w:fill="FFFFFF"/>
        </w:rPr>
        <w:t>）教育支出</w:t>
      </w:r>
      <w:r>
        <w:rPr>
          <w:rFonts w:hint="eastAsia" w:ascii="Times New Roman" w:hAnsi="Times New Roman" w:eastAsia="方正仿宋_GBK" w:cs="Times New Roman"/>
          <w:color w:val="auto"/>
          <w:sz w:val="32"/>
          <w:szCs w:val="32"/>
          <w:highlight w:val="none"/>
          <w:u w:val="none"/>
          <w:lang w:val="en-US" w:eastAsia="zh-CN"/>
        </w:rPr>
        <w:t>0.00</w:t>
      </w:r>
      <w:r>
        <w:rPr>
          <w:rFonts w:hint="default" w:ascii="Times New Roman" w:hAnsi="Times New Roman" w:eastAsia="方正仿宋_GBK" w:cs="Times New Roman"/>
          <w:color w:val="auto"/>
          <w:sz w:val="32"/>
          <w:szCs w:val="32"/>
          <w:highlight w:val="none"/>
          <w:u w:val="none"/>
          <w:shd w:val="clear" w:color="auto" w:fill="FFFFFF"/>
        </w:rPr>
        <w:t>万元，占</w:t>
      </w:r>
      <w:r>
        <w:rPr>
          <w:rFonts w:hint="eastAsia" w:ascii="Times New Roman" w:hAnsi="Times New Roman" w:eastAsia="方正仿宋_GBK" w:cs="Times New Roman"/>
          <w:color w:val="auto"/>
          <w:sz w:val="32"/>
          <w:szCs w:val="32"/>
          <w:highlight w:val="none"/>
          <w:u w:val="none"/>
          <w:lang w:val="en-US" w:eastAsia="zh-CN"/>
        </w:rPr>
        <w:t>0.0</w:t>
      </w:r>
      <w:r>
        <w:rPr>
          <w:rFonts w:hint="default" w:ascii="Times New Roman" w:hAnsi="Times New Roman" w:eastAsia="方正仿宋_GBK" w:cs="Times New Roman"/>
          <w:color w:val="auto"/>
          <w:sz w:val="32"/>
          <w:szCs w:val="32"/>
          <w:highlight w:val="none"/>
          <w:u w:val="none"/>
          <w:shd w:val="clear" w:color="auto" w:fill="FFFFFF"/>
        </w:rPr>
        <w:t>%，较年初预算数</w:t>
      </w:r>
      <w:r>
        <w:rPr>
          <w:rFonts w:hint="eastAsia" w:ascii="Times New Roman" w:hAnsi="Times New Roman" w:eastAsia="方正仿宋_GBK" w:cs="Times New Roman"/>
          <w:color w:val="auto"/>
          <w:sz w:val="32"/>
          <w:szCs w:val="32"/>
          <w:highlight w:val="none"/>
          <w:u w:val="none"/>
          <w:shd w:val="clear" w:color="auto" w:fill="FFFFFF"/>
          <w:lang w:val="en-US" w:eastAsia="zh-CN"/>
        </w:rPr>
        <w:t>无增减</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本年无教育支出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）科学技术支出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w:t>
      </w:r>
      <w:r>
        <w:rPr>
          <w:rFonts w:ascii="方正仿宋_GBK" w:hAnsi="方正仿宋_GBK" w:eastAsia="方正仿宋_GBK" w:cs="方正仿宋_GBK"/>
          <w:color w:val="auto"/>
          <w:sz w:val="32"/>
          <w:szCs w:val="32"/>
          <w:shd w:val="clear" w:color="auto" w:fill="FFFFFF"/>
        </w:rPr>
        <w:t>科学技术支出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81.65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较年初预算数增加22.91万元，增长39.0%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2023年国家非物质文化遗产保护资金（梅江六月六）</w:t>
      </w:r>
      <w:r>
        <w:rPr>
          <w:rFonts w:hint="eastAsia" w:ascii="Times New Roman" w:hAnsi="Times New Roman" w:eastAsia="方正仿宋_GBK" w:cs="Times New Roman"/>
          <w:color w:val="auto"/>
          <w:sz w:val="32"/>
          <w:szCs w:val="32"/>
          <w:highlight w:val="none"/>
          <w:shd w:val="clear" w:color="auto" w:fill="FFFFFF"/>
          <w:lang w:val="en-US" w:eastAsia="zh-CN"/>
        </w:rPr>
        <w:t>项目支出。</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436.66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较年初预算数增加40.84万元，增长10.3%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年中追加梅江镇2024年事业人员补缴职业年金、养老保险等资金及</w:t>
      </w:r>
      <w:r>
        <w:rPr>
          <w:rFonts w:hint="default" w:ascii="Times New Roman" w:hAnsi="Times New Roman" w:eastAsia="方正仿宋_GBK" w:cs="Times New Roman"/>
          <w:color w:val="auto"/>
          <w:sz w:val="32"/>
          <w:szCs w:val="32"/>
          <w:highlight w:val="none"/>
          <w:shd w:val="clear" w:color="auto" w:fill="FFFFFF"/>
          <w:lang w:val="en-US" w:eastAsia="zh-CN"/>
        </w:rPr>
        <w:t>公益性公墓建设项目</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残疾人数据动态更新工作经费</w:t>
      </w:r>
      <w:r>
        <w:rPr>
          <w:rFonts w:hint="eastAsia" w:ascii="Times New Roman" w:hAnsi="Times New Roman" w:eastAsia="方正仿宋_GBK" w:cs="Times New Roman"/>
          <w:color w:val="auto"/>
          <w:sz w:val="32"/>
          <w:szCs w:val="32"/>
          <w:highlight w:val="none"/>
          <w:shd w:val="clear" w:color="auto" w:fill="FFFFFF"/>
          <w:lang w:val="en-US" w:eastAsia="zh-CN"/>
        </w:rPr>
        <w:t>、特困人员</w:t>
      </w:r>
      <w:bookmarkStart w:id="0" w:name="_GoBack"/>
      <w:bookmarkEnd w:id="0"/>
      <w:r>
        <w:rPr>
          <w:rFonts w:hint="eastAsia" w:ascii="Times New Roman" w:hAnsi="Times New Roman" w:eastAsia="方正仿宋_GBK" w:cs="Times New Roman"/>
          <w:color w:val="auto"/>
          <w:sz w:val="32"/>
          <w:szCs w:val="32"/>
          <w:highlight w:val="none"/>
          <w:shd w:val="clear" w:color="auto" w:fill="FFFFFF"/>
          <w:lang w:val="en-US" w:eastAsia="zh-CN"/>
        </w:rPr>
        <w:t>安埋费、重度残疾人居家托养经费</w:t>
      </w:r>
      <w:r>
        <w:rPr>
          <w:rFonts w:hint="default" w:ascii="Times New Roman" w:hAnsi="Times New Roman" w:eastAsia="方正仿宋_GBK" w:cs="Times New Roman"/>
          <w:color w:val="auto"/>
          <w:sz w:val="32"/>
          <w:szCs w:val="32"/>
          <w:highlight w:val="none"/>
          <w:shd w:val="clear" w:color="auto" w:fill="FFFFFF"/>
          <w:lang w:val="en-US" w:eastAsia="zh-CN"/>
        </w:rPr>
        <w:t>等</w:t>
      </w:r>
      <w:r>
        <w:rPr>
          <w:rFonts w:hint="eastAsia" w:ascii="Times New Roman" w:hAnsi="Times New Roman" w:eastAsia="方正仿宋_GBK" w:cs="Times New Roman"/>
          <w:color w:val="auto"/>
          <w:sz w:val="32"/>
          <w:szCs w:val="32"/>
          <w:highlight w:val="none"/>
          <w:shd w:val="clear" w:color="auto" w:fill="FFFFFF"/>
          <w:lang w:val="en-US" w:eastAsia="zh-CN"/>
        </w:rPr>
        <w:t>项目</w:t>
      </w:r>
      <w:r>
        <w:rPr>
          <w:rFonts w:hint="default" w:ascii="Times New Roman" w:hAnsi="Times New Roman" w:eastAsia="方正仿宋_GBK" w:cs="Times New Roman"/>
          <w:color w:val="auto"/>
          <w:sz w:val="32"/>
          <w:szCs w:val="32"/>
          <w:highlight w:val="none"/>
          <w:shd w:val="clear" w:color="auto" w:fill="FFFFFF"/>
          <w:lang w:val="en-US" w:eastAsia="zh-CN"/>
        </w:rPr>
        <w:t>资金</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9</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89.57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较年初预算数减少2.65万元，下降2.9%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7.40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较年初预算数增加7.40万元，增长100.0%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年中</w:t>
      </w:r>
      <w:r>
        <w:rPr>
          <w:rFonts w:hint="default" w:ascii="Times New Roman" w:hAnsi="Times New Roman" w:eastAsia="方正仿宋_GBK" w:cs="Times New Roman"/>
          <w:color w:val="auto"/>
          <w:sz w:val="32"/>
          <w:szCs w:val="32"/>
          <w:highlight w:val="none"/>
          <w:shd w:val="clear" w:color="auto" w:fill="FFFFFF"/>
          <w:lang w:val="en-US" w:eastAsia="zh-CN"/>
        </w:rPr>
        <w:t>追加乡镇环保专项</w:t>
      </w:r>
      <w:r>
        <w:rPr>
          <w:rFonts w:hint="eastAsia" w:ascii="Times New Roman" w:hAnsi="Times New Roman" w:eastAsia="方正仿宋_GBK" w:cs="Times New Roman"/>
          <w:color w:val="auto"/>
          <w:sz w:val="32"/>
          <w:szCs w:val="32"/>
          <w:highlight w:val="none"/>
          <w:shd w:val="clear" w:color="auto" w:fill="FFFFFF"/>
          <w:lang w:val="en-US" w:eastAsia="zh-CN"/>
        </w:rPr>
        <w:t>项目支出</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45.50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较年初预算数减少6.00万元，下降11.7%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2145.22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51.5%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较年初预算数增加967.14万元，增长82.1%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梅江镇2024年民族村茶叶加工厂房建设项目</w:t>
      </w:r>
      <w:r>
        <w:rPr>
          <w:rFonts w:hint="eastAsia" w:ascii="Times New Roman" w:hAnsi="Times New Roman" w:eastAsia="方正仿宋_GBK" w:cs="Times New Roman"/>
          <w:color w:val="auto"/>
          <w:sz w:val="32"/>
          <w:szCs w:val="32"/>
          <w:highlight w:val="none"/>
          <w:shd w:val="clear" w:color="auto" w:fill="FFFFFF"/>
          <w:lang w:eastAsia="zh-CN"/>
        </w:rPr>
        <w:t>、梅江镇2024年关田村茶叶加工厂二期工程建设项目、梅江镇2024年财金协同支持镇乡产业发展奖补资金项目</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本年无交通运输支出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14</w:t>
      </w:r>
      <w:r>
        <w:rPr>
          <w:rFonts w:ascii="方正仿宋_GBK" w:hAnsi="方正仿宋_GBK" w:eastAsia="方正仿宋_GBK" w:cs="方正仿宋_GBK"/>
          <w:color w:val="auto"/>
          <w:sz w:val="32"/>
          <w:szCs w:val="32"/>
          <w:shd w:val="clear" w:color="auto" w:fill="FFFFFF"/>
        </w:rPr>
        <w:t>）资源勘探信息等支出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本年无资源勘探信息支出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15</w:t>
      </w:r>
      <w:r>
        <w:rPr>
          <w:rFonts w:ascii="方正仿宋_GBK" w:hAnsi="方正仿宋_GBK" w:eastAsia="方正仿宋_GBK" w:cs="方正仿宋_GBK"/>
          <w:color w:val="auto"/>
          <w:sz w:val="32"/>
          <w:szCs w:val="32"/>
          <w:shd w:val="clear" w:color="auto" w:fill="FFFFFF"/>
        </w:rPr>
        <w:t>）商业服务业等支出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本年无商业服务业支出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）金融支出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本年无金融支出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17</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援助其他地区支出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本年无援助其他地区支出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164.02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较年初预算数增加124.91万元，增长319.4%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年中追加2023年耕地恢复补足工作奖补资金、秀山县耕地保护工作奖补资金</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109.00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较年初预算数增加1.92万元，增长1.8%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年中追加农村危房改造项目</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粮油物资储备支出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本年无粮油物资储备支出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国有资本经营预算支出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本年无国有资本经营预算支出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36.00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较年初预算数增加0.80万元，增长2.3%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年中追加2023年中央自然灾害救灾补助资金(洪涝灾害资金）</w:t>
      </w:r>
      <w:r>
        <w:rPr>
          <w:rFonts w:hint="eastAsia" w:ascii="Times New Roman" w:hAnsi="Times New Roman" w:eastAsia="方正仿宋_GBK" w:cs="Times New Roman"/>
          <w:color w:val="auto"/>
          <w:sz w:val="32"/>
          <w:szCs w:val="32"/>
          <w:highlight w:val="none"/>
          <w:shd w:val="clear" w:color="auto" w:fill="FFFFFF"/>
          <w:lang w:val="en-US" w:eastAsia="zh-CN"/>
        </w:rPr>
        <w:t>项目支出。</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其他支出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本年无其他支出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债务还本支出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w:t>
      </w:r>
      <w:r>
        <w:rPr>
          <w:rFonts w:ascii="方正仿宋_GBK" w:hAnsi="方正仿宋_GBK" w:eastAsia="方正仿宋_GBK" w:cs="方正仿宋_GBK"/>
          <w:color w:val="auto"/>
          <w:sz w:val="32"/>
          <w:szCs w:val="32"/>
        </w:rPr>
        <w:t>债务还本支出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债务付息支出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w:t>
      </w:r>
      <w:r>
        <w:rPr>
          <w:rFonts w:ascii="方正仿宋_GBK" w:hAnsi="方正仿宋_GBK" w:eastAsia="方正仿宋_GBK" w:cs="方正仿宋_GBK"/>
          <w:color w:val="auto"/>
          <w:sz w:val="32"/>
          <w:szCs w:val="32"/>
        </w:rPr>
        <w:t>债务付息支出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抗疫特别国债安排的支出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rPr>
        <w:t>主要原因是</w:t>
      </w:r>
      <w:r>
        <w:rPr>
          <w:rFonts w:hint="eastAsia" w:ascii="Times New Roman" w:hAnsi="Times New Roman" w:eastAsia="方正仿宋_GBK" w:cs="Times New Roman"/>
          <w:color w:val="auto"/>
          <w:sz w:val="32"/>
          <w:szCs w:val="32"/>
          <w:highlight w:val="none"/>
          <w:u w:val="none"/>
          <w:shd w:val="clear" w:color="auto" w:fill="FFFFFF"/>
          <w:lang w:val="en-US" w:eastAsia="zh-CN"/>
        </w:rPr>
        <w:t>本年无</w:t>
      </w:r>
      <w:r>
        <w:rPr>
          <w:rFonts w:ascii="方正仿宋_GBK" w:hAnsi="方正仿宋_GBK" w:eastAsia="方正仿宋_GBK" w:cs="方正仿宋_GBK"/>
          <w:color w:val="auto"/>
          <w:sz w:val="32"/>
          <w:szCs w:val="32"/>
        </w:rPr>
        <w:t>抗疫特别国债安排的支出</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u w:val="none"/>
          <w:shd w:val="clear" w:color="auto" w:fill="FFFFFF"/>
          <w:lang w:val="en-US" w:eastAsia="zh-CN"/>
        </w:rPr>
      </w:pPr>
      <w:r>
        <w:rPr>
          <w:rStyle w:val="12"/>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与2023年度相比，减少74.47万元，下降100.0%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本年不存在结转结余资金。</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eastAsia="zh-CN"/>
        </w:rPr>
        <w:t>2024</w:t>
      </w:r>
      <w:r>
        <w:rPr>
          <w:rFonts w:hint="default" w:ascii="Times New Roman" w:hAnsi="Times New Roman" w:eastAsia="方正仿宋_GBK" w:cs="Times New Roman"/>
          <w:color w:val="auto"/>
          <w:sz w:val="32"/>
          <w:szCs w:val="32"/>
          <w:highlight w:val="none"/>
          <w:shd w:val="clear" w:color="auto" w:fill="FFFFFF"/>
        </w:rPr>
        <w:t>年度一般公共财政拨款基本支出</w:t>
      </w:r>
      <w:r>
        <w:rPr>
          <w:rFonts w:hint="default" w:ascii="Times New Roman" w:hAnsi="Times New Roman" w:eastAsia="方正仿宋_GBK" w:cs="Times New Roman"/>
          <w:color w:val="auto"/>
          <w:sz w:val="32"/>
          <w:szCs w:val="32"/>
          <w:highlight w:val="none"/>
        </w:rPr>
        <w:t>1845.81</w:t>
      </w:r>
      <w:r>
        <w:rPr>
          <w:rFonts w:hint="default" w:ascii="Times New Roman" w:hAnsi="Times New Roman" w:eastAsia="方正仿宋_GBK" w:cs="Times New Roman"/>
          <w:color w:val="auto"/>
          <w:sz w:val="32"/>
          <w:szCs w:val="32"/>
          <w:highlight w:val="none"/>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1654.23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与2023年度相比，增加112.31万元，增长7.3%</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主要原因是本年留有上年结转的事业人员绩效清算、人员编制变动、</w:t>
      </w:r>
      <w:r>
        <w:rPr>
          <w:rFonts w:hint="default" w:ascii="Times New Roman" w:hAnsi="Times New Roman" w:eastAsia="方正仿宋_GBK" w:cs="Times New Roman"/>
          <w:color w:val="auto"/>
          <w:sz w:val="32"/>
          <w:szCs w:val="32"/>
          <w:highlight w:val="none"/>
          <w:shd w:val="clear" w:color="auto" w:fill="FFFFFF"/>
          <w:lang w:val="en-US" w:eastAsia="zh-CN"/>
        </w:rPr>
        <w:t>年中追加丧葬费和一次性抚恤金</w:t>
      </w:r>
      <w:r>
        <w:rPr>
          <w:rFonts w:hint="eastAsia" w:ascii="Times New Roman" w:hAnsi="Times New Roman" w:eastAsia="方正仿宋_GBK" w:cs="Times New Roman"/>
          <w:color w:val="auto"/>
          <w:sz w:val="32"/>
          <w:szCs w:val="32"/>
          <w:highlight w:val="none"/>
          <w:shd w:val="clear" w:color="auto" w:fill="FFFFFF"/>
          <w:lang w:val="en-US" w:eastAsia="zh-CN"/>
        </w:rPr>
        <w:t>项目支出等。</w:t>
      </w:r>
      <w:r>
        <w:rPr>
          <w:rFonts w:hint="default" w:ascii="Times New Roman" w:hAnsi="Times New Roman" w:eastAsia="方正仿宋_GBK" w:cs="Times New Roman"/>
          <w:b w:val="0"/>
          <w:bCs/>
          <w:color w:val="auto"/>
          <w:kern w:val="0"/>
          <w:sz w:val="32"/>
          <w:szCs w:val="32"/>
          <w:highlight w:val="none"/>
          <w:shd w:val="clear" w:fill="FFFFFF"/>
        </w:rPr>
        <w:t>人员经费用途主要包括基本工资、津贴补贴、奖金、社会保障缴费等。</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191.58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与2023年度相比，减少54.60万元，下降22.2%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主要原因是落实过紧日子政策，压缩各项公用经费的支出。公用经费用途主要包括支付办公费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水电费</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网费、</w:t>
      </w:r>
      <w:r>
        <w:rPr>
          <w:rFonts w:hint="default" w:ascii="Times New Roman" w:hAnsi="Times New Roman" w:eastAsia="方正仿宋_GBK" w:cs="Times New Roman"/>
          <w:color w:val="auto"/>
          <w:sz w:val="32"/>
          <w:szCs w:val="32"/>
          <w:highlight w:val="none"/>
          <w:shd w:val="clear" w:color="auto" w:fill="FFFFFF"/>
        </w:rPr>
        <w:t>差旅费等。</w:t>
      </w:r>
    </w:p>
    <w:p>
      <w:pPr>
        <w:pStyle w:val="15"/>
        <w:keepNext w:val="0"/>
        <w:keepLines w:val="0"/>
        <w:pageBreakBefore w:val="0"/>
        <w:widowControl/>
        <w:numPr>
          <w:ilvl w:val="0"/>
          <w:numId w:val="2"/>
        </w:numPr>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政府性基金预算收支决算情况说明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20.00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与2023年度相比，减少39.08万元，下降66.2%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主要原因是政府性基金预算财政拨款</w:t>
      </w:r>
      <w:r>
        <w:rPr>
          <w:rFonts w:hint="eastAsia" w:ascii="Times New Roman" w:hAnsi="Times New Roman" w:eastAsia="方正仿宋_GBK" w:cs="Times New Roman"/>
          <w:color w:val="auto"/>
          <w:sz w:val="32"/>
          <w:szCs w:val="32"/>
          <w:highlight w:val="none"/>
          <w:shd w:val="clear" w:color="auto" w:fill="FFFFFF"/>
          <w:lang w:val="en-US" w:eastAsia="zh-CN"/>
        </w:rPr>
        <w:t>预算项目减少</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20.00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与2023年度相比，减少39.08万元，下降66.2%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主要原因是政府性基金预算财政拨款</w:t>
      </w:r>
      <w:r>
        <w:rPr>
          <w:rFonts w:hint="eastAsia" w:ascii="Times New Roman" w:hAnsi="Times New Roman" w:eastAsia="方正仿宋_GBK" w:cs="Times New Roman"/>
          <w:color w:val="auto"/>
          <w:sz w:val="32"/>
          <w:szCs w:val="32"/>
          <w:highlight w:val="none"/>
          <w:shd w:val="clear" w:color="auto" w:fill="FFFFFF"/>
          <w:lang w:val="en-US" w:eastAsia="zh-CN"/>
        </w:rPr>
        <w:t>预算项目减少</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w:t>
      </w:r>
      <w:r>
        <w:rPr>
          <w:rFonts w:hint="default" w:ascii="Times New Roman" w:hAnsi="Times New Roman" w:eastAsia="方正仿宋_GBK" w:cs="Times New Roman"/>
          <w:color w:val="auto"/>
          <w:sz w:val="32"/>
          <w:szCs w:val="32"/>
          <w:highlight w:val="none"/>
          <w:shd w:val="clear" w:color="auto" w:fill="FFFFFF"/>
          <w:lang w:eastAsia="zh-CN"/>
        </w:rPr>
        <w:t>部门</w:t>
      </w:r>
      <w:r>
        <w:rPr>
          <w:rFonts w:hint="eastAsia" w:ascii="Times New Roman" w:hAnsi="Times New Roman" w:eastAsia="方正仿宋_GBK" w:cs="Times New Roman"/>
          <w:color w:val="auto"/>
          <w:sz w:val="32"/>
          <w:szCs w:val="32"/>
          <w:highlight w:val="none"/>
          <w:shd w:val="clear" w:color="auto" w:fill="FFFFFF"/>
          <w:lang w:eastAsia="zh-CN"/>
        </w:rPr>
        <w:t>2024</w:t>
      </w:r>
      <w:r>
        <w:rPr>
          <w:rFonts w:hint="default" w:ascii="Times New Roman" w:hAnsi="Times New Roman" w:eastAsia="方正仿宋_GBK" w:cs="Times New Roman"/>
          <w:color w:val="auto"/>
          <w:sz w:val="32"/>
          <w:szCs w:val="32"/>
          <w:highlight w:val="none"/>
          <w:shd w:val="clear" w:color="auto" w:fill="FFFFFF"/>
        </w:rPr>
        <w:t>年度无国有资本经营预算财政拨款支出。</w:t>
      </w:r>
    </w:p>
    <w:p>
      <w:pPr>
        <w:pStyle w:val="10"/>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leftChars="200"/>
        <w:jc w:val="both"/>
        <w:textAlignment w:val="auto"/>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eastAsia" w:ascii="Times New Roman" w:hAnsi="Times New Roman" w:eastAsia="方正黑体_GBK" w:cs="Times New Roman"/>
          <w:b w:val="0"/>
          <w:bCs/>
          <w:color w:val="auto"/>
          <w:sz w:val="32"/>
          <w:szCs w:val="32"/>
          <w:highlight w:val="none"/>
          <w:shd w:val="clear" w:color="auto" w:fill="FFFFFF"/>
          <w:lang w:val="en-US" w:eastAsia="zh-CN"/>
        </w:rPr>
        <w:t>三、</w:t>
      </w:r>
      <w:r>
        <w:rPr>
          <w:rStyle w:val="12"/>
          <w:rFonts w:hint="default" w:ascii="Times New Roman" w:hAnsi="Times New Roman" w:eastAsia="方正黑体_GBK" w:cs="Times New Roman"/>
          <w:b w:val="0"/>
          <w:bCs/>
          <w:color w:val="auto"/>
          <w:sz w:val="32"/>
          <w:szCs w:val="32"/>
          <w:highlight w:val="none"/>
          <w:shd w:val="clear" w:color="auto" w:fill="FFFFFF"/>
        </w:rPr>
        <w:t>财政拨款</w:t>
      </w:r>
      <w:r>
        <w:rPr>
          <w:rStyle w:val="12"/>
          <w:rFonts w:hint="eastAsia" w:ascii="Times New Roman" w:hAnsi="Times New Roman" w:eastAsia="方正黑体_GBK" w:cs="Times New Roman"/>
          <w:b w:val="0"/>
          <w:bCs/>
          <w:color w:val="auto"/>
          <w:sz w:val="32"/>
          <w:szCs w:val="32"/>
          <w:highlight w:val="none"/>
          <w:shd w:val="clear" w:color="auto" w:fill="FFFFFF"/>
          <w:lang w:eastAsia="zh-CN"/>
        </w:rPr>
        <w:t>“</w:t>
      </w:r>
      <w:r>
        <w:rPr>
          <w:rStyle w:val="12"/>
          <w:rFonts w:hint="default" w:ascii="Times New Roman" w:hAnsi="Times New Roman" w:eastAsia="方正黑体_GBK" w:cs="Times New Roman"/>
          <w:b w:val="0"/>
          <w:bCs/>
          <w:color w:val="auto"/>
          <w:sz w:val="32"/>
          <w:szCs w:val="32"/>
          <w:highlight w:val="none"/>
          <w:shd w:val="clear" w:color="auto" w:fill="FFFFFF"/>
        </w:rPr>
        <w:t>三公</w:t>
      </w:r>
      <w:r>
        <w:rPr>
          <w:rStyle w:val="12"/>
          <w:rFonts w:hint="eastAsia" w:ascii="Times New Roman" w:hAnsi="Times New Roman" w:eastAsia="方正黑体_GBK" w:cs="Times New Roman"/>
          <w:b w:val="0"/>
          <w:bCs/>
          <w:color w:val="auto"/>
          <w:sz w:val="32"/>
          <w:szCs w:val="32"/>
          <w:highlight w:val="none"/>
          <w:shd w:val="clear" w:color="auto" w:fill="FFFFFF"/>
          <w:lang w:eastAsia="zh-CN"/>
        </w:rPr>
        <w:t>”</w:t>
      </w:r>
      <w:r>
        <w:rPr>
          <w:rStyle w:val="12"/>
          <w:rFonts w:hint="default" w:ascii="Times New Roman" w:hAnsi="Times New Roman" w:eastAsia="方正黑体_GBK" w:cs="Times New Roman"/>
          <w:b w:val="0"/>
          <w:bCs/>
          <w:color w:val="auto"/>
          <w:sz w:val="32"/>
          <w:szCs w:val="32"/>
          <w:highlight w:val="none"/>
          <w:shd w:val="clear" w:color="auto" w:fill="FFFFFF"/>
        </w:rPr>
        <w:t>经费情况说明</w:t>
      </w:r>
    </w:p>
    <w:p>
      <w:pPr>
        <w:pStyle w:val="10"/>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left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w:t>
      </w:r>
      <w:r>
        <w:rPr>
          <w:rFonts w:hint="eastAsia" w:ascii="Times New Roman" w:hAnsi="Times New Roman" w:eastAsia="方正楷体_GBK" w:cs="Times New Roman"/>
          <w:b w:val="0"/>
          <w:bCs w:val="0"/>
          <w:color w:val="auto"/>
          <w:sz w:val="30"/>
          <w:szCs w:val="30"/>
          <w:highlight w:val="none"/>
          <w:shd w:val="clear" w:color="auto" w:fill="FFFFFF"/>
          <w:lang w:eastAsia="zh-CN"/>
        </w:rPr>
        <w:t>“</w:t>
      </w:r>
      <w:r>
        <w:rPr>
          <w:rFonts w:hint="default" w:ascii="Times New Roman" w:hAnsi="Times New Roman" w:eastAsia="方正楷体_GBK" w:cs="Times New Roman"/>
          <w:b w:val="0"/>
          <w:bCs w:val="0"/>
          <w:color w:val="auto"/>
          <w:sz w:val="30"/>
          <w:szCs w:val="30"/>
          <w:highlight w:val="none"/>
          <w:shd w:val="clear" w:color="auto" w:fill="FFFFFF"/>
        </w:rPr>
        <w:t>三公</w:t>
      </w:r>
      <w:r>
        <w:rPr>
          <w:rFonts w:hint="eastAsia" w:ascii="Times New Roman" w:hAnsi="Times New Roman" w:eastAsia="方正楷体_GBK" w:cs="Times New Roman"/>
          <w:b w:val="0"/>
          <w:bCs w:val="0"/>
          <w:color w:val="auto"/>
          <w:sz w:val="30"/>
          <w:szCs w:val="30"/>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三公</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经费支出共计</w:t>
      </w:r>
      <w:r>
        <w:rPr>
          <w:rFonts w:hint="default" w:ascii="Times New Roman" w:hAnsi="Times New Roman" w:eastAsia="方正仿宋_GBK"/>
          <w:color w:val="auto"/>
          <w:sz w:val="32"/>
          <w:szCs w:val="32"/>
          <w:shd w:val="clear" w:color="auto" w:fill="FFFFFF"/>
        </w:rPr>
        <w:t>8.77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较年初预算数减少4.73万元，下降35.0%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color w:val="auto"/>
          <w:kern w:val="0"/>
          <w:sz w:val="32"/>
          <w:szCs w:val="32"/>
          <w:highlight w:val="none"/>
          <w:shd w:val="clear" w:fill="FFFFFF"/>
        </w:rPr>
        <w:t>主要原因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w:t>
      </w:r>
      <w:r>
        <w:rPr>
          <w:rFonts w:hint="default" w:ascii="Times New Roman" w:hAnsi="Times New Roman" w:eastAsia="方正仿宋_GBK" w:cs="Times New Roman"/>
          <w:b w:val="0"/>
          <w:bCs/>
          <w:color w:val="auto"/>
          <w:kern w:val="0"/>
          <w:sz w:val="32"/>
          <w:szCs w:val="32"/>
          <w:highlight w:val="none"/>
          <w:shd w:val="clear" w:fill="FFFFFF"/>
          <w:lang w:eastAsia="zh-CN"/>
        </w:rPr>
        <w:t>部门</w:t>
      </w:r>
      <w:r>
        <w:rPr>
          <w:rFonts w:hint="default" w:ascii="Times New Roman" w:hAnsi="Times New Roman" w:eastAsia="方正仿宋_GBK" w:cs="Times New Roman"/>
          <w:b w:val="0"/>
          <w:bCs/>
          <w:color w:val="auto"/>
          <w:kern w:val="0"/>
          <w:sz w:val="32"/>
          <w:szCs w:val="32"/>
          <w:highlight w:val="none"/>
          <w:shd w:val="clear" w:fill="FFFFFF"/>
        </w:rPr>
        <w:t>人员出国出访</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olor w:val="auto"/>
          <w:sz w:val="32"/>
          <w:szCs w:val="32"/>
          <w:shd w:val="clear" w:color="auto" w:fill="FFFFFF"/>
        </w:rPr>
        <w:t>较上年支出数减少0.02万元，下降0.2%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color w:val="auto"/>
          <w:kern w:val="0"/>
          <w:sz w:val="32"/>
          <w:szCs w:val="32"/>
          <w:highlight w:val="none"/>
          <w:shd w:val="clear" w:fill="FFFFFF"/>
        </w:rPr>
        <w:t>主要原因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w:t>
      </w:r>
      <w:r>
        <w:rPr>
          <w:rFonts w:hint="default" w:ascii="Times New Roman" w:hAnsi="Times New Roman" w:eastAsia="方正仿宋_GBK" w:cs="Times New Roman"/>
          <w:b w:val="0"/>
          <w:bCs/>
          <w:color w:val="auto"/>
          <w:kern w:val="0"/>
          <w:sz w:val="32"/>
          <w:szCs w:val="32"/>
          <w:highlight w:val="none"/>
          <w:shd w:val="clear" w:fill="FFFFFF"/>
          <w:lang w:eastAsia="zh-CN"/>
        </w:rPr>
        <w:t>部门</w:t>
      </w:r>
      <w:r>
        <w:rPr>
          <w:rFonts w:hint="default" w:ascii="Times New Roman" w:hAnsi="Times New Roman" w:eastAsia="方正仿宋_GBK" w:cs="Times New Roman"/>
          <w:b w:val="0"/>
          <w:bCs/>
          <w:color w:val="auto"/>
          <w:kern w:val="0"/>
          <w:sz w:val="32"/>
          <w:szCs w:val="32"/>
          <w:highlight w:val="none"/>
          <w:shd w:val="clear" w:fill="FFFFFF"/>
        </w:rPr>
        <w:t>人员出国出访</w:t>
      </w:r>
      <w:r>
        <w:rPr>
          <w:rFonts w:hint="default" w:ascii="Times New Roman" w:hAnsi="Times New Roman" w:eastAsia="方正仿宋_GBK" w:cs="Times New Roman"/>
          <w:b w:val="0"/>
          <w:bCs/>
          <w:color w:val="auto"/>
          <w:kern w:val="0"/>
          <w:sz w:val="32"/>
          <w:szCs w:val="32"/>
          <w:highlight w:val="none"/>
          <w:shd w:val="clear"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经费分项支出情况</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eastAsia" w:ascii="Times New Roman" w:hAnsi="Times New Roman" w:eastAsia="方正仿宋_GBK" w:cs="Times New Roman"/>
          <w:b w:val="0"/>
          <w:bCs/>
          <w:color w:val="auto"/>
          <w:kern w:val="0"/>
          <w:sz w:val="32"/>
          <w:szCs w:val="32"/>
          <w:highlight w:val="none"/>
          <w:shd w:val="clear" w:fill="FFFFFF"/>
          <w:lang w:val="en-US" w:eastAsia="zh-CN"/>
        </w:rPr>
      </w:pP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b w:val="0"/>
          <w:bCs/>
          <w:color w:val="auto"/>
          <w:kern w:val="0"/>
          <w:sz w:val="32"/>
          <w:szCs w:val="32"/>
          <w:highlight w:val="none"/>
          <w:shd w:val="clear" w:fill="FFFFFF"/>
          <w:lang w:val="en-US" w:eastAsia="zh-CN"/>
        </w:rPr>
        <w:t>主要原因是</w:t>
      </w:r>
      <w:r>
        <w:rPr>
          <w:rFonts w:ascii="方正仿宋_GBK" w:hAnsi="方正仿宋_GBK" w:eastAsia="方正仿宋_GBK" w:cs="方正仿宋_GBK"/>
          <w:color w:val="auto"/>
          <w:sz w:val="32"/>
          <w:szCs w:val="32"/>
          <w:shd w:val="clear" w:color="auto" w:fill="FFFFFF"/>
        </w:rPr>
        <w:t>本部门</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default" w:ascii="Times New Roman" w:hAnsi="Times New Roman" w:eastAsia="方正仿宋_GBK" w:cs="Times New Roman"/>
          <w:b w:val="0"/>
          <w:bCs/>
          <w:color w:val="auto"/>
          <w:kern w:val="0"/>
          <w:sz w:val="32"/>
          <w:szCs w:val="32"/>
          <w:highlight w:val="none"/>
          <w:shd w:val="clear" w:fill="FFFFFF"/>
        </w:rPr>
        <w:t>未发生因公出国（境）费用</w:t>
      </w:r>
      <w:r>
        <w:rPr>
          <w:rFonts w:hint="eastAsia" w:ascii="Times New Roman" w:hAnsi="Times New Roman" w:eastAsia="方正仿宋_GBK" w:cs="Times New Roman"/>
          <w:b w:val="0"/>
          <w:bCs/>
          <w:color w:val="auto"/>
          <w:kern w:val="0"/>
          <w:sz w:val="32"/>
          <w:szCs w:val="32"/>
          <w:highlight w:val="none"/>
          <w:shd w:val="clear" w:fill="FFFFFF"/>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eastAsia" w:ascii="Times New Roman" w:hAnsi="Times New Roman" w:eastAsia="方正仿宋_GBK" w:cs="Times New Roman"/>
          <w:b w:val="0"/>
          <w:bCs/>
          <w:color w:val="auto"/>
          <w:kern w:val="0"/>
          <w:sz w:val="32"/>
          <w:szCs w:val="32"/>
          <w:highlight w:val="none"/>
          <w:shd w:val="clear" w:fill="FFFFFF"/>
          <w:lang w:eastAsia="zh-CN"/>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b w:val="0"/>
          <w:bCs/>
          <w:color w:val="auto"/>
          <w:kern w:val="0"/>
          <w:sz w:val="32"/>
          <w:szCs w:val="32"/>
          <w:highlight w:val="none"/>
          <w:shd w:val="clear"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w:t>
      </w:r>
      <w:r>
        <w:rPr>
          <w:rFonts w:hint="default" w:ascii="Times New Roman" w:hAnsi="Times New Roman" w:eastAsia="方正仿宋_GBK" w:cs="Times New Roman"/>
          <w:b w:val="0"/>
          <w:bCs/>
          <w:color w:val="auto"/>
          <w:kern w:val="0"/>
          <w:sz w:val="32"/>
          <w:szCs w:val="32"/>
          <w:highlight w:val="none"/>
          <w:shd w:val="clear" w:fill="FFFFFF"/>
          <w:lang w:eastAsia="zh-CN"/>
        </w:rPr>
        <w:t>部门</w:t>
      </w:r>
      <w:r>
        <w:rPr>
          <w:rFonts w:hint="eastAsia" w:ascii="Times New Roman" w:hAnsi="Times New Roman" w:eastAsia="方正仿宋_GBK" w:cs="Times New Roman"/>
          <w:b w:val="0"/>
          <w:bCs/>
          <w:color w:val="auto"/>
          <w:kern w:val="0"/>
          <w:sz w:val="32"/>
          <w:szCs w:val="32"/>
          <w:highlight w:val="none"/>
          <w:shd w:val="clear" w:fill="FFFFFF"/>
          <w:lang w:eastAsia="zh-CN"/>
        </w:rPr>
        <w:t>2024</w:t>
      </w:r>
      <w:r>
        <w:rPr>
          <w:rFonts w:hint="default" w:ascii="Times New Roman" w:hAnsi="Times New Roman" w:eastAsia="方正仿宋_GBK" w:cs="Times New Roman"/>
          <w:b w:val="0"/>
          <w:bCs/>
          <w:color w:val="auto"/>
          <w:kern w:val="0"/>
          <w:sz w:val="32"/>
          <w:szCs w:val="32"/>
          <w:highlight w:val="none"/>
          <w:shd w:val="clear" w:fill="FFFFFF"/>
        </w:rPr>
        <w:t>年度未发生公务车购置费。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color w:val="auto"/>
          <w:sz w:val="32"/>
          <w:szCs w:val="32"/>
          <w:highlight w:val="none"/>
        </w:rPr>
        <w:t>8.7</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b w:val="0"/>
          <w:bCs/>
          <w:color w:val="auto"/>
          <w:kern w:val="0"/>
          <w:sz w:val="32"/>
          <w:szCs w:val="32"/>
          <w:highlight w:val="none"/>
          <w:shd w:val="clear" w:fill="FFFFFF"/>
        </w:rPr>
        <w:t>主要用于公务车运行维护。</w:t>
      </w:r>
      <w:r>
        <w:rPr>
          <w:rFonts w:hint="default" w:ascii="Times New Roman" w:hAnsi="Times New Roman" w:eastAsia="方正仿宋_GBK" w:cs="Times New Roman"/>
          <w:color w:val="auto"/>
          <w:sz w:val="32"/>
          <w:szCs w:val="32"/>
          <w:highlight w:val="none"/>
          <w:shd w:val="clear" w:color="auto" w:fill="FFFFFF"/>
        </w:rPr>
        <w:t>费用支出较年初预算数减少</w:t>
      </w:r>
      <w:r>
        <w:rPr>
          <w:rFonts w:hint="eastAsia" w:ascii="Times New Roman" w:hAnsi="Times New Roman" w:eastAsia="方正仿宋_GBK" w:cs="Times New Roman"/>
          <w:color w:val="auto"/>
          <w:sz w:val="32"/>
          <w:szCs w:val="32"/>
          <w:highlight w:val="none"/>
          <w:shd w:val="clear" w:color="auto" w:fill="FFFFFF"/>
          <w:lang w:val="en-US" w:eastAsia="zh-CN"/>
        </w:rPr>
        <w:t>4.73</w:t>
      </w:r>
      <w:r>
        <w:rPr>
          <w:rFonts w:hint="default" w:ascii="Times New Roman" w:hAnsi="Times New Roman" w:eastAsia="方正仿宋_GBK" w:cs="Times New Roman"/>
          <w:color w:val="auto"/>
          <w:sz w:val="32"/>
          <w:szCs w:val="32"/>
          <w:highlight w:val="none"/>
          <w:shd w:val="clear" w:color="auto" w:fill="FFFFFF"/>
        </w:rPr>
        <w:t>万元，下降</w:t>
      </w:r>
      <w:r>
        <w:rPr>
          <w:rFonts w:hint="eastAsia" w:ascii="Times New Roman" w:hAnsi="Times New Roman" w:eastAsia="方正仿宋_GBK" w:cs="Times New Roman"/>
          <w:color w:val="auto"/>
          <w:sz w:val="32"/>
          <w:szCs w:val="32"/>
          <w:highlight w:val="none"/>
          <w:shd w:val="clear" w:color="auto" w:fill="FFFFFF"/>
          <w:lang w:val="en-US" w:eastAsia="zh-CN"/>
        </w:rPr>
        <w:t>35.0</w:t>
      </w:r>
      <w:r>
        <w:rPr>
          <w:rFonts w:hint="default" w:ascii="Times New Roman" w:hAnsi="Times New Roman" w:eastAsia="方正仿宋_GBK" w:cs="Times New Roman"/>
          <w:color w:val="auto"/>
          <w:sz w:val="32"/>
          <w:szCs w:val="32"/>
          <w:highlight w:val="none"/>
          <w:shd w:val="clear" w:color="auto" w:fill="FFFFFF"/>
        </w:rPr>
        <w:t>%，主要原因是本年存在报废车一辆</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shd w:val="clear" w:color="auto" w:fill="FFFFFF"/>
          <w:lang w:val="en-US" w:eastAsia="zh-CN"/>
        </w:rPr>
        <w:t>且</w:t>
      </w:r>
      <w:r>
        <w:rPr>
          <w:rFonts w:hint="default" w:ascii="Times New Roman" w:hAnsi="Times New Roman" w:eastAsia="方正仿宋_GBK" w:cs="Times New Roman"/>
          <w:b w:val="0"/>
          <w:bCs/>
          <w:color w:val="auto"/>
          <w:kern w:val="0"/>
          <w:sz w:val="32"/>
          <w:szCs w:val="32"/>
          <w:highlight w:val="none"/>
          <w:shd w:val="clear" w:fill="FFFFFF"/>
        </w:rPr>
        <w:t>严格落实公车使用规定，严禁公车私用，公车运行维护成本大幅下降。</w:t>
      </w:r>
      <w:r>
        <w:rPr>
          <w:rFonts w:hint="default" w:ascii="Times New Roman" w:hAnsi="Times New Roman" w:eastAsia="方正仿宋_GBK" w:cs="Times New Roman"/>
          <w:color w:val="auto"/>
          <w:sz w:val="32"/>
          <w:szCs w:val="32"/>
          <w:highlight w:val="none"/>
          <w:shd w:val="clear" w:color="auto" w:fill="FFFFFF"/>
        </w:rPr>
        <w:t>较上年支出数减少0.0</w:t>
      </w:r>
      <w:r>
        <w:rPr>
          <w:rFonts w:hint="eastAsia"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万元，下降0.</w:t>
      </w:r>
      <w:r>
        <w:rPr>
          <w:rFonts w:hint="eastAsia"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%，主要原因是本年存在报废车一辆</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shd w:val="clear" w:color="auto" w:fill="FFFFFF"/>
          <w:lang w:val="en-US" w:eastAsia="zh-CN"/>
        </w:rPr>
        <w:t>且</w:t>
      </w:r>
      <w:r>
        <w:rPr>
          <w:rFonts w:hint="default" w:ascii="Times New Roman" w:hAnsi="Times New Roman" w:eastAsia="方正仿宋_GBK" w:cs="Times New Roman"/>
          <w:b w:val="0"/>
          <w:bCs/>
          <w:color w:val="auto"/>
          <w:kern w:val="0"/>
          <w:sz w:val="32"/>
          <w:szCs w:val="32"/>
          <w:highlight w:val="none"/>
          <w:shd w:val="clear" w:fill="FFFFFF"/>
        </w:rPr>
        <w:t>严格落实公车使用规定，严禁公车私用，公车运行维护成本大幅下降。</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rPr>
        <w:t>0</w:t>
      </w:r>
      <w:r>
        <w:rPr>
          <w:rFonts w:hint="eastAsia" w:ascii="Times New Roman" w:hAnsi="Times New Roman" w:eastAsia="方正仿宋_GBK" w:cs="Times New Roman"/>
          <w:color w:val="auto"/>
          <w:sz w:val="32"/>
          <w:szCs w:val="32"/>
          <w:highlight w:val="none"/>
          <w:lang w:val="en-US" w:eastAsia="zh-CN"/>
        </w:rPr>
        <w:t>.00</w:t>
      </w:r>
      <w:r>
        <w:rPr>
          <w:rFonts w:hint="default" w:ascii="Times New Roman" w:hAnsi="Times New Roman" w:eastAsia="方正仿宋_GBK" w:cs="Times New Roman"/>
          <w:color w:val="auto"/>
          <w:sz w:val="32"/>
          <w:szCs w:val="32"/>
          <w:highlight w:val="none"/>
          <w:shd w:val="clear" w:color="auto" w:fill="FFFFFF"/>
        </w:rPr>
        <w:t>万元。费用支出较年初预算数无增减，</w:t>
      </w:r>
      <w:r>
        <w:rPr>
          <w:rFonts w:hint="default" w:ascii="Times New Roman" w:hAnsi="Times New Roman" w:eastAsia="方正仿宋_GBK" w:cs="Times New Roman"/>
          <w:b w:val="0"/>
          <w:bCs/>
          <w:color w:val="auto"/>
          <w:kern w:val="0"/>
          <w:sz w:val="32"/>
          <w:szCs w:val="32"/>
          <w:highlight w:val="none"/>
          <w:shd w:val="clear" w:fill="FFFFFF"/>
        </w:rPr>
        <w:t>主要原因是严格遵守公务接待开支范围和开支标准，严格控制陪餐人数，对应由接待对象承担的费用一律由接待对象自行</w:t>
      </w:r>
      <w:r>
        <w:rPr>
          <w:rFonts w:hint="default" w:ascii="Times New Roman" w:hAnsi="Times New Roman" w:eastAsia="方正仿宋_GBK" w:cs="Times New Roman"/>
          <w:b w:val="0"/>
          <w:bCs/>
          <w:color w:val="auto"/>
          <w:kern w:val="0"/>
          <w:sz w:val="32"/>
          <w:szCs w:val="32"/>
          <w:highlight w:val="none"/>
          <w:shd w:val="clear" w:fill="FFFFFF"/>
          <w:lang w:val="en-US" w:eastAsia="zh-CN"/>
        </w:rPr>
        <w:t>支</w:t>
      </w:r>
      <w:r>
        <w:rPr>
          <w:rFonts w:hint="default" w:ascii="Times New Roman" w:hAnsi="Times New Roman" w:eastAsia="方正仿宋_GBK" w:cs="Times New Roman"/>
          <w:b w:val="0"/>
          <w:bCs/>
          <w:color w:val="auto"/>
          <w:kern w:val="0"/>
          <w:sz w:val="32"/>
          <w:szCs w:val="32"/>
          <w:highlight w:val="none"/>
          <w:shd w:val="clear" w:fill="FFFFFF"/>
        </w:rPr>
        <w:t>付。</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b w:val="0"/>
          <w:bCs/>
          <w:color w:val="auto"/>
          <w:kern w:val="0"/>
          <w:sz w:val="32"/>
          <w:szCs w:val="32"/>
          <w:highlight w:val="none"/>
          <w:shd w:val="clear" w:fill="FFFFFF"/>
        </w:rPr>
        <w:t>主要原因是严格遵守公务接待开支范围和开支标准，严格控制陪餐人数，对应由接待对象承担的费用一律由接待对象自行</w:t>
      </w:r>
      <w:r>
        <w:rPr>
          <w:rFonts w:hint="default" w:ascii="Times New Roman" w:hAnsi="Times New Roman" w:eastAsia="方正仿宋_GBK" w:cs="Times New Roman"/>
          <w:b w:val="0"/>
          <w:bCs/>
          <w:color w:val="auto"/>
          <w:kern w:val="0"/>
          <w:sz w:val="32"/>
          <w:szCs w:val="32"/>
          <w:highlight w:val="none"/>
          <w:shd w:val="clear" w:fill="FFFFFF"/>
          <w:lang w:val="en-US" w:eastAsia="zh-CN"/>
        </w:rPr>
        <w:t>支</w:t>
      </w:r>
      <w:r>
        <w:rPr>
          <w:rFonts w:hint="default" w:ascii="Times New Roman" w:hAnsi="Times New Roman" w:eastAsia="方正仿宋_GBK" w:cs="Times New Roman"/>
          <w:b w:val="0"/>
          <w:bCs/>
          <w:color w:val="auto"/>
          <w:kern w:val="0"/>
          <w:sz w:val="32"/>
          <w:szCs w:val="32"/>
          <w:highlight w:val="none"/>
          <w:shd w:val="clear" w:fill="FFFFFF"/>
        </w:rPr>
        <w:t>付。</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经费实物量情况</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2.92</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（一）财政拨款会议费、培训费和差旅费情况说明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与2023年度相比，减少0.07万元，下降100.0%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开会次数</w:t>
      </w:r>
      <w:r>
        <w:rPr>
          <w:rFonts w:hint="eastAsia" w:ascii="Times New Roman" w:hAnsi="Times New Roman" w:eastAsia="方正仿宋_GBK" w:cs="Times New Roman"/>
          <w:color w:val="auto"/>
          <w:sz w:val="32"/>
          <w:szCs w:val="32"/>
          <w:highlight w:val="none"/>
          <w:shd w:val="clear" w:color="auto" w:fill="FFFFFF"/>
          <w:lang w:val="en-US" w:eastAsia="zh-CN"/>
        </w:rPr>
        <w:t>减少</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1.64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与2023年度相比，减少0.27万元，下降14.1%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培训次数</w:t>
      </w:r>
      <w:r>
        <w:rPr>
          <w:rFonts w:hint="eastAsia" w:ascii="Times New Roman" w:hAnsi="Times New Roman" w:eastAsia="方正仿宋_GBK" w:cs="Times New Roman"/>
          <w:color w:val="auto"/>
          <w:sz w:val="32"/>
          <w:szCs w:val="32"/>
          <w:highlight w:val="none"/>
          <w:shd w:val="clear" w:color="auto" w:fill="FFFFFF"/>
          <w:lang w:val="en-US" w:eastAsia="zh-CN"/>
        </w:rPr>
        <w:t>减少</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9.93</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与2023年度相比，减少0.51万元，下降4.9%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出差次数减少</w:t>
      </w:r>
      <w:r>
        <w:rPr>
          <w:rFonts w:hint="default" w:ascii="Times New Roman" w:hAnsi="Times New Roman" w:eastAsia="方正仿宋_GBK" w:cs="Times New Roman"/>
          <w:color w:val="auto"/>
          <w:sz w:val="32"/>
          <w:szCs w:val="32"/>
          <w:highlight w:val="none"/>
          <w:shd w:val="clear" w:color="auto" w:fill="FFFFFF"/>
        </w:rPr>
        <w:t>。</w:t>
      </w:r>
    </w:p>
    <w:p>
      <w:pPr>
        <w:pStyle w:val="15"/>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leftChars="200"/>
        <w:jc w:val="both"/>
        <w:textAlignment w:val="auto"/>
        <w:outlineLvl w:val="9"/>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169.55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highlight w:val="none"/>
          <w:shd w:val="clear" w:color="auto" w:fill="FFFFFF"/>
        </w:rPr>
        <w:t>机关运行经费主要用于开支</w:t>
      </w:r>
      <w:r>
        <w:rPr>
          <w:rFonts w:hint="default" w:ascii="Times New Roman" w:hAnsi="Times New Roman" w:eastAsia="方正仿宋_GBK" w:cs="Times New Roman"/>
          <w:b w:val="0"/>
          <w:bCs/>
          <w:color w:val="auto"/>
          <w:kern w:val="0"/>
          <w:sz w:val="32"/>
          <w:szCs w:val="32"/>
          <w:highlight w:val="none"/>
          <w:shd w:val="clear" w:fill="FFFFFF"/>
        </w:rPr>
        <w:t>办公费</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lang w:val="en-US" w:eastAsia="zh-CN"/>
        </w:rPr>
        <w:t>水电费、网费</w:t>
      </w:r>
      <w:r>
        <w:rPr>
          <w:rFonts w:hint="default" w:ascii="Times New Roman" w:hAnsi="Times New Roman" w:eastAsia="方正仿宋_GBK" w:cs="Times New Roman"/>
          <w:b w:val="0"/>
          <w:bCs/>
          <w:color w:val="auto"/>
          <w:kern w:val="0"/>
          <w:sz w:val="32"/>
          <w:szCs w:val="32"/>
          <w:highlight w:val="none"/>
          <w:shd w:val="clear" w:fill="FFFFFF"/>
        </w:rPr>
        <w:t>、差旅费、邮电费等。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较上年支出数减少27.86万元，下降14.1%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主要原因是本年压缩支出，导致机关运行经费减少。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（三）国有资产占用情况说明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7.36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7.36</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4.50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61.1%</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4.50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61.1%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b w:val="0"/>
          <w:bCs/>
          <w:color w:val="auto"/>
          <w:kern w:val="0"/>
          <w:sz w:val="32"/>
          <w:szCs w:val="32"/>
          <w:highlight w:val="none"/>
          <w:shd w:val="clear" w:fill="FFFFFF"/>
        </w:rPr>
        <w:t>主要用于采购办公设备</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lang w:val="en-US" w:eastAsia="zh-CN"/>
        </w:rPr>
        <w:t>农业机械设备、平台建设服务</w:t>
      </w:r>
      <w:r>
        <w:rPr>
          <w:rFonts w:hint="default" w:ascii="Times New Roman" w:hAnsi="Times New Roman" w:eastAsia="方正仿宋_GBK" w:cs="Times New Roman"/>
          <w:b w:val="0"/>
          <w:bCs/>
          <w:color w:val="auto"/>
          <w:kern w:val="0"/>
          <w:sz w:val="32"/>
          <w:szCs w:val="32"/>
          <w:highlight w:val="none"/>
          <w:shd w:val="clear" w:fill="FFFFFF"/>
        </w:rPr>
        <w:t>。</w:t>
      </w:r>
    </w:p>
    <w:p>
      <w:pPr>
        <w:pStyle w:val="10"/>
        <w:keepNext w:val="0"/>
        <w:keepLines w:val="0"/>
        <w:pageBreakBefore w:val="0"/>
        <w:widowControl/>
        <w:numPr>
          <w:ilvl w:val="0"/>
          <w:numId w:val="3"/>
        </w:numPr>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预算绩效管理情况说明</w:t>
      </w:r>
    </w:p>
    <w:p>
      <w:pPr>
        <w:pStyle w:val="20"/>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3"/>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楷体_GBK" w:cs="Times New Roman"/>
          <w:color w:val="auto"/>
          <w:kern w:val="2"/>
          <w:sz w:val="32"/>
          <w:szCs w:val="32"/>
          <w:highlight w:val="none"/>
          <w:lang w:val="en-US" w:eastAsia="zh-CN" w:bidi="ar-SA"/>
        </w:rPr>
        <w:t>（一）部门自评情况</w:t>
      </w:r>
    </w:p>
    <w:p>
      <w:pPr>
        <w:pStyle w:val="16"/>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根据预算绩效管理要求，我部门对部门整体和</w:t>
      </w:r>
      <w:r>
        <w:rPr>
          <w:rFonts w:hint="eastAsia" w:ascii="Times New Roman" w:hAnsi="Times New Roman" w:eastAsia="方正仿宋_GBK" w:cs="Times New Roman"/>
          <w:color w:val="auto"/>
          <w:sz w:val="32"/>
          <w:szCs w:val="32"/>
          <w:highlight w:val="none"/>
          <w:shd w:val="clear" w:color="auto" w:fill="FFFFFF"/>
          <w:lang w:val="en-US" w:eastAsia="zh-CN"/>
        </w:rPr>
        <w:t>100</w:t>
      </w:r>
      <w:r>
        <w:rPr>
          <w:rFonts w:hint="default" w:ascii="Times New Roman" w:hAnsi="Times New Roman" w:eastAsia="方正仿宋_GBK" w:cs="Times New Roman"/>
          <w:color w:val="auto"/>
          <w:sz w:val="32"/>
          <w:szCs w:val="32"/>
          <w:highlight w:val="none"/>
          <w:shd w:val="clear" w:color="auto" w:fill="FFFFFF"/>
        </w:rPr>
        <w:t>个</w:t>
      </w:r>
      <w:r>
        <w:rPr>
          <w:rFonts w:hint="default" w:ascii="Times New Roman" w:hAnsi="Times New Roman" w:eastAsia="方正仿宋_GBK" w:cs="Times New Roman"/>
          <w:color w:val="auto"/>
          <w:sz w:val="32"/>
          <w:szCs w:val="32"/>
          <w:highlight w:val="none"/>
          <w:shd w:val="clear" w:color="auto" w:fill="FFFFFF"/>
          <w:lang w:val="en-US" w:eastAsia="zh-CN"/>
        </w:rPr>
        <w:t>二级</w:t>
      </w:r>
      <w:r>
        <w:rPr>
          <w:rFonts w:hint="default" w:ascii="Times New Roman" w:hAnsi="Times New Roman" w:eastAsia="方正仿宋_GBK" w:cs="Times New Roman"/>
          <w:color w:val="auto"/>
          <w:sz w:val="32"/>
          <w:szCs w:val="32"/>
          <w:highlight w:val="none"/>
          <w:shd w:val="clear" w:color="auto" w:fill="FFFFFF"/>
        </w:rPr>
        <w:t>项目开展了绩效自评，涉及财政拨款项目支出资金</w:t>
      </w:r>
      <w:r>
        <w:rPr>
          <w:rFonts w:hint="default" w:ascii="Times New Roman" w:hAnsi="Times New Roman" w:eastAsia="方正仿宋_GBK" w:cs="Times New Roman"/>
          <w:color w:val="auto"/>
          <w:sz w:val="32"/>
          <w:szCs w:val="32"/>
          <w:highlight w:val="none"/>
          <w:shd w:val="clear" w:color="auto" w:fill="FFFFFF"/>
          <w:lang w:val="en-US" w:eastAsia="zh-CN"/>
        </w:rPr>
        <w:t>2337.78</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p>
    <w:tbl>
      <w:tblPr>
        <w:tblStyle w:val="13"/>
        <w:tblW w:w="8843" w:type="dxa"/>
        <w:tblInd w:w="91" w:type="dxa"/>
        <w:tblLayout w:type="fixed"/>
        <w:tblCellMar>
          <w:top w:w="0" w:type="dxa"/>
          <w:left w:w="108" w:type="dxa"/>
          <w:bottom w:w="0" w:type="dxa"/>
          <w:right w:w="108" w:type="dxa"/>
        </w:tblCellMar>
      </w:tblPr>
      <w:tblGrid>
        <w:gridCol w:w="600"/>
        <w:gridCol w:w="270"/>
        <w:gridCol w:w="480"/>
        <w:gridCol w:w="483"/>
        <w:gridCol w:w="27"/>
        <w:gridCol w:w="165"/>
        <w:gridCol w:w="720"/>
        <w:gridCol w:w="51"/>
        <w:gridCol w:w="459"/>
        <w:gridCol w:w="405"/>
        <w:gridCol w:w="99"/>
        <w:gridCol w:w="591"/>
        <w:gridCol w:w="300"/>
        <w:gridCol w:w="72"/>
        <w:gridCol w:w="333"/>
        <w:gridCol w:w="631"/>
        <w:gridCol w:w="314"/>
        <w:gridCol w:w="45"/>
        <w:gridCol w:w="604"/>
        <w:gridCol w:w="131"/>
        <w:gridCol w:w="195"/>
        <w:gridCol w:w="600"/>
        <w:gridCol w:w="38"/>
        <w:gridCol w:w="292"/>
        <w:gridCol w:w="938"/>
      </w:tblGrid>
      <w:tr>
        <w:tblPrEx>
          <w:tblLayout w:type="fixed"/>
          <w:tblCellMar>
            <w:top w:w="0" w:type="dxa"/>
            <w:left w:w="108" w:type="dxa"/>
            <w:bottom w:w="0" w:type="dxa"/>
            <w:right w:w="108" w:type="dxa"/>
          </w:tblCellMar>
        </w:tblPrEx>
        <w:trPr>
          <w:trHeight w:val="552" w:hRule="atLeast"/>
        </w:trPr>
        <w:tc>
          <w:tcPr>
            <w:tcW w:w="8843" w:type="dxa"/>
            <w:gridSpan w:val="25"/>
            <w:tcBorders>
              <w:top w:val="nil"/>
              <w:left w:val="nil"/>
              <w:bottom w:val="nil"/>
              <w:right w:val="nil"/>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kern w:val="0"/>
                <w:sz w:val="36"/>
                <w:szCs w:val="36"/>
                <w:highlight w:val="none"/>
                <w:lang w:val="en-US" w:eastAsia="zh-CN" w:bidi="ar"/>
              </w:rPr>
              <w:t>梅江镇</w:t>
            </w:r>
            <w:r>
              <w:rPr>
                <w:rFonts w:hint="eastAsia" w:ascii="Times New Roman" w:hAnsi="Times New Roman" w:eastAsia="方正小标宋_GBK" w:cs="方正小标宋_GBK"/>
                <w:color w:val="auto"/>
                <w:kern w:val="0"/>
                <w:sz w:val="36"/>
                <w:szCs w:val="36"/>
                <w:highlight w:val="none"/>
                <w:lang w:bidi="ar"/>
              </w:rPr>
              <w:t>202</w:t>
            </w:r>
            <w:r>
              <w:rPr>
                <w:rFonts w:hint="eastAsia" w:ascii="Times New Roman" w:hAnsi="Times New Roman" w:eastAsia="方正小标宋_GBK" w:cs="方正小标宋_GBK"/>
                <w:color w:val="auto"/>
                <w:kern w:val="0"/>
                <w:sz w:val="36"/>
                <w:szCs w:val="36"/>
                <w:highlight w:val="none"/>
                <w:lang w:val="en-US" w:eastAsia="zh-CN" w:bidi="ar"/>
              </w:rPr>
              <w:t>4</w:t>
            </w:r>
            <w:r>
              <w:rPr>
                <w:rFonts w:hint="eastAsia" w:ascii="方正小标宋_GBK" w:hAnsi="方正小标宋_GBK" w:eastAsia="方正小标宋_GBK" w:cs="方正小标宋_GBK"/>
                <w:color w:val="auto"/>
                <w:kern w:val="0"/>
                <w:sz w:val="36"/>
                <w:szCs w:val="36"/>
                <w:highlight w:val="none"/>
                <w:lang w:bidi="ar"/>
              </w:rPr>
              <w:t>年度部门整体绩效自评表</w:t>
            </w:r>
          </w:p>
        </w:tc>
      </w:tr>
      <w:tr>
        <w:tblPrEx>
          <w:tblLayout w:type="fixed"/>
          <w:tblCellMar>
            <w:top w:w="0" w:type="dxa"/>
            <w:left w:w="108" w:type="dxa"/>
            <w:bottom w:w="0" w:type="dxa"/>
            <w:right w:w="108" w:type="dxa"/>
          </w:tblCellMar>
        </w:tblPrEx>
        <w:trPr>
          <w:trHeight w:val="600" w:hRule="atLeast"/>
        </w:trPr>
        <w:tc>
          <w:tcPr>
            <w:tcW w:w="8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项目名称</w:t>
            </w:r>
          </w:p>
        </w:tc>
        <w:tc>
          <w:tcPr>
            <w:tcW w:w="7973" w:type="dxa"/>
            <w:gridSpan w:val="2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0"/>
                <w:szCs w:val="20"/>
                <w:highlight w:val="none"/>
              </w:rPr>
            </w:pPr>
            <w:r>
              <w:rPr>
                <w:rFonts w:hint="eastAsia" w:ascii="方正仿宋_GBK" w:hAnsi="方正仿宋_GBK" w:eastAsia="方正仿宋_GBK" w:cs="方正仿宋_GBK"/>
                <w:color w:val="auto"/>
                <w:kern w:val="0"/>
                <w:sz w:val="18"/>
                <w:szCs w:val="18"/>
                <w:highlight w:val="none"/>
                <w:lang w:val="en-US" w:eastAsia="zh-CN" w:bidi="ar"/>
              </w:rPr>
              <w:t>秀山土家族苗族自治县梅江镇人民政府整体监控</w:t>
            </w:r>
          </w:p>
        </w:tc>
      </w:tr>
      <w:tr>
        <w:tblPrEx>
          <w:tblLayout w:type="fixed"/>
          <w:tblCellMar>
            <w:top w:w="0" w:type="dxa"/>
            <w:left w:w="108" w:type="dxa"/>
            <w:bottom w:w="0" w:type="dxa"/>
            <w:right w:w="108" w:type="dxa"/>
          </w:tblCellMar>
        </w:tblPrEx>
        <w:trPr>
          <w:trHeight w:val="600" w:hRule="atLeast"/>
        </w:trPr>
        <w:tc>
          <w:tcPr>
            <w:tcW w:w="8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项目编码</w:t>
            </w:r>
          </w:p>
        </w:tc>
        <w:tc>
          <w:tcPr>
            <w:tcW w:w="192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50024100024</w:t>
            </w:r>
            <w:r>
              <w:rPr>
                <w:rFonts w:hint="eastAsia" w:ascii="方正仿宋_GBK" w:hAnsi="方正仿宋_GBK" w:eastAsia="方正仿宋_GBK" w:cs="方正仿宋_GBK"/>
                <w:color w:val="auto"/>
                <w:kern w:val="0"/>
                <w:sz w:val="18"/>
                <w:szCs w:val="18"/>
                <w:highlight w:val="none"/>
                <w:lang w:val="en-US" w:eastAsia="zh-CN" w:bidi="ar"/>
              </w:rPr>
              <w:t>P</w:t>
            </w:r>
            <w:r>
              <w:rPr>
                <w:rFonts w:hint="eastAsia" w:ascii="Times New Roman" w:hAnsi="Times New Roman" w:eastAsia="方正仿宋_GBK" w:cs="方正仿宋_GBK"/>
                <w:color w:val="auto"/>
                <w:kern w:val="0"/>
                <w:sz w:val="18"/>
                <w:szCs w:val="18"/>
                <w:highlight w:val="none"/>
                <w:lang w:val="en-US" w:eastAsia="zh-CN" w:bidi="ar"/>
              </w:rPr>
              <w:t>000086</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财政归口处室：</w:t>
            </w:r>
          </w:p>
        </w:tc>
        <w:tc>
          <w:tcPr>
            <w:tcW w:w="19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012</w:t>
            </w:r>
            <w:r>
              <w:rPr>
                <w:rFonts w:hint="eastAsia" w:ascii="方正仿宋_GBK" w:hAnsi="方正仿宋_GBK" w:eastAsia="方正仿宋_GBK" w:cs="方正仿宋_GBK"/>
                <w:color w:val="auto"/>
                <w:kern w:val="0"/>
                <w:sz w:val="18"/>
                <w:szCs w:val="18"/>
                <w:highlight w:val="none"/>
                <w:lang w:val="en-US" w:eastAsia="zh-CN" w:bidi="ar"/>
              </w:rPr>
              <w:t>-乡财科</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自评总分</w:t>
            </w:r>
            <w:r>
              <w:rPr>
                <w:rFonts w:hint="eastAsia" w:ascii="方正仿宋_GBK" w:hAnsi="方正仿宋_GBK" w:eastAsia="方正仿宋_GBK" w:cs="方正仿宋_GBK"/>
                <w:color w:val="auto"/>
                <w:kern w:val="0"/>
                <w:sz w:val="18"/>
                <w:szCs w:val="18"/>
                <w:highlight w:val="none"/>
                <w:lang w:val="en-US" w:eastAsia="zh-CN" w:bidi="ar"/>
              </w:rPr>
              <w:br w:type="textWrapping"/>
            </w:r>
            <w:r>
              <w:rPr>
                <w:rFonts w:hint="eastAsia" w:ascii="方正仿宋_GBK" w:hAnsi="方正仿宋_GBK" w:eastAsia="方正仿宋_GBK" w:cs="方正仿宋_GBK"/>
                <w:color w:val="auto"/>
                <w:kern w:val="0"/>
                <w:sz w:val="18"/>
                <w:szCs w:val="18"/>
                <w:highlight w:val="none"/>
                <w:lang w:val="en-US" w:eastAsia="zh-CN" w:bidi="ar"/>
              </w:rPr>
              <w:t>（分）</w:t>
            </w:r>
          </w:p>
        </w:tc>
        <w:tc>
          <w:tcPr>
            <w:tcW w:w="219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94</w:t>
            </w:r>
            <w:r>
              <w:rPr>
                <w:rFonts w:hint="eastAsia" w:ascii="方正仿宋_GBK" w:hAnsi="方正仿宋_GBK" w:eastAsia="方正仿宋_GBK" w:cs="方正仿宋_GBK"/>
                <w:color w:val="auto"/>
                <w:kern w:val="0"/>
                <w:sz w:val="18"/>
                <w:szCs w:val="18"/>
                <w:highlight w:val="none"/>
                <w:lang w:val="en-US" w:eastAsia="zh-CN" w:bidi="ar"/>
              </w:rPr>
              <w:t>.</w:t>
            </w:r>
            <w:r>
              <w:rPr>
                <w:rFonts w:hint="eastAsia" w:ascii="Times New Roman" w:hAnsi="Times New Roman" w:eastAsia="方正仿宋_GBK" w:cs="方正仿宋_GBK"/>
                <w:color w:val="auto"/>
                <w:kern w:val="0"/>
                <w:sz w:val="18"/>
                <w:szCs w:val="18"/>
                <w:highlight w:val="none"/>
                <w:lang w:val="en-US" w:eastAsia="zh-CN" w:bidi="ar"/>
              </w:rPr>
              <w:t>516</w:t>
            </w:r>
          </w:p>
        </w:tc>
      </w:tr>
      <w:tr>
        <w:tblPrEx>
          <w:tblLayout w:type="fixed"/>
          <w:tblCellMar>
            <w:top w:w="0" w:type="dxa"/>
            <w:left w:w="108" w:type="dxa"/>
            <w:bottom w:w="0" w:type="dxa"/>
            <w:right w:w="108" w:type="dxa"/>
          </w:tblCellMar>
        </w:tblPrEx>
        <w:trPr>
          <w:trHeight w:val="600" w:hRule="atLeast"/>
        </w:trPr>
        <w:tc>
          <w:tcPr>
            <w:tcW w:w="8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项目主管部门</w:t>
            </w:r>
          </w:p>
        </w:tc>
        <w:tc>
          <w:tcPr>
            <w:tcW w:w="192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814</w:t>
            </w:r>
            <w:r>
              <w:rPr>
                <w:rFonts w:hint="eastAsia" w:ascii="方正仿宋_GBK" w:hAnsi="方正仿宋_GBK" w:eastAsia="方正仿宋_GBK" w:cs="方正仿宋_GBK"/>
                <w:color w:val="auto"/>
                <w:kern w:val="0"/>
                <w:sz w:val="18"/>
                <w:szCs w:val="18"/>
                <w:highlight w:val="none"/>
                <w:lang w:val="en-US" w:eastAsia="zh-CN" w:bidi="ar"/>
              </w:rPr>
              <w:t>-秀山土家族苗族自治县梅江镇人民政府</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部门</w:t>
            </w:r>
            <w:r>
              <w:rPr>
                <w:rFonts w:hint="eastAsia" w:ascii="方正仿宋_GBK" w:hAnsi="方正仿宋_GBK" w:eastAsia="方正仿宋_GBK" w:cs="方正仿宋_GBK"/>
                <w:color w:val="auto"/>
                <w:kern w:val="0"/>
                <w:sz w:val="18"/>
                <w:szCs w:val="18"/>
                <w:highlight w:val="none"/>
                <w:lang w:val="en-US" w:eastAsia="zh-CN" w:bidi="ar"/>
              </w:rPr>
              <w:br w:type="textWrapping"/>
            </w:r>
            <w:r>
              <w:rPr>
                <w:rFonts w:hint="eastAsia" w:ascii="方正仿宋_GBK" w:hAnsi="方正仿宋_GBK" w:eastAsia="方正仿宋_GBK" w:cs="方正仿宋_GBK"/>
                <w:color w:val="auto"/>
                <w:kern w:val="0"/>
                <w:sz w:val="18"/>
                <w:szCs w:val="18"/>
                <w:highlight w:val="none"/>
                <w:lang w:val="en-US" w:eastAsia="zh-CN" w:bidi="ar"/>
              </w:rPr>
              <w:t>联系人</w:t>
            </w:r>
          </w:p>
        </w:tc>
        <w:tc>
          <w:tcPr>
            <w:tcW w:w="19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崔林鹏</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联系电话</w:t>
            </w:r>
          </w:p>
        </w:tc>
        <w:tc>
          <w:tcPr>
            <w:tcW w:w="219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18225379117</w:t>
            </w:r>
          </w:p>
        </w:tc>
      </w:tr>
      <w:tr>
        <w:tblPrEx>
          <w:tblLayout w:type="fixed"/>
          <w:tblCellMar>
            <w:top w:w="0" w:type="dxa"/>
            <w:left w:w="108" w:type="dxa"/>
            <w:bottom w:w="0" w:type="dxa"/>
            <w:right w:w="108" w:type="dxa"/>
          </w:tblCellMar>
        </w:tblPrEx>
        <w:trPr>
          <w:trHeight w:val="600" w:hRule="atLeast"/>
        </w:trPr>
        <w:tc>
          <w:tcPr>
            <w:tcW w:w="8843" w:type="dxa"/>
            <w:gridSpan w:val="25"/>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资金情况</w:t>
            </w:r>
          </w:p>
        </w:tc>
      </w:tr>
      <w:tr>
        <w:tblPrEx>
          <w:tblLayout w:type="fixed"/>
          <w:tblCellMar>
            <w:top w:w="0" w:type="dxa"/>
            <w:left w:w="108" w:type="dxa"/>
            <w:bottom w:w="0" w:type="dxa"/>
            <w:right w:w="108" w:type="dxa"/>
          </w:tblCellMar>
        </w:tblPrEx>
        <w:trPr>
          <w:trHeight w:val="595" w:hRule="atLeast"/>
        </w:trPr>
        <w:tc>
          <w:tcPr>
            <w:tcW w:w="18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年初预算数</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全年（调整）预算数</w:t>
            </w:r>
          </w:p>
        </w:tc>
        <w:tc>
          <w:tcPr>
            <w:tcW w:w="139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全年执行数</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执行率</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执行率权重</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执行率得分</w:t>
            </w:r>
          </w:p>
        </w:tc>
      </w:tr>
      <w:tr>
        <w:tblPrEx>
          <w:tblLayout w:type="fixed"/>
          <w:tblCellMar>
            <w:top w:w="0" w:type="dxa"/>
            <w:left w:w="108" w:type="dxa"/>
            <w:bottom w:w="0" w:type="dxa"/>
            <w:right w:w="108" w:type="dxa"/>
          </w:tblCellMar>
        </w:tblPrEx>
        <w:trPr>
          <w:trHeight w:val="595" w:hRule="atLeast"/>
        </w:trPr>
        <w:tc>
          <w:tcPr>
            <w:tcW w:w="18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left"/>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年度总金额</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31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175</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198</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43</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45</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691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081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74</w:t>
            </w:r>
          </w:p>
        </w:tc>
        <w:tc>
          <w:tcPr>
            <w:tcW w:w="139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41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587</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821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41</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p>
        </w:tc>
      </w:tr>
      <w:tr>
        <w:tblPrEx>
          <w:tblLayout w:type="fixed"/>
          <w:tblCellMar>
            <w:top w:w="0" w:type="dxa"/>
            <w:left w:w="108" w:type="dxa"/>
            <w:bottom w:w="0" w:type="dxa"/>
            <w:right w:w="108" w:type="dxa"/>
          </w:tblCellMar>
        </w:tblPrEx>
        <w:trPr>
          <w:trHeight w:val="595" w:hRule="atLeast"/>
        </w:trPr>
        <w:tc>
          <w:tcPr>
            <w:tcW w:w="18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ind w:firstLine="180" w:firstLineChars="100"/>
              <w:jc w:val="left"/>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其中：财政拨款</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30</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430</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479</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43</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44</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946</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362</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74</w:t>
            </w:r>
          </w:p>
        </w:tc>
        <w:tc>
          <w:tcPr>
            <w:tcW w:w="139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41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587</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821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41</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92</w:t>
            </w:r>
            <w:r>
              <w:rPr>
                <w:rFonts w:hint="eastAsia" w:ascii="方正仿宋_GBK" w:hAnsi="方正仿宋_GBK" w:eastAsia="方正仿宋_GBK" w:cs="方正仿宋_GBK"/>
                <w:color w:val="auto"/>
                <w:kern w:val="0"/>
                <w:sz w:val="18"/>
                <w:szCs w:val="18"/>
                <w:highlight w:val="none"/>
                <w:lang w:val="en-US" w:eastAsia="zh-CN" w:bidi="ar"/>
              </w:rPr>
              <w:t>.</w:t>
            </w:r>
            <w:r>
              <w:rPr>
                <w:rFonts w:hint="eastAsia" w:ascii="Times New Roman" w:hAnsi="Times New Roman" w:eastAsia="方正仿宋_GBK" w:cs="方正仿宋_GBK"/>
                <w:color w:val="auto"/>
                <w:kern w:val="0"/>
                <w:sz w:val="18"/>
                <w:szCs w:val="18"/>
                <w:highlight w:val="none"/>
                <w:lang w:val="en-US" w:eastAsia="zh-CN" w:bidi="ar"/>
              </w:rPr>
              <w:t>53</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10</w:t>
            </w:r>
            <w:r>
              <w:rPr>
                <w:rFonts w:hint="eastAsia" w:ascii="方正仿宋_GBK" w:hAnsi="方正仿宋_GBK" w:eastAsia="方正仿宋_GBK" w:cs="方正仿宋_GBK"/>
                <w:color w:val="auto"/>
                <w:kern w:val="0"/>
                <w:sz w:val="18"/>
                <w:szCs w:val="18"/>
                <w:highlight w:val="none"/>
                <w:lang w:val="en-US" w:eastAsia="zh-CN" w:bidi="ar"/>
              </w:rPr>
              <w:t xml:space="preserve">. </w:t>
            </w:r>
            <w:r>
              <w:rPr>
                <w:rFonts w:hint="eastAsia" w:ascii="Times New Roman" w:hAnsi="Times New Roman" w:eastAsia="方正仿宋_GBK" w:cs="方正仿宋_GBK"/>
                <w:color w:val="auto"/>
                <w:kern w:val="0"/>
                <w:sz w:val="18"/>
                <w:szCs w:val="18"/>
                <w:highlight w:val="none"/>
                <w:lang w:val="en-US" w:eastAsia="zh-CN" w:bidi="ar"/>
              </w:rPr>
              <w:t>00</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9</w:t>
            </w:r>
            <w:r>
              <w:rPr>
                <w:rFonts w:hint="eastAsia" w:ascii="方正仿宋_GBK" w:hAnsi="方正仿宋_GBK" w:eastAsia="方正仿宋_GBK" w:cs="方正仿宋_GBK"/>
                <w:color w:val="auto"/>
                <w:kern w:val="0"/>
                <w:sz w:val="18"/>
                <w:szCs w:val="18"/>
                <w:highlight w:val="none"/>
                <w:lang w:val="en-US" w:eastAsia="zh-CN" w:bidi="ar"/>
              </w:rPr>
              <w:t>.</w:t>
            </w:r>
            <w:r>
              <w:rPr>
                <w:rFonts w:hint="eastAsia" w:ascii="Times New Roman" w:hAnsi="Times New Roman" w:eastAsia="方正仿宋_GBK" w:cs="方正仿宋_GBK"/>
                <w:color w:val="auto"/>
                <w:kern w:val="0"/>
                <w:sz w:val="18"/>
                <w:szCs w:val="18"/>
                <w:highlight w:val="none"/>
                <w:lang w:val="en-US" w:eastAsia="zh-CN" w:bidi="ar"/>
              </w:rPr>
              <w:t>25</w:t>
            </w:r>
          </w:p>
        </w:tc>
      </w:tr>
      <w:tr>
        <w:tblPrEx>
          <w:tblLayout w:type="fixed"/>
          <w:tblCellMar>
            <w:top w:w="0" w:type="dxa"/>
            <w:left w:w="108" w:type="dxa"/>
            <w:bottom w:w="0" w:type="dxa"/>
            <w:right w:w="108" w:type="dxa"/>
          </w:tblCellMar>
        </w:tblPrEx>
        <w:trPr>
          <w:trHeight w:val="595" w:hRule="atLeast"/>
        </w:trPr>
        <w:tc>
          <w:tcPr>
            <w:tcW w:w="18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left"/>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方正仿宋_GBK" w:hAnsi="方正仿宋_GBK" w:eastAsia="方正仿宋_GBK" w:cs="方正仿宋_GBK"/>
                <w:color w:val="auto"/>
                <w:kern w:val="0"/>
                <w:sz w:val="18"/>
                <w:szCs w:val="18"/>
                <w:highlight w:val="none"/>
                <w:lang w:val="en-US" w:eastAsia="zh-CN" w:bidi="ar"/>
              </w:rPr>
              <w:t>一般公共预算</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30</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230</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479</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43</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44</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746</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362</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74</w:t>
            </w:r>
          </w:p>
        </w:tc>
        <w:tc>
          <w:tcPr>
            <w:tcW w:w="139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6"/>
                <w:szCs w:val="16"/>
                <w:highlight w:val="none"/>
                <w:lang w:val="en-US" w:eastAsia="zh-CN" w:bidi="ar"/>
              </w:rPr>
            </w:pPr>
            <w:r>
              <w:rPr>
                <w:rFonts w:hint="eastAsia" w:ascii="Times New Roman" w:hAnsi="Times New Roman" w:eastAsia="方正仿宋_GBK" w:cs="方正仿宋_GBK"/>
                <w:color w:val="auto"/>
                <w:kern w:val="0"/>
                <w:sz w:val="16"/>
                <w:szCs w:val="16"/>
                <w:highlight w:val="none"/>
                <w:lang w:val="en-US" w:eastAsia="zh-CN" w:bidi="ar"/>
              </w:rPr>
              <w:t>41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387</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821</w:t>
            </w:r>
            <w:r>
              <w:rPr>
                <w:rFonts w:hint="eastAsia" w:ascii="方正仿宋_GBK" w:hAnsi="方正仿宋_GBK" w:eastAsia="方正仿宋_GBK" w:cs="方正仿宋_GBK"/>
                <w:color w:val="auto"/>
                <w:kern w:val="0"/>
                <w:sz w:val="16"/>
                <w:szCs w:val="16"/>
                <w:highlight w:val="none"/>
                <w:lang w:val="en-US" w:eastAsia="zh-CN" w:bidi="ar"/>
              </w:rPr>
              <w:t>.</w:t>
            </w:r>
            <w:r>
              <w:rPr>
                <w:rFonts w:hint="eastAsia" w:ascii="Times New Roman" w:hAnsi="Times New Roman" w:eastAsia="方正仿宋_GBK" w:cs="方正仿宋_GBK"/>
                <w:color w:val="auto"/>
                <w:kern w:val="0"/>
                <w:sz w:val="16"/>
                <w:szCs w:val="16"/>
                <w:highlight w:val="none"/>
                <w:lang w:val="en-US" w:eastAsia="zh-CN" w:bidi="ar"/>
              </w:rPr>
              <w:t>41</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r>
              <w:rPr>
                <w:rFonts w:hint="eastAsia" w:ascii="Times New Roman" w:hAnsi="Times New Roman" w:eastAsia="方正仿宋_GBK" w:cs="方正仿宋_GBK"/>
                <w:color w:val="auto"/>
                <w:kern w:val="0"/>
                <w:sz w:val="18"/>
                <w:szCs w:val="18"/>
                <w:highlight w:val="none"/>
                <w:lang w:val="en-US" w:eastAsia="zh-CN" w:bidi="ar"/>
              </w:rPr>
              <w:t>92</w:t>
            </w:r>
            <w:r>
              <w:rPr>
                <w:rFonts w:hint="eastAsia" w:ascii="方正仿宋_GBK" w:hAnsi="方正仿宋_GBK" w:eastAsia="方正仿宋_GBK" w:cs="方正仿宋_GBK"/>
                <w:color w:val="auto"/>
                <w:kern w:val="0"/>
                <w:sz w:val="18"/>
                <w:szCs w:val="18"/>
                <w:highlight w:val="none"/>
                <w:lang w:val="en-US" w:eastAsia="zh-CN" w:bidi="ar"/>
              </w:rPr>
              <w:t>.</w:t>
            </w:r>
            <w:r>
              <w:rPr>
                <w:rFonts w:hint="eastAsia" w:ascii="Times New Roman" w:hAnsi="Times New Roman" w:eastAsia="方正仿宋_GBK" w:cs="方正仿宋_GBK"/>
                <w:color w:val="auto"/>
                <w:kern w:val="0"/>
                <w:sz w:val="18"/>
                <w:szCs w:val="18"/>
                <w:highlight w:val="none"/>
                <w:lang w:val="en-US" w:eastAsia="zh-CN" w:bidi="ar"/>
              </w:rPr>
              <w:t>49</w:t>
            </w:r>
          </w:p>
        </w:tc>
        <w:tc>
          <w:tcPr>
            <w:tcW w:w="9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kern w:val="0"/>
                <w:sz w:val="18"/>
                <w:szCs w:val="18"/>
                <w:highlight w:val="none"/>
                <w:lang w:val="en-US" w:eastAsia="zh-CN" w:bidi="ar"/>
              </w:rPr>
            </w:pPr>
          </w:p>
        </w:tc>
      </w:tr>
      <w:tr>
        <w:tblPrEx>
          <w:tblLayout w:type="fixed"/>
          <w:tblCellMar>
            <w:top w:w="0" w:type="dxa"/>
            <w:left w:w="108" w:type="dxa"/>
            <w:bottom w:w="0" w:type="dxa"/>
            <w:right w:w="108" w:type="dxa"/>
          </w:tblCellMar>
        </w:tblPrEx>
        <w:trPr>
          <w:trHeight w:val="450" w:hRule="atLeast"/>
        </w:trPr>
        <w:tc>
          <w:tcPr>
            <w:tcW w:w="870" w:type="dxa"/>
            <w:gridSpan w:val="2"/>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绩效</w:t>
            </w:r>
            <w:r>
              <w:rPr>
                <w:rFonts w:hint="eastAsia" w:ascii="方正仿宋_GBK" w:hAnsi="方正仿宋_GBK" w:eastAsia="方正仿宋_GBK" w:cs="方正仿宋_GBK"/>
                <w:color w:val="auto"/>
                <w:kern w:val="0"/>
                <w:sz w:val="18"/>
                <w:szCs w:val="18"/>
                <w:highlight w:val="none"/>
                <w:lang w:bidi="ar"/>
              </w:rPr>
              <w:br w:type="textWrapping"/>
            </w:r>
            <w:r>
              <w:rPr>
                <w:rFonts w:hint="eastAsia" w:ascii="方正仿宋_GBK" w:hAnsi="方正仿宋_GBK" w:eastAsia="方正仿宋_GBK" w:cs="方正仿宋_GBK"/>
                <w:color w:val="auto"/>
                <w:kern w:val="0"/>
                <w:sz w:val="18"/>
                <w:szCs w:val="18"/>
                <w:highlight w:val="none"/>
                <w:lang w:bidi="ar"/>
              </w:rPr>
              <w:t>目标</w:t>
            </w:r>
          </w:p>
        </w:tc>
        <w:tc>
          <w:tcPr>
            <w:tcW w:w="1926" w:type="dxa"/>
            <w:gridSpan w:val="6"/>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年初绩效目标</w:t>
            </w:r>
          </w:p>
        </w:tc>
        <w:tc>
          <w:tcPr>
            <w:tcW w:w="2890" w:type="dxa"/>
            <w:gridSpan w:val="8"/>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全年（调整）绩效目标</w:t>
            </w:r>
          </w:p>
        </w:tc>
        <w:tc>
          <w:tcPr>
            <w:tcW w:w="3157" w:type="dxa"/>
            <w:gridSpan w:val="9"/>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全年目标实际完成情况</w:t>
            </w:r>
          </w:p>
        </w:tc>
      </w:tr>
      <w:tr>
        <w:tblPrEx>
          <w:tblLayout w:type="fixed"/>
          <w:tblCellMar>
            <w:top w:w="0" w:type="dxa"/>
            <w:left w:w="108" w:type="dxa"/>
            <w:bottom w:w="0" w:type="dxa"/>
            <w:right w:w="108" w:type="dxa"/>
          </w:tblCellMar>
        </w:tblPrEx>
        <w:trPr>
          <w:trHeight w:val="129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192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1</w:t>
            </w:r>
            <w:r>
              <w:rPr>
                <w:rFonts w:hint="eastAsia" w:ascii="方正仿宋_GBK" w:hAnsi="方正仿宋_GBK" w:eastAsia="方正仿宋_GBK" w:cs="方正仿宋_GBK"/>
                <w:color w:val="auto"/>
                <w:sz w:val="18"/>
                <w:szCs w:val="18"/>
                <w:highlight w:val="none"/>
              </w:rPr>
              <w:t>、负责组织和管理乡镇财政收入、支出，编制执行乡镇年度财政预算，监督预</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算执行情况，编制财政决算；负责对乡镇国有资产的购置、登记、处置进行管</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理;</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2</w:t>
            </w:r>
            <w:r>
              <w:rPr>
                <w:rFonts w:hint="eastAsia" w:ascii="方正仿宋_GBK" w:hAnsi="方正仿宋_GBK" w:eastAsia="方正仿宋_GBK" w:cs="方正仿宋_GBK"/>
                <w:color w:val="auto"/>
                <w:sz w:val="18"/>
                <w:szCs w:val="18"/>
                <w:highlight w:val="none"/>
              </w:rPr>
              <w:t>、保障我单位在职职工及退休职工的正常办公和生活秩序，做好干部的教育、</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培养、选拔和监督工作;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3</w:t>
            </w:r>
            <w:r>
              <w:rPr>
                <w:rFonts w:hint="eastAsia" w:ascii="方正仿宋_GBK" w:hAnsi="方正仿宋_GBK" w:eastAsia="方正仿宋_GBK" w:cs="方正仿宋_GBK"/>
                <w:color w:val="auto"/>
                <w:sz w:val="18"/>
                <w:szCs w:val="18"/>
                <w:highlight w:val="none"/>
              </w:rPr>
              <w:t>、贯彻执行法律、法规、规章和县委县政府的决策部署，抓好基层党建及乡村</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振兴工作，依法管理辖区内公共事务。</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4</w:t>
            </w:r>
            <w:r>
              <w:rPr>
                <w:rFonts w:hint="eastAsia" w:ascii="方正仿宋_GBK" w:hAnsi="方正仿宋_GBK" w:eastAsia="方正仿宋_GBK" w:cs="方正仿宋_GBK"/>
                <w:color w:val="auto"/>
                <w:sz w:val="18"/>
                <w:szCs w:val="18"/>
                <w:highlight w:val="none"/>
              </w:rPr>
              <w:t>、协助依法履行安全生产、消防安全、食品安全、环境保护、劳动保障、流动</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人口监督管理工作，承担辖区应急、防汛和防灾减灾工作。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5</w:t>
            </w:r>
            <w:r>
              <w:rPr>
                <w:rFonts w:hint="eastAsia" w:ascii="方正仿宋_GBK" w:hAnsi="方正仿宋_GBK" w:eastAsia="方正仿宋_GBK" w:cs="方正仿宋_GBK"/>
                <w:color w:val="auto"/>
                <w:sz w:val="18"/>
                <w:szCs w:val="18"/>
                <w:highlight w:val="none"/>
              </w:rPr>
              <w:t>、民政工作有效开展，发展社会福利事业，做好社会保障工作，协助有关部门</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做好辖区拥军优属、优抚安置、社会救济、殡葬改革、残疾人就业等工作。协</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助武装部门做好辖区民兵训练和公民服兵役工作。负责在辖区开展普法教育工</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作，做好民事调解，开展法律咨询、服务等工作，维护居民的合法权益，搞好</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辖区内社会综合治理工作。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6</w:t>
            </w:r>
            <w:r>
              <w:rPr>
                <w:rFonts w:hint="eastAsia" w:ascii="方正仿宋_GBK" w:hAnsi="方正仿宋_GBK" w:eastAsia="方正仿宋_GBK" w:cs="方正仿宋_GBK"/>
                <w:color w:val="auto"/>
                <w:sz w:val="18"/>
                <w:szCs w:val="18"/>
                <w:highlight w:val="none"/>
              </w:rPr>
              <w:t>、保障社区组织的正常运转，维护社会稳定，落实党的政策和法律法规，促进</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社区各项事业的发展，提高社区居民幸福指数。</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7</w:t>
            </w:r>
            <w:r>
              <w:rPr>
                <w:rFonts w:hint="eastAsia" w:ascii="方正仿宋_GBK" w:hAnsi="方正仿宋_GBK" w:eastAsia="方正仿宋_GBK" w:cs="方正仿宋_GBK"/>
                <w:color w:val="auto"/>
                <w:sz w:val="18"/>
                <w:szCs w:val="18"/>
                <w:highlight w:val="none"/>
              </w:rPr>
              <w:t>、负责本辖区的城市管理工作，承担辖区环境卫生、绿化美化的管理工作，保</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障辖区内道路正常通行，提高社区居民交通便捷性，推进河长制工作。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8</w:t>
            </w:r>
            <w:r>
              <w:rPr>
                <w:rFonts w:hint="eastAsia" w:ascii="方正仿宋_GBK" w:hAnsi="方正仿宋_GBK" w:eastAsia="方正仿宋_GBK" w:cs="方正仿宋_GBK"/>
                <w:color w:val="auto"/>
                <w:sz w:val="18"/>
                <w:szCs w:val="18"/>
                <w:highlight w:val="none"/>
              </w:rPr>
              <w:t>、认真完成上级主管部门交办的其他事项。</w:t>
            </w:r>
          </w:p>
        </w:tc>
        <w:tc>
          <w:tcPr>
            <w:tcW w:w="289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1</w:t>
            </w:r>
            <w:r>
              <w:rPr>
                <w:rFonts w:hint="eastAsia" w:ascii="方正仿宋_GBK" w:hAnsi="方正仿宋_GBK" w:eastAsia="方正仿宋_GBK" w:cs="方正仿宋_GBK"/>
                <w:color w:val="auto"/>
                <w:sz w:val="18"/>
                <w:szCs w:val="18"/>
                <w:highlight w:val="none"/>
              </w:rPr>
              <w:t>、负责组织和管理乡镇财政收入、支出，编制执行乡镇年度财政预算，监督</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预算执行情况，编制财政决算；负责对乡镇国有资产的购置、登记、处置进行</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管理；</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2</w:t>
            </w:r>
            <w:r>
              <w:rPr>
                <w:rFonts w:hint="eastAsia" w:ascii="方正仿宋_GBK" w:hAnsi="方正仿宋_GBK" w:eastAsia="方正仿宋_GBK" w:cs="方正仿宋_GBK"/>
                <w:color w:val="auto"/>
                <w:sz w:val="18"/>
                <w:szCs w:val="18"/>
                <w:highlight w:val="none"/>
              </w:rPr>
              <w:t>、保障我单位在职职工及退休职工的正常办公和生活秩序，做好干部的教育</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、培养、选拔和监督工作;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3</w:t>
            </w:r>
            <w:r>
              <w:rPr>
                <w:rFonts w:hint="eastAsia" w:ascii="方正仿宋_GBK" w:hAnsi="方正仿宋_GBK" w:eastAsia="方正仿宋_GBK" w:cs="方正仿宋_GBK"/>
                <w:color w:val="auto"/>
                <w:sz w:val="18"/>
                <w:szCs w:val="18"/>
                <w:highlight w:val="none"/>
              </w:rPr>
              <w:t>、贯彻执行法律、法规、规章和县委县政府的决策部署，抓好基层党建及乡</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村振兴工作，依法管理辖区内公共事务。</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4</w:t>
            </w:r>
            <w:r>
              <w:rPr>
                <w:rFonts w:hint="eastAsia" w:ascii="方正仿宋_GBK" w:hAnsi="方正仿宋_GBK" w:eastAsia="方正仿宋_GBK" w:cs="方正仿宋_GBK"/>
                <w:color w:val="auto"/>
                <w:sz w:val="18"/>
                <w:szCs w:val="18"/>
                <w:highlight w:val="none"/>
              </w:rPr>
              <w:t>、协助依法履行安全生产、消防安全、食品安全、环境保护、劳动保障、流</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动人口监督管理工作，承担辖区应急、防汛和防灾减灾工作。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5</w:t>
            </w:r>
            <w:r>
              <w:rPr>
                <w:rFonts w:hint="eastAsia" w:ascii="方正仿宋_GBK" w:hAnsi="方正仿宋_GBK" w:eastAsia="方正仿宋_GBK" w:cs="方正仿宋_GBK"/>
                <w:color w:val="auto"/>
                <w:sz w:val="18"/>
                <w:szCs w:val="18"/>
                <w:highlight w:val="none"/>
              </w:rPr>
              <w:t>、民政工作有效开展，发展社会福利事业，做好社会保障工作，协助有关部</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门做好辖区拥军优属、优抚安置、社会救济、殡葬改革、残疾人就业等工作。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协助武装部门做好辖区民兵训练和公民服兵役工作。负责在辖区开展普法教育</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工作，做好民事调解，开展法律咨询、服务等工作，维护居民的合法权益，搞</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好辖区内社会综合治理工作。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6</w:t>
            </w:r>
            <w:r>
              <w:rPr>
                <w:rFonts w:hint="eastAsia" w:ascii="方正仿宋_GBK" w:hAnsi="方正仿宋_GBK" w:eastAsia="方正仿宋_GBK" w:cs="方正仿宋_GBK"/>
                <w:color w:val="auto"/>
                <w:sz w:val="18"/>
                <w:szCs w:val="18"/>
                <w:highlight w:val="none"/>
              </w:rPr>
              <w:t>、保障社区组织的正常运转，维护社会稳定，落实党的政策和法律法规，促</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进社区各项事业的发展，提高社区居民幸福指数。</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7</w:t>
            </w:r>
            <w:r>
              <w:rPr>
                <w:rFonts w:hint="eastAsia" w:ascii="方正仿宋_GBK" w:hAnsi="方正仿宋_GBK" w:eastAsia="方正仿宋_GBK" w:cs="方正仿宋_GBK"/>
                <w:color w:val="auto"/>
                <w:sz w:val="18"/>
                <w:szCs w:val="18"/>
                <w:highlight w:val="none"/>
              </w:rPr>
              <w:t>、负责本辖区的城市管理工作，承担辖区环境卫生、绿化美化的管理工作，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保障辖区内道路正常通行，提高社区居民交通便捷性，推进河长制工作。</w:t>
            </w:r>
          </w:p>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rPr>
              <w:t>8</w:t>
            </w:r>
            <w:r>
              <w:rPr>
                <w:rFonts w:hint="eastAsia" w:ascii="方正仿宋_GBK" w:hAnsi="方正仿宋_GBK" w:eastAsia="方正仿宋_GBK" w:cs="方正仿宋_GBK"/>
                <w:color w:val="auto"/>
                <w:sz w:val="18"/>
                <w:szCs w:val="18"/>
                <w:highlight w:val="none"/>
              </w:rPr>
              <w:t>、认真完成上级主管部门交办的其他事项。</w:t>
            </w:r>
          </w:p>
        </w:tc>
        <w:tc>
          <w:tcPr>
            <w:tcW w:w="3157"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已完成</w:t>
            </w:r>
          </w:p>
        </w:tc>
      </w:tr>
      <w:tr>
        <w:tblPrEx>
          <w:tblLayout w:type="fixed"/>
          <w:tblCellMar>
            <w:top w:w="0" w:type="dxa"/>
            <w:left w:w="108" w:type="dxa"/>
            <w:bottom w:w="0" w:type="dxa"/>
            <w:right w:w="108" w:type="dxa"/>
          </w:tblCellMar>
        </w:tblPrEx>
        <w:trPr>
          <w:trHeight w:val="672" w:hRule="atLeast"/>
        </w:trPr>
        <w:tc>
          <w:tcPr>
            <w:tcW w:w="870" w:type="dxa"/>
            <w:gridSpan w:val="2"/>
            <w:vMerge w:val="restart"/>
            <w:tcBorders>
              <w:top w:val="single" w:color="000000" w:sz="4" w:space="0"/>
              <w:left w:val="single" w:color="000000" w:sz="4" w:space="0"/>
              <w:right w:val="single" w:color="000000" w:sz="4" w:space="0"/>
            </w:tcBorders>
            <w:textDirection w:val="tbRlV"/>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绩效指标</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指标名称</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计量</w:t>
            </w:r>
            <w:r>
              <w:rPr>
                <w:rFonts w:hint="eastAsia" w:ascii="方正仿宋_GBK" w:hAnsi="方正仿宋_GBK" w:eastAsia="方正仿宋_GBK" w:cs="方正仿宋_GBK"/>
                <w:color w:val="auto"/>
                <w:kern w:val="0"/>
                <w:sz w:val="18"/>
                <w:szCs w:val="18"/>
                <w:highlight w:val="none"/>
                <w:lang w:bidi="ar"/>
              </w:rPr>
              <w:br w:type="textWrapping"/>
            </w:r>
            <w:r>
              <w:rPr>
                <w:rFonts w:hint="eastAsia" w:ascii="方正仿宋_GBK" w:hAnsi="方正仿宋_GBK" w:eastAsia="方正仿宋_GBK" w:cs="方正仿宋_GBK"/>
                <w:color w:val="auto"/>
                <w:kern w:val="0"/>
                <w:sz w:val="18"/>
                <w:szCs w:val="18"/>
                <w:highlight w:val="none"/>
                <w:lang w:bidi="ar"/>
              </w:rPr>
              <w:t>单位</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指标</w:t>
            </w:r>
            <w:r>
              <w:rPr>
                <w:rFonts w:hint="eastAsia" w:ascii="方正仿宋_GBK" w:hAnsi="方正仿宋_GBK" w:eastAsia="方正仿宋_GBK" w:cs="方正仿宋_GBK"/>
                <w:color w:val="auto"/>
                <w:kern w:val="0"/>
                <w:sz w:val="18"/>
                <w:szCs w:val="18"/>
                <w:highlight w:val="none"/>
                <w:lang w:bidi="ar"/>
              </w:rPr>
              <w:br w:type="textWrapping"/>
            </w:r>
            <w:r>
              <w:rPr>
                <w:rFonts w:hint="eastAsia" w:ascii="方正仿宋_GBK" w:hAnsi="方正仿宋_GBK" w:eastAsia="方正仿宋_GBK" w:cs="方正仿宋_GBK"/>
                <w:color w:val="auto"/>
                <w:kern w:val="0"/>
                <w:sz w:val="18"/>
                <w:szCs w:val="18"/>
                <w:highlight w:val="none"/>
                <w:lang w:bidi="ar"/>
              </w:rPr>
              <w:t>性质</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指标值</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指标权重</w:t>
            </w:r>
            <w:r>
              <w:rPr>
                <w:rFonts w:hint="eastAsia" w:ascii="方正仿宋_GBK" w:hAnsi="方正仿宋_GBK" w:eastAsia="方正仿宋_GBK" w:cs="方正仿宋_GBK"/>
                <w:color w:val="auto"/>
                <w:kern w:val="0"/>
                <w:sz w:val="18"/>
                <w:szCs w:val="18"/>
                <w:highlight w:val="none"/>
                <w:lang w:bidi="ar"/>
              </w:rPr>
              <w:br w:type="textWrapping"/>
            </w:r>
            <w:r>
              <w:rPr>
                <w:rFonts w:hint="eastAsia" w:ascii="方正仿宋_GBK" w:hAnsi="方正仿宋_GBK" w:eastAsia="方正仿宋_GBK" w:cs="方正仿宋_GBK"/>
                <w:color w:val="auto"/>
                <w:kern w:val="0"/>
                <w:sz w:val="18"/>
                <w:szCs w:val="18"/>
                <w:highlight w:val="none"/>
                <w:lang w:bidi="ar"/>
              </w:rPr>
              <w:t>（分）</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全年</w:t>
            </w:r>
            <w:r>
              <w:rPr>
                <w:rFonts w:hint="eastAsia" w:ascii="方正仿宋_GBK" w:hAnsi="方正仿宋_GBK" w:eastAsia="方正仿宋_GBK" w:cs="方正仿宋_GBK"/>
                <w:color w:val="auto"/>
                <w:kern w:val="0"/>
                <w:sz w:val="18"/>
                <w:szCs w:val="18"/>
                <w:highlight w:val="none"/>
                <w:lang w:bidi="ar"/>
              </w:rPr>
              <w:br w:type="textWrapping"/>
            </w:r>
            <w:r>
              <w:rPr>
                <w:rFonts w:hint="eastAsia" w:ascii="方正仿宋_GBK" w:hAnsi="方正仿宋_GBK" w:eastAsia="方正仿宋_GBK" w:cs="方正仿宋_GBK"/>
                <w:color w:val="auto"/>
                <w:kern w:val="0"/>
                <w:sz w:val="18"/>
                <w:szCs w:val="18"/>
                <w:highlight w:val="none"/>
                <w:lang w:bidi="ar"/>
              </w:rPr>
              <w:t>完成值</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指标得分</w:t>
            </w:r>
            <w:r>
              <w:rPr>
                <w:rFonts w:hint="eastAsia" w:ascii="方正仿宋_GBK" w:hAnsi="方正仿宋_GBK" w:eastAsia="方正仿宋_GBK" w:cs="方正仿宋_GBK"/>
                <w:color w:val="auto"/>
                <w:kern w:val="0"/>
                <w:sz w:val="18"/>
                <w:szCs w:val="18"/>
                <w:highlight w:val="none"/>
                <w:lang w:bidi="ar"/>
              </w:rPr>
              <w:br w:type="textWrapping"/>
            </w:r>
            <w:r>
              <w:rPr>
                <w:rFonts w:hint="eastAsia" w:ascii="方正仿宋_GBK" w:hAnsi="方正仿宋_GBK" w:eastAsia="方正仿宋_GBK" w:cs="方正仿宋_GBK"/>
                <w:color w:val="auto"/>
                <w:kern w:val="0"/>
                <w:sz w:val="18"/>
                <w:szCs w:val="18"/>
                <w:highlight w:val="none"/>
                <w:lang w:bidi="ar"/>
              </w:rPr>
              <w:t>（分）</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kern w:val="0"/>
                <w:sz w:val="18"/>
                <w:szCs w:val="18"/>
                <w:highlight w:val="none"/>
                <w:lang w:bidi="ar"/>
              </w:rPr>
              <w:t>说明</w:t>
            </w: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国库集中支付资金拨付完成率</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95</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4</w:t>
            </w:r>
            <w:r>
              <w:rPr>
                <w:rFonts w:hint="eastAsia" w:ascii="方正仿宋_GBK" w:hAnsi="方正仿宋_GBK" w:eastAsia="方正仿宋_GBK" w:cs="方正仿宋_GBK"/>
                <w:color w:val="auto"/>
                <w:sz w:val="18"/>
                <w:szCs w:val="18"/>
                <w:highlight w:val="none"/>
                <w:lang w:val="en-US" w:eastAsia="zh-CN"/>
              </w:rPr>
              <w:t>.</w:t>
            </w:r>
            <w:r>
              <w:rPr>
                <w:rFonts w:hint="eastAsia" w:ascii="Times New Roman" w:hAnsi="Times New Roman" w:eastAsia="方正仿宋_GBK" w:cs="方正仿宋_GBK"/>
                <w:color w:val="auto"/>
                <w:sz w:val="18"/>
                <w:szCs w:val="18"/>
                <w:highlight w:val="none"/>
                <w:lang w:val="en-US" w:eastAsia="zh-CN"/>
              </w:rPr>
              <w:t>74</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rPr>
                <w:rFonts w:hint="eastAsia" w:ascii="宋体" w:hAnsi="宋体" w:cs="宋体"/>
                <w:color w:val="auto"/>
                <w:sz w:val="20"/>
                <w:szCs w:val="20"/>
                <w:highlight w:val="none"/>
              </w:rPr>
            </w:pP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全年预算支出执行率</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10</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rPr>
                <w:rFonts w:hint="eastAsia" w:ascii="宋体" w:hAnsi="宋体" w:cs="宋体"/>
                <w:color w:val="auto"/>
                <w:sz w:val="20"/>
                <w:szCs w:val="20"/>
                <w:highlight w:val="none"/>
              </w:rPr>
            </w:pP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部门预决算按时公开率</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20</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20</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rPr>
                <w:rFonts w:hint="eastAsia" w:ascii="宋体" w:hAnsi="宋体" w:cs="宋体"/>
                <w:color w:val="auto"/>
                <w:sz w:val="20"/>
                <w:szCs w:val="20"/>
                <w:highlight w:val="none"/>
              </w:rPr>
            </w:pP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预决算及时编制率</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15</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15</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rPr>
                <w:rFonts w:hint="eastAsia" w:ascii="宋体" w:hAnsi="宋体" w:cs="宋体"/>
                <w:color w:val="auto"/>
                <w:sz w:val="20"/>
                <w:szCs w:val="20"/>
                <w:highlight w:val="none"/>
              </w:rPr>
            </w:pP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完善村社配套设施、村级基础设施建全覆盖</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10</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10</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rPr>
                <w:rFonts w:hint="eastAsia" w:ascii="宋体" w:hAnsi="宋体" w:cs="宋体"/>
                <w:color w:val="auto"/>
                <w:sz w:val="20"/>
                <w:szCs w:val="20"/>
                <w:highlight w:val="none"/>
              </w:rPr>
            </w:pP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项目建设合格率</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15</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15</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rPr>
                <w:rFonts w:hint="eastAsia" w:ascii="宋体" w:hAnsi="宋体" w:cs="宋体"/>
                <w:color w:val="auto"/>
                <w:sz w:val="20"/>
                <w:szCs w:val="20"/>
                <w:highlight w:val="none"/>
              </w:rPr>
            </w:pPr>
          </w:p>
        </w:tc>
      </w:tr>
      <w:tr>
        <w:tblPrEx>
          <w:tblLayout w:type="fixed"/>
          <w:tblCellMar>
            <w:top w:w="0" w:type="dxa"/>
            <w:left w:w="108" w:type="dxa"/>
            <w:bottom w:w="0" w:type="dxa"/>
            <w:right w:w="108" w:type="dxa"/>
          </w:tblCellMar>
        </w:tblPrEx>
        <w:trPr>
          <w:trHeight w:val="648" w:hRule="atLeast"/>
        </w:trPr>
        <w:tc>
          <w:tcPr>
            <w:tcW w:w="870" w:type="dxa"/>
            <w:gridSpan w:val="2"/>
            <w:vMerge w:val="continue"/>
            <w:tcBorders>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rPr>
            </w:pP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促进民生改善步伐，促进教育、卫生、社会保障等资金使用效率</w:t>
            </w:r>
          </w:p>
        </w:tc>
        <w:tc>
          <w:tcPr>
            <w:tcW w:w="96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方正仿宋_GBK" w:hAnsi="方正仿宋_GBK" w:eastAsia="方正仿宋_GBK" w:cs="方正仿宋_GBK"/>
                <w:color w:val="auto"/>
                <w:sz w:val="18"/>
                <w:szCs w:val="18"/>
                <w:highlight w:val="none"/>
                <w:lang w:val="en-US" w:eastAsia="zh-CN"/>
              </w:rPr>
              <w:t>≥</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20</w:t>
            </w:r>
          </w:p>
        </w:tc>
        <w:tc>
          <w:tcPr>
            <w:tcW w:w="96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90</w:t>
            </w:r>
          </w:p>
        </w:tc>
        <w:tc>
          <w:tcPr>
            <w:tcW w:w="9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r>
              <w:rPr>
                <w:rFonts w:hint="eastAsia" w:ascii="Times New Roman" w:hAnsi="Times New Roman" w:eastAsia="方正仿宋_GBK" w:cs="方正仿宋_GBK"/>
                <w:color w:val="auto"/>
                <w:sz w:val="18"/>
                <w:szCs w:val="18"/>
                <w:highlight w:val="none"/>
                <w:lang w:val="en-US" w:eastAsia="zh-CN"/>
              </w:rPr>
              <w:t>20</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方正仿宋_GBK" w:hAnsi="方正仿宋_GBK" w:eastAsia="方正仿宋_GBK" w:cs="方正仿宋_GBK"/>
                <w:color w:val="auto"/>
                <w:sz w:val="18"/>
                <w:szCs w:val="18"/>
                <w:highlight w:val="none"/>
                <w:lang w:val="en-US" w:eastAsia="zh-CN"/>
              </w:rPr>
            </w:pPr>
          </w:p>
        </w:tc>
      </w:tr>
      <w:tr>
        <w:tblPrEx>
          <w:tblLayout w:type="fixed"/>
          <w:tblCellMar>
            <w:top w:w="0" w:type="dxa"/>
            <w:left w:w="108" w:type="dxa"/>
            <w:bottom w:w="0" w:type="dxa"/>
            <w:right w:w="108" w:type="dxa"/>
          </w:tblCellMar>
        </w:tblPrEx>
        <w:trPr>
          <w:trHeight w:val="780" w:hRule="atLeast"/>
        </w:trPr>
        <w:tc>
          <w:tcPr>
            <w:tcW w:w="8843" w:type="dxa"/>
            <w:gridSpan w:val="25"/>
            <w:tcBorders>
              <w:top w:val="nil"/>
              <w:left w:val="nil"/>
              <w:bottom w:val="single" w:color="000000" w:sz="4" w:space="0"/>
              <w:right w:val="nil"/>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小标宋_GBK" w:hAnsi="方正小标宋_GBK" w:eastAsia="方正小标宋_GBK" w:cs="方正小标宋_GBK"/>
                <w:color w:val="auto"/>
                <w:kern w:val="0"/>
                <w:sz w:val="36"/>
                <w:szCs w:val="36"/>
                <w:highlight w:val="none"/>
                <w:lang w:bidi="ar"/>
              </w:rPr>
            </w:pPr>
          </w:p>
          <w:p>
            <w:pPr>
              <w:keepNext w:val="0"/>
              <w:keepLines w:val="0"/>
              <w:pageBreakBefore w:val="0"/>
              <w:widowControl/>
              <w:kinsoku/>
              <w:overflowPunct/>
              <w:topLinePunct w:val="0"/>
              <w:autoSpaceDN/>
              <w:bidi w:val="0"/>
              <w:adjustRightInd/>
              <w:spacing w:line="560" w:lineRule="exact"/>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kern w:val="0"/>
                <w:sz w:val="36"/>
                <w:szCs w:val="36"/>
                <w:highlight w:val="none"/>
                <w:lang w:bidi="ar"/>
              </w:rPr>
              <w:t>梅江镇</w:t>
            </w:r>
            <w:r>
              <w:rPr>
                <w:rFonts w:hint="eastAsia" w:ascii="Times New Roman" w:hAnsi="Times New Roman" w:eastAsia="方正小标宋_GBK" w:cs="方正小标宋_GBK"/>
                <w:color w:val="auto"/>
                <w:kern w:val="0"/>
                <w:sz w:val="36"/>
                <w:szCs w:val="36"/>
                <w:highlight w:val="none"/>
                <w:lang w:bidi="ar"/>
              </w:rPr>
              <w:t>2024</w:t>
            </w:r>
            <w:r>
              <w:rPr>
                <w:rFonts w:hint="eastAsia" w:ascii="方正小标宋_GBK" w:hAnsi="方正小标宋_GBK" w:eastAsia="方正小标宋_GBK" w:cs="方正小标宋_GBK"/>
                <w:color w:val="auto"/>
                <w:kern w:val="0"/>
                <w:sz w:val="36"/>
                <w:szCs w:val="36"/>
                <w:highlight w:val="none"/>
                <w:lang w:bidi="ar"/>
              </w:rPr>
              <w:t>年度项目支出绩效自评表（</w:t>
            </w:r>
            <w:r>
              <w:rPr>
                <w:rFonts w:hint="eastAsia" w:ascii="方正小标宋_GBK" w:hAnsi="方正小标宋_GBK" w:eastAsia="方正小标宋_GBK" w:cs="方正小标宋_GBK"/>
                <w:color w:val="auto"/>
                <w:kern w:val="0"/>
                <w:sz w:val="36"/>
                <w:szCs w:val="36"/>
                <w:highlight w:val="none"/>
                <w:lang w:val="en-US" w:eastAsia="zh-CN" w:bidi="ar"/>
              </w:rPr>
              <w:t>二级</w:t>
            </w:r>
            <w:r>
              <w:rPr>
                <w:rFonts w:hint="eastAsia" w:ascii="方正小标宋_GBK" w:hAnsi="方正小标宋_GBK" w:eastAsia="方正小标宋_GBK" w:cs="方正小标宋_GBK"/>
                <w:color w:val="auto"/>
                <w:kern w:val="0"/>
                <w:sz w:val="36"/>
                <w:szCs w:val="36"/>
                <w:highlight w:val="none"/>
                <w:lang w:bidi="ar"/>
              </w:rPr>
              <w:t>项目）</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序号</w:t>
            </w:r>
          </w:p>
        </w:tc>
        <w:tc>
          <w:tcPr>
            <w:tcW w:w="750"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项目名称</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指标名称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指标性质</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指标值</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计量单位</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指标权重</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全年完成值</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指标得分</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说明</w:t>
            </w:r>
          </w:p>
        </w:tc>
        <w:tc>
          <w:tcPr>
            <w:tcW w:w="126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N/>
              <w:bidi w:val="0"/>
              <w:adjustRightInd/>
              <w:spacing w:line="560" w:lineRule="exact"/>
              <w:jc w:val="center"/>
              <w:textAlignment w:val="center"/>
              <w:rPr>
                <w:rFonts w:hint="eastAsia" w:ascii="方正黑体_GBK" w:hAnsi="方正黑体_GBK" w:eastAsia="方正黑体_GBK" w:cs="方正黑体_GBK"/>
                <w:color w:val="auto"/>
                <w:kern w:val="0"/>
                <w:sz w:val="22"/>
                <w:szCs w:val="22"/>
                <w:highlight w:val="none"/>
                <w:lang w:bidi="ar"/>
              </w:rPr>
            </w:pPr>
            <w:r>
              <w:rPr>
                <w:rFonts w:hint="eastAsia" w:ascii="方正黑体_GBK" w:hAnsi="方正黑体_GBK" w:eastAsia="方正黑体_GBK" w:cs="方正黑体_GBK"/>
                <w:color w:val="auto"/>
                <w:kern w:val="0"/>
                <w:sz w:val="22"/>
                <w:szCs w:val="22"/>
                <w:highlight w:val="none"/>
                <w:lang w:bidi="ar"/>
              </w:rPr>
              <w:t>自评得分</w:t>
            </w:r>
          </w:p>
        </w:tc>
      </w:tr>
      <w:tr>
        <w:tblPrEx>
          <w:tblLayout w:type="fixed"/>
          <w:tblCellMar>
            <w:top w:w="0" w:type="dxa"/>
            <w:left w:w="108" w:type="dxa"/>
            <w:bottom w:w="0" w:type="dxa"/>
            <w:right w:w="108" w:type="dxa"/>
          </w:tblCellMar>
        </w:tblPrEx>
        <w:trPr>
          <w:trHeight w:val="1349"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color w:val="auto"/>
                <w:kern w:val="0"/>
                <w:sz w:val="22"/>
                <w:highlight w:val="none"/>
                <w:lang w:bidi="ar"/>
              </w:rPr>
              <w:t>1</w:t>
            </w:r>
          </w:p>
        </w:tc>
        <w:tc>
          <w:tcPr>
            <w:tcW w:w="75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梅江镇</w:t>
            </w:r>
            <w:r>
              <w:rPr>
                <w:rFonts w:hint="eastAsia" w:ascii="Times New Roman" w:hAnsi="Times New Roman" w:eastAsiaTheme="minorEastAsia" w:cstheme="minorEastAsia"/>
                <w:color w:val="auto"/>
                <w:sz w:val="22"/>
                <w:highlight w:val="none"/>
              </w:rPr>
              <w:t>2024</w:t>
            </w:r>
            <w:r>
              <w:rPr>
                <w:rFonts w:hint="eastAsia" w:asciiTheme="minorEastAsia" w:hAnsiTheme="minorEastAsia" w:eastAsiaTheme="minorEastAsia" w:cstheme="minorEastAsia"/>
                <w:color w:val="auto"/>
                <w:sz w:val="22"/>
                <w:highlight w:val="none"/>
              </w:rPr>
              <w:t>年两路村桃园基地基础设施提升项目[-]-渝财农（</w:t>
            </w:r>
            <w:r>
              <w:rPr>
                <w:rFonts w:hint="eastAsia" w:ascii="Times New Roman" w:hAnsi="Times New Roman" w:eastAsiaTheme="minorEastAsia" w:cstheme="minorEastAsia"/>
                <w:color w:val="auto"/>
                <w:sz w:val="22"/>
                <w:highlight w:val="none"/>
              </w:rPr>
              <w:t>2023</w:t>
            </w:r>
            <w:r>
              <w:rPr>
                <w:rFonts w:hint="eastAsia" w:asciiTheme="minorEastAsia" w:hAnsiTheme="minorEastAsia" w:eastAsiaTheme="minorEastAsia" w:cstheme="minorEastAsia"/>
                <w:color w:val="auto"/>
                <w:sz w:val="22"/>
                <w:highlight w:val="none"/>
              </w:rPr>
              <w:t>）</w:t>
            </w:r>
            <w:r>
              <w:rPr>
                <w:rFonts w:hint="eastAsia" w:ascii="Times New Roman" w:hAnsi="Times New Roman" w:eastAsiaTheme="minorEastAsia" w:cstheme="minorEastAsia"/>
                <w:color w:val="auto"/>
                <w:sz w:val="22"/>
                <w:highlight w:val="none"/>
              </w:rPr>
              <w:t>146</w:t>
            </w:r>
            <w:r>
              <w:rPr>
                <w:rFonts w:hint="eastAsia" w:asciiTheme="minorEastAsia" w:hAnsiTheme="minorEastAsia" w:eastAsiaTheme="minorEastAsia" w:cstheme="minorEastAsia"/>
                <w:color w:val="auto"/>
                <w:sz w:val="22"/>
                <w:highlight w:val="none"/>
              </w:rPr>
              <w:t>号</w:t>
            </w:r>
          </w:p>
        </w:tc>
        <w:tc>
          <w:tcPr>
            <w:tcW w:w="67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年产量</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200000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斤</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200000</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r>
              <w:rPr>
                <w:rFonts w:hint="eastAsia" w:ascii="Times New Roman" w:hAnsi="Times New Roman" w:cs="宋体"/>
                <w:color w:val="auto"/>
                <w:sz w:val="22"/>
                <w:highlight w:val="none"/>
              </w:rPr>
              <w:t>100</w:t>
            </w:r>
            <w:r>
              <w:rPr>
                <w:rFonts w:hint="eastAsia" w:ascii="宋体" w:hAnsi="宋体" w:cs="宋体"/>
                <w:color w:val="auto"/>
                <w:sz w:val="22"/>
                <w:highlight w:val="none"/>
              </w:rPr>
              <w:t>.</w:t>
            </w:r>
            <w:r>
              <w:rPr>
                <w:rFonts w:hint="eastAsia" w:ascii="Times New Roman" w:hAnsi="Times New Roman" w:cs="宋体"/>
                <w:color w:val="auto"/>
                <w:sz w:val="22"/>
                <w:highlight w:val="none"/>
              </w:rPr>
              <w:t>00</w:t>
            </w:r>
          </w:p>
        </w:tc>
      </w:tr>
      <w:tr>
        <w:tblPrEx>
          <w:tblLayout w:type="fixed"/>
          <w:tblCellMar>
            <w:top w:w="0" w:type="dxa"/>
            <w:left w:w="108" w:type="dxa"/>
            <w:bottom w:w="0" w:type="dxa"/>
            <w:right w:w="108" w:type="dxa"/>
          </w:tblCellMar>
        </w:tblPrEx>
        <w:trPr>
          <w:trHeight w:val="1349" w:hRule="atLeast"/>
        </w:trPr>
        <w:tc>
          <w:tcPr>
            <w:tcW w:w="60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p>
        </w:tc>
        <w:tc>
          <w:tcPr>
            <w:tcW w:w="750" w:type="dxa"/>
            <w:gridSpan w:val="2"/>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67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销售收入</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600000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600000</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1349" w:hRule="atLeast"/>
        </w:trPr>
        <w:tc>
          <w:tcPr>
            <w:tcW w:w="60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p>
        </w:tc>
        <w:tc>
          <w:tcPr>
            <w:tcW w:w="750" w:type="dxa"/>
            <w:gridSpan w:val="2"/>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67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受益群众数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人</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15</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1349" w:hRule="atLeast"/>
        </w:trPr>
        <w:tc>
          <w:tcPr>
            <w:tcW w:w="60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p>
        </w:tc>
        <w:tc>
          <w:tcPr>
            <w:tcW w:w="750" w:type="dxa"/>
            <w:gridSpan w:val="2"/>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67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项目成本</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147700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20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147700</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1247" w:hRule="atLeast"/>
        </w:trPr>
        <w:tc>
          <w:tcPr>
            <w:tcW w:w="60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color w:val="auto"/>
                <w:kern w:val="0"/>
                <w:sz w:val="22"/>
                <w:highlight w:val="none"/>
                <w:lang w:bidi="ar"/>
              </w:rPr>
              <w:t>2</w:t>
            </w:r>
          </w:p>
        </w:tc>
        <w:tc>
          <w:tcPr>
            <w:tcW w:w="75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梅江镇</w:t>
            </w:r>
            <w:r>
              <w:rPr>
                <w:rFonts w:hint="eastAsia" w:ascii="Times New Roman" w:hAnsi="Times New Roman" w:eastAsiaTheme="minorEastAsia" w:cstheme="minorEastAsia"/>
                <w:color w:val="auto"/>
                <w:sz w:val="22"/>
                <w:highlight w:val="none"/>
              </w:rPr>
              <w:t>2024</w:t>
            </w:r>
            <w:r>
              <w:rPr>
                <w:rFonts w:hint="eastAsia" w:asciiTheme="minorEastAsia" w:hAnsiTheme="minorEastAsia" w:eastAsiaTheme="minorEastAsia" w:cstheme="minorEastAsia"/>
                <w:color w:val="auto"/>
                <w:sz w:val="22"/>
                <w:highlight w:val="none"/>
              </w:rPr>
              <w:t>年寨学村银花管护项目[-]-渝财农（</w:t>
            </w:r>
            <w:r>
              <w:rPr>
                <w:rFonts w:hint="eastAsia" w:ascii="Times New Roman" w:hAnsi="Times New Roman" w:eastAsiaTheme="minorEastAsia" w:cstheme="minorEastAsia"/>
                <w:color w:val="auto"/>
                <w:sz w:val="22"/>
                <w:highlight w:val="none"/>
              </w:rPr>
              <w:t>2023</w:t>
            </w:r>
            <w:r>
              <w:rPr>
                <w:rFonts w:hint="eastAsia" w:asciiTheme="minorEastAsia" w:hAnsiTheme="minorEastAsia" w:eastAsiaTheme="minorEastAsia" w:cstheme="minorEastAsia"/>
                <w:color w:val="auto"/>
                <w:sz w:val="22"/>
                <w:highlight w:val="none"/>
              </w:rPr>
              <w:t>）</w:t>
            </w:r>
            <w:r>
              <w:rPr>
                <w:rFonts w:hint="eastAsia" w:ascii="Times New Roman" w:hAnsi="Times New Roman" w:eastAsiaTheme="minorEastAsia" w:cstheme="minorEastAsia"/>
                <w:color w:val="auto"/>
                <w:sz w:val="22"/>
                <w:highlight w:val="none"/>
              </w:rPr>
              <w:t>146</w:t>
            </w:r>
            <w:r>
              <w:rPr>
                <w:rFonts w:hint="eastAsia" w:asciiTheme="minorEastAsia" w:hAnsiTheme="minorEastAsia" w:eastAsiaTheme="minorEastAsia" w:cstheme="minorEastAsia"/>
                <w:color w:val="auto"/>
                <w:sz w:val="22"/>
                <w:highlight w:val="none"/>
              </w:rPr>
              <w:t>号</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补贴标准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400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元/亩</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400</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r>
              <w:rPr>
                <w:rFonts w:hint="eastAsia" w:ascii="Times New Roman" w:hAnsi="Times New Roman" w:cs="宋体"/>
                <w:color w:val="auto"/>
                <w:sz w:val="22"/>
                <w:highlight w:val="none"/>
              </w:rPr>
              <w:t>100</w:t>
            </w:r>
            <w:r>
              <w:rPr>
                <w:rFonts w:hint="eastAsia" w:ascii="宋体" w:hAnsi="宋体" w:cs="宋体"/>
                <w:color w:val="auto"/>
                <w:sz w:val="22"/>
                <w:highlight w:val="none"/>
              </w:rPr>
              <w:t>.</w:t>
            </w:r>
            <w:r>
              <w:rPr>
                <w:rFonts w:hint="eastAsia" w:ascii="Times New Roman" w:hAnsi="Times New Roman" w:cs="宋体"/>
                <w:color w:val="auto"/>
                <w:sz w:val="22"/>
                <w:highlight w:val="none"/>
              </w:rPr>
              <w:t>00</w:t>
            </w:r>
          </w:p>
        </w:tc>
      </w:tr>
      <w:tr>
        <w:tblPrEx>
          <w:tblLayout w:type="fixed"/>
          <w:tblCellMar>
            <w:top w:w="0" w:type="dxa"/>
            <w:left w:w="108" w:type="dxa"/>
            <w:bottom w:w="0" w:type="dxa"/>
            <w:right w:w="108" w:type="dxa"/>
          </w:tblCellMar>
        </w:tblPrEx>
        <w:trPr>
          <w:trHeight w:val="1247" w:hRule="atLeast"/>
        </w:trPr>
        <w:tc>
          <w:tcPr>
            <w:tcW w:w="60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p>
        </w:tc>
        <w:tc>
          <w:tcPr>
            <w:tcW w:w="75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银花亩数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80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亩</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80</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1247" w:hRule="atLeast"/>
        </w:trPr>
        <w:tc>
          <w:tcPr>
            <w:tcW w:w="60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p>
        </w:tc>
        <w:tc>
          <w:tcPr>
            <w:tcW w:w="75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带动低收入户数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户</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5</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1247" w:hRule="atLeast"/>
        </w:trPr>
        <w:tc>
          <w:tcPr>
            <w:tcW w:w="60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textAlignment w:val="center"/>
              <w:rPr>
                <w:rFonts w:hint="eastAsia" w:asciiTheme="minorEastAsia" w:hAnsiTheme="minorEastAsia" w:eastAsiaTheme="minorEastAsia" w:cstheme="minorEastAsia"/>
                <w:color w:val="auto"/>
                <w:sz w:val="22"/>
                <w:highlight w:val="none"/>
              </w:rPr>
            </w:pPr>
          </w:p>
        </w:tc>
        <w:tc>
          <w:tcPr>
            <w:tcW w:w="75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项目成本</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32000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20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32000</w:t>
            </w:r>
          </w:p>
        </w:tc>
        <w:tc>
          <w:tcPr>
            <w:tcW w:w="7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autoSpaceDN/>
              <w:bidi w:val="0"/>
              <w:adjustRightInd/>
              <w:spacing w:line="560" w:lineRule="exact"/>
              <w:ind w:firstLine="220" w:firstLineChars="100"/>
              <w:jc w:val="center"/>
              <w:textAlignment w:val="center"/>
              <w:rPr>
                <w:rFonts w:hint="eastAsia" w:asciiTheme="minorEastAsia" w:hAnsiTheme="minorEastAsia" w:eastAsiaTheme="minorEastAsia" w:cstheme="minorEastAsia"/>
                <w:color w:val="auto"/>
                <w:sz w:val="22"/>
                <w:highlight w:val="none"/>
              </w:rPr>
            </w:pPr>
            <w:r>
              <w:rPr>
                <w:rFonts w:hint="eastAsia" w:ascii="Times New Roman" w:hAnsi="Times New Roman" w:eastAsiaTheme="minorEastAsia" w:cstheme="minorEastAsia"/>
                <w:i w:val="0"/>
                <w:color w:val="auto"/>
                <w:kern w:val="0"/>
                <w:sz w:val="22"/>
                <w:szCs w:val="22"/>
                <w:highlight w:val="none"/>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Theme="minorEastAsia" w:hAnsiTheme="minorEastAsia" w:eastAsiaTheme="minorEastAsia" w:cstheme="minorEastAsia"/>
                <w:color w:val="auto"/>
                <w:sz w:val="22"/>
                <w:highlight w:val="none"/>
              </w:rPr>
            </w:pPr>
          </w:p>
        </w:tc>
        <w:tc>
          <w:tcPr>
            <w:tcW w:w="1268"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N/>
              <w:bidi w:val="0"/>
              <w:adjustRightInd/>
              <w:spacing w:line="560" w:lineRule="exact"/>
              <w:jc w:val="center"/>
              <w:rPr>
                <w:rFonts w:hint="eastAsia" w:ascii="宋体" w:hAnsi="宋体" w:cs="宋体"/>
                <w:color w:val="auto"/>
                <w:sz w:val="22"/>
                <w:highlight w:val="none"/>
              </w:rPr>
            </w:pPr>
          </w:p>
        </w:tc>
      </w:tr>
    </w:tbl>
    <w:p>
      <w:pPr>
        <w:keepNext w:val="0"/>
        <w:keepLines w:val="0"/>
        <w:pageBreakBefore w:val="0"/>
        <w:kinsoku/>
        <w:overflowPunct/>
        <w:topLinePunct w:val="0"/>
        <w:autoSpaceDN/>
        <w:bidi w:val="0"/>
        <w:adjustRightInd/>
        <w:spacing w:line="560" w:lineRule="exact"/>
        <w:rPr>
          <w:color w:val="auto"/>
          <w:highlight w:val="none"/>
        </w:rPr>
      </w:pPr>
    </w:p>
    <w:p>
      <w:pPr>
        <w:pStyle w:val="20"/>
        <w:keepNext w:val="0"/>
        <w:keepLines w:val="0"/>
        <w:pageBreakBefore w:val="0"/>
        <w:widowControl/>
        <w:tabs>
          <w:tab w:val="center" w:pos="4153"/>
          <w:tab w:val="left" w:pos="7275"/>
        </w:tabs>
        <w:kinsoku/>
        <w:wordWrap/>
        <w:overflowPunct/>
        <w:topLinePunct w:val="0"/>
        <w:autoSpaceDN/>
        <w:bidi w:val="0"/>
        <w:adjustRightInd/>
        <w:spacing w:line="560" w:lineRule="exact"/>
        <w:ind w:firstLine="643"/>
        <w:jc w:val="both"/>
        <w:textAlignment w:val="auto"/>
        <w:rPr>
          <w:rFonts w:hint="eastAsia"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eastAsia="方正楷体_GBK" w:cs="Times New Roman"/>
          <w:color w:val="auto"/>
          <w:kern w:val="2"/>
          <w:sz w:val="32"/>
          <w:szCs w:val="32"/>
          <w:highlight w:val="none"/>
          <w:lang w:val="en-US" w:eastAsia="zh-CN" w:bidi="ar-SA"/>
        </w:rPr>
        <w:t>（二）部门绩效评价情况</w:t>
      </w:r>
    </w:p>
    <w:p>
      <w:pPr>
        <w:pStyle w:val="20"/>
        <w:keepNext w:val="0"/>
        <w:keepLines w:val="0"/>
        <w:pageBreakBefore w:val="0"/>
        <w:widowControl/>
        <w:tabs>
          <w:tab w:val="center" w:pos="4153"/>
          <w:tab w:val="left" w:pos="7275"/>
        </w:tabs>
        <w:kinsoku/>
        <w:wordWrap/>
        <w:overflowPunct/>
        <w:topLinePunct w:val="0"/>
        <w:autoSpaceDN/>
        <w:bidi w:val="0"/>
        <w:adjustRightInd/>
        <w:spacing w:line="560" w:lineRule="exact"/>
        <w:ind w:firstLine="640"/>
        <w:jc w:val="both"/>
        <w:textAlignment w:val="auto"/>
        <w:rPr>
          <w:rFonts w:hint="eastAsia" w:ascii="方正仿宋_GBK" w:hAnsi="宋体" w:eastAsia="方正仿宋_GBK" w:cs="宋体"/>
          <w:color w:val="auto"/>
          <w:kern w:val="0"/>
          <w:sz w:val="32"/>
          <w:szCs w:val="32"/>
          <w:highlight w:val="none"/>
          <w:lang w:eastAsia="zh-CN"/>
        </w:rPr>
      </w:pPr>
      <w:r>
        <w:rPr>
          <w:rFonts w:hint="eastAsia" w:ascii="方正仿宋_GBK" w:hAnsi="宋体" w:eastAsia="方正仿宋_GBK" w:cs="宋体"/>
          <w:color w:val="auto"/>
          <w:kern w:val="0"/>
          <w:sz w:val="32"/>
          <w:szCs w:val="32"/>
          <w:highlight w:val="none"/>
        </w:rPr>
        <w:t>我部门对</w:t>
      </w:r>
      <w:r>
        <w:rPr>
          <w:rFonts w:hint="eastAsia" w:ascii="方正仿宋_GBK" w:hAnsi="宋体" w:eastAsia="方正仿宋_GBK" w:cs="宋体"/>
          <w:color w:val="auto"/>
          <w:kern w:val="0"/>
          <w:sz w:val="32"/>
          <w:szCs w:val="32"/>
          <w:highlight w:val="none"/>
          <w:lang w:eastAsia="zh-CN"/>
        </w:rPr>
        <w:t>《</w:t>
      </w:r>
      <w:r>
        <w:rPr>
          <w:rFonts w:hint="eastAsia" w:ascii="方正仿宋_GBK" w:hAnsi="宋体" w:eastAsia="方正仿宋_GBK" w:cs="宋体"/>
          <w:color w:val="auto"/>
          <w:kern w:val="0"/>
          <w:sz w:val="32"/>
          <w:szCs w:val="32"/>
          <w:highlight w:val="none"/>
        </w:rPr>
        <w:t>梅江镇</w:t>
      </w:r>
      <w:r>
        <w:rPr>
          <w:rFonts w:hint="eastAsia" w:ascii="Times New Roman" w:hAnsi="Times New Roman" w:eastAsia="方正仿宋_GBK" w:cs="宋体"/>
          <w:color w:val="auto"/>
          <w:kern w:val="0"/>
          <w:sz w:val="32"/>
          <w:szCs w:val="32"/>
          <w:highlight w:val="none"/>
        </w:rPr>
        <w:t>2024</w:t>
      </w:r>
      <w:r>
        <w:rPr>
          <w:rFonts w:hint="eastAsia" w:ascii="方正仿宋_GBK" w:hAnsi="宋体" w:eastAsia="方正仿宋_GBK" w:cs="宋体"/>
          <w:color w:val="auto"/>
          <w:kern w:val="0"/>
          <w:sz w:val="32"/>
          <w:szCs w:val="32"/>
          <w:highlight w:val="none"/>
        </w:rPr>
        <w:t>年两路村桃园基地基础设施提升项目[-]-渝财农（</w:t>
      </w:r>
      <w:r>
        <w:rPr>
          <w:rFonts w:hint="eastAsia" w:ascii="Times New Roman" w:hAnsi="Times New Roman" w:eastAsia="方正仿宋_GBK" w:cs="宋体"/>
          <w:color w:val="auto"/>
          <w:kern w:val="0"/>
          <w:sz w:val="32"/>
          <w:szCs w:val="32"/>
          <w:highlight w:val="none"/>
        </w:rPr>
        <w:t>2023</w:t>
      </w:r>
      <w:r>
        <w:rPr>
          <w:rFonts w:hint="eastAsia" w:ascii="方正仿宋_GBK" w:hAnsi="宋体" w:eastAsia="方正仿宋_GBK" w:cs="宋体"/>
          <w:color w:val="auto"/>
          <w:kern w:val="0"/>
          <w:sz w:val="32"/>
          <w:szCs w:val="32"/>
          <w:highlight w:val="none"/>
        </w:rPr>
        <w:t>）</w:t>
      </w:r>
      <w:r>
        <w:rPr>
          <w:rFonts w:hint="eastAsia" w:ascii="Times New Roman" w:hAnsi="Times New Roman" w:eastAsia="方正仿宋_GBK" w:cs="宋体"/>
          <w:color w:val="auto"/>
          <w:kern w:val="0"/>
          <w:sz w:val="32"/>
          <w:szCs w:val="32"/>
          <w:highlight w:val="none"/>
        </w:rPr>
        <w:t>146</w:t>
      </w:r>
      <w:r>
        <w:rPr>
          <w:rFonts w:hint="eastAsia" w:ascii="方正仿宋_GBK" w:hAnsi="宋体" w:eastAsia="方正仿宋_GBK" w:cs="宋体"/>
          <w:color w:val="auto"/>
          <w:kern w:val="0"/>
          <w:sz w:val="32"/>
          <w:szCs w:val="32"/>
          <w:highlight w:val="none"/>
        </w:rPr>
        <w:t>号</w:t>
      </w:r>
      <w:r>
        <w:rPr>
          <w:rFonts w:hint="eastAsia" w:ascii="方正仿宋_GBK" w:hAnsi="宋体" w:eastAsia="方正仿宋_GBK" w:cs="宋体"/>
          <w:color w:val="auto"/>
          <w:kern w:val="0"/>
          <w:sz w:val="32"/>
          <w:szCs w:val="32"/>
          <w:highlight w:val="none"/>
          <w:lang w:eastAsia="zh-CN"/>
        </w:rPr>
        <w:t>》</w:t>
      </w:r>
      <w:r>
        <w:rPr>
          <w:rFonts w:hint="eastAsia" w:ascii="方正仿宋_GBK" w:hAnsi="宋体" w:eastAsia="方正仿宋_GBK" w:cs="宋体"/>
          <w:color w:val="auto"/>
          <w:kern w:val="0"/>
          <w:sz w:val="32"/>
          <w:szCs w:val="32"/>
          <w:highlight w:val="none"/>
          <w:lang w:val="en-US" w:eastAsia="zh-CN"/>
        </w:rPr>
        <w:t>项目</w:t>
      </w:r>
      <w:r>
        <w:rPr>
          <w:rFonts w:hint="eastAsia" w:ascii="方正仿宋_GBK" w:hAnsi="宋体" w:eastAsia="方正仿宋_GBK" w:cs="宋体"/>
          <w:color w:val="auto"/>
          <w:kern w:val="0"/>
          <w:sz w:val="32"/>
          <w:szCs w:val="32"/>
          <w:highlight w:val="none"/>
        </w:rPr>
        <w:t>开展了绩效评价，涉及财政拨款项目资金</w:t>
      </w:r>
      <w:r>
        <w:rPr>
          <w:rFonts w:hint="eastAsia" w:ascii="Times New Roman" w:hAnsi="Times New Roman" w:eastAsia="方正仿宋_GBK" w:cs="宋体"/>
          <w:color w:val="auto"/>
          <w:kern w:val="0"/>
          <w:sz w:val="32"/>
          <w:szCs w:val="32"/>
          <w:highlight w:val="none"/>
          <w:lang w:val="en-US" w:eastAsia="zh-CN"/>
        </w:rPr>
        <w:t>14</w:t>
      </w:r>
      <w:r>
        <w:rPr>
          <w:rFonts w:hint="eastAsia" w:ascii="方正仿宋_GBK" w:hAnsi="宋体" w:eastAsia="方正仿宋_GBK" w:cs="宋体"/>
          <w:color w:val="auto"/>
          <w:kern w:val="0"/>
          <w:sz w:val="32"/>
          <w:szCs w:val="32"/>
          <w:highlight w:val="none"/>
          <w:lang w:val="en-US" w:eastAsia="zh-CN"/>
        </w:rPr>
        <w:t>.</w:t>
      </w:r>
      <w:r>
        <w:rPr>
          <w:rFonts w:hint="eastAsia" w:ascii="Times New Roman" w:hAnsi="Times New Roman" w:eastAsia="方正仿宋_GBK" w:cs="宋体"/>
          <w:color w:val="auto"/>
          <w:kern w:val="0"/>
          <w:sz w:val="32"/>
          <w:szCs w:val="32"/>
          <w:highlight w:val="none"/>
          <w:lang w:val="en-US" w:eastAsia="zh-CN"/>
        </w:rPr>
        <w:t>77</w:t>
      </w:r>
      <w:r>
        <w:rPr>
          <w:rFonts w:hint="eastAsia" w:ascii="方正仿宋_GBK" w:hAnsi="宋体" w:eastAsia="方正仿宋_GBK" w:cs="宋体"/>
          <w:color w:val="auto"/>
          <w:kern w:val="0"/>
          <w:sz w:val="32"/>
          <w:szCs w:val="32"/>
          <w:highlight w:val="none"/>
        </w:rPr>
        <w:t>万元，评价得分</w:t>
      </w:r>
      <w:r>
        <w:rPr>
          <w:rFonts w:hint="eastAsia" w:ascii="Times New Roman" w:hAnsi="Times New Roman" w:eastAsia="方正仿宋_GBK" w:cs="宋体"/>
          <w:color w:val="auto"/>
          <w:kern w:val="0"/>
          <w:sz w:val="32"/>
          <w:szCs w:val="32"/>
          <w:highlight w:val="none"/>
          <w:lang w:val="en-US" w:eastAsia="zh-CN"/>
        </w:rPr>
        <w:t>100</w:t>
      </w:r>
      <w:r>
        <w:rPr>
          <w:rFonts w:hint="eastAsia" w:ascii="方正仿宋_GBK" w:hAnsi="宋体" w:eastAsia="方正仿宋_GBK" w:cs="宋体"/>
          <w:color w:val="auto"/>
          <w:kern w:val="0"/>
          <w:sz w:val="32"/>
          <w:szCs w:val="32"/>
          <w:highlight w:val="none"/>
        </w:rPr>
        <w:t>分，评价等次为</w:t>
      </w:r>
      <w:r>
        <w:rPr>
          <w:rFonts w:hint="eastAsia" w:ascii="方正仿宋_GBK" w:hAnsi="宋体" w:eastAsia="方正仿宋_GBK" w:cs="宋体"/>
          <w:color w:val="auto"/>
          <w:kern w:val="0"/>
          <w:sz w:val="32"/>
          <w:szCs w:val="32"/>
          <w:highlight w:val="none"/>
          <w:lang w:val="en-US" w:eastAsia="zh-CN"/>
        </w:rPr>
        <w:t>优；</w:t>
      </w:r>
      <w:r>
        <w:rPr>
          <w:rFonts w:hint="eastAsia" w:ascii="方正仿宋_GBK" w:hAnsi="宋体" w:eastAsia="方正仿宋_GBK" w:cs="宋体"/>
          <w:color w:val="auto"/>
          <w:kern w:val="0"/>
          <w:sz w:val="32"/>
          <w:szCs w:val="32"/>
          <w:highlight w:val="none"/>
        </w:rPr>
        <w:t>对</w:t>
      </w:r>
      <w:r>
        <w:rPr>
          <w:rFonts w:hint="eastAsia" w:ascii="方正仿宋_GBK" w:hAnsi="宋体" w:eastAsia="方正仿宋_GBK" w:cs="宋体"/>
          <w:color w:val="auto"/>
          <w:kern w:val="0"/>
          <w:sz w:val="32"/>
          <w:szCs w:val="32"/>
          <w:highlight w:val="none"/>
          <w:lang w:eastAsia="zh-CN"/>
        </w:rPr>
        <w:t>《梅江镇</w:t>
      </w:r>
      <w:r>
        <w:rPr>
          <w:rFonts w:hint="eastAsia" w:ascii="Times New Roman" w:hAnsi="Times New Roman" w:eastAsia="方正仿宋_GBK" w:cs="宋体"/>
          <w:color w:val="auto"/>
          <w:kern w:val="0"/>
          <w:sz w:val="32"/>
          <w:szCs w:val="32"/>
          <w:highlight w:val="none"/>
          <w:lang w:eastAsia="zh-CN"/>
        </w:rPr>
        <w:t>2024</w:t>
      </w:r>
      <w:r>
        <w:rPr>
          <w:rFonts w:hint="eastAsia" w:ascii="方正仿宋_GBK" w:hAnsi="宋体" w:eastAsia="方正仿宋_GBK" w:cs="宋体"/>
          <w:color w:val="auto"/>
          <w:kern w:val="0"/>
          <w:sz w:val="32"/>
          <w:szCs w:val="32"/>
          <w:highlight w:val="none"/>
          <w:lang w:eastAsia="zh-CN"/>
        </w:rPr>
        <w:t>年寨学村银花管护项目[-]-渝财农（</w:t>
      </w:r>
      <w:r>
        <w:rPr>
          <w:rFonts w:hint="eastAsia" w:ascii="Times New Roman" w:hAnsi="Times New Roman" w:eastAsia="方正仿宋_GBK" w:cs="宋体"/>
          <w:color w:val="auto"/>
          <w:kern w:val="0"/>
          <w:sz w:val="32"/>
          <w:szCs w:val="32"/>
          <w:highlight w:val="none"/>
          <w:lang w:eastAsia="zh-CN"/>
        </w:rPr>
        <w:t>2023</w:t>
      </w:r>
      <w:r>
        <w:rPr>
          <w:rFonts w:hint="eastAsia" w:ascii="方正仿宋_GBK" w:hAnsi="宋体" w:eastAsia="方正仿宋_GBK" w:cs="宋体"/>
          <w:color w:val="auto"/>
          <w:kern w:val="0"/>
          <w:sz w:val="32"/>
          <w:szCs w:val="32"/>
          <w:highlight w:val="none"/>
          <w:lang w:eastAsia="zh-CN"/>
        </w:rPr>
        <w:t>）</w:t>
      </w:r>
      <w:r>
        <w:rPr>
          <w:rFonts w:hint="eastAsia" w:ascii="Times New Roman" w:hAnsi="Times New Roman" w:eastAsia="方正仿宋_GBK" w:cs="宋体"/>
          <w:color w:val="auto"/>
          <w:kern w:val="0"/>
          <w:sz w:val="32"/>
          <w:szCs w:val="32"/>
          <w:highlight w:val="none"/>
          <w:lang w:eastAsia="zh-CN"/>
        </w:rPr>
        <w:t>146</w:t>
      </w:r>
      <w:r>
        <w:rPr>
          <w:rFonts w:hint="eastAsia" w:ascii="方正仿宋_GBK" w:hAnsi="宋体" w:eastAsia="方正仿宋_GBK" w:cs="宋体"/>
          <w:color w:val="auto"/>
          <w:kern w:val="0"/>
          <w:sz w:val="32"/>
          <w:szCs w:val="32"/>
          <w:highlight w:val="none"/>
          <w:lang w:eastAsia="zh-CN"/>
        </w:rPr>
        <w:t>号》</w:t>
      </w:r>
      <w:r>
        <w:rPr>
          <w:rFonts w:hint="eastAsia" w:ascii="方正仿宋_GBK" w:hAnsi="宋体" w:eastAsia="方正仿宋_GBK" w:cs="宋体"/>
          <w:color w:val="auto"/>
          <w:kern w:val="0"/>
          <w:sz w:val="32"/>
          <w:szCs w:val="32"/>
          <w:highlight w:val="none"/>
          <w:lang w:val="en-US" w:eastAsia="zh-CN"/>
        </w:rPr>
        <w:t>项目</w:t>
      </w:r>
      <w:r>
        <w:rPr>
          <w:rFonts w:hint="eastAsia" w:ascii="方正仿宋_GBK" w:hAnsi="宋体" w:eastAsia="方正仿宋_GBK" w:cs="宋体"/>
          <w:color w:val="auto"/>
          <w:kern w:val="0"/>
          <w:sz w:val="32"/>
          <w:szCs w:val="32"/>
          <w:highlight w:val="none"/>
        </w:rPr>
        <w:t>开展了绩效评价，涉及财政拨款项目资金</w:t>
      </w:r>
      <w:r>
        <w:rPr>
          <w:rFonts w:hint="eastAsia" w:ascii="Times New Roman" w:hAnsi="Times New Roman" w:eastAsia="方正仿宋_GBK" w:cs="宋体"/>
          <w:color w:val="auto"/>
          <w:kern w:val="0"/>
          <w:sz w:val="32"/>
          <w:szCs w:val="32"/>
          <w:highlight w:val="none"/>
          <w:lang w:val="en-US" w:eastAsia="zh-CN"/>
        </w:rPr>
        <w:t>3</w:t>
      </w:r>
      <w:r>
        <w:rPr>
          <w:rFonts w:hint="eastAsia" w:ascii="方正仿宋_GBK" w:eastAsia="方正仿宋_GBK" w:cs="宋体"/>
          <w:color w:val="auto"/>
          <w:kern w:val="0"/>
          <w:sz w:val="32"/>
          <w:szCs w:val="32"/>
          <w:highlight w:val="none"/>
          <w:lang w:val="en-US" w:eastAsia="zh-CN"/>
        </w:rPr>
        <w:t>.</w:t>
      </w:r>
      <w:r>
        <w:rPr>
          <w:rFonts w:hint="eastAsia" w:ascii="Times New Roman" w:hAnsi="Times New Roman" w:eastAsia="方正仿宋_GBK" w:cs="宋体"/>
          <w:color w:val="auto"/>
          <w:kern w:val="0"/>
          <w:sz w:val="32"/>
          <w:szCs w:val="32"/>
          <w:highlight w:val="none"/>
          <w:lang w:val="en-US" w:eastAsia="zh-CN"/>
        </w:rPr>
        <w:t>2</w:t>
      </w:r>
      <w:r>
        <w:rPr>
          <w:rFonts w:hint="eastAsia" w:ascii="方正仿宋_GBK" w:hAnsi="宋体" w:eastAsia="方正仿宋_GBK" w:cs="宋体"/>
          <w:color w:val="auto"/>
          <w:kern w:val="0"/>
          <w:sz w:val="32"/>
          <w:szCs w:val="32"/>
          <w:highlight w:val="none"/>
        </w:rPr>
        <w:t>万元，评价得分</w:t>
      </w:r>
      <w:r>
        <w:rPr>
          <w:rFonts w:hint="eastAsia" w:ascii="Times New Roman" w:hAnsi="Times New Roman" w:eastAsia="方正仿宋_GBK" w:cs="宋体"/>
          <w:color w:val="auto"/>
          <w:kern w:val="0"/>
          <w:sz w:val="32"/>
          <w:szCs w:val="32"/>
          <w:highlight w:val="none"/>
          <w:lang w:val="en-US" w:eastAsia="zh-CN"/>
        </w:rPr>
        <w:t>100</w:t>
      </w:r>
      <w:r>
        <w:rPr>
          <w:rFonts w:hint="eastAsia" w:ascii="方正仿宋_GBK" w:hAnsi="宋体" w:eastAsia="方正仿宋_GBK" w:cs="宋体"/>
          <w:color w:val="auto"/>
          <w:kern w:val="0"/>
          <w:sz w:val="32"/>
          <w:szCs w:val="32"/>
          <w:highlight w:val="none"/>
        </w:rPr>
        <w:t>分，评价等次为</w:t>
      </w:r>
      <w:r>
        <w:rPr>
          <w:rFonts w:hint="eastAsia" w:ascii="方正仿宋_GBK" w:hAnsi="宋体" w:eastAsia="方正仿宋_GBK" w:cs="宋体"/>
          <w:color w:val="auto"/>
          <w:kern w:val="0"/>
          <w:sz w:val="32"/>
          <w:szCs w:val="32"/>
          <w:highlight w:val="none"/>
          <w:lang w:val="en-US" w:eastAsia="zh-CN"/>
        </w:rPr>
        <w:t>优</w:t>
      </w:r>
      <w:r>
        <w:rPr>
          <w:rFonts w:hint="eastAsia" w:ascii="方正仿宋_GBK" w:eastAsia="方正仿宋_GBK" w:cs="宋体"/>
          <w:color w:val="auto"/>
          <w:kern w:val="0"/>
          <w:sz w:val="32"/>
          <w:szCs w:val="32"/>
          <w:highlight w:val="none"/>
          <w:lang w:val="en-US" w:eastAsia="zh-CN"/>
        </w:rPr>
        <w:t>。</w:t>
      </w:r>
      <w:r>
        <w:rPr>
          <w:rFonts w:hint="eastAsia" w:ascii="方正仿宋_GBK" w:hAnsi="宋体" w:eastAsia="方正仿宋_GBK" w:cs="宋体"/>
          <w:color w:val="auto"/>
          <w:kern w:val="0"/>
          <w:sz w:val="32"/>
          <w:szCs w:val="32"/>
          <w:highlight w:val="none"/>
        </w:rPr>
        <w:t>绩效评价发现了项目实施</w:t>
      </w:r>
      <w:r>
        <w:rPr>
          <w:rFonts w:hint="eastAsia" w:ascii="方正仿宋_GBK" w:hAnsi="宋体" w:eastAsia="方正仿宋_GBK" w:cs="宋体"/>
          <w:color w:val="auto"/>
          <w:kern w:val="0"/>
          <w:sz w:val="32"/>
          <w:szCs w:val="32"/>
          <w:highlight w:val="none"/>
          <w:lang w:val="en-US" w:eastAsia="zh-CN"/>
        </w:rPr>
        <w:t>后</w:t>
      </w:r>
      <w:r>
        <w:rPr>
          <w:rFonts w:hint="eastAsia" w:ascii="方正仿宋_GBK" w:hAnsi="宋体" w:eastAsia="方正仿宋_GBK" w:cs="宋体"/>
          <w:color w:val="auto"/>
          <w:kern w:val="0"/>
          <w:sz w:val="32"/>
          <w:szCs w:val="32"/>
          <w:highlight w:val="none"/>
        </w:rPr>
        <w:t>未达到验收条件、项目完工后未及时报账等主要问题，提出</w:t>
      </w:r>
      <w:r>
        <w:rPr>
          <w:rFonts w:hint="eastAsia" w:ascii="方正仿宋_GBK" w:hAnsi="宋体" w:eastAsia="方正仿宋_GBK" w:cs="宋体"/>
          <w:color w:val="auto"/>
          <w:kern w:val="0"/>
          <w:sz w:val="32"/>
          <w:szCs w:val="32"/>
          <w:highlight w:val="none"/>
          <w:lang w:eastAsia="zh-CN"/>
        </w:rPr>
        <w:t>了</w:t>
      </w:r>
      <w:r>
        <w:rPr>
          <w:rFonts w:hint="eastAsia" w:ascii="方正仿宋_GBK" w:hAnsi="宋体" w:eastAsia="方正仿宋_GBK" w:cs="宋体"/>
          <w:color w:val="auto"/>
          <w:kern w:val="0"/>
          <w:sz w:val="32"/>
          <w:szCs w:val="32"/>
          <w:highlight w:val="none"/>
          <w:lang w:val="en-US" w:eastAsia="zh-CN"/>
        </w:rPr>
        <w:t>要</w:t>
      </w:r>
      <w:r>
        <w:rPr>
          <w:rFonts w:hint="eastAsia" w:ascii="方正仿宋_GBK" w:hAnsi="宋体" w:eastAsia="方正仿宋_GBK" w:cs="宋体"/>
          <w:color w:val="auto"/>
          <w:kern w:val="0"/>
          <w:sz w:val="32"/>
          <w:szCs w:val="32"/>
          <w:highlight w:val="none"/>
        </w:rPr>
        <w:t>紧盯项目年初绩效目标，打标推进项目实施，确保项目按照预期圆满竣工，达到可支付条件，完成年初设定绩效目标；督促项目实施部门，对已达支付条件项目，抓紧时间完善报账资料，及时报账，提高资金支付率；加强与部门之间的沟通，加快支付进度；提升绩效目标设置的质量，进一步科学、合理的设置目标绩效等下一步工作建议</w:t>
      </w:r>
      <w:r>
        <w:rPr>
          <w:rFonts w:hint="eastAsia" w:ascii="方正仿宋_GBK" w:hAnsi="宋体" w:eastAsia="方正仿宋_GBK" w:cs="宋体"/>
          <w:color w:val="auto"/>
          <w:kern w:val="0"/>
          <w:sz w:val="32"/>
          <w:szCs w:val="32"/>
          <w:highlight w:val="none"/>
          <w:lang w:eastAsia="zh-CN"/>
        </w:rPr>
        <w:t>。</w:t>
      </w:r>
    </w:p>
    <w:p>
      <w:pPr>
        <w:pStyle w:val="20"/>
        <w:keepNext w:val="0"/>
        <w:keepLines w:val="0"/>
        <w:pageBreakBefore w:val="0"/>
        <w:widowControl/>
        <w:tabs>
          <w:tab w:val="center" w:pos="4153"/>
          <w:tab w:val="left" w:pos="7275"/>
        </w:tabs>
        <w:kinsoku/>
        <w:wordWrap/>
        <w:overflowPunct/>
        <w:topLinePunct w:val="0"/>
        <w:autoSpaceDN/>
        <w:bidi w:val="0"/>
        <w:adjustRightInd/>
        <w:spacing w:line="560" w:lineRule="exact"/>
        <w:ind w:firstLine="643"/>
        <w:jc w:val="both"/>
        <w:textAlignment w:val="auto"/>
        <w:rPr>
          <w:rFonts w:hint="eastAsia"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eastAsia="方正楷体_GBK" w:cs="Times New Roman"/>
          <w:color w:val="auto"/>
          <w:kern w:val="2"/>
          <w:sz w:val="32"/>
          <w:szCs w:val="32"/>
          <w:highlight w:val="none"/>
          <w:lang w:val="en-US" w:eastAsia="zh-CN" w:bidi="ar-SA"/>
        </w:rPr>
        <w:t>（三）财政绩效评价情况</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Style w:val="12"/>
          <w:rFonts w:hint="default" w:ascii="Times New Roman" w:hAnsi="Times New Roman" w:eastAsia="方正仿宋_GBK" w:cs="Times New Roman"/>
          <w:b w:val="0"/>
          <w:bCs/>
          <w:color w:val="auto"/>
          <w:sz w:val="32"/>
          <w:szCs w:val="32"/>
          <w:highlight w:val="none"/>
          <w:shd w:val="clear" w:color="auto" w:fill="FFFFFF"/>
        </w:rPr>
      </w:pPr>
      <w:r>
        <w:rPr>
          <w:rFonts w:hint="eastAsia" w:ascii="Times New Roman" w:hAnsi="Times New Roman" w:eastAsia="方正仿宋_GBK" w:cs="Times New Roman"/>
          <w:b w:val="0"/>
          <w:bCs w:val="0"/>
          <w:color w:val="auto"/>
          <w:sz w:val="32"/>
          <w:szCs w:val="32"/>
          <w:highlight w:val="none"/>
          <w:shd w:val="clear" w:color="auto" w:fill="FFFFFF"/>
          <w:lang w:eastAsia="zh-CN"/>
        </w:rPr>
        <w:t>县</w:t>
      </w:r>
      <w:r>
        <w:rPr>
          <w:rFonts w:hint="default" w:ascii="Times New Roman" w:hAnsi="Times New Roman" w:eastAsia="方正仿宋_GBK" w:cs="Times New Roman"/>
          <w:b w:val="0"/>
          <w:bCs w:val="0"/>
          <w:color w:val="auto"/>
          <w:sz w:val="32"/>
          <w:szCs w:val="32"/>
          <w:highlight w:val="none"/>
          <w:shd w:val="clear" w:color="auto" w:fill="FFFFFF"/>
        </w:rPr>
        <w:t>财政局未委托第三方对我</w:t>
      </w:r>
      <w:r>
        <w:rPr>
          <w:rFonts w:hint="default" w:ascii="Times New Roman" w:hAnsi="Times New Roman" w:eastAsia="方正仿宋_GBK" w:cs="Times New Roman"/>
          <w:b w:val="0"/>
          <w:bCs w:val="0"/>
          <w:color w:val="auto"/>
          <w:sz w:val="32"/>
          <w:szCs w:val="32"/>
          <w:highlight w:val="none"/>
          <w:shd w:val="clear" w:color="auto" w:fill="FFFFFF"/>
          <w:lang w:eastAsia="zh-CN"/>
        </w:rPr>
        <w:t>部门</w:t>
      </w:r>
      <w:r>
        <w:rPr>
          <w:rFonts w:hint="default" w:ascii="Times New Roman" w:hAnsi="Times New Roman" w:eastAsia="方正仿宋_GBK" w:cs="Times New Roman"/>
          <w:b w:val="0"/>
          <w:bCs w:val="0"/>
          <w:color w:val="auto"/>
          <w:sz w:val="32"/>
          <w:szCs w:val="32"/>
          <w:highlight w:val="none"/>
          <w:shd w:val="clear" w:color="auto" w:fill="FFFFFF"/>
        </w:rPr>
        <w:t>开展绩效评价。</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仿宋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方正仿宋_GBK" w:cs="Times New Roman"/>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w:t>
      </w:r>
      <w:r>
        <w:rPr>
          <w:rFonts w:hint="default" w:ascii="Times New Roman" w:hAnsi="Times New Roman" w:eastAsia="方正仿宋_GBK" w:cs="Times New Roman"/>
          <w:color w:val="auto"/>
          <w:sz w:val="32"/>
          <w:szCs w:val="32"/>
          <w:highlight w:val="none"/>
          <w:shd w:val="clear" w:color="auto" w:fill="FFFFFF"/>
          <w:lang w:eastAsia="zh-CN"/>
        </w:rPr>
        <w:t>部门</w:t>
      </w:r>
      <w:r>
        <w:rPr>
          <w:rFonts w:hint="default" w:ascii="Times New Roman" w:hAnsi="Times New Roman" w:eastAsia="方正仿宋_GBK" w:cs="Times New Roman"/>
          <w:color w:val="auto"/>
          <w:sz w:val="32"/>
          <w:szCs w:val="32"/>
          <w:highlight w:val="none"/>
          <w:shd w:val="clear" w:color="auto" w:fill="FFFFFF"/>
        </w:rPr>
        <w:t>决算公开信息反馈和联系方式：</w:t>
      </w:r>
      <w:r>
        <w:rPr>
          <w:rFonts w:hint="eastAsia" w:ascii="Times New Roman" w:hAnsi="Times New Roman" w:eastAsia="方正仿宋_GBK" w:cs="Times New Roman"/>
          <w:color w:val="auto"/>
          <w:sz w:val="32"/>
          <w:szCs w:val="32"/>
          <w:highlight w:val="none"/>
          <w:shd w:val="clear" w:color="auto" w:fill="FFFFFF"/>
          <w:lang w:val="en-US" w:eastAsia="zh-CN"/>
        </w:rPr>
        <w:t>雷莉19132739474</w:t>
      </w:r>
      <w:r>
        <w:rPr>
          <w:rFonts w:hint="default" w:ascii="Times New Roman" w:hAnsi="Times New Roman" w:eastAsia="方正仿宋_GBK" w:cs="Times New Roman"/>
          <w:color w:val="auto"/>
          <w:sz w:val="32"/>
          <w:szCs w:val="32"/>
          <w:highlight w:val="none"/>
          <w:shd w:val="clear" w:color="auto" w:fill="FFFFFF"/>
        </w:rPr>
        <w:t>。</w:t>
      </w: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4,089.12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1,036.22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12.37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81.65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436.66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89.57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2,145.22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109.00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4,109.12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4,183.59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74.47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4,183.59</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4,183.59</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.本表反映部门本年度的总收支和年末结转结余情况。</w:t>
      </w:r>
      <w:r>
        <w:rPr>
          <w:rFonts w:cs="宋体"/>
          <w:color w:val="auto"/>
          <w:sz w:val="20"/>
          <w:szCs w:val="20"/>
        </w:rPr>
        <w:br w:type="textWrapping"/>
      </w:r>
      <w:r>
        <w:rPr>
          <w:rFonts w:cs="宋体"/>
          <w:color w:val="auto"/>
          <w:sz w:val="20"/>
          <w:szCs w:val="20"/>
        </w:rPr>
        <w:t xml:space="preserve">      </w:t>
      </w:r>
      <w:r>
        <w:rPr>
          <w:rFonts w:ascii="Times New Roman" w:hAnsi="Times New Roman" w:cs="宋体"/>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4,109.12</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4,109.12</w:t>
            </w:r>
            <w:r>
              <w:rPr>
                <w:rFonts w:ascii="Times New Roman" w:hAnsi="Times New Roman"/>
                <w:b/>
                <w:color w:val="auto"/>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1,009.62</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1,009.62</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8.71</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8.71</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8.71</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8.71</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916.48</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916.48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771.08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771.08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140.18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140.18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5.23</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财政事务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45.56</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45.56</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20123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民族事务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29.97</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29.97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2012304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民族工作专项</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29.97</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2.19</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2.19</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1.59</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2013204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12.37</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2040299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司法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9.77</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9.77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2040605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普法宣传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9.77</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52.65</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52.65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文化创作与保护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436.66</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436.66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49.83</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49.83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社会保险经办机构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49.83</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316.67</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316.67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82.56</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82.56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34.19</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132.97</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132.97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66.95</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66.95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2081004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殡葬</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4.28</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20828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34.18</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34.18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2082850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89.57</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89.57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2100499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其他公共卫生支出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50.14</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50.14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16.28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16.28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1.57</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医疗保障政策管理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2110402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2120199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2,097.35</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2,097.35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365.74</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365.74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273.98</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273.98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2130122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2130135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农业生态资源保护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23.60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23.60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56.56</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56.56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56.26</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56.26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2130234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31.44</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31.44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2130315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抗旱</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2130335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农村供水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21.45</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992.93</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992.93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661.90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661.90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85.19</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85.19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20.89</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224.95</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650.68</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650.68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60.02</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60.02</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2130705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590.66</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590.66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2200106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2210105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94.90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94.90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消防救援事务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35.20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35.20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2240204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消防应急救援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0.80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0.80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2240703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2296002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.本表反映部门本年度取得的各项收入情况。</w:t>
      </w:r>
      <w:r>
        <w:rPr>
          <w:rFonts w:cs="宋体"/>
          <w:color w:val="auto"/>
          <w:sz w:val="20"/>
          <w:szCs w:val="20"/>
        </w:rPr>
        <w:br w:type="textWrapping"/>
      </w:r>
      <w:r>
        <w:rPr>
          <w:rFonts w:ascii="Times New Roman" w:hAnsi="Times New Roman" w:cs="宋体"/>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13"/>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秀山土家族苗族自治县梅江镇人民政府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4,183.59</w:t>
            </w:r>
            <w:r>
              <w:rPr>
                <w:rFonts w:ascii="Times New Roman" w:hAnsi="Times New Roman"/>
                <w:b/>
                <w:color w:val="auto"/>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1,845.81</w:t>
            </w:r>
            <w:r>
              <w:rPr>
                <w:rFonts w:ascii="Times New Roman" w:hAnsi="Times New Roman"/>
                <w:b/>
                <w:color w:val="auto"/>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2,337.78</w:t>
            </w:r>
            <w:r>
              <w:rPr>
                <w:rFonts w:ascii="Times New Roman" w:hAnsi="Times New Roman"/>
                <w:b/>
                <w:color w:val="auto"/>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1,036.22</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843.84</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8.71</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8.71</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8.71</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8.71</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943.09</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797.68</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145.41</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797.68</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797.68</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140.18</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140.18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5.23</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财政事务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45.56</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45.56</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45.56</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45.56</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20123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29.97</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29.97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2012304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民族工作专项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29.97</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29.97</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2.19</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1.59</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1.59</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2013204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12.37</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2040299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司法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9.77</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9.77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2040605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普法宣传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9.77</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9.77</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52.65</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52.65</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52.65</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52.65</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文化创作与保护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436.66</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400.68</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35.98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49.83</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49.83</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社会保险经办机构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49.83</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49.83</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316.67</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316.67</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82.56</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82.56</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34.19</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34.19</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132.97</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132.97</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66.95</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66.95</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2081004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殡葬</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4.28</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4.28</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34.18</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34.18</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34.18</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34.18</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89.57</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2100499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其他公共卫生支出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50.14</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50.14</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19.98</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19.98</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16.28</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16.28</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1.57</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医疗保障政策管理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2110402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农村环境保护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2,145.22</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321.85</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1,823.36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413.61</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321.85</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91.76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321.85</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321.85</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2130122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66.00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2130135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农业生态资源保护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23.60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23.60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56.56</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56.56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56.26</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56.26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2130234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31.44</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31.44</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2130315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抗旱</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2130335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农村供水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21.45</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21.45</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992.93</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992.93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661.90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661.90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85.19</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85.19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20.89</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224.95</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224.95</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650.68</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650.68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60.02</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60.02</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2130705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590.66</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590.66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2200106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2210105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94.90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94.90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36.00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消防救援事务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35.20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35.20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2240204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消防应急救援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0.80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0.80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2240703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2296002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.本表反映部门本年度各项支出情况。</w:t>
      </w:r>
      <w:r>
        <w:rPr>
          <w:rFonts w:cs="宋体"/>
          <w:color w:val="auto"/>
          <w:sz w:val="20"/>
          <w:szCs w:val="20"/>
        </w:rPr>
        <w:br w:type="textWrapping"/>
      </w:r>
      <w:r>
        <w:rPr>
          <w:rFonts w:cs="宋体"/>
          <w:color w:val="auto"/>
          <w:sz w:val="20"/>
          <w:szCs w:val="20"/>
        </w:rPr>
        <w:t xml:space="preserve">      </w:t>
      </w:r>
      <w:r>
        <w:rPr>
          <w:rFonts w:ascii="Times New Roman" w:hAnsi="Times New Roman" w:cs="宋体"/>
          <w:color w:val="auto"/>
          <w:sz w:val="20"/>
          <w:szCs w:val="20"/>
        </w:rPr>
        <w:t>2</w:t>
      </w:r>
      <w:r>
        <w:rPr>
          <w:rFonts w:cs="宋体"/>
          <w:color w:val="auto"/>
          <w:sz w:val="20"/>
          <w:szCs w:val="20"/>
        </w:rPr>
        <w:t>.本套报表金额单位转换时可能存在尾数误差。</w:t>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4,089.12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1,036.22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1,036.22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81.65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81.65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436.66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436.66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89.57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89.57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45.50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45.50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2,145.22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2,145.22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164.02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164.02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4,109.12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4,183.59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4,163.59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74.47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74.47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4,183.59</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4,183.59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4,163.59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w:t>
      </w:r>
      <w:r>
        <w:rPr>
          <w:rFonts w:ascii="Times New Roman" w:hAnsi="Times New Roman" w:cs="宋体"/>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3"/>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4,163.59</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1,845.81</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2,317.78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1,036.22</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843.84</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192.38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8.71</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8.71</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8.71</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8.71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943.09</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797.68</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145.41</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797.68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797.68</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140.18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140.18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6.70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6.70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2010507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6.70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6.70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财政事务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45.56</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45.56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45.56</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20123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民族事务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29.97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29.97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2012304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民族工作专项</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29.97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29.97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2.19</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1.59</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2013202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2013204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公共安全支出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12.37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12.37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公安</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2040299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20406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司法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9.77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9.77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2040605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普法宣传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52.65</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81.65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52.65</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52.65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52.65</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文化创作与保护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2070199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436.66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400.68</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35.98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49.83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49.83</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社会保险经办机构</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49.83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49.83</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316.67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316.67</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82.56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82.56</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34.19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34.19</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132.97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132.97</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66.95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66.95</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2081004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殡葬</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4.28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4.28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20828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34.18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34.18</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2082850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34.18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34.18</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89.57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2100499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其他公共卫生支出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86.39</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50.14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50.14</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19.98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19.98</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16.28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16.28</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21015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2101505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医疗保障政策管理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自然生态保护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2110402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农村环境保护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2120199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45.50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2,145.22</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321.85</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1,823.36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413.61</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321.85</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91.76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321.85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321.85</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病虫害控制</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2130122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2130135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农业生态资源保护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23.60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23.60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56.56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56.56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森林资源培育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56.26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56.26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2130234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林业草原防灾减灾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31.44</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31.44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2130315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抗旱</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2130335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农村供水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992.93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992.93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661.90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661.90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85.19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85.19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224.95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224.95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21307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农村综合改革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650.68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650.68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60.02</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2130705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590.66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590.66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22001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164.02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2200106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自然资源利用与保护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164.02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14.10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2210105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农村危房改造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14.10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14.10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94.90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94.90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94.90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消防救援事务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35.20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35.20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2240204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消防应急救援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35.20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35.20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b/>
                <w:color w:val="auto"/>
                <w:sz w:val="20"/>
                <w:szCs w:val="20"/>
              </w:rPr>
              <w:t>22407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0.80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0.80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ascii="Times New Roman" w:hAnsi="Times New Roman" w:cs="宋体"/>
                <w:color w:val="auto"/>
                <w:sz w:val="20"/>
                <w:szCs w:val="20"/>
              </w:rPr>
              <w:t>2240703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自然灾害救灾补助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.本表反映部门本年度一般公共预算财政拨款支出情况。</w:t>
      </w:r>
      <w:r>
        <w:rPr>
          <w:rFonts w:cs="宋体"/>
          <w:color w:val="auto"/>
          <w:sz w:val="20"/>
          <w:szCs w:val="20"/>
        </w:rPr>
        <w:br w:type="textWrapping"/>
      </w:r>
      <w:r>
        <w:rPr>
          <w:rFonts w:cs="宋体"/>
          <w:color w:val="auto"/>
          <w:sz w:val="20"/>
          <w:szCs w:val="20"/>
        </w:rPr>
        <w:t xml:space="preserve">      </w:t>
      </w:r>
      <w:r>
        <w:rPr>
          <w:rFonts w:ascii="Times New Roman" w:hAnsi="Times New Roman" w:cs="宋体"/>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13"/>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1,487.96</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191.58</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334.10</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74.27</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234.52</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0.17</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249.15</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36.17</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250.69</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1.68</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132.97</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10.02</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66.95</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13.49</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70.11</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2.11</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9.58</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94.90</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16.28</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166.27</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17.97</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134.86</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31.70</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13.44</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1.55</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0.70</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8.77</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38.00</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ascii="Times New Roman" w:hAnsi="Times New Roman" w:cs="宋体"/>
                <w:b/>
                <w:bCs/>
                <w:color w:val="auto"/>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ascii="Times New Roman" w:hAnsi="Times New Roman" w:cs="宋体"/>
                <w:color w:val="auto"/>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1,654.23</w:t>
            </w:r>
            <w:r>
              <w:rPr>
                <w:rFonts w:ascii="Times New Roman" w:hAnsi="Times New Roman"/>
                <w:color w:val="auto"/>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191.58</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.本表反映部门本年度一般公共预算财政拨款基本支出明细情况。</w:t>
      </w:r>
      <w:r>
        <w:rPr>
          <w:rFonts w:cs="宋体"/>
          <w:color w:val="auto"/>
          <w:sz w:val="20"/>
          <w:szCs w:val="20"/>
        </w:rPr>
        <w:br w:type="textWrapping"/>
      </w:r>
      <w:r>
        <w:rPr>
          <w:rFonts w:cs="宋体"/>
          <w:color w:val="auto"/>
          <w:sz w:val="20"/>
          <w:szCs w:val="20"/>
        </w:rPr>
        <w:t xml:space="preserve">      </w:t>
      </w:r>
      <w:r>
        <w:rPr>
          <w:rFonts w:ascii="Times New Roman" w:hAnsi="Times New Roman" w:cs="宋体"/>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3"/>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20.00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ascii="Times New Roman" w:hAnsi="Times New Roman" w:cs="宋体"/>
                <w:b/>
                <w:color w:val="auto"/>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ascii="Times New Roman" w:hAnsi="Times New Roman" w:cs="宋体"/>
                <w:b/>
                <w:color w:val="auto"/>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ascii="Times New Roman" w:hAnsi="Times New Roman" w:cs="宋体"/>
                <w:color w:val="auto"/>
                <w:sz w:val="20"/>
                <w:szCs w:val="20"/>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w:t>
      </w:r>
      <w:r>
        <w:rPr>
          <w:rFonts w:ascii="Times New Roman" w:hAnsi="Times New Roman" w:cs="宋体"/>
          <w:color w:val="auto"/>
          <w:sz w:val="20"/>
          <w:szCs w:val="20"/>
        </w:rPr>
        <w:t>1</w:t>
      </w:r>
      <w:r>
        <w:rPr>
          <w:rFonts w:cs="宋体"/>
          <w:color w:val="auto"/>
          <w:sz w:val="20"/>
          <w:szCs w:val="20"/>
        </w:rPr>
        <w:t>.本表反映部门本年度政府性基金预算财政拨款收入支出及结转和结余情况。</w:t>
      </w:r>
      <w:r>
        <w:rPr>
          <w:rFonts w:cs="宋体"/>
          <w:color w:val="auto"/>
          <w:sz w:val="20"/>
          <w:szCs w:val="20"/>
        </w:rPr>
        <w:br w:type="textWrapping"/>
      </w:r>
      <w:r>
        <w:rPr>
          <w:rFonts w:cs="宋体"/>
          <w:color w:val="auto"/>
          <w:sz w:val="20"/>
          <w:szCs w:val="20"/>
        </w:rPr>
        <w:t xml:space="preserve">      </w:t>
      </w:r>
      <w:r>
        <w:rPr>
          <w:rFonts w:ascii="Times New Roman" w:hAnsi="Times New Roman" w:cs="宋体"/>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秀山土家族苗族自治县梅江镇人民政府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3"/>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sz w:val="20"/>
                <w:szCs w:val="20"/>
                <w:lang w:eastAsia="zh-CN"/>
              </w:rPr>
              <w:t>部门</w:t>
            </w:r>
            <w:r>
              <w:rPr>
                <w:rFonts w:cs="宋体"/>
                <w:color w:val="auto"/>
                <w:kern w:val="2"/>
                <w:sz w:val="20"/>
                <w:szCs w:val="20"/>
              </w:rPr>
              <w:t>：</w:t>
            </w:r>
            <w:r>
              <w:rPr>
                <w:color w:val="auto"/>
                <w:sz w:val="20"/>
                <w:u w:color="auto"/>
              </w:rPr>
              <w:t>秀山土家族苗族自治县梅江镇人民政府</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169.55</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8.77</w:t>
            </w: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8.77</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163.66</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1</w:t>
            </w:r>
            <w:r>
              <w:rPr>
                <w:rFonts w:cs="宋体"/>
                <w:b/>
                <w:bCs/>
                <w:color w:val="auto"/>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5.89</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2</w:t>
            </w:r>
            <w:r>
              <w:rPr>
                <w:rFonts w:cs="宋体"/>
                <w:b/>
                <w:bCs/>
                <w:color w:val="auto"/>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8.77</w:t>
            </w: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8.77</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1</w:t>
            </w:r>
            <w:r>
              <w:rPr>
                <w:rFonts w:cs="宋体"/>
                <w:b/>
                <w:bCs/>
                <w:color w:val="auto"/>
                <w:kern w:val="2"/>
                <w:sz w:val="16"/>
                <w:szCs w:val="16"/>
              </w:rPr>
              <w:t>）公务用车购置费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2</w:t>
            </w:r>
            <w:r>
              <w:rPr>
                <w:rFonts w:cs="宋体"/>
                <w:b/>
                <w:bCs/>
                <w:color w:val="auto"/>
                <w:kern w:val="2"/>
                <w:sz w:val="16"/>
                <w:szCs w:val="16"/>
              </w:rPr>
              <w:t>）公务用车运行维护费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8.77</w:t>
            </w: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8.77</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1</w:t>
            </w:r>
            <w:r>
              <w:rPr>
                <w:rFonts w:cs="宋体"/>
                <w:b/>
                <w:bCs/>
                <w:color w:val="auto"/>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3</w:t>
            </w:r>
            <w:r>
              <w:rPr>
                <w:rFonts w:cs="宋体"/>
                <w:b/>
                <w:bCs/>
                <w:color w:val="auto"/>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2</w:t>
            </w:r>
            <w:r>
              <w:rPr>
                <w:rFonts w:cs="宋体"/>
                <w:b/>
                <w:bCs/>
                <w:color w:val="auto"/>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1</w:t>
            </w:r>
            <w:r>
              <w:rPr>
                <w:rFonts w:cs="宋体"/>
                <w:b/>
                <w:bCs/>
                <w:color w:val="auto"/>
                <w:kern w:val="2"/>
                <w:sz w:val="16"/>
                <w:szCs w:val="16"/>
              </w:rPr>
              <w:t>）国内接待费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3</w:t>
            </w:r>
            <w:r>
              <w:rPr>
                <w:rFonts w:cs="宋体"/>
                <w:b/>
                <w:bCs/>
                <w:color w:val="auto"/>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4</w:t>
            </w:r>
            <w:r>
              <w:rPr>
                <w:rFonts w:cs="宋体"/>
                <w:b/>
                <w:bCs/>
                <w:color w:val="auto"/>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2</w:t>
            </w:r>
            <w:r>
              <w:rPr>
                <w:rFonts w:cs="宋体"/>
                <w:b/>
                <w:bCs/>
                <w:color w:val="auto"/>
                <w:kern w:val="2"/>
                <w:sz w:val="16"/>
                <w:szCs w:val="16"/>
              </w:rPr>
              <w:t>）国（境）外接待费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5</w:t>
            </w:r>
            <w:r>
              <w:rPr>
                <w:rFonts w:cs="宋体"/>
                <w:b/>
                <w:bCs/>
                <w:color w:val="auto"/>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6</w:t>
            </w:r>
            <w:r>
              <w:rPr>
                <w:rFonts w:cs="宋体"/>
                <w:b/>
                <w:bCs/>
                <w:color w:val="auto"/>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1</w:t>
            </w:r>
            <w:r>
              <w:rPr>
                <w:rFonts w:cs="宋体"/>
                <w:b/>
                <w:bCs/>
                <w:color w:val="auto"/>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7</w:t>
            </w:r>
            <w:r>
              <w:rPr>
                <w:rFonts w:cs="宋体"/>
                <w:b/>
                <w:bCs/>
                <w:color w:val="auto"/>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2</w:t>
            </w:r>
            <w:r>
              <w:rPr>
                <w:rFonts w:cs="宋体"/>
                <w:b/>
                <w:bCs/>
                <w:color w:val="auto"/>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8</w:t>
            </w:r>
            <w:r>
              <w:rPr>
                <w:rFonts w:cs="宋体"/>
                <w:b/>
                <w:bCs/>
                <w:color w:val="auto"/>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3</w:t>
            </w:r>
            <w:r>
              <w:rPr>
                <w:rFonts w:cs="宋体"/>
                <w:b/>
                <w:bCs/>
                <w:color w:val="auto"/>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w:t>
            </w:r>
            <w:r>
              <w:rPr>
                <w:rFonts w:ascii="Times New Roman" w:hAnsi="Times New Roman" w:cs="宋体"/>
                <w:b/>
                <w:bCs/>
                <w:color w:val="auto"/>
                <w:kern w:val="2"/>
                <w:sz w:val="16"/>
                <w:szCs w:val="16"/>
              </w:rPr>
              <w:t>100</w:t>
            </w:r>
            <w:r>
              <w:rPr>
                <w:rFonts w:cs="宋体"/>
                <w:b/>
                <w:bCs/>
                <w:color w:val="auto"/>
                <w:kern w:val="2"/>
                <w:sz w:val="16"/>
                <w:szCs w:val="16"/>
              </w:rPr>
              <w:t>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4</w:t>
            </w:r>
            <w:r>
              <w:rPr>
                <w:rFonts w:cs="宋体"/>
                <w:b/>
                <w:bCs/>
                <w:color w:val="auto"/>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5</w:t>
            </w:r>
            <w:r>
              <w:rPr>
                <w:rFonts w:cs="宋体"/>
                <w:b/>
                <w:bCs/>
                <w:color w:val="auto"/>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7.36</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1</w:t>
            </w:r>
            <w:r>
              <w:rPr>
                <w:rFonts w:cs="宋体"/>
                <w:b/>
                <w:bCs/>
                <w:color w:val="auto"/>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7.36</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6</w:t>
            </w:r>
            <w:r>
              <w:rPr>
                <w:rFonts w:cs="宋体"/>
                <w:b/>
                <w:bCs/>
                <w:color w:val="auto"/>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2</w:t>
            </w:r>
            <w:r>
              <w:rPr>
                <w:rFonts w:cs="宋体"/>
                <w:b/>
                <w:bCs/>
                <w:color w:val="auto"/>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3</w:t>
            </w:r>
            <w:r>
              <w:rPr>
                <w:rFonts w:cs="宋体"/>
                <w:b/>
                <w:bCs/>
                <w:color w:val="auto"/>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7</w:t>
            </w:r>
            <w:r>
              <w:rPr>
                <w:rFonts w:cs="宋体"/>
                <w:b/>
                <w:bCs/>
                <w:color w:val="auto"/>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4.50</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ascii="Times New Roman" w:hAnsi="Times New Roman" w:cs="宋体"/>
                <w:b/>
                <w:bCs/>
                <w:color w:val="auto"/>
                <w:kern w:val="2"/>
                <w:sz w:val="16"/>
                <w:szCs w:val="16"/>
              </w:rPr>
              <w:t>8</w:t>
            </w:r>
            <w:r>
              <w:rPr>
                <w:rFonts w:cs="宋体"/>
                <w:b/>
                <w:bCs/>
                <w:color w:val="auto"/>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4.50</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1.64</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9.93</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ascii="Times New Roman" w:hAnsi="Times New Roman" w:cs="Times New Roman"/>
          <w:color w:val="auto"/>
          <w:sz w:val="32"/>
          <w:szCs w:val="32"/>
          <w:highlight w:val="none"/>
        </w:rPr>
      </w:pPr>
      <w:r>
        <w:rPr>
          <w:rFonts w:cs="宋体"/>
          <w:color w:val="auto"/>
          <w:sz w:val="18"/>
          <w:szCs w:val="18"/>
        </w:rPr>
        <w:t>备注：</w:t>
      </w:r>
      <w:r>
        <w:rPr>
          <w:rFonts w:ascii="Times New Roman" w:hAnsi="Times New Roman" w:cs="宋体"/>
          <w:color w:val="auto"/>
          <w:sz w:val="18"/>
          <w:szCs w:val="18"/>
        </w:rPr>
        <w:t>1</w:t>
      </w:r>
      <w:r>
        <w:rPr>
          <w:rFonts w:cs="宋体"/>
          <w:color w:val="auto"/>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w:t>
      </w:r>
      <w:r>
        <w:rPr>
          <w:rFonts w:ascii="Times New Roman" w:hAnsi="Times New Roman" w:cs="宋体"/>
          <w:color w:val="auto"/>
          <w:sz w:val="18"/>
          <w:szCs w:val="18"/>
        </w:rPr>
        <w:t>2</w:t>
      </w:r>
      <w:r>
        <w:rPr>
          <w:rFonts w:cs="宋体"/>
          <w:color w:val="auto"/>
          <w:sz w:val="18"/>
          <w:szCs w:val="18"/>
        </w:rPr>
        <w:t>.本套报表金额单位转换时可能存在尾数误差。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4360D"/>
    <w:multiLevelType w:val="singleLevel"/>
    <w:tmpl w:val="9FB4360D"/>
    <w:lvl w:ilvl="0" w:tentative="0">
      <w:start w:val="1"/>
      <w:numFmt w:val="chineseCounting"/>
      <w:suff w:val="nothing"/>
      <w:lvlText w:val="%1、"/>
      <w:lvlJc w:val="left"/>
      <w:rPr>
        <w:rFonts w:hint="eastAsia"/>
      </w:rPr>
    </w:lvl>
  </w:abstractNum>
  <w:abstractNum w:abstractNumId="1">
    <w:nsid w:val="D42607D4"/>
    <w:multiLevelType w:val="singleLevel"/>
    <w:tmpl w:val="D42607D4"/>
    <w:lvl w:ilvl="0" w:tentative="0">
      <w:start w:val="5"/>
      <w:numFmt w:val="chineseCounting"/>
      <w:suff w:val="nothing"/>
      <w:lvlText w:val="%1、"/>
      <w:lvlJc w:val="left"/>
      <w:rPr>
        <w:rFonts w:hint="eastAsia"/>
      </w:rPr>
    </w:lvl>
  </w:abstractNum>
  <w:abstractNum w:abstractNumId="2">
    <w:nsid w:val="2664A63E"/>
    <w:multiLevelType w:val="singleLevel"/>
    <w:tmpl w:val="2664A63E"/>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702"/>
    <w:rsid w:val="002E5443"/>
    <w:rsid w:val="004C12FF"/>
    <w:rsid w:val="00550ABE"/>
    <w:rsid w:val="005B023C"/>
    <w:rsid w:val="006137D7"/>
    <w:rsid w:val="00634FA8"/>
    <w:rsid w:val="0063613A"/>
    <w:rsid w:val="00792285"/>
    <w:rsid w:val="007A0D2E"/>
    <w:rsid w:val="007A3314"/>
    <w:rsid w:val="007B419D"/>
    <w:rsid w:val="00810F13"/>
    <w:rsid w:val="00944711"/>
    <w:rsid w:val="00963AB8"/>
    <w:rsid w:val="00984852"/>
    <w:rsid w:val="009B67B8"/>
    <w:rsid w:val="00A03B1E"/>
    <w:rsid w:val="00A215BF"/>
    <w:rsid w:val="00A67739"/>
    <w:rsid w:val="00A820B7"/>
    <w:rsid w:val="00AC5566"/>
    <w:rsid w:val="00B03CCD"/>
    <w:rsid w:val="00BB5D42"/>
    <w:rsid w:val="00BF5A85"/>
    <w:rsid w:val="00C7506E"/>
    <w:rsid w:val="00C96B11"/>
    <w:rsid w:val="00CC6B99"/>
    <w:rsid w:val="00DF7706"/>
    <w:rsid w:val="00E654E2"/>
    <w:rsid w:val="00E76362"/>
    <w:rsid w:val="00F137D3"/>
    <w:rsid w:val="00F13C36"/>
    <w:rsid w:val="00F32C53"/>
    <w:rsid w:val="00F73F90"/>
    <w:rsid w:val="00F7623D"/>
    <w:rsid w:val="01474EBF"/>
    <w:rsid w:val="01574DE9"/>
    <w:rsid w:val="017048B2"/>
    <w:rsid w:val="01F3521E"/>
    <w:rsid w:val="0245226C"/>
    <w:rsid w:val="026117F2"/>
    <w:rsid w:val="02C267DE"/>
    <w:rsid w:val="03656D40"/>
    <w:rsid w:val="03665E61"/>
    <w:rsid w:val="03B87EA0"/>
    <w:rsid w:val="03E3214F"/>
    <w:rsid w:val="03E8444A"/>
    <w:rsid w:val="0433749B"/>
    <w:rsid w:val="044C50BA"/>
    <w:rsid w:val="04D0393A"/>
    <w:rsid w:val="055A7C33"/>
    <w:rsid w:val="059538C7"/>
    <w:rsid w:val="05BC6D49"/>
    <w:rsid w:val="05DA03D6"/>
    <w:rsid w:val="06194FF1"/>
    <w:rsid w:val="06900AAF"/>
    <w:rsid w:val="069A2719"/>
    <w:rsid w:val="06A2550B"/>
    <w:rsid w:val="06F80EE2"/>
    <w:rsid w:val="07001CCA"/>
    <w:rsid w:val="07290E3E"/>
    <w:rsid w:val="075678DB"/>
    <w:rsid w:val="079D7CC7"/>
    <w:rsid w:val="07B71511"/>
    <w:rsid w:val="08051BCA"/>
    <w:rsid w:val="08237464"/>
    <w:rsid w:val="08282D29"/>
    <w:rsid w:val="086C12F4"/>
    <w:rsid w:val="08A46EC3"/>
    <w:rsid w:val="08BA052C"/>
    <w:rsid w:val="08D05C16"/>
    <w:rsid w:val="08D8254D"/>
    <w:rsid w:val="08DB07BA"/>
    <w:rsid w:val="08DF70FC"/>
    <w:rsid w:val="0912740E"/>
    <w:rsid w:val="0969353F"/>
    <w:rsid w:val="098305D0"/>
    <w:rsid w:val="098A0877"/>
    <w:rsid w:val="0A5C4B69"/>
    <w:rsid w:val="0A86124A"/>
    <w:rsid w:val="0AB54CC0"/>
    <w:rsid w:val="0B02000C"/>
    <w:rsid w:val="0B1C5ABF"/>
    <w:rsid w:val="0B873A39"/>
    <w:rsid w:val="0B9335CE"/>
    <w:rsid w:val="0BB954E3"/>
    <w:rsid w:val="0C7927C4"/>
    <w:rsid w:val="0C9B098C"/>
    <w:rsid w:val="0CBF7050"/>
    <w:rsid w:val="0D673E11"/>
    <w:rsid w:val="0DDA54E4"/>
    <w:rsid w:val="0E1A2399"/>
    <w:rsid w:val="0E3A5F83"/>
    <w:rsid w:val="0E7026DE"/>
    <w:rsid w:val="0E74421A"/>
    <w:rsid w:val="0E8B2A29"/>
    <w:rsid w:val="0EE51C6D"/>
    <w:rsid w:val="0F0C3A4D"/>
    <w:rsid w:val="0F78492F"/>
    <w:rsid w:val="0F836721"/>
    <w:rsid w:val="0F883717"/>
    <w:rsid w:val="0FA25D96"/>
    <w:rsid w:val="0FA84DE0"/>
    <w:rsid w:val="0FAE4A93"/>
    <w:rsid w:val="0FD47892"/>
    <w:rsid w:val="0FFE6164"/>
    <w:rsid w:val="10076F6A"/>
    <w:rsid w:val="10680E48"/>
    <w:rsid w:val="107B59E5"/>
    <w:rsid w:val="10935E14"/>
    <w:rsid w:val="10D43003"/>
    <w:rsid w:val="10EC0126"/>
    <w:rsid w:val="10F70B9A"/>
    <w:rsid w:val="111445C7"/>
    <w:rsid w:val="114278C6"/>
    <w:rsid w:val="114535F5"/>
    <w:rsid w:val="1158083A"/>
    <w:rsid w:val="11643A4B"/>
    <w:rsid w:val="11AC6A58"/>
    <w:rsid w:val="11E70F85"/>
    <w:rsid w:val="11ED0F98"/>
    <w:rsid w:val="11F03528"/>
    <w:rsid w:val="11FD2FC6"/>
    <w:rsid w:val="123D59EF"/>
    <w:rsid w:val="12BE3BE0"/>
    <w:rsid w:val="12C921C4"/>
    <w:rsid w:val="12CC1F44"/>
    <w:rsid w:val="133637B5"/>
    <w:rsid w:val="13807E21"/>
    <w:rsid w:val="13871C70"/>
    <w:rsid w:val="13A71CB4"/>
    <w:rsid w:val="13AF1D43"/>
    <w:rsid w:val="13CE1647"/>
    <w:rsid w:val="13FD55AB"/>
    <w:rsid w:val="14200702"/>
    <w:rsid w:val="14F82F89"/>
    <w:rsid w:val="151024E2"/>
    <w:rsid w:val="153012AE"/>
    <w:rsid w:val="154A0151"/>
    <w:rsid w:val="163A6CEE"/>
    <w:rsid w:val="1712166F"/>
    <w:rsid w:val="173708E3"/>
    <w:rsid w:val="17451C23"/>
    <w:rsid w:val="17697263"/>
    <w:rsid w:val="17B932CB"/>
    <w:rsid w:val="17C374FC"/>
    <w:rsid w:val="17F70A0E"/>
    <w:rsid w:val="181F1615"/>
    <w:rsid w:val="18476084"/>
    <w:rsid w:val="1855068D"/>
    <w:rsid w:val="189079DC"/>
    <w:rsid w:val="189B0D0B"/>
    <w:rsid w:val="18B43F7C"/>
    <w:rsid w:val="18CB096E"/>
    <w:rsid w:val="18DD0C31"/>
    <w:rsid w:val="18E64AC8"/>
    <w:rsid w:val="194A1770"/>
    <w:rsid w:val="19607194"/>
    <w:rsid w:val="199358FC"/>
    <w:rsid w:val="19B906A4"/>
    <w:rsid w:val="1ACA40AF"/>
    <w:rsid w:val="1B082C65"/>
    <w:rsid w:val="1B0A1002"/>
    <w:rsid w:val="1B6F15B6"/>
    <w:rsid w:val="1BAA2EDC"/>
    <w:rsid w:val="1C5C0973"/>
    <w:rsid w:val="1C5C1CFD"/>
    <w:rsid w:val="1C753FDD"/>
    <w:rsid w:val="1CA55E64"/>
    <w:rsid w:val="1CD25B3B"/>
    <w:rsid w:val="1D014A01"/>
    <w:rsid w:val="1D022362"/>
    <w:rsid w:val="1D1B04B0"/>
    <w:rsid w:val="1D1C08AE"/>
    <w:rsid w:val="1DBD6767"/>
    <w:rsid w:val="1DC52125"/>
    <w:rsid w:val="1DD26311"/>
    <w:rsid w:val="1E2065BC"/>
    <w:rsid w:val="1E374ACB"/>
    <w:rsid w:val="1E5E27E3"/>
    <w:rsid w:val="1ECF0A66"/>
    <w:rsid w:val="1EF67CA4"/>
    <w:rsid w:val="1F020D3A"/>
    <w:rsid w:val="1F2C5189"/>
    <w:rsid w:val="1F474C62"/>
    <w:rsid w:val="1F4B0B02"/>
    <w:rsid w:val="1F8A0F40"/>
    <w:rsid w:val="1F9C3446"/>
    <w:rsid w:val="1FBB35CD"/>
    <w:rsid w:val="1FCD26AF"/>
    <w:rsid w:val="203A5AFF"/>
    <w:rsid w:val="203A71A2"/>
    <w:rsid w:val="20642787"/>
    <w:rsid w:val="20692290"/>
    <w:rsid w:val="20B96197"/>
    <w:rsid w:val="20C75CD5"/>
    <w:rsid w:val="21556F04"/>
    <w:rsid w:val="215C6C7E"/>
    <w:rsid w:val="21B4247C"/>
    <w:rsid w:val="22403BD3"/>
    <w:rsid w:val="22EC0D12"/>
    <w:rsid w:val="230147B9"/>
    <w:rsid w:val="233D2882"/>
    <w:rsid w:val="234940EA"/>
    <w:rsid w:val="239B2A5D"/>
    <w:rsid w:val="23DA37D9"/>
    <w:rsid w:val="23DE0C0D"/>
    <w:rsid w:val="23EF78FE"/>
    <w:rsid w:val="24AD509A"/>
    <w:rsid w:val="24AE095F"/>
    <w:rsid w:val="24B92327"/>
    <w:rsid w:val="24C14514"/>
    <w:rsid w:val="251C1CAF"/>
    <w:rsid w:val="2533755C"/>
    <w:rsid w:val="25791755"/>
    <w:rsid w:val="25FF48F7"/>
    <w:rsid w:val="26396DF4"/>
    <w:rsid w:val="263C6B7C"/>
    <w:rsid w:val="26EC078C"/>
    <w:rsid w:val="27167136"/>
    <w:rsid w:val="27216878"/>
    <w:rsid w:val="2723251E"/>
    <w:rsid w:val="275616BD"/>
    <w:rsid w:val="27B23302"/>
    <w:rsid w:val="28F96B5F"/>
    <w:rsid w:val="292776D5"/>
    <w:rsid w:val="29310A5F"/>
    <w:rsid w:val="29B42A1D"/>
    <w:rsid w:val="29C37A35"/>
    <w:rsid w:val="2A076083"/>
    <w:rsid w:val="2A1F1162"/>
    <w:rsid w:val="2A73162E"/>
    <w:rsid w:val="2AC33A79"/>
    <w:rsid w:val="2AD057DA"/>
    <w:rsid w:val="2B08451B"/>
    <w:rsid w:val="2B167953"/>
    <w:rsid w:val="2B200583"/>
    <w:rsid w:val="2B240C43"/>
    <w:rsid w:val="2B730A72"/>
    <w:rsid w:val="2B8209DE"/>
    <w:rsid w:val="2B97239A"/>
    <w:rsid w:val="2BCB3270"/>
    <w:rsid w:val="2C003A33"/>
    <w:rsid w:val="2C020273"/>
    <w:rsid w:val="2C620702"/>
    <w:rsid w:val="2C6762A3"/>
    <w:rsid w:val="2CF648D9"/>
    <w:rsid w:val="2D9E1FBA"/>
    <w:rsid w:val="2E4133A5"/>
    <w:rsid w:val="2EBF7B3E"/>
    <w:rsid w:val="2ECA789A"/>
    <w:rsid w:val="2EDE1934"/>
    <w:rsid w:val="2FCA4B37"/>
    <w:rsid w:val="2FCF3B7D"/>
    <w:rsid w:val="2FD320BE"/>
    <w:rsid w:val="2FE029D7"/>
    <w:rsid w:val="2FF06E00"/>
    <w:rsid w:val="30562E26"/>
    <w:rsid w:val="30586FEC"/>
    <w:rsid w:val="30640C94"/>
    <w:rsid w:val="30EC7046"/>
    <w:rsid w:val="3121119F"/>
    <w:rsid w:val="312D7397"/>
    <w:rsid w:val="31450B46"/>
    <w:rsid w:val="315F0B22"/>
    <w:rsid w:val="318315F0"/>
    <w:rsid w:val="319D022C"/>
    <w:rsid w:val="31C90022"/>
    <w:rsid w:val="31CF085A"/>
    <w:rsid w:val="31D84415"/>
    <w:rsid w:val="32285F6F"/>
    <w:rsid w:val="32770556"/>
    <w:rsid w:val="329C0913"/>
    <w:rsid w:val="32A03BB3"/>
    <w:rsid w:val="32A82F38"/>
    <w:rsid w:val="32AA0460"/>
    <w:rsid w:val="3337290D"/>
    <w:rsid w:val="335E64A8"/>
    <w:rsid w:val="33E31118"/>
    <w:rsid w:val="33EF7674"/>
    <w:rsid w:val="342D7BC6"/>
    <w:rsid w:val="34E76332"/>
    <w:rsid w:val="34E837F9"/>
    <w:rsid w:val="352930DB"/>
    <w:rsid w:val="3549320A"/>
    <w:rsid w:val="35573069"/>
    <w:rsid w:val="355F6038"/>
    <w:rsid w:val="35654DA6"/>
    <w:rsid w:val="358C217E"/>
    <w:rsid w:val="35937598"/>
    <w:rsid w:val="35972F3D"/>
    <w:rsid w:val="35BB7A86"/>
    <w:rsid w:val="35C41744"/>
    <w:rsid w:val="35F4748D"/>
    <w:rsid w:val="35FB5BDC"/>
    <w:rsid w:val="360B202B"/>
    <w:rsid w:val="36C9128A"/>
    <w:rsid w:val="36D71BC7"/>
    <w:rsid w:val="36ED054A"/>
    <w:rsid w:val="372E3953"/>
    <w:rsid w:val="373D27C7"/>
    <w:rsid w:val="37481203"/>
    <w:rsid w:val="375D1575"/>
    <w:rsid w:val="37841E99"/>
    <w:rsid w:val="37896B38"/>
    <w:rsid w:val="37AA01E5"/>
    <w:rsid w:val="37BE05F2"/>
    <w:rsid w:val="37BF1123"/>
    <w:rsid w:val="3804692D"/>
    <w:rsid w:val="383C3F15"/>
    <w:rsid w:val="388B3D4B"/>
    <w:rsid w:val="38BE4696"/>
    <w:rsid w:val="3939115E"/>
    <w:rsid w:val="39B82A39"/>
    <w:rsid w:val="39C42CA8"/>
    <w:rsid w:val="39DC4FD6"/>
    <w:rsid w:val="39E94518"/>
    <w:rsid w:val="39F03D7A"/>
    <w:rsid w:val="39F33306"/>
    <w:rsid w:val="3A2A722C"/>
    <w:rsid w:val="3A2B184A"/>
    <w:rsid w:val="3A2C1C67"/>
    <w:rsid w:val="3A456C79"/>
    <w:rsid w:val="3B1705E5"/>
    <w:rsid w:val="3B18334B"/>
    <w:rsid w:val="3B263E10"/>
    <w:rsid w:val="3B36794F"/>
    <w:rsid w:val="3B58505A"/>
    <w:rsid w:val="3C566AD6"/>
    <w:rsid w:val="3C6A5B02"/>
    <w:rsid w:val="3C961C3C"/>
    <w:rsid w:val="3D0144E2"/>
    <w:rsid w:val="3D0E446E"/>
    <w:rsid w:val="3D2757A1"/>
    <w:rsid w:val="3D391A01"/>
    <w:rsid w:val="3D3D4FC4"/>
    <w:rsid w:val="3D6D3B33"/>
    <w:rsid w:val="3DDF3AB1"/>
    <w:rsid w:val="3E1D0952"/>
    <w:rsid w:val="3E42660A"/>
    <w:rsid w:val="3E7555B1"/>
    <w:rsid w:val="3E787ED9"/>
    <w:rsid w:val="3E837F99"/>
    <w:rsid w:val="3E8F51A7"/>
    <w:rsid w:val="3EEC37F3"/>
    <w:rsid w:val="3F032E93"/>
    <w:rsid w:val="3F0527E5"/>
    <w:rsid w:val="3F3F6B54"/>
    <w:rsid w:val="3F413885"/>
    <w:rsid w:val="3F694D83"/>
    <w:rsid w:val="3F6E2211"/>
    <w:rsid w:val="3F885DCC"/>
    <w:rsid w:val="3FCD675E"/>
    <w:rsid w:val="4004000C"/>
    <w:rsid w:val="406F4DF3"/>
    <w:rsid w:val="40CD40B8"/>
    <w:rsid w:val="40E871D8"/>
    <w:rsid w:val="411B6CE5"/>
    <w:rsid w:val="412070D7"/>
    <w:rsid w:val="41314E40"/>
    <w:rsid w:val="414251FC"/>
    <w:rsid w:val="41C807B5"/>
    <w:rsid w:val="41E0734B"/>
    <w:rsid w:val="41EA65DB"/>
    <w:rsid w:val="41FA05F4"/>
    <w:rsid w:val="422C4652"/>
    <w:rsid w:val="422F4D88"/>
    <w:rsid w:val="426554D0"/>
    <w:rsid w:val="426C1EA8"/>
    <w:rsid w:val="42736402"/>
    <w:rsid w:val="42AA0DAC"/>
    <w:rsid w:val="42BE7574"/>
    <w:rsid w:val="42E86A87"/>
    <w:rsid w:val="432604C6"/>
    <w:rsid w:val="432621DA"/>
    <w:rsid w:val="43307B09"/>
    <w:rsid w:val="434612D2"/>
    <w:rsid w:val="43585CD9"/>
    <w:rsid w:val="438D0E97"/>
    <w:rsid w:val="439A7102"/>
    <w:rsid w:val="43BB152F"/>
    <w:rsid w:val="442C27C4"/>
    <w:rsid w:val="4433033E"/>
    <w:rsid w:val="445909B7"/>
    <w:rsid w:val="44785080"/>
    <w:rsid w:val="44A9487A"/>
    <w:rsid w:val="44C37687"/>
    <w:rsid w:val="45C05E89"/>
    <w:rsid w:val="45CB699A"/>
    <w:rsid w:val="463E0DA9"/>
    <w:rsid w:val="465B470D"/>
    <w:rsid w:val="469D6AD4"/>
    <w:rsid w:val="471E6C84"/>
    <w:rsid w:val="4748792B"/>
    <w:rsid w:val="475D719D"/>
    <w:rsid w:val="47674801"/>
    <w:rsid w:val="479856ED"/>
    <w:rsid w:val="48225EF7"/>
    <w:rsid w:val="488F422B"/>
    <w:rsid w:val="48BF342A"/>
    <w:rsid w:val="48E36915"/>
    <w:rsid w:val="492D4C53"/>
    <w:rsid w:val="494D71AD"/>
    <w:rsid w:val="495C4A24"/>
    <w:rsid w:val="496818AA"/>
    <w:rsid w:val="497135DF"/>
    <w:rsid w:val="4A263DF2"/>
    <w:rsid w:val="4A6B36DF"/>
    <w:rsid w:val="4A6F6675"/>
    <w:rsid w:val="4A860354"/>
    <w:rsid w:val="4B0E1CA0"/>
    <w:rsid w:val="4B135857"/>
    <w:rsid w:val="4B4376EE"/>
    <w:rsid w:val="4B7951CB"/>
    <w:rsid w:val="4B7C315C"/>
    <w:rsid w:val="4B7C389F"/>
    <w:rsid w:val="4BA62672"/>
    <w:rsid w:val="4CD73953"/>
    <w:rsid w:val="4CF6538E"/>
    <w:rsid w:val="4CF837FE"/>
    <w:rsid w:val="4CFE1262"/>
    <w:rsid w:val="4DAC4ACA"/>
    <w:rsid w:val="4DBE01D2"/>
    <w:rsid w:val="4DF70659"/>
    <w:rsid w:val="4E682011"/>
    <w:rsid w:val="4EBA3FD6"/>
    <w:rsid w:val="4EC73C2A"/>
    <w:rsid w:val="4EFC6D10"/>
    <w:rsid w:val="4F0C6BA3"/>
    <w:rsid w:val="4F10477D"/>
    <w:rsid w:val="4F186D58"/>
    <w:rsid w:val="4F7414AB"/>
    <w:rsid w:val="4F7F53E5"/>
    <w:rsid w:val="4F8245C3"/>
    <w:rsid w:val="4FEA65B7"/>
    <w:rsid w:val="50544DFD"/>
    <w:rsid w:val="507D650D"/>
    <w:rsid w:val="50F06B6E"/>
    <w:rsid w:val="51094D42"/>
    <w:rsid w:val="51273F3C"/>
    <w:rsid w:val="51D02BCF"/>
    <w:rsid w:val="521D2985"/>
    <w:rsid w:val="52234D33"/>
    <w:rsid w:val="522A7E9F"/>
    <w:rsid w:val="522F6E0C"/>
    <w:rsid w:val="523E0CC2"/>
    <w:rsid w:val="52463BA1"/>
    <w:rsid w:val="528B653A"/>
    <w:rsid w:val="52F163D4"/>
    <w:rsid w:val="531A2DB4"/>
    <w:rsid w:val="53AF3DF2"/>
    <w:rsid w:val="53BF7544"/>
    <w:rsid w:val="53C0244D"/>
    <w:rsid w:val="53CD734F"/>
    <w:rsid w:val="53DD4D4E"/>
    <w:rsid w:val="53E578CE"/>
    <w:rsid w:val="53FA1CE8"/>
    <w:rsid w:val="541330F0"/>
    <w:rsid w:val="54272666"/>
    <w:rsid w:val="543B029D"/>
    <w:rsid w:val="547C471B"/>
    <w:rsid w:val="54861779"/>
    <w:rsid w:val="552256E1"/>
    <w:rsid w:val="554E5773"/>
    <w:rsid w:val="555A3CBC"/>
    <w:rsid w:val="5582012B"/>
    <w:rsid w:val="55844767"/>
    <w:rsid w:val="558A7B1C"/>
    <w:rsid w:val="558E4E05"/>
    <w:rsid w:val="5592500A"/>
    <w:rsid w:val="55BE2E85"/>
    <w:rsid w:val="56153044"/>
    <w:rsid w:val="56401EB7"/>
    <w:rsid w:val="56530F5D"/>
    <w:rsid w:val="567700D3"/>
    <w:rsid w:val="567E2B81"/>
    <w:rsid w:val="5695304C"/>
    <w:rsid w:val="56AE7ECD"/>
    <w:rsid w:val="56B30582"/>
    <w:rsid w:val="56FF7E9E"/>
    <w:rsid w:val="573568FB"/>
    <w:rsid w:val="57564392"/>
    <w:rsid w:val="57705E37"/>
    <w:rsid w:val="578867FC"/>
    <w:rsid w:val="57C311E4"/>
    <w:rsid w:val="57D26DA9"/>
    <w:rsid w:val="583A1F63"/>
    <w:rsid w:val="5842572D"/>
    <w:rsid w:val="58A813F5"/>
    <w:rsid w:val="59CA3010"/>
    <w:rsid w:val="5A3B59D6"/>
    <w:rsid w:val="5A807964"/>
    <w:rsid w:val="5AA70A51"/>
    <w:rsid w:val="5AD134D8"/>
    <w:rsid w:val="5AD30276"/>
    <w:rsid w:val="5AE40E28"/>
    <w:rsid w:val="5AF94F2D"/>
    <w:rsid w:val="5B043C82"/>
    <w:rsid w:val="5B602386"/>
    <w:rsid w:val="5B6503B1"/>
    <w:rsid w:val="5C0B3A2E"/>
    <w:rsid w:val="5C263CE4"/>
    <w:rsid w:val="5C377431"/>
    <w:rsid w:val="5C3C3915"/>
    <w:rsid w:val="5C53359A"/>
    <w:rsid w:val="5C553AF1"/>
    <w:rsid w:val="5C5D2777"/>
    <w:rsid w:val="5C742C6B"/>
    <w:rsid w:val="5CF66BF3"/>
    <w:rsid w:val="5D290C69"/>
    <w:rsid w:val="5DA86774"/>
    <w:rsid w:val="5DC623B2"/>
    <w:rsid w:val="5E95316B"/>
    <w:rsid w:val="5EA341E0"/>
    <w:rsid w:val="5EDB0570"/>
    <w:rsid w:val="5F246FE2"/>
    <w:rsid w:val="5F2D4A41"/>
    <w:rsid w:val="5F9B1D93"/>
    <w:rsid w:val="5FAE7CCF"/>
    <w:rsid w:val="5FC20A76"/>
    <w:rsid w:val="602A12CA"/>
    <w:rsid w:val="606953A8"/>
    <w:rsid w:val="60B02635"/>
    <w:rsid w:val="60C74F6C"/>
    <w:rsid w:val="60DA509B"/>
    <w:rsid w:val="61025A59"/>
    <w:rsid w:val="613D5BBC"/>
    <w:rsid w:val="61536C39"/>
    <w:rsid w:val="617304AF"/>
    <w:rsid w:val="61BE26CB"/>
    <w:rsid w:val="62603816"/>
    <w:rsid w:val="62944DD7"/>
    <w:rsid w:val="6319381F"/>
    <w:rsid w:val="63236436"/>
    <w:rsid w:val="639E2AEA"/>
    <w:rsid w:val="63C25DC5"/>
    <w:rsid w:val="63C62057"/>
    <w:rsid w:val="63D0460B"/>
    <w:rsid w:val="64571EF5"/>
    <w:rsid w:val="648464C3"/>
    <w:rsid w:val="64FB113D"/>
    <w:rsid w:val="655735F3"/>
    <w:rsid w:val="656152C6"/>
    <w:rsid w:val="6587477F"/>
    <w:rsid w:val="658C3A08"/>
    <w:rsid w:val="65C031CA"/>
    <w:rsid w:val="65CE6852"/>
    <w:rsid w:val="66117A50"/>
    <w:rsid w:val="66267C04"/>
    <w:rsid w:val="663F505A"/>
    <w:rsid w:val="66967186"/>
    <w:rsid w:val="66EE5541"/>
    <w:rsid w:val="67924660"/>
    <w:rsid w:val="67F5700D"/>
    <w:rsid w:val="680937D8"/>
    <w:rsid w:val="68163AA4"/>
    <w:rsid w:val="68407834"/>
    <w:rsid w:val="6883293E"/>
    <w:rsid w:val="688412AD"/>
    <w:rsid w:val="68EB1B71"/>
    <w:rsid w:val="69475C96"/>
    <w:rsid w:val="695F53EF"/>
    <w:rsid w:val="69613CB8"/>
    <w:rsid w:val="69CF6A6B"/>
    <w:rsid w:val="6A6B75F4"/>
    <w:rsid w:val="6AAD2300"/>
    <w:rsid w:val="6ADC232A"/>
    <w:rsid w:val="6B075F6F"/>
    <w:rsid w:val="6B474EF5"/>
    <w:rsid w:val="6BBF53FD"/>
    <w:rsid w:val="6BF140A4"/>
    <w:rsid w:val="6BF15478"/>
    <w:rsid w:val="6C1F0F4C"/>
    <w:rsid w:val="6C2B7A3C"/>
    <w:rsid w:val="6C560CAE"/>
    <w:rsid w:val="6C576495"/>
    <w:rsid w:val="6C8B60A9"/>
    <w:rsid w:val="6D0B64E1"/>
    <w:rsid w:val="6D903FF5"/>
    <w:rsid w:val="6DA955B8"/>
    <w:rsid w:val="6DCD2295"/>
    <w:rsid w:val="6DE346AB"/>
    <w:rsid w:val="6DE5391A"/>
    <w:rsid w:val="6EFD1324"/>
    <w:rsid w:val="6F2853DF"/>
    <w:rsid w:val="6F5A53AC"/>
    <w:rsid w:val="6FAC003D"/>
    <w:rsid w:val="6FC95538"/>
    <w:rsid w:val="6FD56A72"/>
    <w:rsid w:val="6FE55E12"/>
    <w:rsid w:val="6FFB2E76"/>
    <w:rsid w:val="703940E6"/>
    <w:rsid w:val="70540C8E"/>
    <w:rsid w:val="708F6F7F"/>
    <w:rsid w:val="70A20F9C"/>
    <w:rsid w:val="70D94BD3"/>
    <w:rsid w:val="711D4582"/>
    <w:rsid w:val="7175789F"/>
    <w:rsid w:val="71AB78BD"/>
    <w:rsid w:val="71C34D91"/>
    <w:rsid w:val="724F15A0"/>
    <w:rsid w:val="72844273"/>
    <w:rsid w:val="72DB336A"/>
    <w:rsid w:val="72DB435C"/>
    <w:rsid w:val="72E2613A"/>
    <w:rsid w:val="72F44B04"/>
    <w:rsid w:val="72F771F4"/>
    <w:rsid w:val="73071575"/>
    <w:rsid w:val="73594A86"/>
    <w:rsid w:val="736650B0"/>
    <w:rsid w:val="73934AD2"/>
    <w:rsid w:val="73D55B1D"/>
    <w:rsid w:val="73F06686"/>
    <w:rsid w:val="73FE5904"/>
    <w:rsid w:val="73FF4CE1"/>
    <w:rsid w:val="74383B66"/>
    <w:rsid w:val="74E7403D"/>
    <w:rsid w:val="750837F0"/>
    <w:rsid w:val="754758CF"/>
    <w:rsid w:val="7554226A"/>
    <w:rsid w:val="75917AD3"/>
    <w:rsid w:val="761E23EF"/>
    <w:rsid w:val="764C632A"/>
    <w:rsid w:val="764F62AB"/>
    <w:rsid w:val="765C45EC"/>
    <w:rsid w:val="76686DF7"/>
    <w:rsid w:val="767F3809"/>
    <w:rsid w:val="768A7619"/>
    <w:rsid w:val="76BD38FE"/>
    <w:rsid w:val="77067708"/>
    <w:rsid w:val="772E1EBA"/>
    <w:rsid w:val="77B87E7A"/>
    <w:rsid w:val="77EB79F7"/>
    <w:rsid w:val="781E326E"/>
    <w:rsid w:val="787603E9"/>
    <w:rsid w:val="787C4883"/>
    <w:rsid w:val="78B06BFD"/>
    <w:rsid w:val="796D60A4"/>
    <w:rsid w:val="79A031D5"/>
    <w:rsid w:val="79C73461"/>
    <w:rsid w:val="79F541B1"/>
    <w:rsid w:val="7A1525F7"/>
    <w:rsid w:val="7A1A4E08"/>
    <w:rsid w:val="7B420052"/>
    <w:rsid w:val="7B861484"/>
    <w:rsid w:val="7B965810"/>
    <w:rsid w:val="7BA14F7D"/>
    <w:rsid w:val="7BD06A28"/>
    <w:rsid w:val="7BE01536"/>
    <w:rsid w:val="7C3A7C0B"/>
    <w:rsid w:val="7C5248E4"/>
    <w:rsid w:val="7C566698"/>
    <w:rsid w:val="7C5866A3"/>
    <w:rsid w:val="7C6175EA"/>
    <w:rsid w:val="7CAC40AD"/>
    <w:rsid w:val="7CDC5475"/>
    <w:rsid w:val="7D0E6300"/>
    <w:rsid w:val="7D706F52"/>
    <w:rsid w:val="7D7406BB"/>
    <w:rsid w:val="7DB77BED"/>
    <w:rsid w:val="7DE94331"/>
    <w:rsid w:val="7DEE5275"/>
    <w:rsid w:val="7E4166D2"/>
    <w:rsid w:val="7E453952"/>
    <w:rsid w:val="7E8C7496"/>
    <w:rsid w:val="7EF72809"/>
    <w:rsid w:val="7F1E0E5D"/>
    <w:rsid w:val="7F402277"/>
    <w:rsid w:val="7F446A19"/>
    <w:rsid w:val="7F7452B9"/>
    <w:rsid w:val="7F93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4098</Words>
  <Characters>23363</Characters>
  <Lines>194</Lines>
  <Paragraphs>54</Paragraphs>
  <TotalTime>2</TotalTime>
  <ScaleCrop>false</ScaleCrop>
  <LinksUpToDate>false</LinksUpToDate>
  <CharactersWithSpaces>27407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2025-10-27T08:56:49Z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