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_GBK" w:cs="方正小标宋_GBK"/>
          <w:color w:val="auto"/>
          <w:sz w:val="44"/>
          <w:szCs w:val="44"/>
          <w:shd w:val="clear" w:color="auto" w:fill="FFFFFF"/>
        </w:rPr>
      </w:pPr>
      <w:r>
        <w:rPr>
          <w:rFonts w:hint="eastAsia" w:ascii="Times New Roman" w:hAnsi="Times New Roman" w:eastAsia="方正小标宋_GBK" w:cs="方正小标宋_GBK"/>
          <w:color w:val="auto"/>
          <w:sz w:val="44"/>
          <w:szCs w:val="44"/>
        </w:rPr>
        <w:t>秀山土家族苗族自治县梅江镇人民政府（本级）</w:t>
      </w:r>
      <w:r>
        <w:rPr>
          <w:rFonts w:hint="default" w:ascii="Times New Roman" w:hAnsi="Times New Roman" w:eastAsia="方正小标宋_GBK" w:cs="Times New Roman"/>
          <w:color w:val="auto"/>
          <w:sz w:val="44"/>
          <w:szCs w:val="44"/>
          <w:shd w:val="clear" w:color="auto" w:fill="FFFFFF"/>
        </w:rPr>
        <w:t>202</w:t>
      </w:r>
      <w:r>
        <w:rPr>
          <w:rFonts w:hint="default" w:ascii="Times New Roman" w:hAnsi="Times New Roman" w:eastAsia="方正小标宋_GBK" w:cs="Times New Roman"/>
          <w:color w:val="auto"/>
          <w:sz w:val="44"/>
          <w:szCs w:val="44"/>
          <w:shd w:val="clear" w:color="auto" w:fill="FFFFFF"/>
          <w:lang w:val="en-US" w:eastAsia="zh-CN"/>
        </w:rPr>
        <w:t>4</w:t>
      </w:r>
      <w:r>
        <w:rPr>
          <w:rFonts w:hint="eastAsia" w:ascii="Times New Roman" w:hAnsi="Times New Roman" w:eastAsia="方正小标宋_GBK" w:cs="方正小标宋_GBK"/>
          <w:color w:val="auto"/>
          <w:sz w:val="44"/>
          <w:szCs w:val="44"/>
          <w:shd w:val="clear" w:color="auto" w:fill="FFFFFF"/>
        </w:rPr>
        <w:t>年度决算</w:t>
      </w:r>
      <w:r>
        <w:rPr>
          <w:rFonts w:hint="eastAsia" w:ascii="Times New Roman" w:hAnsi="Times New Roman" w:eastAsia="方正小标宋_GBK" w:cs="方正小标宋_GBK"/>
          <w:color w:val="auto"/>
          <w:sz w:val="44"/>
          <w:szCs w:val="44"/>
          <w:shd w:val="clear" w:color="auto" w:fill="FFFFFF"/>
          <w:lang w:val="en-US" w:eastAsia="zh-CN"/>
        </w:rPr>
        <w:t>公开</w:t>
      </w:r>
      <w:r>
        <w:rPr>
          <w:rFonts w:hint="eastAsia" w:ascii="Times New Roman" w:hAnsi="Times New Roman" w:eastAsia="方正小标宋_GBK" w:cs="方正小标宋_GBK"/>
          <w:color w:val="auto"/>
          <w:sz w:val="44"/>
          <w:szCs w:val="44"/>
          <w:shd w:val="clear" w:color="auto" w:fill="FFFFFF"/>
        </w:rPr>
        <w:t>说明</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_GBK" w:cs="方正小标宋_GBK"/>
          <w:color w:val="auto"/>
          <w:sz w:val="44"/>
          <w:szCs w:val="44"/>
          <w:shd w:val="clear" w:color="auto" w:fill="FFFFFF"/>
        </w:rPr>
      </w:pP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Style w:val="12"/>
          <w:rFonts w:hint="default" w:ascii="Times New Roman" w:hAnsi="Times New Roman" w:eastAsia="方正楷体_GBK" w:cs="Times New Roman"/>
          <w:b w:val="0"/>
          <w:bCs w:val="0"/>
          <w:color w:val="auto"/>
          <w:sz w:val="32"/>
          <w:szCs w:val="32"/>
          <w:highlight w:val="none"/>
          <w:shd w:val="clear" w:color="auto" w:fill="FFFFFF"/>
        </w:rPr>
      </w:pPr>
      <w:r>
        <w:rPr>
          <w:rStyle w:val="12"/>
          <w:rFonts w:hint="default" w:ascii="Times New Roman" w:hAnsi="Times New Roman" w:eastAsia="方正黑体_GBK" w:cs="Times New Roman"/>
          <w:b w:val="0"/>
          <w:bCs w:val="0"/>
          <w:color w:val="auto"/>
          <w:sz w:val="32"/>
          <w:szCs w:val="32"/>
          <w:highlight w:val="none"/>
          <w:shd w:val="clear" w:color="auto" w:fill="FFFFFF"/>
        </w:rPr>
        <w:t>一、</w:t>
      </w:r>
      <w:r>
        <w:rPr>
          <w:rStyle w:val="12"/>
          <w:rFonts w:hint="default" w:ascii="Times New Roman" w:hAnsi="Times New Roman" w:eastAsia="方正黑体_GBK" w:cs="Times New Roman"/>
          <w:b w:val="0"/>
          <w:bCs w:val="0"/>
          <w:color w:val="auto"/>
          <w:sz w:val="32"/>
          <w:szCs w:val="32"/>
          <w:highlight w:val="none"/>
          <w:shd w:val="clear" w:color="auto" w:fill="FFFFFF"/>
          <w:lang w:val="en-US" w:eastAsia="zh-CN"/>
        </w:rPr>
        <w:t>单位</w:t>
      </w:r>
      <w:r>
        <w:rPr>
          <w:rStyle w:val="12"/>
          <w:rFonts w:hint="default" w:ascii="Times New Roman" w:hAnsi="Times New Roman" w:eastAsia="方正黑体_GBK" w:cs="Times New Roman"/>
          <w:b w:val="0"/>
          <w:bCs w:val="0"/>
          <w:color w:val="auto"/>
          <w:sz w:val="32"/>
          <w:szCs w:val="32"/>
          <w:highlight w:val="none"/>
          <w:shd w:val="clear" w:color="auto" w:fill="FFFFFF"/>
        </w:rPr>
        <w:t>基本情况</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2"/>
          <w:rFonts w:hint="default" w:ascii="Times New Roman" w:hAnsi="Times New Roman" w:eastAsia="方正楷体_GBK" w:cs="Times New Roman"/>
          <w:b w:val="0"/>
          <w:bCs/>
          <w:color w:val="auto"/>
          <w:sz w:val="32"/>
          <w:szCs w:val="32"/>
          <w:highlight w:val="none"/>
          <w:shd w:val="clear" w:color="auto" w:fill="FFFFFF"/>
        </w:rPr>
        <w:t>（一）职能职责</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梅江镇</w:t>
      </w:r>
      <w:r>
        <w:rPr>
          <w:rFonts w:hint="eastAsia" w:ascii="Times New Roman" w:hAnsi="Times New Roman" w:eastAsia="方正仿宋_GBK" w:cs="Times New Roman"/>
          <w:color w:val="auto"/>
          <w:sz w:val="32"/>
          <w:szCs w:val="32"/>
          <w:highlight w:val="none"/>
          <w:shd w:val="clear" w:color="auto" w:fill="FFFFFF"/>
          <w:lang w:val="en-US" w:eastAsia="zh-CN"/>
        </w:rPr>
        <w:t>人民</w:t>
      </w:r>
      <w:r>
        <w:rPr>
          <w:rFonts w:hint="default" w:ascii="Times New Roman" w:hAnsi="Times New Roman" w:eastAsia="方正仿宋_GBK" w:cs="Times New Roman"/>
          <w:color w:val="auto"/>
          <w:sz w:val="32"/>
          <w:szCs w:val="32"/>
          <w:highlight w:val="none"/>
          <w:shd w:val="clear" w:color="auto" w:fill="FFFFFF"/>
        </w:rPr>
        <w:t>政府主要负责党和国家重大方针政策在基层的贯彻落实，聚焦党的建设、经济发展、民生服务、平安法治等核心职能，构建党建统领、权责清晰、运行顺畅、充满活力的基层治理格局。</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none"/>
        </w:rPr>
      </w:pPr>
      <w:r>
        <w:rPr>
          <w:rStyle w:val="12"/>
          <w:rFonts w:hint="default" w:ascii="Times New Roman" w:hAnsi="Times New Roman" w:eastAsia="方正楷体_GBK" w:cs="Times New Roman"/>
          <w:b w:val="0"/>
          <w:bCs/>
          <w:color w:val="auto"/>
          <w:sz w:val="32"/>
          <w:szCs w:val="32"/>
          <w:highlight w:val="none"/>
          <w:shd w:val="clear" w:color="auto" w:fill="FFFFFF"/>
        </w:rPr>
        <w:t>（二）机构设置</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秀山土家族苗族自治县梅江镇人民政府（本级）为梅江镇人民政府下属二级单位，本单位有机关行政编制人员</w:t>
      </w:r>
      <w:r>
        <w:rPr>
          <w:rFonts w:hint="eastAsia" w:ascii="Times New Roman" w:hAnsi="Times New Roman" w:eastAsia="方正仿宋_GBK" w:cs="Times New Roman"/>
          <w:color w:val="auto"/>
          <w:sz w:val="32"/>
          <w:szCs w:val="32"/>
          <w:highlight w:val="none"/>
          <w:shd w:val="clear" w:color="auto" w:fill="FFFFFF"/>
          <w:lang w:val="en-US" w:eastAsia="zh-CN"/>
        </w:rPr>
        <w:t>32</w:t>
      </w:r>
      <w:r>
        <w:rPr>
          <w:rFonts w:hint="default" w:ascii="Times New Roman" w:hAnsi="Times New Roman" w:eastAsia="方正仿宋_GBK" w:cs="Times New Roman"/>
          <w:b w:val="0"/>
          <w:bCs w:val="0"/>
          <w:color w:val="auto"/>
          <w:sz w:val="32"/>
          <w:szCs w:val="32"/>
          <w:highlight w:val="none"/>
          <w:shd w:val="clear" w:color="auto" w:fill="FFFFFF"/>
        </w:rPr>
        <w:t>名。</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Style w:val="12"/>
          <w:rFonts w:hint="default" w:ascii="Times New Roman" w:hAnsi="Times New Roman" w:eastAsia="方正黑体_GBK" w:cs="Times New Roman"/>
          <w:b w:val="0"/>
          <w:bCs w:val="0"/>
          <w:color w:val="auto"/>
          <w:sz w:val="32"/>
          <w:szCs w:val="32"/>
          <w:highlight w:val="none"/>
          <w:shd w:val="clear" w:color="auto" w:fill="FFFFFF"/>
        </w:rPr>
      </w:pPr>
      <w:r>
        <w:rPr>
          <w:rStyle w:val="12"/>
          <w:rFonts w:hint="default" w:ascii="Times New Roman" w:hAnsi="Times New Roman" w:eastAsia="方正黑体_GBK" w:cs="Times New Roman"/>
          <w:b w:val="0"/>
          <w:bCs w:val="0"/>
          <w:color w:val="auto"/>
          <w:sz w:val="32"/>
          <w:szCs w:val="32"/>
          <w:highlight w:val="none"/>
          <w:shd w:val="clear" w:color="auto" w:fill="FFFFFF"/>
        </w:rPr>
        <w:t>二、单位决算收支情况说明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（一）收入支出决算总体情况说明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w:t>
      </w:r>
      <w:r>
        <w:rPr>
          <w:rFonts w:hint="eastAsia" w:ascii="Times New Roman" w:hAnsi="Times New Roman" w:eastAsia="方正仿宋_GBK" w:cs="方正仿宋_GBK"/>
          <w:color w:val="auto"/>
          <w:sz w:val="32"/>
          <w:szCs w:val="32"/>
          <w:shd w:val="clear" w:color="auto" w:fill="FFFFFF"/>
          <w:lang w:eastAsia="zh-CN"/>
        </w:rPr>
        <w:t>、支</w:t>
      </w:r>
      <w:r>
        <w:rPr>
          <w:rFonts w:ascii="Times New Roman" w:hAnsi="Times New Roman" w:eastAsia="方正仿宋_GBK" w:cs="方正仿宋_GBK"/>
          <w:color w:val="auto"/>
          <w:sz w:val="32"/>
          <w:szCs w:val="32"/>
          <w:shd w:val="clear" w:color="auto" w:fill="FFFFFF"/>
        </w:rPr>
        <w:t>总计</w:t>
      </w:r>
      <w:r>
        <w:rPr>
          <w:rFonts w:hint="eastAsia" w:ascii="Times New Roman" w:hAnsi="Times New Roman"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2760.49</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收、支与2023年度相比，减少723.92万元，下降20.8%</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本年项目</w:t>
      </w:r>
      <w:r>
        <w:rPr>
          <w:rFonts w:hint="eastAsia" w:ascii="Times New Roman" w:hAnsi="Times New Roman" w:eastAsia="方正仿宋_GBK" w:cs="Times New Roman"/>
          <w:color w:val="auto"/>
          <w:sz w:val="32"/>
          <w:szCs w:val="32"/>
          <w:highlight w:val="none"/>
          <w:shd w:val="clear" w:color="auto" w:fill="FFFFFF"/>
          <w:lang w:val="en-US" w:eastAsia="zh-CN"/>
        </w:rPr>
        <w:t>数</w:t>
      </w:r>
      <w:r>
        <w:rPr>
          <w:rFonts w:hint="default" w:ascii="Times New Roman" w:hAnsi="Times New Roman" w:eastAsia="方正仿宋_GBK" w:cs="Times New Roman"/>
          <w:color w:val="auto"/>
          <w:sz w:val="32"/>
          <w:szCs w:val="32"/>
          <w:highlight w:val="none"/>
          <w:shd w:val="clear" w:color="auto" w:fill="FFFFFF"/>
          <w:lang w:val="en-US" w:eastAsia="zh-CN"/>
        </w:rPr>
        <w:t>较上年减少</w:t>
      </w:r>
      <w:r>
        <w:rPr>
          <w:rFonts w:hint="eastAsia" w:ascii="Times New Roman" w:hAnsi="Times New Roman" w:eastAsia="方正仿宋_GBK" w:cs="Times New Roman"/>
          <w:color w:val="auto"/>
          <w:sz w:val="32"/>
          <w:szCs w:val="32"/>
          <w:highlight w:val="none"/>
          <w:shd w:val="clear" w:color="auto" w:fill="FFFFFF"/>
          <w:lang w:val="en-US" w:eastAsia="zh-CN"/>
        </w:rPr>
        <w:t>。</w:t>
      </w:r>
    </w:p>
    <w:p>
      <w:pPr>
        <w:pStyle w:val="10"/>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方正仿宋_GBK"/>
          <w:color w:val="auto"/>
          <w:sz w:val="32"/>
          <w:szCs w:val="32"/>
          <w:shd w:val="clear" w:color="auto" w:fill="FFFFFF"/>
        </w:rPr>
      </w:pPr>
      <w:r>
        <w:rPr>
          <w:rStyle w:val="12"/>
          <w:rFonts w:hint="eastAsia" w:ascii="Times New Roman" w:hAnsi="Times New Roman" w:eastAsia="方正仿宋_GBK"/>
          <w:color w:val="auto"/>
          <w:sz w:val="32"/>
          <w:szCs w:val="32"/>
          <w:shd w:val="clear" w:color="auto" w:fill="FFFFFF"/>
          <w:lang w:val="en-US" w:eastAsia="zh-CN"/>
        </w:rPr>
        <w:t>1</w:t>
      </w:r>
      <w:r>
        <w:rPr>
          <w:rStyle w:val="12"/>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2733.88</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与2023年度相比，减少607.14万元，下降18.2%</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本年项目</w:t>
      </w:r>
      <w:r>
        <w:rPr>
          <w:rFonts w:hint="eastAsia" w:ascii="Times New Roman" w:hAnsi="Times New Roman" w:eastAsia="方正仿宋_GBK" w:cs="Times New Roman"/>
          <w:color w:val="auto"/>
          <w:sz w:val="32"/>
          <w:szCs w:val="32"/>
          <w:highlight w:val="none"/>
          <w:shd w:val="clear" w:color="auto" w:fill="FFFFFF"/>
          <w:lang w:val="en-US" w:eastAsia="zh-CN"/>
        </w:rPr>
        <w:t>数</w:t>
      </w:r>
      <w:r>
        <w:rPr>
          <w:rFonts w:hint="default" w:ascii="Times New Roman" w:hAnsi="Times New Roman" w:eastAsia="方正仿宋_GBK" w:cs="Times New Roman"/>
          <w:color w:val="auto"/>
          <w:sz w:val="32"/>
          <w:szCs w:val="32"/>
          <w:highlight w:val="none"/>
          <w:shd w:val="clear" w:color="auto" w:fill="FFFFFF"/>
          <w:lang w:val="en-US" w:eastAsia="zh-CN"/>
        </w:rPr>
        <w:t>较上年减少</w:t>
      </w:r>
      <w:r>
        <w:rPr>
          <w:rFonts w:ascii="Times New Roman" w:hAnsi="Times New Roman"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2733.88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w:t>
      </w:r>
      <w:r>
        <w:rPr>
          <w:rFonts w:hint="eastAsia" w:ascii="Times New Roman" w:hAnsi="Times New Roman"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26.60</w:t>
      </w:r>
      <w:r>
        <w:rPr>
          <w:rFonts w:ascii="Times New Roman" w:hAnsi="Times New Roman" w:eastAsia="方正仿宋_GBK" w:cs="方正仿宋_GBK"/>
          <w:color w:val="auto"/>
          <w:sz w:val="32"/>
          <w:szCs w:val="32"/>
          <w:shd w:val="clear" w:color="auto" w:fill="FFFFFF"/>
        </w:rPr>
        <w:t>万元。</w:t>
      </w:r>
    </w:p>
    <w:p>
      <w:pPr>
        <w:pStyle w:val="10"/>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12"/>
          <w:rFonts w:hint="eastAsia" w:ascii="Times New Roman" w:hAnsi="Times New Roman" w:eastAsia="方正仿宋_GBK"/>
          <w:color w:val="auto"/>
          <w:sz w:val="32"/>
          <w:szCs w:val="32"/>
          <w:shd w:val="clear" w:color="auto" w:fill="FFFFFF"/>
          <w:lang w:val="en-US" w:eastAsia="zh-CN"/>
        </w:rPr>
        <w:t>2</w:t>
      </w:r>
      <w:r>
        <w:rPr>
          <w:rStyle w:val="12"/>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2760.49</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与2023年度相比，减少697.32万元，下降20.2%</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本年项目</w:t>
      </w:r>
      <w:r>
        <w:rPr>
          <w:rFonts w:hint="eastAsia" w:ascii="Times New Roman" w:hAnsi="Times New Roman" w:eastAsia="方正仿宋_GBK" w:cs="Times New Roman"/>
          <w:color w:val="auto"/>
          <w:sz w:val="32"/>
          <w:szCs w:val="32"/>
          <w:highlight w:val="none"/>
          <w:shd w:val="clear" w:color="auto" w:fill="FFFFFF"/>
          <w:lang w:val="en-US" w:eastAsia="zh-CN"/>
        </w:rPr>
        <w:t>数</w:t>
      </w:r>
      <w:r>
        <w:rPr>
          <w:rFonts w:hint="default" w:ascii="Times New Roman" w:hAnsi="Times New Roman" w:eastAsia="方正仿宋_GBK" w:cs="Times New Roman"/>
          <w:color w:val="auto"/>
          <w:sz w:val="32"/>
          <w:szCs w:val="32"/>
          <w:highlight w:val="none"/>
          <w:shd w:val="clear" w:color="auto" w:fill="FFFFFF"/>
          <w:lang w:val="en-US" w:eastAsia="zh-CN"/>
        </w:rPr>
        <w:t>较上年减少</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ascii="Times New Roman" w:hAnsi="Times New Roman"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1112.61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40.3%</w:t>
      </w:r>
      <w:r>
        <w:rPr>
          <w:rFonts w:ascii="Times New Roman" w:hAnsi="Times New Roman"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1647.88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59.7%</w:t>
      </w:r>
      <w:r>
        <w:rPr>
          <w:rFonts w:ascii="Times New Roman" w:hAnsi="Times New Roman"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12"/>
          <w:rFonts w:hint="eastAsia" w:ascii="Times New Roman" w:hAnsi="Times New Roman" w:eastAsia="方正仿宋_GBK"/>
          <w:color w:val="auto"/>
          <w:sz w:val="32"/>
          <w:szCs w:val="32"/>
          <w:shd w:val="clear" w:color="auto" w:fill="FFFFFF"/>
          <w:lang w:val="en-US" w:eastAsia="zh-CN"/>
        </w:rPr>
        <w:t>3</w:t>
      </w:r>
      <w:r>
        <w:rPr>
          <w:rStyle w:val="12"/>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与2023年度相比，减少26.60万元，下降100.0%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主要原因是202</w:t>
      </w:r>
      <w:r>
        <w:rPr>
          <w:rFonts w:hint="eastAsia"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年度年末一般公共预算财政拨款结转和结余</w:t>
      </w:r>
      <w:r>
        <w:rPr>
          <w:rFonts w:hint="eastAsia" w:ascii="Times New Roman" w:hAnsi="Times New Roman" w:eastAsia="方正仿宋_GBK" w:cs="Times New Roman"/>
          <w:color w:val="auto"/>
          <w:sz w:val="32"/>
          <w:szCs w:val="32"/>
          <w:highlight w:val="none"/>
          <w:shd w:val="clear" w:color="auto" w:fill="FFFFFF"/>
          <w:lang w:val="en-US" w:eastAsia="zh-CN"/>
        </w:rPr>
        <w:t>为</w:t>
      </w:r>
      <w:r>
        <w:rPr>
          <w:rFonts w:hint="default" w:ascii="Times New Roman" w:hAnsi="Times New Roman" w:eastAsia="方正仿宋_GBK" w:cs="Times New Roman"/>
          <w:color w:val="auto"/>
          <w:sz w:val="32"/>
          <w:szCs w:val="32"/>
          <w:highlight w:val="none"/>
          <w:shd w:val="clear" w:color="auto" w:fill="FFFFFF"/>
          <w:lang w:val="en-US" w:eastAsia="zh-CN"/>
        </w:rPr>
        <w:t>公务员（参公、机关工人）年度考核奖非统发部分清算</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rPr>
        <w:t>结转到</w:t>
      </w:r>
      <w:r>
        <w:rPr>
          <w:rFonts w:hint="eastAsia" w:ascii="Times New Roman" w:hAnsi="Times New Roman" w:eastAsia="方正仿宋_GBK" w:cs="Times New Roman"/>
          <w:color w:val="auto"/>
          <w:sz w:val="32"/>
          <w:szCs w:val="32"/>
          <w:highlight w:val="none"/>
          <w:shd w:val="clear" w:color="auto" w:fill="FFFFFF"/>
          <w:lang w:val="en-US" w:eastAsia="zh-CN"/>
        </w:rPr>
        <w:t>本</w:t>
      </w:r>
      <w:r>
        <w:rPr>
          <w:rFonts w:hint="default" w:ascii="Times New Roman" w:hAnsi="Times New Roman" w:eastAsia="方正仿宋_GBK" w:cs="Times New Roman"/>
          <w:color w:val="auto"/>
          <w:sz w:val="32"/>
          <w:szCs w:val="32"/>
          <w:highlight w:val="none"/>
          <w:shd w:val="clear" w:color="auto" w:fill="FFFFFF"/>
        </w:rPr>
        <w:t>年支付，</w:t>
      </w:r>
      <w:r>
        <w:rPr>
          <w:rFonts w:hint="eastAsia" w:ascii="Times New Roman" w:hAnsi="Times New Roman" w:eastAsia="方正仿宋_GBK" w:cs="Times New Roman"/>
          <w:color w:val="auto"/>
          <w:sz w:val="32"/>
          <w:szCs w:val="32"/>
          <w:highlight w:val="none"/>
          <w:shd w:val="clear" w:color="auto" w:fill="FFFFFF"/>
          <w:lang w:val="en-US" w:eastAsia="zh-CN"/>
        </w:rPr>
        <w:t>故本年</w:t>
      </w:r>
      <w:r>
        <w:rPr>
          <w:rFonts w:hint="default" w:ascii="Times New Roman" w:hAnsi="Times New Roman" w:eastAsia="方正仿宋_GBK" w:cs="Times New Roman"/>
          <w:color w:val="auto"/>
          <w:sz w:val="32"/>
          <w:szCs w:val="32"/>
          <w:highlight w:val="none"/>
          <w:shd w:val="clear" w:color="auto" w:fill="FFFFFF"/>
        </w:rPr>
        <w:t>无年末结余</w:t>
      </w:r>
      <w:r>
        <w:rPr>
          <w:rFonts w:hint="eastAsia" w:ascii="Times New Roman" w:hAnsi="Times New Roman" w:eastAsia="方正仿宋_GBK" w:cs="Times New Roman"/>
          <w:color w:val="auto"/>
          <w:sz w:val="32"/>
          <w:szCs w:val="32"/>
          <w:highlight w:val="none"/>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（二）财政拨款收入支出决算总体情况说明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2760.49</w:t>
      </w:r>
      <w:r>
        <w:rPr>
          <w:rFonts w:ascii="Times New Roman" w:hAnsi="Times New Roman"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Times New Roman" w:hAnsi="Times New Roman" w:eastAsia="方正仿宋_GBK" w:cs="方正仿宋_GBK"/>
          <w:color w:val="auto"/>
          <w:sz w:val="32"/>
          <w:szCs w:val="32"/>
          <w:shd w:val="clear" w:color="auto" w:fill="FFFFFF"/>
        </w:rPr>
        <w:t>年</w:t>
      </w:r>
      <w:r>
        <w:rPr>
          <w:rFonts w:hint="eastAsia" w:ascii="Times New Roman" w:hAnsi="Times New Roman" w:eastAsia="方正仿宋_GBK" w:cs="方正仿宋_GBK"/>
          <w:color w:val="auto"/>
          <w:sz w:val="32"/>
          <w:szCs w:val="32"/>
          <w:shd w:val="clear" w:color="auto" w:fill="FFFFFF"/>
          <w:lang w:eastAsia="zh-CN"/>
        </w:rPr>
        <w:t>度</w:t>
      </w:r>
      <w:r>
        <w:rPr>
          <w:rFonts w:ascii="Times New Roman" w:hAnsi="Times New Roman"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财政拨款收、支总计各减少723.92万元，下降20.8%</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本年项目</w:t>
      </w:r>
      <w:r>
        <w:rPr>
          <w:rFonts w:hint="eastAsia" w:ascii="Times New Roman" w:hAnsi="Times New Roman" w:eastAsia="方正仿宋_GBK" w:cs="Times New Roman"/>
          <w:color w:val="auto"/>
          <w:sz w:val="32"/>
          <w:szCs w:val="32"/>
          <w:highlight w:val="none"/>
          <w:shd w:val="clear" w:color="auto" w:fill="FFFFFF"/>
          <w:lang w:val="en-US" w:eastAsia="zh-CN"/>
        </w:rPr>
        <w:t>数</w:t>
      </w:r>
      <w:r>
        <w:rPr>
          <w:rFonts w:hint="default" w:ascii="Times New Roman" w:hAnsi="Times New Roman" w:eastAsia="方正仿宋_GBK" w:cs="Times New Roman"/>
          <w:color w:val="auto"/>
          <w:sz w:val="32"/>
          <w:szCs w:val="32"/>
          <w:highlight w:val="none"/>
          <w:shd w:val="clear" w:color="auto" w:fill="FFFFFF"/>
          <w:lang w:val="en-US" w:eastAsia="zh-CN"/>
        </w:rPr>
        <w:t>较上年减少</w:t>
      </w:r>
      <w:r>
        <w:rPr>
          <w:rFonts w:hint="eastAsia" w:ascii="Times New Roman" w:hAnsi="Times New Roman" w:eastAsia="方正仿宋_GBK" w:cs="Times New Roman"/>
          <w:color w:val="auto"/>
          <w:sz w:val="32"/>
          <w:szCs w:val="32"/>
          <w:highlight w:val="none"/>
          <w:shd w:val="clear" w:color="auto" w:fill="FFFFFF"/>
          <w:lang w:val="en-US"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（三）一般公共预算财政拨款收入支出决算情况说明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12"/>
          <w:rFonts w:hint="default" w:ascii="Times New Roman" w:hAnsi="Times New Roman" w:eastAsia="方正仿宋_GBK"/>
          <w:color w:val="auto"/>
          <w:sz w:val="32"/>
          <w:szCs w:val="32"/>
          <w:shd w:val="clear" w:color="auto" w:fill="FFFFFF"/>
        </w:rPr>
        <w:t>1</w:t>
      </w:r>
      <w:r>
        <w:rPr>
          <w:rStyle w:val="12"/>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2713.88</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与2023年度相比，减少568.07万元，下降17.3%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本年项目</w:t>
      </w:r>
      <w:r>
        <w:rPr>
          <w:rFonts w:hint="eastAsia" w:ascii="Times New Roman" w:hAnsi="Times New Roman" w:eastAsia="方正仿宋_GBK" w:cs="Times New Roman"/>
          <w:color w:val="auto"/>
          <w:sz w:val="32"/>
          <w:szCs w:val="32"/>
          <w:highlight w:val="none"/>
          <w:shd w:val="clear" w:color="auto" w:fill="FFFFFF"/>
          <w:lang w:val="en-US" w:eastAsia="zh-CN"/>
        </w:rPr>
        <w:t>数</w:t>
      </w:r>
      <w:r>
        <w:rPr>
          <w:rFonts w:hint="default" w:ascii="Times New Roman" w:hAnsi="Times New Roman" w:eastAsia="方正仿宋_GBK" w:cs="Times New Roman"/>
          <w:color w:val="auto"/>
          <w:sz w:val="32"/>
          <w:szCs w:val="32"/>
          <w:highlight w:val="none"/>
          <w:shd w:val="clear" w:color="auto" w:fill="FFFFFF"/>
          <w:lang w:val="en-US" w:eastAsia="zh-CN"/>
        </w:rPr>
        <w:t>较上年减少</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olor w:val="auto"/>
          <w:sz w:val="32"/>
          <w:szCs w:val="32"/>
          <w:shd w:val="clear" w:color="auto" w:fill="FFFFFF"/>
        </w:rPr>
        <w:t>较年初预算数增加1002.13万元，增长58.5%</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eastAsia" w:ascii="Times New Roman" w:hAnsi="Times New Roman" w:eastAsia="方正仿宋_GBK" w:cs="Times New Roman"/>
          <w:color w:val="auto"/>
          <w:sz w:val="32"/>
          <w:szCs w:val="32"/>
          <w:highlight w:val="none"/>
          <w:shd w:val="clear" w:color="auto" w:fill="FFFFFF"/>
          <w:lang w:val="en-US" w:eastAsia="zh-CN"/>
        </w:rPr>
        <w:t>年中追加多笔项目预算</w:t>
      </w:r>
      <w:r>
        <w:rPr>
          <w:rFonts w:hint="default" w:ascii="Times New Roman" w:hAnsi="Times New Roman" w:eastAsia="方正仿宋_GBK" w:cs="Times New Roman"/>
          <w:color w:val="auto"/>
          <w:sz w:val="32"/>
          <w:szCs w:val="32"/>
          <w:highlight w:val="none"/>
          <w:shd w:val="clear" w:color="auto" w:fill="FFFFFF"/>
        </w:rPr>
        <w:t>。此外，年初财政拨款结转和结余26.60万元。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12"/>
          <w:rFonts w:hint="default" w:ascii="Times New Roman" w:hAnsi="Times New Roman" w:eastAsia="方正仿宋_GBK"/>
          <w:color w:val="auto"/>
          <w:sz w:val="32"/>
          <w:szCs w:val="32"/>
          <w:shd w:val="clear" w:color="auto" w:fill="FFFFFF"/>
        </w:rPr>
        <w:t>2</w:t>
      </w:r>
      <w:r>
        <w:rPr>
          <w:rStyle w:val="12"/>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2740.49</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与2023年度相比，减少658.24万元，下降19.4%</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本年项目</w:t>
      </w:r>
      <w:r>
        <w:rPr>
          <w:rFonts w:hint="eastAsia" w:ascii="Times New Roman" w:hAnsi="Times New Roman" w:eastAsia="方正仿宋_GBK" w:cs="Times New Roman"/>
          <w:color w:val="auto"/>
          <w:sz w:val="32"/>
          <w:szCs w:val="32"/>
          <w:highlight w:val="none"/>
          <w:shd w:val="clear" w:color="auto" w:fill="FFFFFF"/>
          <w:lang w:val="en-US" w:eastAsia="zh-CN"/>
        </w:rPr>
        <w:t>数</w:t>
      </w:r>
      <w:r>
        <w:rPr>
          <w:rFonts w:hint="default" w:ascii="Times New Roman" w:hAnsi="Times New Roman" w:eastAsia="方正仿宋_GBK" w:cs="Times New Roman"/>
          <w:color w:val="auto"/>
          <w:sz w:val="32"/>
          <w:szCs w:val="32"/>
          <w:highlight w:val="none"/>
          <w:shd w:val="clear" w:color="auto" w:fill="FFFFFF"/>
          <w:lang w:val="en-US" w:eastAsia="zh-CN"/>
        </w:rPr>
        <w:t>较上年减少</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olor w:val="auto"/>
          <w:sz w:val="32"/>
          <w:szCs w:val="32"/>
          <w:shd w:val="clear" w:color="auto" w:fill="FFFFFF"/>
        </w:rPr>
        <w:t>较年初预算数增加1028.74万元，增长60.1%</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eastAsia" w:ascii="Times New Roman" w:hAnsi="Times New Roman" w:eastAsia="方正仿宋_GBK" w:cs="Times New Roman"/>
          <w:color w:val="auto"/>
          <w:sz w:val="32"/>
          <w:szCs w:val="32"/>
          <w:highlight w:val="none"/>
          <w:shd w:val="clear" w:color="auto" w:fill="FFFFFF"/>
          <w:lang w:val="en-US" w:eastAsia="zh-CN"/>
        </w:rPr>
        <w:t>年中追加多笔项目预算</w:t>
      </w:r>
      <w:r>
        <w:rPr>
          <w:rFonts w:hint="default" w:ascii="Times New Roman" w:hAnsi="Times New Roman" w:eastAsia="方正仿宋_GBK" w:cs="Times New Roman"/>
          <w:color w:val="auto"/>
          <w:sz w:val="32"/>
          <w:szCs w:val="32"/>
          <w:highlight w:val="none"/>
          <w:shd w:val="clear" w:color="auto" w:fill="FFFFFF"/>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Times New Roman" w:hAnsi="Times New Roman" w:eastAsia="方正仿宋_GBK" w:cs="方正仿宋_GBK"/>
          <w:color w:val="auto"/>
          <w:sz w:val="32"/>
          <w:szCs w:val="32"/>
          <w:highlight w:val="none"/>
          <w:shd w:val="clear" w:color="auto" w:fill="FFFFFF"/>
        </w:rPr>
      </w:pPr>
      <w:r>
        <w:rPr>
          <w:rFonts w:ascii="Times New Roman" w:hAnsi="Times New Roman" w:eastAsia="方正仿宋_GBK" w:cs="方正仿宋_GBK"/>
          <w:color w:val="auto"/>
          <w:sz w:val="32"/>
          <w:szCs w:val="32"/>
          <w:highlight w:val="none"/>
          <w:shd w:val="clear" w:color="auto" w:fill="FFFFFF"/>
        </w:rPr>
        <w:t>一般公共预算财政拨款支出主要</w:t>
      </w:r>
      <w:r>
        <w:rPr>
          <w:rFonts w:hint="eastAsia" w:ascii="Times New Roman" w:hAnsi="Times New Roman" w:eastAsia="方正仿宋_GBK" w:cs="方正仿宋_GBK"/>
          <w:color w:val="auto"/>
          <w:sz w:val="32"/>
          <w:szCs w:val="32"/>
          <w:highlight w:val="none"/>
          <w:shd w:val="clear" w:color="auto" w:fill="FFFFFF"/>
          <w:lang w:eastAsia="zh-CN"/>
        </w:rPr>
        <w:t>用途如下</w:t>
      </w:r>
      <w:r>
        <w:rPr>
          <w:rFonts w:ascii="Times New Roman" w:hAnsi="Times New Roman" w:eastAsia="方正仿宋_GBK" w:cs="方正仿宋_GBK"/>
          <w:color w:val="auto"/>
          <w:sz w:val="32"/>
          <w:szCs w:val="32"/>
          <w:highlight w:val="none"/>
          <w:shd w:val="clear" w:color="auto" w:fill="FFFFFF"/>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rPr>
        <w:t>（1）</w:t>
      </w:r>
      <w:r>
        <w:rPr>
          <w:rFonts w:ascii="Times New Roman" w:hAnsi="Times New Roman"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990.66</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36.2%</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较年初预算数增加171.19万元，增长20.9%</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w:t>
      </w:r>
      <w:r>
        <w:rPr>
          <w:rFonts w:hint="eastAsia" w:ascii="Times New Roman" w:hAnsi="Times New Roman" w:eastAsia="方正仿宋_GBK" w:cs="Times New Roman"/>
          <w:color w:val="auto"/>
          <w:sz w:val="32"/>
          <w:szCs w:val="32"/>
          <w:highlight w:val="none"/>
          <w:shd w:val="clear" w:color="auto" w:fill="FFFFFF"/>
          <w:lang w:val="en-US" w:eastAsia="zh-CN"/>
        </w:rPr>
        <w:t>年中追加</w:t>
      </w:r>
      <w:r>
        <w:rPr>
          <w:rFonts w:hint="default" w:ascii="Times New Roman" w:hAnsi="Times New Roman" w:eastAsia="方正仿宋_GBK" w:cs="Times New Roman"/>
          <w:b w:val="0"/>
          <w:bCs/>
          <w:color w:val="auto"/>
          <w:kern w:val="0"/>
          <w:sz w:val="32"/>
          <w:szCs w:val="32"/>
          <w:highlight w:val="none"/>
          <w:shd w:val="clear" w:fill="FFFFFF"/>
          <w:lang w:eastAsia="zh-CN"/>
        </w:rPr>
        <w:t>党龄40年以上老党员生活补贴</w:t>
      </w:r>
      <w:r>
        <w:rPr>
          <w:rFonts w:hint="eastAsia"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shd w:val="clear" w:fill="FFFFFF"/>
          <w:lang w:eastAsia="zh-CN"/>
        </w:rPr>
        <w:t>丧葬费和一次性抚恤金</w:t>
      </w:r>
      <w:r>
        <w:rPr>
          <w:rFonts w:hint="eastAsia" w:ascii="Times New Roman" w:hAnsi="Times New Roman" w:eastAsia="方正仿宋_GBK" w:cs="Times New Roman"/>
          <w:b w:val="0"/>
          <w:bCs/>
          <w:color w:val="auto"/>
          <w:kern w:val="0"/>
          <w:sz w:val="32"/>
          <w:szCs w:val="32"/>
          <w:highlight w:val="none"/>
          <w:shd w:val="clear" w:fill="FFFFFF"/>
          <w:lang w:val="en-US" w:eastAsia="zh-CN"/>
        </w:rPr>
        <w:t>等</w:t>
      </w:r>
      <w:r>
        <w:rPr>
          <w:rFonts w:hint="eastAsia" w:ascii="Times New Roman" w:hAnsi="Times New Roman" w:eastAsia="方正仿宋_GBK" w:cs="Times New Roman"/>
          <w:color w:val="auto"/>
          <w:sz w:val="32"/>
          <w:szCs w:val="32"/>
          <w:highlight w:val="none"/>
          <w:shd w:val="clear" w:color="auto" w:fill="FFFFFF"/>
          <w:lang w:val="en-US" w:eastAsia="zh-CN"/>
        </w:rPr>
        <w:t>资金。</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s="方正仿宋_GBK"/>
          <w:color w:val="auto"/>
          <w:sz w:val="32"/>
          <w:szCs w:val="32"/>
          <w:shd w:val="clear" w:color="auto" w:fill="FFFFFF"/>
        </w:rPr>
        <w:t>公共安全支出</w:t>
      </w:r>
      <w:r>
        <w:rPr>
          <w:rFonts w:hint="default" w:ascii="Times New Roman" w:hAnsi="Times New Roman" w:eastAsia="方正仿宋_GBK"/>
          <w:color w:val="auto"/>
          <w:sz w:val="32"/>
          <w:szCs w:val="32"/>
          <w:shd w:val="clear" w:color="auto" w:fill="FFFFFF"/>
        </w:rPr>
        <w:t>12.37</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0.5%</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较年初预算数减少186.97万元，下降93.8%</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主要原因基层治理（平安及法治建设）奖补</w:t>
      </w:r>
      <w:r>
        <w:rPr>
          <w:rFonts w:hint="eastAsia" w:ascii="Times New Roman" w:hAnsi="Times New Roman" w:eastAsia="方正仿宋_GBK" w:cs="Times New Roman"/>
          <w:color w:val="auto"/>
          <w:sz w:val="32"/>
          <w:szCs w:val="32"/>
          <w:highlight w:val="none"/>
          <w:shd w:val="clear" w:color="auto" w:fill="FFFFFF"/>
          <w:lang w:val="en-US" w:eastAsia="zh-CN"/>
        </w:rPr>
        <w:t>等项目支出减少。</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rPr>
      </w:pP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24.00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0.9%</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较年初预算数增加24.00万元，增长100.0%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w:t>
      </w:r>
      <w:r>
        <w:rPr>
          <w:rFonts w:hint="eastAsia" w:ascii="Times New Roman" w:hAnsi="Times New Roman" w:eastAsia="方正仿宋_GBK" w:cs="Times New Roman"/>
          <w:color w:val="auto"/>
          <w:sz w:val="32"/>
          <w:szCs w:val="32"/>
          <w:highlight w:val="none"/>
          <w:shd w:val="clear" w:color="auto" w:fill="FFFFFF"/>
          <w:lang w:val="en-US" w:eastAsia="zh-CN"/>
        </w:rPr>
        <w:t>年中追加</w:t>
      </w:r>
      <w:r>
        <w:rPr>
          <w:rFonts w:hint="default" w:ascii="Times New Roman" w:hAnsi="Times New Roman" w:eastAsia="方正仿宋_GBK" w:cs="Times New Roman"/>
          <w:color w:val="auto"/>
          <w:sz w:val="32"/>
          <w:szCs w:val="32"/>
          <w:highlight w:val="none"/>
          <w:shd w:val="clear" w:color="auto" w:fill="FFFFFF"/>
        </w:rPr>
        <w:t>2023年国家非物质文化遗产保护资金（梅江六月六）</w:t>
      </w:r>
      <w:r>
        <w:rPr>
          <w:rFonts w:hint="eastAsia" w:ascii="Times New Roman" w:hAnsi="Times New Roman" w:eastAsia="方正仿宋_GBK" w:cs="Times New Roman"/>
          <w:color w:val="auto"/>
          <w:sz w:val="32"/>
          <w:szCs w:val="32"/>
          <w:highlight w:val="none"/>
          <w:shd w:val="clear" w:color="auto" w:fill="FFFFFF"/>
          <w:lang w:val="en-US" w:eastAsia="zh-CN"/>
        </w:rPr>
        <w:t>项目支出。</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rPr>
      </w:pP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s="方正仿宋_GBK"/>
          <w:color w:val="auto"/>
          <w:sz w:val="32"/>
          <w:szCs w:val="32"/>
          <w:shd w:val="clear" w:color="auto" w:fill="FFFFFF"/>
        </w:rPr>
        <w:t>社会保障</w:t>
      </w:r>
      <w:r>
        <w:rPr>
          <w:rFonts w:hint="eastAsia" w:ascii="Times New Roman" w:hAnsi="Times New Roman" w:eastAsia="方正仿宋_GBK" w:cs="方正仿宋_GBK"/>
          <w:color w:val="auto"/>
          <w:sz w:val="32"/>
          <w:szCs w:val="32"/>
          <w:shd w:val="clear" w:color="auto" w:fill="FFFFFF"/>
          <w:lang w:eastAsia="zh-CN"/>
        </w:rPr>
        <w:t>和</w:t>
      </w:r>
      <w:r>
        <w:rPr>
          <w:rFonts w:ascii="Times New Roman" w:hAnsi="Times New Roman"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193.04</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较年初预算数增加2.62万元，增长1.4%</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w:t>
      </w:r>
      <w:r>
        <w:rPr>
          <w:rFonts w:hint="eastAsia" w:ascii="Times New Roman" w:hAnsi="Times New Roman" w:eastAsia="方正仿宋_GBK" w:cs="Times New Roman"/>
          <w:color w:val="auto"/>
          <w:sz w:val="32"/>
          <w:szCs w:val="32"/>
          <w:highlight w:val="none"/>
          <w:shd w:val="clear" w:color="auto" w:fill="FFFFFF"/>
          <w:lang w:val="en-US" w:eastAsia="zh-CN"/>
        </w:rPr>
        <w:t>年中追加</w:t>
      </w:r>
      <w:r>
        <w:rPr>
          <w:rFonts w:hint="default" w:ascii="Times New Roman" w:hAnsi="Times New Roman" w:eastAsia="方正仿宋_GBK" w:cs="Times New Roman"/>
          <w:color w:val="auto"/>
          <w:sz w:val="32"/>
          <w:szCs w:val="32"/>
          <w:highlight w:val="none"/>
          <w:shd w:val="clear" w:color="auto" w:fill="FFFFFF"/>
        </w:rPr>
        <w:t>补缴事业单位工作人员2022-2024年养老保险</w:t>
      </w:r>
      <w:r>
        <w:rPr>
          <w:rFonts w:hint="eastAsia" w:ascii="Times New Roman" w:hAnsi="Times New Roman" w:eastAsia="方正仿宋_GBK" w:cs="Times New Roman"/>
          <w:color w:val="auto"/>
          <w:sz w:val="32"/>
          <w:szCs w:val="32"/>
          <w:highlight w:val="none"/>
          <w:shd w:val="clear" w:color="auto" w:fill="FFFFFF"/>
          <w:lang w:eastAsia="zh-CN"/>
        </w:rPr>
        <w:t>、</w:t>
      </w:r>
      <w:r>
        <w:rPr>
          <w:rFonts w:hint="eastAsia" w:ascii="Times New Roman" w:hAnsi="Times New Roman" w:eastAsia="方正仿宋_GBK" w:cs="Times New Roman"/>
          <w:color w:val="auto"/>
          <w:sz w:val="32"/>
          <w:szCs w:val="32"/>
          <w:highlight w:val="none"/>
          <w:shd w:val="clear" w:color="auto" w:fill="FFFFFF"/>
          <w:lang w:val="en-US" w:eastAsia="zh-CN"/>
        </w:rPr>
        <w:t>职业年金等资金支出。</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5</w:t>
      </w:r>
      <w:r>
        <w:rPr>
          <w:rFonts w:hint="default"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55.21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较年初预算数减少0.28万元，下降0.5%</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主要原因是本年末存在</w:t>
      </w:r>
      <w:r>
        <w:rPr>
          <w:rFonts w:hint="eastAsia" w:ascii="Times New Roman" w:hAnsi="Times New Roman" w:eastAsia="方正仿宋_GBK" w:cs="Times New Roman"/>
          <w:color w:val="auto"/>
          <w:sz w:val="32"/>
          <w:szCs w:val="32"/>
          <w:highlight w:val="none"/>
          <w:shd w:val="clear" w:color="auto" w:fill="FFFFFF"/>
          <w:lang w:val="en-US" w:eastAsia="zh-CN"/>
        </w:rPr>
        <w:t>编制内</w:t>
      </w:r>
      <w:r>
        <w:rPr>
          <w:rFonts w:hint="default" w:ascii="Times New Roman" w:hAnsi="Times New Roman" w:eastAsia="方正仿宋_GBK" w:cs="Times New Roman"/>
          <w:color w:val="auto"/>
          <w:sz w:val="32"/>
          <w:szCs w:val="32"/>
          <w:highlight w:val="none"/>
          <w:shd w:val="clear" w:color="auto" w:fill="FFFFFF"/>
        </w:rPr>
        <w:t>人员</w:t>
      </w:r>
      <w:r>
        <w:rPr>
          <w:rFonts w:hint="eastAsia" w:ascii="Times New Roman" w:hAnsi="Times New Roman" w:eastAsia="方正仿宋_GBK" w:cs="Times New Roman"/>
          <w:color w:val="auto"/>
          <w:sz w:val="32"/>
          <w:szCs w:val="32"/>
          <w:highlight w:val="none"/>
          <w:shd w:val="clear" w:color="auto" w:fill="FFFFFF"/>
          <w:lang w:val="en-US" w:eastAsia="zh-CN"/>
        </w:rPr>
        <w:t>变动。</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6</w:t>
      </w:r>
      <w:r>
        <w:rPr>
          <w:rFonts w:hint="default"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7.40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较年初预算数增加7.40万元，增长100.0%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eastAsia" w:ascii="Times New Roman" w:hAnsi="Times New Roman" w:eastAsia="方正仿宋_GBK" w:cs="Times New Roman"/>
          <w:color w:val="auto"/>
          <w:sz w:val="32"/>
          <w:szCs w:val="32"/>
          <w:highlight w:val="none"/>
          <w:shd w:val="clear" w:color="auto" w:fill="FFFFFF"/>
          <w:lang w:val="en-US" w:eastAsia="zh-CN"/>
        </w:rPr>
        <w:t>年中</w:t>
      </w:r>
      <w:r>
        <w:rPr>
          <w:rFonts w:hint="default" w:ascii="Times New Roman" w:hAnsi="Times New Roman" w:eastAsia="方正仿宋_GBK" w:cs="Times New Roman"/>
          <w:color w:val="auto"/>
          <w:sz w:val="32"/>
          <w:szCs w:val="32"/>
          <w:highlight w:val="none"/>
          <w:shd w:val="clear" w:color="auto" w:fill="FFFFFF"/>
          <w:lang w:val="en-US" w:eastAsia="zh-CN"/>
        </w:rPr>
        <w:t>追加乡镇环保专项</w:t>
      </w:r>
      <w:r>
        <w:rPr>
          <w:rFonts w:hint="eastAsia" w:ascii="Times New Roman" w:hAnsi="Times New Roman" w:eastAsia="方正仿宋_GBK" w:cs="Times New Roman"/>
          <w:color w:val="auto"/>
          <w:sz w:val="32"/>
          <w:szCs w:val="32"/>
          <w:highlight w:val="none"/>
          <w:shd w:val="clear" w:color="auto" w:fill="FFFFFF"/>
          <w:lang w:val="en-US" w:eastAsia="zh-CN"/>
        </w:rPr>
        <w:t>项目支出</w:t>
      </w:r>
      <w:r>
        <w:rPr>
          <w:rFonts w:hint="default" w:ascii="Times New Roman" w:hAnsi="Times New Roman" w:eastAsia="方正仿宋_GBK" w:cs="Times New Roman"/>
          <w:color w:val="auto"/>
          <w:sz w:val="32"/>
          <w:szCs w:val="32"/>
          <w:highlight w:val="none"/>
          <w:shd w:val="clear" w:color="auto" w:fill="FFFFFF"/>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7</w:t>
      </w:r>
      <w:r>
        <w:rPr>
          <w:rFonts w:hint="default"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1177.61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43.0%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较年初预算数增加879.02万元，增长294.4%</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w:t>
      </w:r>
      <w:r>
        <w:rPr>
          <w:rFonts w:hint="eastAsia" w:ascii="Times New Roman" w:hAnsi="Times New Roman" w:eastAsia="方正仿宋_GBK" w:cs="Times New Roman"/>
          <w:color w:val="auto"/>
          <w:sz w:val="32"/>
          <w:szCs w:val="32"/>
          <w:highlight w:val="none"/>
          <w:shd w:val="clear" w:color="auto" w:fill="FFFFFF"/>
          <w:lang w:val="en-US" w:eastAsia="zh-CN"/>
        </w:rPr>
        <w:t>年中追加</w:t>
      </w:r>
      <w:r>
        <w:rPr>
          <w:rFonts w:hint="default" w:ascii="Times New Roman" w:hAnsi="Times New Roman" w:eastAsia="方正仿宋_GBK" w:cs="Times New Roman"/>
          <w:color w:val="auto"/>
          <w:sz w:val="32"/>
          <w:szCs w:val="32"/>
          <w:highlight w:val="none"/>
          <w:shd w:val="clear" w:color="auto" w:fill="FFFFFF"/>
        </w:rPr>
        <w:t>梅江镇2024年民族村茶叶加工厂房建设项目</w:t>
      </w:r>
      <w:r>
        <w:rPr>
          <w:rFonts w:hint="eastAsia" w:ascii="Times New Roman" w:hAnsi="Times New Roman" w:eastAsia="方正仿宋_GBK" w:cs="Times New Roman"/>
          <w:color w:val="auto"/>
          <w:sz w:val="32"/>
          <w:szCs w:val="32"/>
          <w:highlight w:val="none"/>
          <w:shd w:val="clear" w:color="auto" w:fill="FFFFFF"/>
          <w:lang w:eastAsia="zh-CN"/>
        </w:rPr>
        <w:t>、梅江镇2024年关田村茶叶加工厂二期工程建设项目、梅江镇2024年财金协同支持镇乡产业发展奖补资金项目</w:t>
      </w:r>
      <w:r>
        <w:rPr>
          <w:rFonts w:hint="eastAsia" w:ascii="Times New Roman" w:hAnsi="Times New Roman" w:eastAsia="方正仿宋_GBK" w:cs="Times New Roman"/>
          <w:color w:val="auto"/>
          <w:sz w:val="32"/>
          <w:szCs w:val="32"/>
          <w:highlight w:val="none"/>
          <w:shd w:val="clear" w:color="auto" w:fill="FFFFFF"/>
          <w:lang w:val="en-US" w:eastAsia="zh-CN"/>
        </w:rPr>
        <w:t>等项目支出。</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8</w:t>
      </w:r>
      <w:r>
        <w:rPr>
          <w:rFonts w:hint="default"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s="方正仿宋_GBK"/>
          <w:color w:val="auto"/>
          <w:sz w:val="32"/>
          <w:szCs w:val="32"/>
        </w:rPr>
        <w:t>自然资源海洋气象等支出</w:t>
      </w:r>
      <w:r>
        <w:rPr>
          <w:rFonts w:hint="default" w:ascii="Times New Roman" w:hAnsi="Times New Roman" w:eastAsia="方正仿宋_GBK"/>
          <w:color w:val="auto"/>
          <w:sz w:val="32"/>
          <w:szCs w:val="32"/>
          <w:shd w:val="clear" w:color="auto" w:fill="FFFFFF"/>
        </w:rPr>
        <w:t>164.02</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6.0%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较年初预算数增加124.91万元，增长319.4%</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年中追加2023年耕地恢复补足工作奖补资金、秀山县耕地保护工作奖补资金</w:t>
      </w:r>
      <w:r>
        <w:rPr>
          <w:rFonts w:hint="eastAsia" w:ascii="Times New Roman" w:hAnsi="Times New Roman" w:eastAsia="方正仿宋_GBK" w:cs="Times New Roman"/>
          <w:color w:val="auto"/>
          <w:sz w:val="32"/>
          <w:szCs w:val="32"/>
          <w:highlight w:val="none"/>
          <w:shd w:val="clear" w:color="auto" w:fill="FFFFFF"/>
          <w:lang w:val="en-US" w:eastAsia="zh-CN"/>
        </w:rPr>
        <w:t>等项目支出。</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9</w:t>
      </w:r>
      <w:r>
        <w:rPr>
          <w:rFonts w:hint="default"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80.18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2.9%</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较年初预算数增加6.06万元，增长8.2%</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年中追加农村危房改造项目</w:t>
      </w:r>
      <w:r>
        <w:rPr>
          <w:rFonts w:hint="eastAsia" w:ascii="Times New Roman" w:hAnsi="Times New Roman" w:eastAsia="方正仿宋_GBK" w:cs="Times New Roman"/>
          <w:color w:val="auto"/>
          <w:sz w:val="32"/>
          <w:szCs w:val="32"/>
          <w:highlight w:val="none"/>
          <w:shd w:val="clear" w:color="auto" w:fill="FFFFFF"/>
          <w:lang w:val="en-US" w:eastAsia="zh-CN"/>
        </w:rPr>
        <w:t>等项目支出。</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val="en-US" w:eastAsia="zh-CN"/>
        </w:rPr>
        <w:t>10</w:t>
      </w:r>
      <w:r>
        <w:rPr>
          <w:rFonts w:hint="default"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s="方正仿宋_GBK"/>
          <w:color w:val="auto"/>
          <w:sz w:val="32"/>
          <w:szCs w:val="32"/>
        </w:rPr>
        <w:t>灾害防治及应急管理支出</w:t>
      </w:r>
      <w:r>
        <w:rPr>
          <w:rFonts w:hint="default" w:ascii="Times New Roman" w:hAnsi="Times New Roman" w:eastAsia="方正仿宋_GBK"/>
          <w:color w:val="auto"/>
          <w:sz w:val="32"/>
          <w:szCs w:val="32"/>
          <w:shd w:val="clear" w:color="auto" w:fill="FFFFFF"/>
        </w:rPr>
        <w:t>36.00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较年初预算数增加0.80万元，增长2.3%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年中追加2023年中央自然灾害救灾补助资金(洪涝灾害资金）</w:t>
      </w:r>
      <w:r>
        <w:rPr>
          <w:rFonts w:hint="eastAsia" w:ascii="Times New Roman" w:hAnsi="Times New Roman" w:eastAsia="方正仿宋_GBK" w:cs="Times New Roman"/>
          <w:color w:val="auto"/>
          <w:sz w:val="32"/>
          <w:szCs w:val="32"/>
          <w:highlight w:val="none"/>
          <w:shd w:val="clear" w:color="auto" w:fill="FFFFFF"/>
          <w:lang w:val="en-US" w:eastAsia="zh-CN"/>
        </w:rPr>
        <w:t>项目支出。</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Style w:val="12"/>
          <w:rFonts w:hint="default" w:ascii="Times New Roman" w:hAnsi="Times New Roman" w:eastAsia="方正仿宋_GBK"/>
          <w:color w:val="auto"/>
          <w:sz w:val="32"/>
          <w:szCs w:val="32"/>
          <w:shd w:val="clear" w:color="auto" w:fill="FFFFFF"/>
        </w:rPr>
        <w:t>3</w:t>
      </w:r>
      <w:r>
        <w:rPr>
          <w:rStyle w:val="12"/>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与2023年度相比，减少26.60万元，下降100.0%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主要原因是202</w:t>
      </w:r>
      <w:r>
        <w:rPr>
          <w:rFonts w:hint="eastAsia"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年度年末一般公共预算财政拨款结转和结余</w:t>
      </w:r>
      <w:r>
        <w:rPr>
          <w:rFonts w:hint="eastAsia" w:ascii="Times New Roman" w:hAnsi="Times New Roman" w:eastAsia="方正仿宋_GBK" w:cs="Times New Roman"/>
          <w:color w:val="auto"/>
          <w:sz w:val="32"/>
          <w:szCs w:val="32"/>
          <w:highlight w:val="none"/>
          <w:shd w:val="clear" w:color="auto" w:fill="FFFFFF"/>
          <w:lang w:val="en-US" w:eastAsia="zh-CN"/>
        </w:rPr>
        <w:t>为</w:t>
      </w:r>
      <w:r>
        <w:rPr>
          <w:rFonts w:hint="default" w:ascii="Times New Roman" w:hAnsi="Times New Roman" w:eastAsia="方正仿宋_GBK" w:cs="Times New Roman"/>
          <w:color w:val="auto"/>
          <w:sz w:val="32"/>
          <w:szCs w:val="32"/>
          <w:highlight w:val="none"/>
          <w:shd w:val="clear" w:color="auto" w:fill="FFFFFF"/>
          <w:lang w:val="en-US" w:eastAsia="zh-CN"/>
        </w:rPr>
        <w:t>公务员（参公、机关工人）年度考核奖非统发部分清算</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rPr>
        <w:t>结转到</w:t>
      </w:r>
      <w:r>
        <w:rPr>
          <w:rFonts w:hint="eastAsia" w:ascii="Times New Roman" w:hAnsi="Times New Roman" w:eastAsia="方正仿宋_GBK" w:cs="Times New Roman"/>
          <w:color w:val="auto"/>
          <w:sz w:val="32"/>
          <w:szCs w:val="32"/>
          <w:highlight w:val="none"/>
          <w:shd w:val="clear" w:color="auto" w:fill="FFFFFF"/>
          <w:lang w:val="en-US" w:eastAsia="zh-CN"/>
        </w:rPr>
        <w:t>本</w:t>
      </w:r>
      <w:r>
        <w:rPr>
          <w:rFonts w:hint="default" w:ascii="Times New Roman" w:hAnsi="Times New Roman" w:eastAsia="方正仿宋_GBK" w:cs="Times New Roman"/>
          <w:color w:val="auto"/>
          <w:sz w:val="32"/>
          <w:szCs w:val="32"/>
          <w:highlight w:val="none"/>
          <w:shd w:val="clear" w:color="auto" w:fill="FFFFFF"/>
        </w:rPr>
        <w:t>年支付，</w:t>
      </w:r>
      <w:r>
        <w:rPr>
          <w:rFonts w:hint="eastAsia" w:ascii="Times New Roman" w:hAnsi="Times New Roman" w:eastAsia="方正仿宋_GBK" w:cs="Times New Roman"/>
          <w:color w:val="auto"/>
          <w:sz w:val="32"/>
          <w:szCs w:val="32"/>
          <w:highlight w:val="none"/>
          <w:shd w:val="clear" w:color="auto" w:fill="FFFFFF"/>
          <w:lang w:val="en-US" w:eastAsia="zh-CN"/>
        </w:rPr>
        <w:t>故本年</w:t>
      </w:r>
      <w:r>
        <w:rPr>
          <w:rFonts w:hint="default" w:ascii="Times New Roman" w:hAnsi="Times New Roman" w:eastAsia="方正仿宋_GBK" w:cs="Times New Roman"/>
          <w:color w:val="auto"/>
          <w:sz w:val="32"/>
          <w:szCs w:val="32"/>
          <w:highlight w:val="none"/>
          <w:shd w:val="clear" w:color="auto" w:fill="FFFFFF"/>
        </w:rPr>
        <w:t>无年末结余</w:t>
      </w:r>
      <w:r>
        <w:rPr>
          <w:rFonts w:hint="eastAsia" w:ascii="Times New Roman" w:hAnsi="Times New Roman" w:eastAsia="方正仿宋_GBK" w:cs="Times New Roman"/>
          <w:color w:val="auto"/>
          <w:sz w:val="32"/>
          <w:szCs w:val="32"/>
          <w:highlight w:val="none"/>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（四）一般公共预算财政拨款基本支出决算情况说明</w:t>
      </w:r>
    </w:p>
    <w:p>
      <w:pPr>
        <w:pStyle w:val="10"/>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1112.61</w:t>
      </w:r>
      <w:r>
        <w:rPr>
          <w:rFonts w:ascii="Times New Roman" w:hAnsi="Times New Roman" w:eastAsia="方正仿宋_GBK" w:cs="方正仿宋_GBK"/>
          <w:color w:val="auto"/>
          <w:sz w:val="32"/>
          <w:szCs w:val="32"/>
          <w:shd w:val="clear" w:color="auto" w:fill="FFFFFF"/>
        </w:rPr>
        <w:t>万元。</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outlineLvl w:val="9"/>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其中：</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Fonts w:ascii="Times New Roman" w:hAnsi="Times New Roman"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948.95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与2023年度相比，增加2.54万元，增长0.3%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年中追加丧葬费和一次性抚恤金</w:t>
      </w:r>
      <w:r>
        <w:rPr>
          <w:rFonts w:hint="eastAsia" w:ascii="Times New Roman" w:hAnsi="Times New Roman" w:eastAsia="方正仿宋_GBK" w:cs="Times New Roman"/>
          <w:color w:val="auto"/>
          <w:sz w:val="32"/>
          <w:szCs w:val="32"/>
          <w:highlight w:val="none"/>
          <w:shd w:val="clear" w:color="auto" w:fill="FFFFFF"/>
          <w:lang w:val="en-US" w:eastAsia="zh-CN"/>
        </w:rPr>
        <w:t>项目支出。</w:t>
      </w:r>
      <w:r>
        <w:rPr>
          <w:rFonts w:hint="default" w:ascii="Times New Roman" w:hAnsi="Times New Roman" w:eastAsia="方正仿宋_GBK" w:cs="Times New Roman"/>
          <w:b w:val="0"/>
          <w:bCs/>
          <w:color w:val="auto"/>
          <w:kern w:val="0"/>
          <w:sz w:val="32"/>
          <w:szCs w:val="32"/>
          <w:highlight w:val="none"/>
          <w:shd w:val="clear" w:fill="FFFFFF"/>
        </w:rPr>
        <w:t>人员经费用途主要包括基本工资、津贴补贴、奖金、社会保障缴费等。</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ascii="Times New Roman" w:hAnsi="Times New Roman"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163.66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与2023年度相比，减少27.23万元，下降14.3%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主要原因是落实过紧日子政策，压缩各项公用经费的支出。公用经费用途主要包括支付办公费</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水电费</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网费、</w:t>
      </w:r>
      <w:r>
        <w:rPr>
          <w:rFonts w:hint="default" w:ascii="Times New Roman" w:hAnsi="Times New Roman" w:eastAsia="方正仿宋_GBK" w:cs="Times New Roman"/>
          <w:color w:val="auto"/>
          <w:sz w:val="32"/>
          <w:szCs w:val="32"/>
          <w:highlight w:val="none"/>
          <w:shd w:val="clear" w:color="auto" w:fill="FFFFFF"/>
        </w:rPr>
        <w:t>差旅费等。</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楷体"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（五）政府性基金预算收支决算情况说明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20.00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与2023年度相比，减少39.08万元，下降66.2%</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主要原因是政府性基金预算财政拨款</w:t>
      </w:r>
      <w:r>
        <w:rPr>
          <w:rFonts w:hint="eastAsia" w:ascii="Times New Roman" w:hAnsi="Times New Roman" w:eastAsia="方正仿宋_GBK" w:cs="Times New Roman"/>
          <w:color w:val="auto"/>
          <w:sz w:val="32"/>
          <w:szCs w:val="32"/>
          <w:highlight w:val="none"/>
          <w:shd w:val="clear" w:color="auto" w:fill="FFFFFF"/>
          <w:lang w:val="en-US" w:eastAsia="zh-CN"/>
        </w:rPr>
        <w:t>预算项目减少</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ascii="Times New Roman" w:hAnsi="Times New Roman"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20.00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与2023年度相比，减少39.08万元，下降66.2%</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主要原因是政府性基金预算财政拨款</w:t>
      </w:r>
      <w:r>
        <w:rPr>
          <w:rFonts w:hint="eastAsia" w:ascii="Times New Roman" w:hAnsi="Times New Roman" w:eastAsia="方正仿宋_GBK" w:cs="Times New Roman"/>
          <w:color w:val="auto"/>
          <w:sz w:val="32"/>
          <w:szCs w:val="32"/>
          <w:highlight w:val="none"/>
          <w:shd w:val="clear" w:color="auto" w:fill="FFFFFF"/>
          <w:lang w:val="en-US" w:eastAsia="zh-CN"/>
        </w:rPr>
        <w:t>预算项目减少</w:t>
      </w:r>
      <w:r>
        <w:rPr>
          <w:rFonts w:hint="default" w:ascii="Times New Roman" w:hAnsi="Times New Roman" w:eastAsia="方正仿宋_GBK" w:cs="Times New Roman"/>
          <w:color w:val="auto"/>
          <w:sz w:val="32"/>
          <w:szCs w:val="32"/>
          <w:highlight w:val="none"/>
          <w:shd w:val="clear" w:color="auto" w:fill="FFFFFF"/>
          <w:lang w:val="en-US"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（六）国有资本经营预算财政拨款支出决算情况说明</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年度无国有资本经营预算财政拨款支出。</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Style w:val="12"/>
          <w:rFonts w:hint="default" w:ascii="Times New Roman" w:hAnsi="Times New Roman" w:eastAsia="方正黑体_GBK" w:cs="Times New Roman"/>
          <w:b w:val="0"/>
          <w:bCs w:val="0"/>
          <w:color w:val="auto"/>
          <w:sz w:val="32"/>
          <w:szCs w:val="32"/>
          <w:highlight w:val="none"/>
          <w:shd w:val="clear" w:color="auto" w:fill="FFFFFF"/>
        </w:rPr>
      </w:pPr>
      <w:r>
        <w:rPr>
          <w:rStyle w:val="12"/>
          <w:rFonts w:hint="default" w:ascii="Times New Roman" w:hAnsi="Times New Roman" w:eastAsia="方正黑体_GBK" w:cs="Times New Roman"/>
          <w:b w:val="0"/>
          <w:bCs w:val="0"/>
          <w:color w:val="auto"/>
          <w:sz w:val="32"/>
          <w:szCs w:val="32"/>
          <w:highlight w:val="none"/>
          <w:shd w:val="clear" w:color="auto" w:fill="FFFFFF"/>
        </w:rPr>
        <w:t>三、财政拨款</w:t>
      </w:r>
      <w:r>
        <w:rPr>
          <w:rStyle w:val="12"/>
          <w:rFonts w:hint="eastAsia" w:ascii="Times New Roman" w:hAnsi="Times New Roman" w:eastAsia="方正黑体_GBK" w:cs="Times New Roman"/>
          <w:b w:val="0"/>
          <w:bCs w:val="0"/>
          <w:color w:val="auto"/>
          <w:sz w:val="32"/>
          <w:szCs w:val="32"/>
          <w:highlight w:val="none"/>
          <w:shd w:val="clear" w:color="auto" w:fill="FFFFFF"/>
          <w:lang w:eastAsia="zh-CN"/>
        </w:rPr>
        <w:t>“</w:t>
      </w:r>
      <w:r>
        <w:rPr>
          <w:rStyle w:val="12"/>
          <w:rFonts w:hint="default" w:ascii="Times New Roman" w:hAnsi="Times New Roman" w:eastAsia="方正黑体_GBK" w:cs="Times New Roman"/>
          <w:b w:val="0"/>
          <w:bCs w:val="0"/>
          <w:color w:val="auto"/>
          <w:sz w:val="32"/>
          <w:szCs w:val="32"/>
          <w:highlight w:val="none"/>
          <w:shd w:val="clear" w:color="auto" w:fill="FFFFFF"/>
        </w:rPr>
        <w:t>三公</w:t>
      </w:r>
      <w:r>
        <w:rPr>
          <w:rStyle w:val="12"/>
          <w:rFonts w:hint="eastAsia" w:ascii="Times New Roman" w:hAnsi="Times New Roman" w:eastAsia="方正黑体_GBK" w:cs="Times New Roman"/>
          <w:b w:val="0"/>
          <w:bCs w:val="0"/>
          <w:color w:val="auto"/>
          <w:sz w:val="32"/>
          <w:szCs w:val="32"/>
          <w:highlight w:val="none"/>
          <w:shd w:val="clear" w:color="auto" w:fill="FFFFFF"/>
          <w:lang w:eastAsia="zh-CN"/>
        </w:rPr>
        <w:t>”</w:t>
      </w:r>
      <w:r>
        <w:rPr>
          <w:rStyle w:val="12"/>
          <w:rFonts w:hint="default" w:ascii="Times New Roman" w:hAnsi="Times New Roman" w:eastAsia="方正黑体_GBK" w:cs="Times New Roman"/>
          <w:b w:val="0"/>
          <w:bCs w:val="0"/>
          <w:color w:val="auto"/>
          <w:sz w:val="32"/>
          <w:szCs w:val="32"/>
          <w:highlight w:val="none"/>
          <w:shd w:val="clear" w:color="auto" w:fill="FFFFFF"/>
        </w:rPr>
        <w:t>经费情况说明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三公</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经费支出总体情况说明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8.77</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较年初预算数减少4.73万元，下降35.0%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b w:val="0"/>
          <w:bCs/>
          <w:color w:val="auto"/>
          <w:kern w:val="0"/>
          <w:sz w:val="32"/>
          <w:szCs w:val="32"/>
          <w:highlight w:val="none"/>
          <w:shd w:val="clear" w:fill="FFFFFF"/>
        </w:rPr>
        <w:t>主要原因一是认真贯彻落实中央八项规定精神和厉行节约要求，按照只减不增的要求从严控制三公经费，全年实际支出较预算和决算均有所下降；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单位人员出国出访</w:t>
      </w:r>
      <w:r>
        <w:rPr>
          <w:rFonts w:hint="eastAsia"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olor w:val="auto"/>
          <w:sz w:val="32"/>
          <w:szCs w:val="32"/>
          <w:shd w:val="clear" w:color="auto" w:fill="FFFFFF"/>
        </w:rPr>
        <w:t>较上年支出数减少0.02万元，下降0.2%</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w:t>
      </w:r>
      <w:r>
        <w:rPr>
          <w:rFonts w:hint="default" w:ascii="Times New Roman" w:hAnsi="Times New Roman" w:eastAsia="方正仿宋_GBK" w:cs="Times New Roman"/>
          <w:b w:val="0"/>
          <w:bCs/>
          <w:color w:val="auto"/>
          <w:kern w:val="0"/>
          <w:sz w:val="32"/>
          <w:szCs w:val="32"/>
          <w:highlight w:val="none"/>
          <w:shd w:val="clear" w:fill="FFFFFF"/>
        </w:rPr>
        <w:t>一是认真贯彻落实</w:t>
      </w:r>
      <w:bookmarkStart w:id="0" w:name="_GoBack"/>
      <w:r>
        <w:rPr>
          <w:rFonts w:hint="default" w:ascii="Times New Roman" w:hAnsi="Times New Roman" w:eastAsia="方正仿宋_GBK" w:cs="Times New Roman"/>
          <w:b w:val="0"/>
          <w:bCs/>
          <w:color w:val="auto"/>
          <w:kern w:val="0"/>
          <w:sz w:val="32"/>
          <w:szCs w:val="32"/>
          <w:highlight w:val="none"/>
          <w:shd w:val="clear" w:fill="FFFFFF"/>
        </w:rPr>
        <w:t>中央</w:t>
      </w:r>
      <w:bookmarkEnd w:id="0"/>
      <w:r>
        <w:rPr>
          <w:rFonts w:hint="default" w:ascii="Times New Roman" w:hAnsi="Times New Roman" w:eastAsia="方正仿宋_GBK" w:cs="Times New Roman"/>
          <w:b w:val="0"/>
          <w:bCs/>
          <w:color w:val="auto"/>
          <w:kern w:val="0"/>
          <w:sz w:val="32"/>
          <w:szCs w:val="32"/>
          <w:highlight w:val="none"/>
          <w:shd w:val="clear" w:fill="FFFFFF"/>
        </w:rPr>
        <w:t>八项规定精神和厉行节约要求，按照只减不增的要求从严控制三公经费，全年实际支出较预算和决算均有所下降；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单位人员出国出访</w:t>
      </w:r>
      <w:r>
        <w:rPr>
          <w:rFonts w:hint="eastAsia" w:ascii="Times New Roman" w:hAnsi="Times New Roman" w:eastAsia="方正仿宋_GBK" w:cs="Times New Roman"/>
          <w:b w:val="0"/>
          <w:bCs/>
          <w:color w:val="auto"/>
          <w:kern w:val="0"/>
          <w:sz w:val="32"/>
          <w:szCs w:val="32"/>
          <w:highlight w:val="none"/>
          <w:shd w:val="clear" w:fill="FFFFFF"/>
          <w:lang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三公</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经费分项支出情况</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shd w:val="clear" w:fill="FFFFFF"/>
          <w:lang w:val="en-US"/>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Times New Roman"/>
          <w:b w:val="0"/>
          <w:bCs/>
          <w:color w:val="auto"/>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b w:val="0"/>
          <w:bCs/>
          <w:color w:val="auto"/>
          <w:kern w:val="0"/>
          <w:sz w:val="32"/>
          <w:szCs w:val="32"/>
          <w:highlight w:val="none"/>
          <w:shd w:val="clear" w:fill="FFFFFF"/>
          <w:lang w:val="en-US" w:eastAsia="zh-CN"/>
        </w:rPr>
        <w:t>主要原因是</w:t>
      </w:r>
      <w:r>
        <w:rPr>
          <w:rFonts w:hint="default" w:ascii="Times New Roman" w:hAnsi="Times New Roman" w:eastAsia="方正仿宋_GBK" w:cs="Times New Roman"/>
          <w:b w:val="0"/>
          <w:bCs/>
          <w:color w:val="auto"/>
          <w:kern w:val="0"/>
          <w:sz w:val="32"/>
          <w:szCs w:val="32"/>
          <w:highlight w:val="none"/>
          <w:shd w:val="clear" w:fill="FFFFFF"/>
        </w:rPr>
        <w:t>本单位202</w:t>
      </w:r>
      <w:r>
        <w:rPr>
          <w:rFonts w:hint="eastAsia" w:ascii="Times New Roman" w:hAnsi="Times New Roman" w:eastAsia="方正仿宋_GBK" w:cs="Times New Roman"/>
          <w:b w:val="0"/>
          <w:bCs/>
          <w:color w:val="auto"/>
          <w:kern w:val="0"/>
          <w:sz w:val="32"/>
          <w:szCs w:val="32"/>
          <w:highlight w:val="none"/>
          <w:shd w:val="clear" w:fill="FFFFFF"/>
          <w:lang w:val="en-US" w:eastAsia="zh-CN"/>
        </w:rPr>
        <w:t>4</w:t>
      </w:r>
      <w:r>
        <w:rPr>
          <w:rFonts w:hint="default" w:ascii="Times New Roman" w:hAnsi="Times New Roman" w:eastAsia="方正仿宋_GBK" w:cs="Times New Roman"/>
          <w:b w:val="0"/>
          <w:bCs/>
          <w:color w:val="auto"/>
          <w:kern w:val="0"/>
          <w:sz w:val="32"/>
          <w:szCs w:val="32"/>
          <w:highlight w:val="none"/>
          <w:shd w:val="clear" w:fill="FFFFFF"/>
        </w:rPr>
        <w:t>年度未发生因公出国（境）费用。</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outlineLvl w:val="9"/>
        <w:rPr>
          <w:rFonts w:hint="eastAsia" w:ascii="Times New Roman" w:hAnsi="Times New Roman" w:eastAsia="方正仿宋_GBK" w:cs="Times New Roman"/>
          <w:b w:val="0"/>
          <w:bCs/>
          <w:color w:val="auto"/>
          <w:kern w:val="0"/>
          <w:sz w:val="32"/>
          <w:szCs w:val="32"/>
          <w:highlight w:val="none"/>
          <w:shd w:val="clear" w:fill="FFFFFF"/>
          <w:lang w:eastAsia="zh-CN"/>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Times New Roman"/>
          <w:b w:val="0"/>
          <w:bCs/>
          <w:color w:val="auto"/>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b w:val="0"/>
          <w:bCs/>
          <w:color w:val="auto"/>
          <w:kern w:val="0"/>
          <w:sz w:val="32"/>
          <w:szCs w:val="32"/>
          <w:highlight w:val="none"/>
          <w:shd w:val="clear" w:fill="FFFFFF"/>
          <w:lang w:val="en-US" w:eastAsia="zh-CN"/>
        </w:rPr>
        <w:t>主要原因是</w:t>
      </w:r>
      <w:r>
        <w:rPr>
          <w:rFonts w:hint="default" w:ascii="Times New Roman" w:hAnsi="Times New Roman" w:eastAsia="方正仿宋_GBK" w:cs="Times New Roman"/>
          <w:b w:val="0"/>
          <w:bCs/>
          <w:color w:val="auto"/>
          <w:kern w:val="0"/>
          <w:sz w:val="32"/>
          <w:szCs w:val="32"/>
          <w:highlight w:val="none"/>
          <w:shd w:val="clear" w:fill="FFFFFF"/>
        </w:rPr>
        <w:t>本单位202</w:t>
      </w:r>
      <w:r>
        <w:rPr>
          <w:rFonts w:hint="eastAsia" w:ascii="Times New Roman" w:hAnsi="Times New Roman" w:eastAsia="方正仿宋_GBK" w:cs="Times New Roman"/>
          <w:b w:val="0"/>
          <w:bCs/>
          <w:color w:val="auto"/>
          <w:kern w:val="0"/>
          <w:sz w:val="32"/>
          <w:szCs w:val="32"/>
          <w:highlight w:val="none"/>
          <w:shd w:val="clear" w:fill="FFFFFF"/>
          <w:lang w:val="en-US" w:eastAsia="zh-CN"/>
        </w:rPr>
        <w:t>4</w:t>
      </w:r>
      <w:r>
        <w:rPr>
          <w:rFonts w:hint="default" w:ascii="Times New Roman" w:hAnsi="Times New Roman" w:eastAsia="方正仿宋_GBK" w:cs="Times New Roman"/>
          <w:b w:val="0"/>
          <w:bCs/>
          <w:color w:val="auto"/>
          <w:kern w:val="0"/>
          <w:sz w:val="32"/>
          <w:szCs w:val="32"/>
          <w:highlight w:val="none"/>
          <w:shd w:val="clear" w:fill="FFFFFF"/>
        </w:rPr>
        <w:t>年度未发生公务车购置费。</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shd w:val="clear" w:fill="FFFFFF"/>
        </w:rPr>
      </w:pPr>
      <w:r>
        <w:rPr>
          <w:rFonts w:hint="default" w:ascii="Times New Roman" w:hAnsi="Times New Roman" w:eastAsia="方正仿宋_GBK" w:cs="Times New Roman"/>
          <w:color w:val="auto"/>
          <w:sz w:val="32"/>
          <w:szCs w:val="32"/>
          <w:highlight w:val="none"/>
          <w:shd w:val="clear" w:color="auto" w:fill="FFFFFF"/>
        </w:rPr>
        <w:t>公务车运行维护费</w:t>
      </w:r>
      <w:r>
        <w:rPr>
          <w:rFonts w:hint="default" w:ascii="Times New Roman" w:hAnsi="Times New Roman" w:eastAsia="方正仿宋_GBK" w:cs="Times New Roman"/>
          <w:color w:val="auto"/>
          <w:sz w:val="32"/>
          <w:szCs w:val="32"/>
          <w:highlight w:val="none"/>
        </w:rPr>
        <w:t>8.7</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shd w:val="clear" w:color="auto" w:fill="FFFFFF"/>
        </w:rPr>
        <w:t>万元，</w:t>
      </w:r>
      <w:r>
        <w:rPr>
          <w:rFonts w:hint="default" w:ascii="Times New Roman" w:hAnsi="Times New Roman" w:eastAsia="方正仿宋_GBK" w:cs="Times New Roman"/>
          <w:b w:val="0"/>
          <w:bCs/>
          <w:color w:val="auto"/>
          <w:kern w:val="0"/>
          <w:sz w:val="32"/>
          <w:szCs w:val="32"/>
          <w:highlight w:val="none"/>
          <w:shd w:val="clear" w:fill="FFFFFF"/>
        </w:rPr>
        <w:t>主要用于公务车运行维护。</w:t>
      </w:r>
      <w:r>
        <w:rPr>
          <w:rFonts w:ascii="Times New Roman" w:hAnsi="Times New Roman"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较年初预算数减少4.73万元，下降35.0%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主要原因是本年存在报废车一辆</w:t>
      </w:r>
      <w:r>
        <w:rPr>
          <w:rFonts w:hint="eastAsia" w:ascii="Times New Roman" w:hAnsi="Times New Roman" w:eastAsia="方正仿宋_GBK" w:cs="Times New Roman"/>
          <w:color w:val="auto"/>
          <w:sz w:val="32"/>
          <w:szCs w:val="32"/>
          <w:highlight w:val="none"/>
          <w:shd w:val="clear" w:color="auto" w:fill="FFFFFF"/>
          <w:lang w:eastAsia="zh-CN"/>
        </w:rPr>
        <w:t>，</w:t>
      </w:r>
      <w:r>
        <w:rPr>
          <w:rFonts w:hint="eastAsia" w:ascii="Times New Roman" w:hAnsi="Times New Roman" w:eastAsia="方正仿宋_GBK" w:cs="Times New Roman"/>
          <w:color w:val="auto"/>
          <w:sz w:val="32"/>
          <w:szCs w:val="32"/>
          <w:highlight w:val="none"/>
          <w:shd w:val="clear" w:color="auto" w:fill="FFFFFF"/>
          <w:lang w:val="en-US" w:eastAsia="zh-CN"/>
        </w:rPr>
        <w:t>且</w:t>
      </w:r>
      <w:r>
        <w:rPr>
          <w:rFonts w:hint="default" w:ascii="Times New Roman" w:hAnsi="Times New Roman" w:eastAsia="方正仿宋_GBK" w:cs="Times New Roman"/>
          <w:b w:val="0"/>
          <w:bCs/>
          <w:color w:val="auto"/>
          <w:kern w:val="0"/>
          <w:sz w:val="32"/>
          <w:szCs w:val="32"/>
          <w:highlight w:val="none"/>
          <w:shd w:val="clear" w:fill="FFFFFF"/>
        </w:rPr>
        <w:t>严格落实公车使用规定，严禁公车私用，公车运行维护成本大幅下降。</w:t>
      </w:r>
      <w:r>
        <w:rPr>
          <w:rFonts w:hint="default" w:ascii="Times New Roman" w:hAnsi="Times New Roman" w:eastAsia="方正仿宋_GBK"/>
          <w:color w:val="auto"/>
          <w:sz w:val="32"/>
          <w:szCs w:val="32"/>
          <w:shd w:val="clear" w:color="auto" w:fill="FFFFFF"/>
        </w:rPr>
        <w:t>较上年支出数减少0.02万元，下降0.2%</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主要原因是本年存在报废车一辆</w:t>
      </w:r>
      <w:r>
        <w:rPr>
          <w:rFonts w:hint="eastAsia" w:ascii="Times New Roman" w:hAnsi="Times New Roman" w:eastAsia="方正仿宋_GBK" w:cs="Times New Roman"/>
          <w:color w:val="auto"/>
          <w:sz w:val="32"/>
          <w:szCs w:val="32"/>
          <w:highlight w:val="none"/>
          <w:shd w:val="clear" w:color="auto" w:fill="FFFFFF"/>
          <w:lang w:eastAsia="zh-CN"/>
        </w:rPr>
        <w:t>，</w:t>
      </w:r>
      <w:r>
        <w:rPr>
          <w:rFonts w:hint="eastAsia" w:ascii="Times New Roman" w:hAnsi="Times New Roman" w:eastAsia="方正仿宋_GBK" w:cs="Times New Roman"/>
          <w:color w:val="auto"/>
          <w:sz w:val="32"/>
          <w:szCs w:val="32"/>
          <w:highlight w:val="none"/>
          <w:shd w:val="clear" w:color="auto" w:fill="FFFFFF"/>
          <w:lang w:val="en-US" w:eastAsia="zh-CN"/>
        </w:rPr>
        <w:t>且</w:t>
      </w:r>
      <w:r>
        <w:rPr>
          <w:rFonts w:hint="default" w:ascii="Times New Roman" w:hAnsi="Times New Roman" w:eastAsia="方正仿宋_GBK" w:cs="Times New Roman"/>
          <w:b w:val="0"/>
          <w:bCs/>
          <w:color w:val="auto"/>
          <w:kern w:val="0"/>
          <w:sz w:val="32"/>
          <w:szCs w:val="32"/>
          <w:highlight w:val="none"/>
          <w:shd w:val="clear" w:fill="FFFFFF"/>
        </w:rPr>
        <w:t>严格落实公车使用规定，严禁公车私用，公车运行维护成本大幅下降。</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ascii="Times New Roman" w:hAnsi="Times New Roman"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Times New Roman"/>
          <w:b w:val="0"/>
          <w:bCs/>
          <w:color w:val="auto"/>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b w:val="0"/>
          <w:bCs/>
          <w:color w:val="auto"/>
          <w:kern w:val="0"/>
          <w:sz w:val="32"/>
          <w:szCs w:val="32"/>
          <w:highlight w:val="none"/>
          <w:shd w:val="clear" w:fill="FFFFFF"/>
          <w:lang w:val="en-US" w:eastAsia="zh-CN"/>
        </w:rPr>
        <w:t>主要原因是</w:t>
      </w:r>
      <w:r>
        <w:rPr>
          <w:rFonts w:hint="default" w:ascii="Times New Roman" w:hAnsi="Times New Roman" w:eastAsia="方正仿宋_GBK" w:cs="Times New Roman"/>
          <w:b w:val="0"/>
          <w:bCs/>
          <w:color w:val="auto"/>
          <w:kern w:val="0"/>
          <w:sz w:val="32"/>
          <w:szCs w:val="32"/>
          <w:highlight w:val="none"/>
          <w:shd w:val="clear" w:fill="FFFFFF"/>
        </w:rPr>
        <w:t>严格遵守公务接待开支范围和开支标准，严格控制陪餐人数，对应由接待对象承担的费用一律由接待对象自行</w:t>
      </w:r>
      <w:r>
        <w:rPr>
          <w:rFonts w:hint="default" w:ascii="Times New Roman" w:hAnsi="Times New Roman" w:eastAsia="方正仿宋_GBK" w:cs="Times New Roman"/>
          <w:b w:val="0"/>
          <w:bCs/>
          <w:color w:val="auto"/>
          <w:kern w:val="0"/>
          <w:sz w:val="32"/>
          <w:szCs w:val="32"/>
          <w:highlight w:val="none"/>
          <w:shd w:val="clear" w:fill="FFFFFF"/>
          <w:lang w:val="en-US" w:eastAsia="zh-CN"/>
        </w:rPr>
        <w:t>支</w:t>
      </w:r>
      <w:r>
        <w:rPr>
          <w:rFonts w:hint="default" w:ascii="Times New Roman" w:hAnsi="Times New Roman" w:eastAsia="方正仿宋_GBK" w:cs="Times New Roman"/>
          <w:b w:val="0"/>
          <w:bCs/>
          <w:color w:val="auto"/>
          <w:kern w:val="0"/>
          <w:sz w:val="32"/>
          <w:szCs w:val="32"/>
          <w:highlight w:val="none"/>
          <w:shd w:val="clear" w:fill="FFFFFF"/>
        </w:rPr>
        <w:t>付。</w:t>
      </w:r>
      <w:r>
        <w:rPr>
          <w:rFonts w:hint="default" w:ascii="Times New Roman" w:hAnsi="Times New Roman" w:eastAsia="方正仿宋_GBK" w:cs="Times New Roman"/>
          <w:color w:val="auto"/>
          <w:sz w:val="32"/>
          <w:szCs w:val="32"/>
          <w:highlight w:val="none"/>
          <w:shd w:val="clear" w:color="auto" w:fill="FFFFFF"/>
        </w:rPr>
        <w:t>较上年支出数无增减，</w:t>
      </w:r>
      <w:r>
        <w:rPr>
          <w:rFonts w:hint="default" w:ascii="Times New Roman" w:hAnsi="Times New Roman" w:eastAsia="方正仿宋_GBK" w:cs="Times New Roman"/>
          <w:b w:val="0"/>
          <w:bCs/>
          <w:color w:val="auto"/>
          <w:kern w:val="0"/>
          <w:sz w:val="32"/>
          <w:szCs w:val="32"/>
          <w:highlight w:val="none"/>
          <w:shd w:val="clear" w:fill="FFFFFF"/>
        </w:rPr>
        <w:t>主要原因是严格遵守公务接待开支范围和开支标准，严格控制陪餐人数，对应由接待对象承担的费用一律由接待对象自行</w:t>
      </w:r>
      <w:r>
        <w:rPr>
          <w:rFonts w:hint="default" w:ascii="Times New Roman" w:hAnsi="Times New Roman" w:eastAsia="方正仿宋_GBK" w:cs="Times New Roman"/>
          <w:b w:val="0"/>
          <w:bCs/>
          <w:color w:val="auto"/>
          <w:kern w:val="0"/>
          <w:sz w:val="32"/>
          <w:szCs w:val="32"/>
          <w:highlight w:val="none"/>
          <w:shd w:val="clear" w:fill="FFFFFF"/>
          <w:lang w:val="en-US" w:eastAsia="zh-CN"/>
        </w:rPr>
        <w:t>支</w:t>
      </w:r>
      <w:r>
        <w:rPr>
          <w:rFonts w:hint="default" w:ascii="Times New Roman" w:hAnsi="Times New Roman" w:eastAsia="方正仿宋_GBK" w:cs="Times New Roman"/>
          <w:b w:val="0"/>
          <w:bCs/>
          <w:color w:val="auto"/>
          <w:kern w:val="0"/>
          <w:sz w:val="32"/>
          <w:szCs w:val="32"/>
          <w:highlight w:val="none"/>
          <w:shd w:val="clear" w:fill="FFFFFF"/>
        </w:rPr>
        <w:t>付。</w:t>
      </w:r>
    </w:p>
    <w:p>
      <w:pPr>
        <w:pStyle w:val="15"/>
        <w:keepNext w:val="0"/>
        <w:keepLines w:val="0"/>
        <w:pageBreakBefore w:val="0"/>
        <w:widowControl/>
        <w:numPr>
          <w:ilvl w:val="0"/>
          <w:numId w:val="1"/>
        </w:numPr>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三公</w:t>
      </w:r>
      <w:r>
        <w:rPr>
          <w:rFonts w:hint="eastAsia" w:ascii="Times New Roman" w:hAnsi="Times New Roman" w:eastAsia="方正楷体_GBK" w:cs="Times New Roman"/>
          <w:b w:val="0"/>
          <w:bCs w:val="0"/>
          <w:color w:val="auto"/>
          <w:sz w:val="32"/>
          <w:szCs w:val="32"/>
          <w:highlight w:val="none"/>
          <w:shd w:val="clear" w:color="auto" w:fill="FFFFFF"/>
          <w:lang w:eastAsia="zh-CN"/>
        </w:rPr>
        <w:t>”</w:t>
      </w:r>
      <w:r>
        <w:rPr>
          <w:rFonts w:hint="default" w:ascii="Times New Roman" w:hAnsi="Times New Roman" w:eastAsia="方正楷体_GBK" w:cs="Times New Roman"/>
          <w:b w:val="0"/>
          <w:bCs w:val="0"/>
          <w:color w:val="auto"/>
          <w:sz w:val="32"/>
          <w:szCs w:val="32"/>
          <w:highlight w:val="none"/>
          <w:shd w:val="clear" w:color="auto" w:fill="FFFFFF"/>
        </w:rPr>
        <w:t>经费实物量情况</w:t>
      </w:r>
    </w:p>
    <w:p>
      <w:pPr>
        <w:pStyle w:val="10"/>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3</w:t>
      </w:r>
      <w:r>
        <w:rPr>
          <w:rFonts w:ascii="Times New Roman" w:hAnsi="Times New Roman"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2.92</w:t>
      </w:r>
      <w:r>
        <w:rPr>
          <w:rFonts w:ascii="Times New Roman" w:hAnsi="Times New Roman" w:eastAsia="方正仿宋_GBK" w:cs="方正仿宋_GBK"/>
          <w:color w:val="auto"/>
          <w:sz w:val="32"/>
          <w:szCs w:val="32"/>
          <w:shd w:val="clear" w:color="auto" w:fill="FFFFFF"/>
        </w:rPr>
        <w:t>万元。</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rPr>
          <w:rStyle w:val="12"/>
          <w:rFonts w:hint="default" w:ascii="Times New Roman" w:hAnsi="Times New Roman" w:eastAsia="方正楷体_GBK" w:cs="Times New Roman"/>
          <w:b w:val="0"/>
          <w:bCs/>
          <w:color w:val="auto"/>
          <w:sz w:val="32"/>
          <w:szCs w:val="32"/>
          <w:highlight w:val="none"/>
          <w:shd w:val="clear" w:color="auto" w:fill="FFFFFF"/>
        </w:rPr>
      </w:pPr>
      <w:r>
        <w:rPr>
          <w:rStyle w:val="12"/>
          <w:rFonts w:hint="default" w:ascii="Times New Roman" w:hAnsi="Times New Roman" w:eastAsia="方正黑体_GBK" w:cs="Times New Roman"/>
          <w:b w:val="0"/>
          <w:bCs/>
          <w:color w:val="auto"/>
          <w:sz w:val="32"/>
          <w:szCs w:val="32"/>
          <w:highlight w:val="none"/>
          <w:shd w:val="clear" w:color="auto" w:fill="FFFFFF"/>
        </w:rPr>
        <w:t>四、其他需要说明的事项</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（一）财政拨款会议费、培训费和差旅费情况说明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ascii="Times New Roman" w:hAnsi="Times New Roman"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主要原因是本年度未发生会议费用。</w:t>
      </w:r>
      <w:r>
        <w:rPr>
          <w:rFonts w:ascii="Times New Roman" w:hAnsi="Times New Roman"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1.15</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与2023年度相比，增加0.39万元，增长51.3%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highlight w:val="none"/>
          <w:shd w:val="clear" w:color="auto" w:fill="FFFFFF"/>
        </w:rPr>
        <w:t>主要原因是</w:t>
      </w:r>
      <w:r>
        <w:rPr>
          <w:rFonts w:hint="eastAsia" w:ascii="Times New Roman" w:hAnsi="Times New Roman" w:eastAsia="方正仿宋_GBK" w:cs="Times New Roman"/>
          <w:color w:val="auto"/>
          <w:sz w:val="32"/>
          <w:szCs w:val="32"/>
          <w:highlight w:val="none"/>
          <w:shd w:val="clear" w:color="auto" w:fill="FFFFFF"/>
          <w:lang w:val="en-US" w:eastAsia="zh-CN"/>
        </w:rPr>
        <w:t>培训人数增加</w:t>
      </w:r>
      <w:r>
        <w:rPr>
          <w:rFonts w:hint="default"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4.51</w:t>
      </w:r>
      <w:r>
        <w:rPr>
          <w:rFonts w:ascii="Times New Roman" w:hAnsi="Times New Roman"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与2023年度相比，减少1.72万元，下降27.6%</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出差次数减少。</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（二）机关运行经费情况说明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机关运行经费支出</w:t>
      </w:r>
      <w:r>
        <w:rPr>
          <w:rFonts w:hint="default" w:ascii="Times New Roman" w:hAnsi="Times New Roman" w:eastAsia="方正仿宋_GBK"/>
          <w:color w:val="auto"/>
          <w:sz w:val="32"/>
          <w:szCs w:val="32"/>
          <w:shd w:val="clear" w:color="auto" w:fill="FFFFFF"/>
        </w:rPr>
        <w:t>163.66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s="Times New Roman"/>
          <w:color w:val="auto"/>
          <w:sz w:val="32"/>
          <w:szCs w:val="32"/>
          <w:highlight w:val="none"/>
          <w:shd w:val="clear" w:color="auto" w:fill="FFFFFF"/>
        </w:rPr>
        <w:t>机关运行经费主要用于开支</w:t>
      </w:r>
      <w:r>
        <w:rPr>
          <w:rFonts w:hint="default" w:ascii="Times New Roman" w:hAnsi="Times New Roman" w:eastAsia="方正仿宋_GBK" w:cs="Times New Roman"/>
          <w:b w:val="0"/>
          <w:bCs/>
          <w:color w:val="auto"/>
          <w:kern w:val="0"/>
          <w:sz w:val="32"/>
          <w:szCs w:val="32"/>
          <w:highlight w:val="none"/>
          <w:shd w:val="clear" w:fill="FFFFFF"/>
        </w:rPr>
        <w:t>办公费</w:t>
      </w:r>
      <w:r>
        <w:rPr>
          <w:rFonts w:hint="default"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shd w:val="clear" w:fill="FFFFFF"/>
          <w:lang w:val="en-US" w:eastAsia="zh-CN"/>
        </w:rPr>
        <w:t>水电费、网费</w:t>
      </w:r>
      <w:r>
        <w:rPr>
          <w:rFonts w:hint="default" w:ascii="Times New Roman" w:hAnsi="Times New Roman" w:eastAsia="方正仿宋_GBK" w:cs="Times New Roman"/>
          <w:b w:val="0"/>
          <w:bCs/>
          <w:color w:val="auto"/>
          <w:kern w:val="0"/>
          <w:sz w:val="32"/>
          <w:szCs w:val="32"/>
          <w:highlight w:val="none"/>
          <w:shd w:val="clear" w:fill="FFFFFF"/>
        </w:rPr>
        <w:t>、差旅费、邮电费等。</w:t>
      </w:r>
      <w:r>
        <w:rPr>
          <w:rFonts w:ascii="Times New Roman" w:hAnsi="Times New Roman"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较上年支出数减少27.23万元，下降14.3%</w:t>
      </w: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主要原因是</w:t>
      </w:r>
      <w:r>
        <w:rPr>
          <w:rFonts w:hint="default" w:ascii="Times New Roman" w:hAnsi="Times New Roman" w:eastAsia="方正仿宋_GBK" w:cs="Times New Roman"/>
          <w:color w:val="auto"/>
          <w:sz w:val="32"/>
          <w:szCs w:val="32"/>
          <w:highlight w:val="none"/>
          <w:shd w:val="clear" w:color="auto" w:fill="FFFFFF"/>
        </w:rPr>
        <w:t>落实过紧日子政策，压缩各项机关运行经费的支出</w:t>
      </w:r>
      <w:r>
        <w:rPr>
          <w:rFonts w:hint="eastAsia" w:ascii="Times New Roman" w:hAnsi="Times New Roman" w:eastAsia="方正仿宋_GBK" w:cs="Times New Roman"/>
          <w:color w:val="auto"/>
          <w:sz w:val="32"/>
          <w:szCs w:val="32"/>
          <w:highlight w:val="none"/>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（三）国有资产占用情况说明</w:t>
      </w:r>
    </w:p>
    <w:p>
      <w:pPr>
        <w:pStyle w:val="10"/>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Times New Roman" w:hAnsi="Times New Roman"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Times New Roman" w:hAnsi="Times New Roman" w:eastAsia="方正仿宋_GBK" w:cs="方正仿宋_GBK"/>
          <w:color w:val="auto"/>
          <w:sz w:val="32"/>
          <w:szCs w:val="32"/>
          <w:shd w:val="clear" w:color="auto" w:fill="FFFFFF"/>
        </w:rPr>
        <w:t>日，本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3</w:t>
      </w:r>
      <w:r>
        <w:rPr>
          <w:rFonts w:ascii="Times New Roman" w:hAnsi="Times New Roman"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3</w:t>
      </w:r>
      <w:r>
        <w:rPr>
          <w:rFonts w:ascii="Times New Roman" w:hAnsi="Times New Roman"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Times New Roman" w:hAnsi="Times New Roman"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台（套）。</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楷体"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（四）政府采购支出情况说明</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shd w:val="clear"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政府采购支出总额</w:t>
      </w:r>
      <w:r>
        <w:rPr>
          <w:rFonts w:hint="default" w:ascii="Times New Roman" w:hAnsi="Times New Roman" w:eastAsia="方正仿宋_GBK"/>
          <w:color w:val="auto"/>
          <w:sz w:val="32"/>
          <w:szCs w:val="32"/>
          <w:shd w:val="clear" w:color="auto" w:fill="FFFFFF"/>
        </w:rPr>
        <w:t>7.36</w:t>
      </w:r>
      <w:r>
        <w:rPr>
          <w:rFonts w:ascii="Times New Roman" w:hAnsi="Times New Roman"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7.36</w:t>
      </w:r>
      <w:r>
        <w:rPr>
          <w:rFonts w:ascii="Times New Roman" w:hAnsi="Times New Roman"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4.50</w:t>
      </w:r>
      <w:r>
        <w:rPr>
          <w:rFonts w:ascii="Times New Roman" w:hAnsi="Times New Roman" w:eastAsia="方正仿宋_GBK" w:cs="方正仿宋_GBK"/>
          <w:color w:val="auto"/>
          <w:sz w:val="32"/>
          <w:szCs w:val="32"/>
        </w:rPr>
        <w:t>万</w:t>
      </w:r>
      <w:r>
        <w:rPr>
          <w:rFonts w:ascii="Times New Roman" w:hAnsi="Times New Roman"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61.1%</w:t>
      </w:r>
      <w:r>
        <w:rPr>
          <w:rFonts w:ascii="Times New Roman" w:hAnsi="Times New Roman"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4.50</w:t>
      </w:r>
      <w:r>
        <w:rPr>
          <w:rFonts w:ascii="Times New Roman" w:hAnsi="Times New Roman"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61.1%</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s="Times New Roman"/>
          <w:b w:val="0"/>
          <w:bCs/>
          <w:color w:val="auto"/>
          <w:kern w:val="0"/>
          <w:sz w:val="32"/>
          <w:szCs w:val="32"/>
          <w:highlight w:val="none"/>
          <w:shd w:val="clear" w:fill="FFFFFF"/>
        </w:rPr>
        <w:t>主要用于采购办公设备</w:t>
      </w:r>
      <w:r>
        <w:rPr>
          <w:rFonts w:hint="default"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shd w:val="clear" w:fill="FFFFFF"/>
          <w:lang w:val="en-US" w:eastAsia="zh-CN"/>
        </w:rPr>
        <w:t>农业机械设备、平台建设服务</w:t>
      </w:r>
      <w:r>
        <w:rPr>
          <w:rFonts w:hint="default" w:ascii="Times New Roman" w:hAnsi="Times New Roman" w:eastAsia="方正仿宋_GBK" w:cs="Times New Roman"/>
          <w:b w:val="0"/>
          <w:bCs/>
          <w:color w:val="auto"/>
          <w:kern w:val="0"/>
          <w:sz w:val="32"/>
          <w:szCs w:val="32"/>
          <w:highlight w:val="none"/>
          <w:shd w:val="clear" w:fill="FFFFFF"/>
        </w:rPr>
        <w:t>。</w:t>
      </w:r>
    </w:p>
    <w:p>
      <w:pPr>
        <w:pStyle w:val="10"/>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color w:val="auto"/>
          <w:sz w:val="32"/>
          <w:szCs w:val="32"/>
          <w:highlight w:val="none"/>
          <w:shd w:val="clear" w:color="auto" w:fill="FFFFFF"/>
        </w:rPr>
      </w:pPr>
      <w:r>
        <w:rPr>
          <w:rStyle w:val="12"/>
          <w:rFonts w:hint="default" w:ascii="Times New Roman" w:hAnsi="Times New Roman" w:eastAsia="方正黑体_GBK" w:cs="Times New Roman"/>
          <w:b w:val="0"/>
          <w:bCs/>
          <w:color w:val="auto"/>
          <w:sz w:val="32"/>
          <w:szCs w:val="32"/>
          <w:highlight w:val="none"/>
          <w:shd w:val="clear" w:color="auto" w:fill="FFFFFF"/>
        </w:rPr>
        <w:t>预算绩效管理情况说明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（一）单位自评情况</w:t>
      </w:r>
    </w:p>
    <w:p>
      <w:pPr>
        <w:pStyle w:val="16"/>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根据预算绩效管理要求，我</w:t>
      </w:r>
      <w:r>
        <w:rPr>
          <w:rFonts w:hint="eastAsia" w:ascii="Times New Roman" w:hAnsi="Times New Roman" w:eastAsia="方正仿宋_GBK" w:cs="Times New Roman"/>
          <w:color w:val="auto"/>
          <w:sz w:val="32"/>
          <w:szCs w:val="32"/>
          <w:highlight w:val="none"/>
          <w:shd w:val="clear" w:color="auto" w:fill="FFFFFF"/>
          <w:lang w:val="en-US" w:eastAsia="zh-CN"/>
        </w:rPr>
        <w:t>单位</w:t>
      </w:r>
      <w:r>
        <w:rPr>
          <w:rFonts w:hint="default" w:ascii="Times New Roman" w:hAnsi="Times New Roman" w:eastAsia="方正仿宋_GBK" w:cs="Times New Roman"/>
          <w:color w:val="auto"/>
          <w:sz w:val="32"/>
          <w:szCs w:val="32"/>
          <w:highlight w:val="none"/>
          <w:shd w:val="clear" w:color="auto" w:fill="FFFFFF"/>
        </w:rPr>
        <w:t>对部门整体和</w:t>
      </w:r>
      <w:r>
        <w:rPr>
          <w:rFonts w:hint="eastAsia" w:ascii="Times New Roman" w:hAnsi="Times New Roman" w:eastAsia="方正仿宋_GBK" w:cs="Times New Roman"/>
          <w:color w:val="auto"/>
          <w:sz w:val="32"/>
          <w:szCs w:val="32"/>
          <w:highlight w:val="none"/>
          <w:shd w:val="clear" w:color="auto" w:fill="FFFFFF"/>
          <w:lang w:val="en-US" w:eastAsia="zh-CN"/>
        </w:rPr>
        <w:t>81</w:t>
      </w:r>
      <w:r>
        <w:rPr>
          <w:rFonts w:hint="default" w:ascii="Times New Roman" w:hAnsi="Times New Roman" w:eastAsia="方正仿宋_GBK" w:cs="Times New Roman"/>
          <w:color w:val="auto"/>
          <w:sz w:val="32"/>
          <w:szCs w:val="32"/>
          <w:highlight w:val="none"/>
          <w:shd w:val="clear" w:color="auto" w:fill="FFFFFF"/>
        </w:rPr>
        <w:t>个</w:t>
      </w:r>
      <w:r>
        <w:rPr>
          <w:rFonts w:hint="default" w:ascii="Times New Roman" w:hAnsi="Times New Roman" w:eastAsia="方正仿宋_GBK" w:cs="Times New Roman"/>
          <w:color w:val="auto"/>
          <w:sz w:val="32"/>
          <w:szCs w:val="32"/>
          <w:highlight w:val="none"/>
          <w:shd w:val="clear" w:color="auto" w:fill="FFFFFF"/>
          <w:lang w:val="en-US" w:eastAsia="zh-CN"/>
        </w:rPr>
        <w:t>二级</w:t>
      </w:r>
      <w:r>
        <w:rPr>
          <w:rFonts w:hint="default" w:ascii="Times New Roman" w:hAnsi="Times New Roman" w:eastAsia="方正仿宋_GBK" w:cs="Times New Roman"/>
          <w:color w:val="auto"/>
          <w:sz w:val="32"/>
          <w:szCs w:val="32"/>
          <w:highlight w:val="none"/>
          <w:shd w:val="clear" w:color="auto" w:fill="FFFFFF"/>
        </w:rPr>
        <w:t>项目开展了绩效自评，涉及财政拨款项目支出资金</w:t>
      </w:r>
      <w:r>
        <w:rPr>
          <w:rFonts w:hint="default" w:ascii="Times New Roman" w:hAnsi="Times New Roman" w:eastAsia="方正仿宋_GBK" w:cs="Times New Roman"/>
          <w:color w:val="auto"/>
          <w:sz w:val="32"/>
          <w:szCs w:val="32"/>
          <w:highlight w:val="none"/>
          <w:shd w:val="clear" w:color="auto" w:fill="FFFFFF"/>
          <w:lang w:val="en-US" w:eastAsia="zh-CN"/>
        </w:rPr>
        <w:t>1647.88</w:t>
      </w:r>
      <w:r>
        <w:rPr>
          <w:rFonts w:hint="default" w:ascii="Times New Roman" w:hAnsi="Times New Roman" w:eastAsia="方正仿宋_GBK" w:cs="Times New Roman"/>
          <w:color w:val="auto"/>
          <w:sz w:val="32"/>
          <w:szCs w:val="32"/>
          <w:highlight w:val="none"/>
          <w:shd w:val="clear" w:color="auto" w:fill="FFFFFF"/>
        </w:rPr>
        <w:t>万元</w:t>
      </w:r>
      <w:r>
        <w:rPr>
          <w:rFonts w:hint="default" w:ascii="Times New Roman" w:hAnsi="Times New Roman" w:eastAsia="方正仿宋_GBK" w:cs="Times New Roman"/>
          <w:color w:val="auto"/>
          <w:sz w:val="32"/>
          <w:szCs w:val="32"/>
          <w:highlight w:val="none"/>
          <w:shd w:val="clear" w:color="auto" w:fill="FFFFFF"/>
          <w:lang w:eastAsia="zh-CN"/>
        </w:rPr>
        <w:t>。</w:t>
      </w:r>
    </w:p>
    <w:tbl>
      <w:tblPr>
        <w:tblStyle w:val="13"/>
        <w:tblW w:w="8843" w:type="dxa"/>
        <w:tblInd w:w="91" w:type="dxa"/>
        <w:tblLayout w:type="fixed"/>
        <w:tblCellMar>
          <w:top w:w="0" w:type="dxa"/>
          <w:left w:w="108" w:type="dxa"/>
          <w:bottom w:w="0" w:type="dxa"/>
          <w:right w:w="108" w:type="dxa"/>
        </w:tblCellMar>
      </w:tblPr>
      <w:tblGrid>
        <w:gridCol w:w="600"/>
        <w:gridCol w:w="750"/>
        <w:gridCol w:w="675"/>
        <w:gridCol w:w="720"/>
        <w:gridCol w:w="915"/>
        <w:gridCol w:w="690"/>
        <w:gridCol w:w="705"/>
        <w:gridCol w:w="945"/>
        <w:gridCol w:w="780"/>
        <w:gridCol w:w="795"/>
        <w:gridCol w:w="1268"/>
      </w:tblGrid>
      <w:tr>
        <w:tblPrEx>
          <w:tblLayout w:type="fixed"/>
          <w:tblCellMar>
            <w:top w:w="0" w:type="dxa"/>
            <w:left w:w="108" w:type="dxa"/>
            <w:bottom w:w="0" w:type="dxa"/>
            <w:right w:w="108" w:type="dxa"/>
          </w:tblCellMar>
        </w:tblPrEx>
        <w:trPr>
          <w:trHeight w:val="780" w:hRule="atLeast"/>
        </w:trPr>
        <w:tc>
          <w:tcPr>
            <w:tcW w:w="8843" w:type="dxa"/>
            <w:gridSpan w:val="11"/>
            <w:tcBorders>
              <w:top w:val="nil"/>
              <w:left w:val="nil"/>
              <w:bottom w:val="single" w:color="000000" w:sz="4" w:space="0"/>
              <w:right w:val="nil"/>
            </w:tcBorders>
            <w:vAlign w:val="center"/>
          </w:tcPr>
          <w:p>
            <w:pPr>
              <w:widowControl/>
              <w:jc w:val="center"/>
              <w:textAlignment w:val="center"/>
              <w:rPr>
                <w:rFonts w:ascii="Times New Roman" w:hAnsi="Times New Roman" w:eastAsia="方正小标宋_GBK" w:cs="方正小标宋_GBK"/>
                <w:color w:val="auto"/>
                <w:sz w:val="36"/>
                <w:szCs w:val="36"/>
                <w:highlight w:val="none"/>
              </w:rPr>
            </w:pPr>
            <w:r>
              <w:rPr>
                <w:rFonts w:hint="eastAsia" w:ascii="Times New Roman" w:hAnsi="Times New Roman" w:eastAsia="方正小标宋_GBK" w:cs="方正小标宋_GBK"/>
                <w:color w:val="auto"/>
                <w:kern w:val="0"/>
                <w:sz w:val="36"/>
                <w:szCs w:val="36"/>
                <w:highlight w:val="none"/>
                <w:lang w:bidi="ar"/>
              </w:rPr>
              <w:t>梅江镇2024年度项目支出绩效自评表（</w:t>
            </w:r>
            <w:r>
              <w:rPr>
                <w:rFonts w:hint="eastAsia" w:ascii="Times New Roman" w:hAnsi="Times New Roman" w:eastAsia="方正小标宋_GBK" w:cs="方正小标宋_GBK"/>
                <w:color w:val="auto"/>
                <w:kern w:val="0"/>
                <w:sz w:val="36"/>
                <w:szCs w:val="36"/>
                <w:highlight w:val="none"/>
                <w:lang w:val="en-US" w:eastAsia="zh-CN" w:bidi="ar"/>
              </w:rPr>
              <w:t>二级</w:t>
            </w:r>
            <w:r>
              <w:rPr>
                <w:rFonts w:hint="eastAsia" w:ascii="Times New Roman" w:hAnsi="Times New Roman" w:eastAsia="方正小标宋_GBK" w:cs="方正小标宋_GBK"/>
                <w:color w:val="auto"/>
                <w:kern w:val="0"/>
                <w:sz w:val="36"/>
                <w:szCs w:val="36"/>
                <w:highlight w:val="none"/>
                <w:lang w:bidi="ar"/>
              </w:rPr>
              <w:t>项目）</w:t>
            </w:r>
          </w:p>
        </w:tc>
      </w:tr>
      <w:tr>
        <w:tblPrEx>
          <w:tblLayout w:type="fixed"/>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序号</w:t>
            </w:r>
          </w:p>
        </w:tc>
        <w:tc>
          <w:tcPr>
            <w:tcW w:w="7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项目名称</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指标名称</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指标性质</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指标值</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计量单位</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指标权重</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全年完成值</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指标得分</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说明</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方正黑体_GBK" w:cs="方正黑体_GBK"/>
                <w:color w:val="auto"/>
                <w:kern w:val="0"/>
                <w:sz w:val="22"/>
                <w:szCs w:val="22"/>
                <w:highlight w:val="none"/>
                <w:lang w:bidi="ar"/>
              </w:rPr>
            </w:pPr>
            <w:r>
              <w:rPr>
                <w:rFonts w:hint="eastAsia" w:ascii="Times New Roman" w:hAnsi="Times New Roman" w:eastAsia="方正黑体_GBK" w:cs="方正黑体_GBK"/>
                <w:color w:val="auto"/>
                <w:kern w:val="0"/>
                <w:sz w:val="22"/>
                <w:szCs w:val="22"/>
                <w:highlight w:val="none"/>
                <w:lang w:bidi="ar"/>
              </w:rPr>
              <w:t>自评得分</w:t>
            </w:r>
          </w:p>
        </w:tc>
      </w:tr>
      <w:tr>
        <w:tblPrEx>
          <w:tblLayout w:type="fixed"/>
          <w:tblCellMar>
            <w:top w:w="0" w:type="dxa"/>
            <w:left w:w="108" w:type="dxa"/>
            <w:bottom w:w="0" w:type="dxa"/>
            <w:right w:w="108" w:type="dxa"/>
          </w:tblCellMar>
        </w:tblPrEx>
        <w:trPr>
          <w:trHeight w:val="2409"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Theme="minorEastAsia" w:cstheme="minorEastAsia"/>
                <w:color w:val="auto"/>
                <w:kern w:val="0"/>
                <w:sz w:val="22"/>
                <w:highlight w:val="none"/>
                <w:lang w:bidi="ar"/>
              </w:rPr>
              <w:t>1</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Theme="minorEastAsia" w:cstheme="minorEastAsia"/>
                <w:color w:val="auto"/>
                <w:sz w:val="22"/>
                <w:highlight w:val="none"/>
              </w:rPr>
            </w:pPr>
            <w:r>
              <w:rPr>
                <w:rFonts w:hint="eastAsia" w:ascii="Times New Roman" w:hAnsi="Times New Roman" w:eastAsiaTheme="minorEastAsia" w:cstheme="minorEastAsia"/>
                <w:color w:val="auto"/>
                <w:sz w:val="22"/>
                <w:highlight w:val="none"/>
              </w:rPr>
              <w:t>秀山县梅江镇2024年八幅村生猪养殖场建设一期项目（秀山县禾茂农业开发有限）（2024年齐河帮扶）</w:t>
            </w:r>
          </w:p>
        </w:tc>
        <w:tc>
          <w:tcPr>
            <w:tcW w:w="6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新建圈舍面积</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1320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1320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40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r>
              <w:rPr>
                <w:rFonts w:hint="eastAsia" w:ascii="Times New Roman" w:hAnsi="Times New Roman" w:cs="宋体"/>
                <w:color w:val="auto"/>
                <w:sz w:val="22"/>
                <w:highlight w:val="none"/>
              </w:rPr>
              <w:t>100.00</w:t>
            </w:r>
          </w:p>
        </w:tc>
      </w:tr>
      <w:tr>
        <w:tblPrEx>
          <w:tblLayout w:type="fixed"/>
          <w:tblCellMar>
            <w:top w:w="0" w:type="dxa"/>
            <w:left w:w="108" w:type="dxa"/>
            <w:bottom w:w="0" w:type="dxa"/>
            <w:right w:w="108" w:type="dxa"/>
          </w:tblCellMar>
        </w:tblPrEx>
        <w:trPr>
          <w:trHeight w:val="2409" w:hRule="atLeast"/>
        </w:trPr>
        <w:tc>
          <w:tcPr>
            <w:tcW w:w="600" w:type="dxa"/>
            <w:vMerge w:val="continue"/>
            <w:tcBorders>
              <w:top w:val="single" w:color="auto" w:sz="4" w:space="0"/>
              <w:left w:val="single" w:color="auto" w:sz="4" w:space="0"/>
              <w:bottom w:val="single" w:color="auto" w:sz="4" w:space="0"/>
              <w:right w:val="single" w:color="000000" w:sz="4" w:space="0"/>
            </w:tcBorders>
            <w:vAlign w:val="center"/>
          </w:tcPr>
          <w:p>
            <w:pPr>
              <w:jc w:val="center"/>
              <w:textAlignment w:val="center"/>
              <w:rPr>
                <w:rFonts w:hint="eastAsia" w:ascii="Times New Roman" w:hAnsi="Times New Roman" w:eastAsiaTheme="minorEastAsia" w:cstheme="minorEastAsia"/>
                <w:color w:val="auto"/>
                <w:sz w:val="22"/>
                <w:highlight w:val="none"/>
              </w:rPr>
            </w:pPr>
          </w:p>
        </w:tc>
        <w:tc>
          <w:tcPr>
            <w:tcW w:w="750"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Times New Roman" w:hAnsi="Times New Roman" w:eastAsiaTheme="minorEastAsia" w:cstheme="minorEastAsia"/>
                <w:color w:val="auto"/>
                <w:sz w:val="22"/>
                <w:highlight w:val="none"/>
              </w:rPr>
            </w:pPr>
          </w:p>
        </w:tc>
        <w:tc>
          <w:tcPr>
            <w:tcW w:w="6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受益人数</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18</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18</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p>
        </w:tc>
      </w:tr>
      <w:tr>
        <w:tblPrEx>
          <w:tblLayout w:type="fixed"/>
          <w:tblCellMar>
            <w:top w:w="0" w:type="dxa"/>
            <w:left w:w="108" w:type="dxa"/>
            <w:bottom w:w="0" w:type="dxa"/>
            <w:right w:w="108" w:type="dxa"/>
          </w:tblCellMar>
        </w:tblPrEx>
        <w:trPr>
          <w:trHeight w:val="2409" w:hRule="atLeast"/>
        </w:trPr>
        <w:tc>
          <w:tcPr>
            <w:tcW w:w="600" w:type="dxa"/>
            <w:vMerge w:val="continue"/>
            <w:tcBorders>
              <w:top w:val="single" w:color="auto" w:sz="4" w:space="0"/>
              <w:left w:val="single" w:color="auto" w:sz="4" w:space="0"/>
              <w:bottom w:val="single" w:color="auto" w:sz="4" w:space="0"/>
              <w:right w:val="single" w:color="000000" w:sz="4" w:space="0"/>
            </w:tcBorders>
            <w:vAlign w:val="center"/>
          </w:tcPr>
          <w:p>
            <w:pPr>
              <w:jc w:val="center"/>
              <w:textAlignment w:val="center"/>
              <w:rPr>
                <w:rFonts w:hint="eastAsia" w:ascii="Times New Roman" w:hAnsi="Times New Roman" w:eastAsiaTheme="minorEastAsia" w:cstheme="minorEastAsia"/>
                <w:color w:val="auto"/>
                <w:sz w:val="22"/>
                <w:highlight w:val="none"/>
              </w:rPr>
            </w:pPr>
          </w:p>
        </w:tc>
        <w:tc>
          <w:tcPr>
            <w:tcW w:w="750"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Times New Roman" w:hAnsi="Times New Roman" w:eastAsiaTheme="minorEastAsia" w:cstheme="minorEastAsia"/>
                <w:color w:val="auto"/>
                <w:sz w:val="22"/>
                <w:highlight w:val="none"/>
              </w:rPr>
            </w:pPr>
          </w:p>
        </w:tc>
        <w:tc>
          <w:tcPr>
            <w:tcW w:w="67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项目成本</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150000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元</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150000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p>
        </w:tc>
      </w:tr>
      <w:tr>
        <w:tblPrEx>
          <w:tblLayout w:type="fixed"/>
          <w:tblCellMar>
            <w:top w:w="0" w:type="dxa"/>
            <w:left w:w="108" w:type="dxa"/>
            <w:bottom w:w="0" w:type="dxa"/>
            <w:right w:w="108" w:type="dxa"/>
          </w:tblCellMar>
        </w:tblPrEx>
        <w:trPr>
          <w:trHeight w:val="1531" w:hRule="atLeast"/>
        </w:trPr>
        <w:tc>
          <w:tcPr>
            <w:tcW w:w="600" w:type="dxa"/>
            <w:vMerge w:val="restart"/>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Theme="minorEastAsia" w:cstheme="minorEastAsia"/>
                <w:color w:val="auto"/>
                <w:kern w:val="0"/>
                <w:sz w:val="22"/>
                <w:highlight w:val="none"/>
                <w:lang w:bidi="ar"/>
              </w:rPr>
              <w:t>2</w:t>
            </w:r>
          </w:p>
        </w:tc>
        <w:tc>
          <w:tcPr>
            <w:tcW w:w="750"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r>
              <w:rPr>
                <w:rFonts w:hint="eastAsia" w:ascii="Times New Roman" w:hAnsi="Times New Roman" w:eastAsiaTheme="minorEastAsia" w:cstheme="minorEastAsia"/>
                <w:color w:val="auto"/>
                <w:sz w:val="22"/>
                <w:highlight w:val="none"/>
              </w:rPr>
              <w:t>梅江镇2024年关田村茶叶加工厂二期工程建设项目[-]-渝财农〔2023〕146号</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新建冷库面积</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90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90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r>
              <w:rPr>
                <w:rFonts w:hint="eastAsia" w:ascii="Times New Roman" w:hAnsi="Times New Roman" w:cs="宋体"/>
                <w:color w:val="auto"/>
                <w:sz w:val="22"/>
                <w:highlight w:val="none"/>
              </w:rPr>
              <w:t>100.00</w:t>
            </w:r>
          </w:p>
        </w:tc>
      </w:tr>
      <w:tr>
        <w:tblPrEx>
          <w:tblLayout w:type="fixed"/>
          <w:tblCellMar>
            <w:top w:w="0" w:type="dxa"/>
            <w:left w:w="108" w:type="dxa"/>
            <w:bottom w:w="0" w:type="dxa"/>
            <w:right w:w="108" w:type="dxa"/>
          </w:tblCellMar>
        </w:tblPrEx>
        <w:trPr>
          <w:trHeight w:val="1531" w:hRule="atLeast"/>
        </w:trPr>
        <w:tc>
          <w:tcPr>
            <w:tcW w:w="600" w:type="dxa"/>
            <w:vMerge w:val="continue"/>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eastAsia" w:ascii="Times New Roman" w:hAnsi="Times New Roman" w:eastAsiaTheme="minorEastAsia" w:cstheme="minorEastAsia"/>
                <w:color w:val="auto"/>
                <w:sz w:val="22"/>
                <w:highlight w:val="none"/>
              </w:rPr>
            </w:pPr>
          </w:p>
        </w:tc>
        <w:tc>
          <w:tcPr>
            <w:tcW w:w="750"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硬化空坝面积</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1300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1300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p>
        </w:tc>
      </w:tr>
      <w:tr>
        <w:tblPrEx>
          <w:tblLayout w:type="fixed"/>
          <w:tblCellMar>
            <w:top w:w="0" w:type="dxa"/>
            <w:left w:w="108" w:type="dxa"/>
            <w:bottom w:w="0" w:type="dxa"/>
            <w:right w:w="108" w:type="dxa"/>
          </w:tblCellMar>
        </w:tblPrEx>
        <w:trPr>
          <w:trHeight w:val="1531" w:hRule="atLeast"/>
        </w:trPr>
        <w:tc>
          <w:tcPr>
            <w:tcW w:w="600" w:type="dxa"/>
            <w:vMerge w:val="continue"/>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eastAsia" w:ascii="Times New Roman" w:hAnsi="Times New Roman" w:eastAsiaTheme="minorEastAsia" w:cstheme="minorEastAsia"/>
                <w:color w:val="auto"/>
                <w:sz w:val="22"/>
                <w:highlight w:val="none"/>
              </w:rPr>
            </w:pPr>
          </w:p>
        </w:tc>
        <w:tc>
          <w:tcPr>
            <w:tcW w:w="750"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带动农户人数</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p>
        </w:tc>
      </w:tr>
      <w:tr>
        <w:tblPrEx>
          <w:tblLayout w:type="fixed"/>
          <w:tblCellMar>
            <w:top w:w="0" w:type="dxa"/>
            <w:left w:w="108" w:type="dxa"/>
            <w:bottom w:w="0" w:type="dxa"/>
            <w:right w:w="108" w:type="dxa"/>
          </w:tblCellMar>
        </w:tblPrEx>
        <w:trPr>
          <w:trHeight w:val="1531" w:hRule="atLeast"/>
        </w:trPr>
        <w:tc>
          <w:tcPr>
            <w:tcW w:w="600" w:type="dxa"/>
            <w:vMerge w:val="continue"/>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eastAsia" w:ascii="Times New Roman" w:hAnsi="Times New Roman" w:eastAsiaTheme="minorEastAsia" w:cstheme="minorEastAsia"/>
                <w:color w:val="auto"/>
                <w:sz w:val="22"/>
                <w:highlight w:val="none"/>
              </w:rPr>
            </w:pPr>
          </w:p>
        </w:tc>
        <w:tc>
          <w:tcPr>
            <w:tcW w:w="750"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项目成本</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1278600</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元</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1278600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hint="eastAsia" w:ascii="Times New Roman" w:hAnsi="Times New Roman" w:eastAsiaTheme="minorEastAsia" w:cstheme="minorEastAsia"/>
                <w:color w:val="auto"/>
                <w:sz w:val="22"/>
                <w:highlight w:val="none"/>
              </w:rPr>
            </w:pPr>
            <w:r>
              <w:rPr>
                <w:rFonts w:hint="eastAsia" w:ascii="Times New Roman" w:hAnsi="Times New Roman" w:eastAsia="宋体" w:cs="宋体"/>
                <w:i w:val="0"/>
                <w:color w:val="auto"/>
                <w:kern w:val="0"/>
                <w:sz w:val="22"/>
                <w:szCs w:val="22"/>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Theme="minorEastAsia" w:cstheme="minorEastAsia"/>
                <w:color w:val="auto"/>
                <w:sz w:val="22"/>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cs="宋体"/>
                <w:color w:val="auto"/>
                <w:sz w:val="22"/>
                <w:highlight w:val="none"/>
              </w:rPr>
            </w:pPr>
          </w:p>
        </w:tc>
      </w:tr>
    </w:tbl>
    <w:p>
      <w:pPr>
        <w:pStyle w:val="16"/>
        <w:keepNext w:val="0"/>
        <w:keepLines w:val="0"/>
        <w:pageBreakBefore w:val="0"/>
        <w:kinsoku/>
        <w:overflowPunct/>
        <w:topLinePunct w:val="0"/>
        <w:autoSpaceDE w:val="0"/>
        <w:autoSpaceDN/>
        <w:bidi w:val="0"/>
        <w:adjustRightInd/>
        <w:spacing w:before="0" w:beforeAutospacing="0" w:afterAutospacing="0" w:line="560" w:lineRule="exact"/>
        <w:jc w:val="both"/>
        <w:rPr>
          <w:rFonts w:hint="default" w:ascii="Times New Roman" w:hAnsi="Times New Roman" w:eastAsia="方正仿宋_GBK" w:cs="Times New Roman"/>
          <w:b w:val="0"/>
          <w:bCs w:val="0"/>
          <w:color w:val="auto"/>
          <w:sz w:val="32"/>
          <w:szCs w:val="32"/>
          <w:highlight w:val="none"/>
          <w:shd w:val="clear" w:color="auto" w:fill="FFFFFF"/>
          <w:lang w:eastAsia="zh-CN"/>
        </w:rPr>
      </w:pPr>
    </w:p>
    <w:p>
      <w:pPr>
        <w:pStyle w:val="15"/>
        <w:keepNext w:val="0"/>
        <w:keepLines w:val="0"/>
        <w:pageBreakBefore w:val="0"/>
        <w:kinsoku/>
        <w:overflowPunct/>
        <w:topLinePunct w:val="0"/>
        <w:autoSpaceDE w:val="0"/>
        <w:autoSpaceDN/>
        <w:bidi w:val="0"/>
        <w:adjustRightInd/>
        <w:spacing w:beforeAutospacing="0" w:afterAutospacing="0" w:line="560" w:lineRule="exact"/>
        <w:ind w:firstLine="640" w:firstLineChars="200"/>
        <w:jc w:val="both"/>
        <w:rPr>
          <w:rFonts w:hint="default" w:ascii="Times New Roman" w:hAnsi="Times New Roman" w:eastAsia="楷体"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（二）单位绩效评价情况</w:t>
      </w:r>
    </w:p>
    <w:p>
      <w:pPr>
        <w:pStyle w:val="20"/>
        <w:tabs>
          <w:tab w:val="center" w:pos="4153"/>
          <w:tab w:val="left" w:pos="7275"/>
        </w:tabs>
        <w:spacing w:line="600" w:lineRule="exact"/>
        <w:ind w:firstLine="640"/>
        <w:rPr>
          <w:rFonts w:hint="eastAsia" w:ascii="Times New Roman" w:hAnsi="Times New Roman" w:eastAsia="方正仿宋_GBK" w:cs="宋体"/>
          <w:color w:val="auto"/>
          <w:kern w:val="0"/>
          <w:sz w:val="32"/>
          <w:szCs w:val="32"/>
          <w:highlight w:val="none"/>
          <w:lang w:eastAsia="zh-CN"/>
        </w:rPr>
      </w:pPr>
      <w:r>
        <w:rPr>
          <w:rFonts w:hint="eastAsia" w:ascii="Times New Roman" w:hAnsi="Times New Roman" w:eastAsia="方正仿宋_GBK" w:cs="宋体"/>
          <w:color w:val="auto"/>
          <w:kern w:val="0"/>
          <w:sz w:val="32"/>
          <w:szCs w:val="32"/>
          <w:highlight w:val="none"/>
        </w:rPr>
        <w:t>我</w:t>
      </w:r>
      <w:r>
        <w:rPr>
          <w:rFonts w:hint="eastAsia" w:ascii="Times New Roman" w:hAnsi="Times New Roman" w:eastAsia="方正仿宋_GBK" w:cs="宋体"/>
          <w:color w:val="auto"/>
          <w:kern w:val="0"/>
          <w:sz w:val="32"/>
          <w:szCs w:val="32"/>
          <w:highlight w:val="none"/>
          <w:lang w:val="en-US" w:eastAsia="zh-CN"/>
        </w:rPr>
        <w:t>单位</w:t>
      </w:r>
      <w:r>
        <w:rPr>
          <w:rFonts w:hint="eastAsia" w:ascii="Times New Roman" w:hAnsi="Times New Roman" w:eastAsia="方正仿宋_GBK" w:cs="宋体"/>
          <w:color w:val="auto"/>
          <w:kern w:val="0"/>
          <w:sz w:val="32"/>
          <w:szCs w:val="32"/>
          <w:highlight w:val="none"/>
        </w:rPr>
        <w:t>对</w:t>
      </w:r>
      <w:r>
        <w:rPr>
          <w:rFonts w:hint="eastAsia" w:ascii="Times New Roman" w:hAnsi="Times New Roman" w:eastAsia="方正仿宋_GBK" w:cs="宋体"/>
          <w:color w:val="auto"/>
          <w:kern w:val="0"/>
          <w:sz w:val="32"/>
          <w:szCs w:val="32"/>
          <w:highlight w:val="none"/>
          <w:lang w:eastAsia="zh-CN"/>
        </w:rPr>
        <w:t>《</w:t>
      </w:r>
      <w:r>
        <w:rPr>
          <w:rFonts w:hint="eastAsia" w:ascii="Times New Roman" w:hAnsi="Times New Roman" w:eastAsia="方正仿宋_GBK" w:cs="宋体"/>
          <w:color w:val="auto"/>
          <w:kern w:val="0"/>
          <w:sz w:val="32"/>
          <w:szCs w:val="32"/>
          <w:highlight w:val="none"/>
        </w:rPr>
        <w:t>秀山县梅江镇</w:t>
      </w:r>
      <w:r>
        <w:rPr>
          <w:rFonts w:hint="eastAsia" w:ascii="Times New Roman" w:hAnsi="Times New Roman" w:eastAsia="方正仿宋_GBK" w:cs="Times New Roman"/>
          <w:color w:val="auto"/>
          <w:sz w:val="32"/>
          <w:szCs w:val="32"/>
          <w:shd w:val="clear" w:color="auto" w:fill="FFFFFF"/>
          <w:lang w:val="en-US" w:eastAsia="zh-CN" w:bidi="ar-SA"/>
        </w:rPr>
        <w:t>2024</w:t>
      </w:r>
      <w:r>
        <w:rPr>
          <w:rFonts w:hint="eastAsia" w:ascii="Times New Roman" w:hAnsi="Times New Roman" w:eastAsia="方正仿宋_GBK" w:cs="宋体"/>
          <w:color w:val="auto"/>
          <w:kern w:val="0"/>
          <w:sz w:val="32"/>
          <w:szCs w:val="32"/>
          <w:highlight w:val="none"/>
        </w:rPr>
        <w:t>年八幅村生猪养殖场建设一期项目（秀山县禾茂农业开发有限）（</w:t>
      </w:r>
      <w:r>
        <w:rPr>
          <w:rFonts w:hint="eastAsia" w:ascii="Times New Roman" w:hAnsi="Times New Roman" w:eastAsia="方正仿宋_GBK" w:cs="Times New Roman"/>
          <w:color w:val="auto"/>
          <w:sz w:val="32"/>
          <w:szCs w:val="32"/>
          <w:shd w:val="clear" w:color="auto" w:fill="FFFFFF"/>
          <w:lang w:val="en-US" w:eastAsia="zh-CN" w:bidi="ar-SA"/>
        </w:rPr>
        <w:t>2024</w:t>
      </w:r>
      <w:r>
        <w:rPr>
          <w:rFonts w:hint="eastAsia" w:ascii="Times New Roman" w:hAnsi="Times New Roman" w:eastAsia="方正仿宋_GBK" w:cs="宋体"/>
          <w:color w:val="auto"/>
          <w:kern w:val="0"/>
          <w:sz w:val="32"/>
          <w:szCs w:val="32"/>
          <w:highlight w:val="none"/>
        </w:rPr>
        <w:t>年齐河帮扶）</w:t>
      </w:r>
      <w:r>
        <w:rPr>
          <w:rFonts w:hint="eastAsia" w:ascii="Times New Roman" w:hAnsi="Times New Roman" w:eastAsia="方正仿宋_GBK" w:cs="宋体"/>
          <w:color w:val="auto"/>
          <w:kern w:val="0"/>
          <w:sz w:val="32"/>
          <w:szCs w:val="32"/>
          <w:highlight w:val="none"/>
          <w:lang w:eastAsia="zh-CN"/>
        </w:rPr>
        <w:t>》</w:t>
      </w:r>
      <w:r>
        <w:rPr>
          <w:rFonts w:hint="eastAsia" w:ascii="Times New Roman" w:hAnsi="Times New Roman" w:eastAsia="方正仿宋_GBK" w:cs="宋体"/>
          <w:color w:val="auto"/>
          <w:kern w:val="0"/>
          <w:sz w:val="32"/>
          <w:szCs w:val="32"/>
          <w:highlight w:val="none"/>
          <w:lang w:val="en-US" w:eastAsia="zh-CN"/>
        </w:rPr>
        <w:t>项目</w:t>
      </w:r>
      <w:r>
        <w:rPr>
          <w:rFonts w:hint="eastAsia" w:ascii="Times New Roman" w:hAnsi="Times New Roman" w:eastAsia="方正仿宋_GBK" w:cs="宋体"/>
          <w:color w:val="auto"/>
          <w:kern w:val="0"/>
          <w:sz w:val="32"/>
          <w:szCs w:val="32"/>
          <w:highlight w:val="none"/>
        </w:rPr>
        <w:t>开展了绩效评价，涉及财政拨款项目资金</w:t>
      </w:r>
      <w:r>
        <w:rPr>
          <w:rFonts w:hint="eastAsia" w:ascii="Times New Roman" w:hAnsi="Times New Roman" w:eastAsia="方正仿宋_GBK" w:cs="Times New Roman"/>
          <w:color w:val="auto"/>
          <w:sz w:val="32"/>
          <w:szCs w:val="32"/>
          <w:shd w:val="clear" w:color="auto" w:fill="FFFFFF"/>
          <w:lang w:val="en-US" w:eastAsia="zh-CN" w:bidi="ar-SA"/>
        </w:rPr>
        <w:t>15.00</w:t>
      </w:r>
      <w:r>
        <w:rPr>
          <w:rFonts w:hint="eastAsia" w:ascii="Times New Roman" w:hAnsi="Times New Roman" w:eastAsia="方正仿宋_GBK" w:cs="宋体"/>
          <w:color w:val="auto"/>
          <w:kern w:val="0"/>
          <w:sz w:val="32"/>
          <w:szCs w:val="32"/>
          <w:highlight w:val="none"/>
        </w:rPr>
        <w:t>万元，评价得分</w:t>
      </w:r>
      <w:r>
        <w:rPr>
          <w:rFonts w:hint="eastAsia" w:ascii="Times New Roman" w:hAnsi="Times New Roman" w:eastAsia="方正仿宋_GBK" w:cs="Times New Roman"/>
          <w:color w:val="auto"/>
          <w:sz w:val="32"/>
          <w:szCs w:val="32"/>
          <w:shd w:val="clear" w:color="auto" w:fill="FFFFFF"/>
          <w:lang w:val="en-US" w:eastAsia="zh-CN" w:bidi="ar-SA"/>
        </w:rPr>
        <w:t>100</w:t>
      </w:r>
      <w:r>
        <w:rPr>
          <w:rFonts w:hint="eastAsia" w:ascii="Times New Roman" w:hAnsi="Times New Roman" w:eastAsia="方正仿宋_GBK" w:cs="宋体"/>
          <w:color w:val="auto"/>
          <w:kern w:val="0"/>
          <w:sz w:val="32"/>
          <w:szCs w:val="32"/>
          <w:highlight w:val="none"/>
        </w:rPr>
        <w:t>分，评价等次为</w:t>
      </w:r>
      <w:r>
        <w:rPr>
          <w:rFonts w:hint="eastAsia" w:ascii="Times New Roman" w:hAnsi="Times New Roman" w:eastAsia="方正仿宋_GBK" w:cs="宋体"/>
          <w:color w:val="auto"/>
          <w:kern w:val="0"/>
          <w:sz w:val="32"/>
          <w:szCs w:val="32"/>
          <w:highlight w:val="none"/>
          <w:lang w:val="en-US" w:eastAsia="zh-CN"/>
        </w:rPr>
        <w:t>优；</w:t>
      </w:r>
      <w:r>
        <w:rPr>
          <w:rFonts w:hint="eastAsia" w:ascii="Times New Roman" w:hAnsi="Times New Roman" w:eastAsia="方正仿宋_GBK" w:cs="宋体"/>
          <w:color w:val="auto"/>
          <w:kern w:val="0"/>
          <w:sz w:val="32"/>
          <w:szCs w:val="32"/>
          <w:highlight w:val="none"/>
        </w:rPr>
        <w:t>对</w:t>
      </w:r>
      <w:r>
        <w:rPr>
          <w:rFonts w:hint="eastAsia" w:ascii="Times New Roman" w:hAnsi="Times New Roman" w:eastAsia="方正仿宋_GBK" w:cs="宋体"/>
          <w:color w:val="auto"/>
          <w:kern w:val="0"/>
          <w:sz w:val="32"/>
          <w:szCs w:val="32"/>
          <w:highlight w:val="none"/>
          <w:lang w:eastAsia="zh-CN"/>
        </w:rPr>
        <w:t>《梅江镇</w:t>
      </w:r>
      <w:r>
        <w:rPr>
          <w:rFonts w:hint="eastAsia" w:ascii="Times New Roman" w:hAnsi="Times New Roman" w:eastAsia="方正仿宋_GBK" w:cs="Times New Roman"/>
          <w:color w:val="auto"/>
          <w:sz w:val="32"/>
          <w:szCs w:val="32"/>
          <w:shd w:val="clear" w:color="auto" w:fill="FFFFFF"/>
          <w:lang w:val="en-US" w:eastAsia="zh-CN" w:bidi="ar-SA"/>
        </w:rPr>
        <w:t>2024</w:t>
      </w:r>
      <w:r>
        <w:rPr>
          <w:rFonts w:hint="eastAsia" w:ascii="Times New Roman" w:hAnsi="Times New Roman" w:eastAsia="方正仿宋_GBK" w:cs="宋体"/>
          <w:color w:val="auto"/>
          <w:kern w:val="0"/>
          <w:sz w:val="32"/>
          <w:szCs w:val="32"/>
          <w:highlight w:val="none"/>
          <w:lang w:eastAsia="zh-CN"/>
        </w:rPr>
        <w:t>年关田村茶叶加工厂二期工程建设项目[-]-渝财农〔</w:t>
      </w:r>
      <w:r>
        <w:rPr>
          <w:rFonts w:hint="eastAsia" w:ascii="Times New Roman" w:hAnsi="Times New Roman" w:eastAsia="方正仿宋_GBK" w:cs="Times New Roman"/>
          <w:color w:val="auto"/>
          <w:sz w:val="32"/>
          <w:szCs w:val="32"/>
          <w:shd w:val="clear" w:color="auto" w:fill="FFFFFF"/>
          <w:lang w:val="en-US" w:eastAsia="zh-CN" w:bidi="ar-SA"/>
        </w:rPr>
        <w:t>2023</w:t>
      </w:r>
      <w:r>
        <w:rPr>
          <w:rFonts w:hint="eastAsia" w:ascii="Times New Roman" w:hAnsi="Times New Roman" w:eastAsia="方正仿宋_GBK" w:cs="宋体"/>
          <w:color w:val="auto"/>
          <w:kern w:val="0"/>
          <w:sz w:val="32"/>
          <w:szCs w:val="32"/>
          <w:highlight w:val="none"/>
          <w:lang w:eastAsia="zh-CN"/>
        </w:rPr>
        <w:t>〕</w:t>
      </w:r>
      <w:r>
        <w:rPr>
          <w:rFonts w:hint="eastAsia" w:ascii="Times New Roman" w:hAnsi="Times New Roman" w:eastAsia="方正仿宋_GBK" w:cs="Times New Roman"/>
          <w:color w:val="auto"/>
          <w:sz w:val="32"/>
          <w:szCs w:val="32"/>
          <w:shd w:val="clear" w:color="auto" w:fill="FFFFFF"/>
          <w:lang w:val="en-US" w:eastAsia="zh-CN" w:bidi="ar-SA"/>
        </w:rPr>
        <w:t>146</w:t>
      </w:r>
      <w:r>
        <w:rPr>
          <w:rFonts w:hint="eastAsia" w:ascii="Times New Roman" w:hAnsi="Times New Roman" w:eastAsia="方正仿宋_GBK" w:cs="宋体"/>
          <w:color w:val="auto"/>
          <w:kern w:val="0"/>
          <w:sz w:val="32"/>
          <w:szCs w:val="32"/>
          <w:highlight w:val="none"/>
          <w:lang w:eastAsia="zh-CN"/>
        </w:rPr>
        <w:t>号》</w:t>
      </w:r>
      <w:r>
        <w:rPr>
          <w:rFonts w:hint="eastAsia" w:ascii="Times New Roman" w:hAnsi="Times New Roman" w:eastAsia="方正仿宋_GBK" w:cs="宋体"/>
          <w:color w:val="auto"/>
          <w:kern w:val="0"/>
          <w:sz w:val="32"/>
          <w:szCs w:val="32"/>
          <w:highlight w:val="none"/>
          <w:lang w:val="en-US" w:eastAsia="zh-CN"/>
        </w:rPr>
        <w:t>项目</w:t>
      </w:r>
      <w:r>
        <w:rPr>
          <w:rFonts w:hint="eastAsia" w:ascii="Times New Roman" w:hAnsi="Times New Roman" w:eastAsia="方正仿宋_GBK" w:cs="宋体"/>
          <w:color w:val="auto"/>
          <w:kern w:val="0"/>
          <w:sz w:val="32"/>
          <w:szCs w:val="32"/>
          <w:highlight w:val="none"/>
        </w:rPr>
        <w:t>开展了绩效评价，涉及财政拨款项目资金</w:t>
      </w:r>
      <w:r>
        <w:rPr>
          <w:rFonts w:hint="eastAsia" w:ascii="Times New Roman" w:hAnsi="Times New Roman" w:eastAsia="方正仿宋_GBK" w:cs="Times New Roman"/>
          <w:color w:val="auto"/>
          <w:sz w:val="32"/>
          <w:szCs w:val="32"/>
          <w:shd w:val="clear" w:color="auto" w:fill="FFFFFF"/>
          <w:lang w:val="en-US" w:eastAsia="zh-CN" w:bidi="ar-SA"/>
        </w:rPr>
        <w:t>127.86</w:t>
      </w:r>
      <w:r>
        <w:rPr>
          <w:rFonts w:hint="eastAsia" w:ascii="Times New Roman" w:hAnsi="Times New Roman" w:eastAsia="方正仿宋_GBK" w:cs="宋体"/>
          <w:color w:val="auto"/>
          <w:kern w:val="0"/>
          <w:sz w:val="32"/>
          <w:szCs w:val="32"/>
          <w:highlight w:val="none"/>
        </w:rPr>
        <w:t>万元，评价得分</w:t>
      </w:r>
      <w:r>
        <w:rPr>
          <w:rFonts w:hint="eastAsia" w:ascii="Times New Roman" w:hAnsi="Times New Roman" w:eastAsia="方正仿宋_GBK" w:cs="Times New Roman"/>
          <w:color w:val="auto"/>
          <w:sz w:val="32"/>
          <w:szCs w:val="32"/>
          <w:shd w:val="clear" w:color="auto" w:fill="FFFFFF"/>
          <w:lang w:val="en-US" w:eastAsia="zh-CN" w:bidi="ar-SA"/>
        </w:rPr>
        <w:t>100</w:t>
      </w:r>
      <w:r>
        <w:rPr>
          <w:rFonts w:hint="eastAsia" w:ascii="Times New Roman" w:hAnsi="Times New Roman" w:eastAsia="方正仿宋_GBK" w:cs="宋体"/>
          <w:color w:val="auto"/>
          <w:kern w:val="0"/>
          <w:sz w:val="32"/>
          <w:szCs w:val="32"/>
          <w:highlight w:val="none"/>
        </w:rPr>
        <w:t>分，评价等次为</w:t>
      </w:r>
      <w:r>
        <w:rPr>
          <w:rFonts w:hint="eastAsia" w:ascii="Times New Roman" w:hAnsi="Times New Roman" w:eastAsia="方正仿宋_GBK" w:cs="宋体"/>
          <w:color w:val="auto"/>
          <w:kern w:val="0"/>
          <w:sz w:val="32"/>
          <w:szCs w:val="32"/>
          <w:highlight w:val="none"/>
          <w:lang w:val="en-US" w:eastAsia="zh-CN"/>
        </w:rPr>
        <w:t>优。</w:t>
      </w:r>
      <w:r>
        <w:rPr>
          <w:rFonts w:hint="eastAsia" w:ascii="Times New Roman" w:hAnsi="Times New Roman" w:eastAsia="方正仿宋_GBK" w:cs="宋体"/>
          <w:color w:val="auto"/>
          <w:kern w:val="0"/>
          <w:sz w:val="32"/>
          <w:szCs w:val="32"/>
          <w:highlight w:val="none"/>
        </w:rPr>
        <w:t>绩效评价发现了项目实施</w:t>
      </w:r>
      <w:r>
        <w:rPr>
          <w:rFonts w:hint="eastAsia" w:ascii="Times New Roman" w:hAnsi="Times New Roman" w:eastAsia="方正仿宋_GBK" w:cs="宋体"/>
          <w:color w:val="auto"/>
          <w:kern w:val="0"/>
          <w:sz w:val="32"/>
          <w:szCs w:val="32"/>
          <w:highlight w:val="none"/>
          <w:lang w:val="en-US" w:eastAsia="zh-CN"/>
        </w:rPr>
        <w:t>后</w:t>
      </w:r>
      <w:r>
        <w:rPr>
          <w:rFonts w:hint="eastAsia" w:ascii="Times New Roman" w:hAnsi="Times New Roman" w:eastAsia="方正仿宋_GBK" w:cs="宋体"/>
          <w:color w:val="auto"/>
          <w:kern w:val="0"/>
          <w:sz w:val="32"/>
          <w:szCs w:val="32"/>
          <w:highlight w:val="none"/>
        </w:rPr>
        <w:t>未达到验收条件、项目完工后未及时报账等主要问题，提出</w:t>
      </w:r>
      <w:r>
        <w:rPr>
          <w:rFonts w:hint="eastAsia" w:ascii="Times New Roman" w:hAnsi="Times New Roman" w:eastAsia="方正仿宋_GBK" w:cs="宋体"/>
          <w:color w:val="auto"/>
          <w:kern w:val="0"/>
          <w:sz w:val="32"/>
          <w:szCs w:val="32"/>
          <w:highlight w:val="none"/>
          <w:lang w:eastAsia="zh-CN"/>
        </w:rPr>
        <w:t>了</w:t>
      </w:r>
      <w:r>
        <w:rPr>
          <w:rFonts w:hint="eastAsia" w:ascii="Times New Roman" w:hAnsi="Times New Roman" w:eastAsia="方正仿宋_GBK" w:cs="宋体"/>
          <w:color w:val="auto"/>
          <w:kern w:val="0"/>
          <w:sz w:val="32"/>
          <w:szCs w:val="32"/>
          <w:highlight w:val="none"/>
          <w:lang w:val="en-US" w:eastAsia="zh-CN"/>
        </w:rPr>
        <w:t>要</w:t>
      </w:r>
      <w:r>
        <w:rPr>
          <w:rFonts w:hint="eastAsia" w:ascii="Times New Roman" w:hAnsi="Times New Roman" w:eastAsia="方正仿宋_GBK" w:cs="宋体"/>
          <w:color w:val="auto"/>
          <w:kern w:val="0"/>
          <w:sz w:val="32"/>
          <w:szCs w:val="32"/>
          <w:highlight w:val="none"/>
        </w:rPr>
        <w:t>紧盯项目年初绩效目标，打标推进项目实施，确保项目按照预期圆满竣工，达到可支付条件，完成年初设定绩效目标；督促项目实施部门，对已达支付条件项目，抓紧时间完善报账资料，及时报账，提高资金支付率；加强与部门之间的沟通，加快支付进度；提升绩效目标设置的质量，进一步科学、合理的设置目标绩效等下一步工作建议</w:t>
      </w:r>
      <w:r>
        <w:rPr>
          <w:rFonts w:hint="eastAsia" w:ascii="Times New Roman" w:hAnsi="Times New Roman" w:eastAsia="方正仿宋_GBK" w:cs="宋体"/>
          <w:color w:val="auto"/>
          <w:kern w:val="0"/>
          <w:sz w:val="32"/>
          <w:szCs w:val="32"/>
          <w:highlight w:val="none"/>
          <w:lang w:eastAsia="zh-CN"/>
        </w:rPr>
        <w:t>。</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楷体"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（三）财政绩效评价情况</w:t>
      </w:r>
    </w:p>
    <w:p>
      <w:pPr>
        <w:pStyle w:val="15"/>
        <w:keepNext w:val="0"/>
        <w:keepLines w:val="0"/>
        <w:pageBreakBefore w:val="0"/>
        <w:kinsoku/>
        <w:overflowPunct/>
        <w:topLinePunct w:val="0"/>
        <w:autoSpaceDE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rPr>
      </w:pPr>
      <w:r>
        <w:rPr>
          <w:rFonts w:hint="eastAsia" w:ascii="Times New Roman" w:hAnsi="Times New Roman" w:eastAsia="方正仿宋_GBK" w:cs="Times New Roman"/>
          <w:b w:val="0"/>
          <w:bCs w:val="0"/>
          <w:color w:val="auto"/>
          <w:sz w:val="32"/>
          <w:szCs w:val="32"/>
          <w:highlight w:val="none"/>
          <w:shd w:val="clear" w:color="auto" w:fill="FFFFFF"/>
          <w:lang w:val="en-US" w:eastAsia="zh-CN"/>
        </w:rPr>
        <w:t>县</w:t>
      </w:r>
      <w:r>
        <w:rPr>
          <w:rFonts w:hint="default" w:ascii="Times New Roman" w:hAnsi="Times New Roman" w:eastAsia="方正仿宋_GBK" w:cs="Times New Roman"/>
          <w:b w:val="0"/>
          <w:bCs w:val="0"/>
          <w:color w:val="auto"/>
          <w:sz w:val="32"/>
          <w:szCs w:val="32"/>
          <w:highlight w:val="none"/>
          <w:shd w:val="clear" w:color="auto" w:fill="FFFFFF"/>
        </w:rPr>
        <w:t>财政局未委托第三方对我单位开展绩效评价。</w:t>
      </w:r>
    </w:p>
    <w:p>
      <w:pPr>
        <w:pStyle w:val="10"/>
        <w:keepNext w:val="0"/>
        <w:keepLines w:val="0"/>
        <w:pageBreakBefore w:val="0"/>
        <w:numPr>
          <w:ilvl w:val="0"/>
          <w:numId w:val="2"/>
        </w:numPr>
        <w:shd w:val="clear" w:color="auto" w:fill="FFFFFF"/>
        <w:kinsoku/>
        <w:overflowPunct/>
        <w:topLinePunct w:val="0"/>
        <w:autoSpaceDN/>
        <w:bidi w:val="0"/>
        <w:adjustRightInd/>
        <w:spacing w:beforeAutospacing="0" w:afterAutospacing="0" w:line="560" w:lineRule="exact"/>
        <w:ind w:left="0" w:leftChars="0" w:firstLine="640" w:firstLineChars="200"/>
        <w:jc w:val="both"/>
        <w:rPr>
          <w:rFonts w:hint="eastAsia" w:ascii="Times New Roman" w:hAnsi="Times New Roman" w:eastAsia="方正黑体_GBK" w:cs="方正黑体_GBK"/>
          <w:b w:val="0"/>
          <w:bCs/>
          <w:i w:val="0"/>
          <w:iCs w:val="0"/>
          <w:color w:val="auto"/>
          <w:sz w:val="32"/>
          <w:szCs w:val="32"/>
          <w:highlight w:val="none"/>
        </w:rPr>
      </w:pPr>
      <w:r>
        <w:rPr>
          <w:rStyle w:val="12"/>
          <w:rFonts w:hint="eastAsia" w:ascii="Times New Roman" w:hAnsi="Times New Roman" w:eastAsia="方正黑体_GBK" w:cs="方正黑体_GBK"/>
          <w:b w:val="0"/>
          <w:bCs/>
          <w:i w:val="0"/>
          <w:iCs w:val="0"/>
          <w:color w:val="auto"/>
          <w:sz w:val="32"/>
          <w:szCs w:val="32"/>
          <w:highlight w:val="none"/>
          <w:shd w:val="clear" w:color="auto" w:fill="FFFFFF"/>
        </w:rPr>
        <w:t>专业名词解释</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Style w:val="12"/>
          <w:rFonts w:hint="default" w:ascii="Times New Roman" w:hAnsi="Times New Roman" w:eastAsia="方正黑体_GBK" w:cs="Times New Roman"/>
          <w:b w:val="0"/>
          <w:bCs/>
          <w:color w:val="auto"/>
          <w:sz w:val="32"/>
          <w:szCs w:val="32"/>
          <w:highlight w:val="none"/>
          <w:shd w:val="clear" w:color="auto" w:fill="FFFFFF"/>
        </w:rPr>
      </w:pPr>
      <w:r>
        <w:rPr>
          <w:rStyle w:val="12"/>
          <w:rFonts w:hint="default" w:ascii="Times New Roman" w:hAnsi="Times New Roman" w:eastAsia="方正黑体_GBK" w:cs="Times New Roman"/>
          <w:b w:val="0"/>
          <w:bCs/>
          <w:color w:val="auto"/>
          <w:sz w:val="32"/>
          <w:szCs w:val="32"/>
          <w:highlight w:val="none"/>
          <w:shd w:val="clear" w:color="auto" w:fill="FFFFFF"/>
        </w:rPr>
        <w:t>七、决算公开联系方式及信息反馈渠道</w:t>
      </w:r>
    </w:p>
    <w:p>
      <w:pPr>
        <w:pStyle w:val="10"/>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本单位决算公开信息反馈和联系方式：</w:t>
      </w:r>
      <w:r>
        <w:rPr>
          <w:rFonts w:hint="eastAsia" w:ascii="Times New Roman" w:hAnsi="Times New Roman" w:eastAsia="方正仿宋_GBK" w:cs="Times New Roman"/>
          <w:color w:val="auto"/>
          <w:sz w:val="32"/>
          <w:szCs w:val="32"/>
          <w:highlight w:val="none"/>
          <w:shd w:val="clear" w:color="auto" w:fill="FFFFFF"/>
          <w:lang w:val="en-US" w:eastAsia="zh-CN"/>
        </w:rPr>
        <w:t>雷莉19132739474</w:t>
      </w:r>
      <w:r>
        <w:rPr>
          <w:rFonts w:hint="default" w:ascii="Times New Roman" w:hAnsi="Times New Roman" w:eastAsia="方正仿宋_GBK" w:cs="Times New Roman"/>
          <w:color w:val="auto"/>
          <w:sz w:val="32"/>
          <w:szCs w:val="32"/>
          <w:highlight w:val="none"/>
          <w:shd w:val="clear" w:color="auto" w:fill="FFFFFF"/>
        </w:rPr>
        <w:t>。</w:t>
      </w:r>
    </w:p>
    <w:p>
      <w:pPr>
        <w:pStyle w:val="15"/>
        <w:keepNext w:val="0"/>
        <w:keepLines w:val="0"/>
        <w:pageBreakBefore w:val="0"/>
        <w:kinsoku/>
        <w:overflowPunct/>
        <w:topLinePunct w:val="0"/>
        <w:autoSpaceDE w:val="0"/>
        <w:autoSpaceDN/>
        <w:bidi w:val="0"/>
        <w:adjustRightInd/>
        <w:spacing w:beforeAutospacing="0" w:afterAutospacing="0" w:line="560" w:lineRule="exact"/>
        <w:ind w:left="0" w:leftChars="0" w:firstLine="0" w:firstLineChars="0"/>
        <w:jc w:val="both"/>
        <w:rPr>
          <w:rStyle w:val="12"/>
          <w:rFonts w:hint="default" w:ascii="Times New Roman" w:hAnsi="Times New Roman" w:eastAsia="方正仿宋_GBK" w:cs="Times New Roman"/>
          <w:color w:val="auto"/>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spacing w:line="240" w:lineRule="exact"/>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br w:type="textWrapping"/>
      </w:r>
    </w:p>
    <w:tbl>
      <w:tblPr>
        <w:tblStyle w:val="13"/>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Arial"/>
                <w:color w:val="auto"/>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Arial"/>
                <w:color w:val="auto"/>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Arial"/>
                <w:color w:val="auto"/>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01</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Arial"/>
                <w:color w:val="auto"/>
                <w:sz w:val="22"/>
                <w:szCs w:val="22"/>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秀山土家族苗族自治县梅江镇人民政府（本级）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Arial"/>
                <w:color w:val="auto"/>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2,713.88</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990.66</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20.00</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12.37</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193.04</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55.21</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7.40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1,177.61</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164.02</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80.18</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36.00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2,733.88</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2,760.49</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26.60</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宋体"/>
                <w:b/>
                <w:bCs/>
                <w:color w:val="auto"/>
                <w:sz w:val="20"/>
                <w:szCs w:val="20"/>
                <w:highlight w:val="none"/>
              </w:rPr>
            </w:pPr>
            <w:r>
              <w:rPr>
                <w:rFonts w:ascii="Times New Roman" w:hAnsi="Times New Roman" w:cs="宋体"/>
                <w:b/>
                <w:bCs/>
                <w:color w:val="auto"/>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2,760.49</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2,760.49</w:t>
            </w:r>
            <w:r>
              <w:rPr>
                <w:rFonts w:ascii="Times New Roman" w:hAnsi="Times New Roman"/>
                <w:color w:val="auto"/>
                <w:sz w:val="20"/>
                <w:highlight w:val="none"/>
                <w:u w:color="auto"/>
              </w:rPr>
              <w:t xml:space="preserve"> </w:t>
            </w:r>
          </w:p>
        </w:tc>
      </w:tr>
    </w:tbl>
    <w:p>
      <w:pPr>
        <w:rPr>
          <w:rFonts w:hint="default" w:ascii="Times New Roman" w:hAnsi="Times New Roman" w:cs="宋体"/>
          <w:color w:val="auto"/>
          <w:sz w:val="21"/>
          <w:szCs w:val="21"/>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ascii="Times New Roman" w:hAnsi="Times New Roman" w:cs="宋体"/>
          <w:color w:val="auto"/>
          <w:sz w:val="20"/>
          <w:szCs w:val="20"/>
          <w:highlight w:val="none"/>
        </w:rPr>
      </w:pPr>
    </w:p>
    <w:p>
      <w:pPr>
        <w:spacing w:line="240" w:lineRule="exact"/>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备注：1.本表反映单位本年度的总收支和年末结转结余情况。</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t xml:space="preserve">      2.本套报表金额单位转换时可能存在尾数误差。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p>
    <w:tbl>
      <w:tblPr>
        <w:tblStyle w:val="13"/>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秀山土家族苗族自治县梅江镇人民政府（本级）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02</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2,733.88</w:t>
            </w:r>
            <w:r>
              <w:rPr>
                <w:rFonts w:ascii="Times New Roman" w:hAnsi="Times New Roman"/>
                <w:b/>
                <w:color w:val="auto"/>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2,733.88</w:t>
            </w:r>
            <w:r>
              <w:rPr>
                <w:rFonts w:ascii="Times New Roman" w:hAnsi="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964.05</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964.05</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8.71</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8.71</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代表工作</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8.71</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8.71</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916.48</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916.48</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771.08</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771.08</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140.18</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140.18</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2010399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5.23</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5.23</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6.70</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6.70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2010507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6.70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6.70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20123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民族事务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29.97</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29.97</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2012304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民族工作专项</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29.97</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29.97</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20132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2.19</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2.19</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2013202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1.59</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1.59</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2013204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公务员事务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0.60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0.60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12.37</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12.37</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20402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公安</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2.60</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2040299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其他公安支出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司法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9.77</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9.77</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2040605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普法宣传</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9.77</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9.77</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24.00</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24.00</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2070111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文化创作与保护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24.00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193.04</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193.04</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193.04</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193.04</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77.40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77.40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77.01</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77.01</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38.63</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38.63</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55.21</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55.21</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55.21</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55.21</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47.09</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47.09</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8.12</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8.12</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7.40</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7.40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自然生态保护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7.40</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7.40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2110402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农村环境保护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7.40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7.40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1,177.61</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1,177.61</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89.60</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89.60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2130122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农业生产发展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66.00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66.00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2130135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农业生态资源保护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23.60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23.60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56.56</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56.56</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森林资源培育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56.26</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56.26</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2130234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林业草原防灾减灾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0.30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0.30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水利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31.44</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31.44</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2130315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抗旱</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9.99</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9.99</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2130335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农村供水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21.45</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21.45</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952.85</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952.85</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648.33</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648.33</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85.19</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85.19</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社会发展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20.89</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20.89</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198.45</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198.45</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47.16</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47.16</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47.16</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47.16</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164.02</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164.02</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22001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164.02</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164.02</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2200106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自然资源利用与保护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164.02</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164.02</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80.18</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80.18</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保障性安居工程支出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14.10</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14.10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2210105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农村危房改造</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14.10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14.10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66.08</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66.08</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66.08</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66.08</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36.00</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36.00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22402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消防救援事务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35.20</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35.20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2240204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消防应急救援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35.20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35.20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22407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0.80</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0.80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2240703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自然灾害救灾补助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0.80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0.80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22960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2296002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用于社会福利的彩票公益金支出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20.00</w:t>
            </w:r>
            <w:r>
              <w:rPr>
                <w:rFonts w:ascii="Times New Roman" w:hAnsi="Times New Roman"/>
                <w:color w:val="auto"/>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ind w:left="600" w:hanging="600" w:hangingChars="300"/>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备注：1.本表反映单位本年度取得的各项收入情况。</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t>2.本套报表金额单位转换时可能存在尾数误差。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p>
    <w:p>
      <w:pP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br w:type="page"/>
      </w:r>
    </w:p>
    <w:tbl>
      <w:tblPr>
        <w:tblStyle w:val="13"/>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 xml:space="preserve">秀山土家族苗族自治县梅江镇人民政府（本级）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03</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2,760.49</w:t>
            </w:r>
            <w:r>
              <w:rPr>
                <w:rFonts w:ascii="Times New Roman" w:hAnsi="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1,112.61</w:t>
            </w:r>
            <w:r>
              <w:rPr>
                <w:rFonts w:ascii="Times New Roman" w:hAnsi="Times New Roman"/>
                <w:b/>
                <w:color w:val="auto"/>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1,647.88</w:t>
            </w:r>
            <w:r>
              <w:rPr>
                <w:rFonts w:ascii="Times New Roman" w:hAnsi="Times New Roman"/>
                <w:b/>
                <w:color w:val="auto"/>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990.66</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798.28</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192.38</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8.71</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8.71</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代表工作</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8.71</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8.71</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943.09</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797.68</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145.41</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797.68</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797.68</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140.18</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140.18</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2010399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5.23</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5.23</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6.70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6.70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2010507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6.70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6.70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20123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民族事务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29.97</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29.97</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2012304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民族工作专项</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29.97</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29.97</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20132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2.19</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0.60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1.59</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2013202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1.59</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1.59</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2013204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公务员事务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0.60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0.60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12.37</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12.37</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20402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公安</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2040299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其他公安支出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司法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9.77</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9.77</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2040605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普法宣传</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9.77</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9.77</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24.00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24.00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2070111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文化创作与保护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24.00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193.04</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193.04</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193.04</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193.04</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77.40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77.40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77.01</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77.01</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38.63</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38.63</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55.21</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55.21</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55.21</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55.21</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47.09</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47.09</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8.12</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8.12</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7.40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7.40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自然生态保护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7.40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7.40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2110402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农村环境保护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7.40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7.40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1,177.61</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1,177.61</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89.60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89.60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2130122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农业生产发展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66.00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66.00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2130135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农业生态资源保护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23.60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23.60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56.56</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56.56</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森林资源培育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56.26</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56.26</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2130234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林业草原防灾减灾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0.30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0.30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31.44</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31.44</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2130315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抗旱</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9.99</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9.99</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2130335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农村供水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21.45</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21.45</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952.85</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952.85</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648.33</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648.33</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85.19</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85.19</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社会发展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20.89</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20.89</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198.45</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198.45</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47.16</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47.16</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47.16</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47.16</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164.02</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164.02</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22001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164.02</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164.02</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2200106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自然资源利用与保护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164.02</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164.02</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80.18</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66.08</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14.10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保障性安居工程支出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14.10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14.10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2210105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农村危房改造</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14.10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14.10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66.08</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66.08</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66.08</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66.08</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36.00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36.00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22402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消防救援事务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35.20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35.20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2240204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消防应急救援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35.20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35.20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22407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0.80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0.80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2240703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0.80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0.80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22960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2296002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用于社会福利的彩票公益金支出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20.00</w:t>
            </w:r>
            <w:r>
              <w:rPr>
                <w:rFonts w:ascii="Times New Roman" w:hAnsi="Times New Roman"/>
                <w:color w:val="auto"/>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20.00</w:t>
            </w:r>
            <w:r>
              <w:rPr>
                <w:rFonts w:ascii="Times New Roman" w:hAnsi="Times New Roman"/>
                <w:color w:val="auto"/>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备注：1.本表反映单位本年度各项支出情况。</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t xml:space="preserve">      2.本套报表金额单位转换时可能存在尾数误差。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p>
    <w:p>
      <w:pPr>
        <w:rPr>
          <w:rFonts w:hint="default" w:ascii="Times New Roman" w:hAnsi="Times New Roman" w:cs="宋体"/>
          <w:color w:val="auto"/>
          <w:sz w:val="21"/>
          <w:szCs w:val="21"/>
          <w:highlight w:val="none"/>
        </w:rPr>
      </w:pPr>
      <w:r>
        <w:rPr>
          <w:rFonts w:ascii="Times New Roman" w:hAnsi="Times New Roman" w:cs="宋体"/>
          <w:color w:val="auto"/>
          <w:sz w:val="21"/>
          <w:szCs w:val="21"/>
          <w:highlight w:val="none"/>
        </w:rPr>
        <w:br w:type="page"/>
      </w:r>
    </w:p>
    <w:p>
      <w:pPr>
        <w:rPr>
          <w:rFonts w:hint="default" w:ascii="Times New Roman" w:hAnsi="Times New Roman" w:cs="宋体"/>
          <w:color w:val="auto"/>
          <w:sz w:val="21"/>
          <w:szCs w:val="21"/>
          <w:highlight w:val="none"/>
        </w:rPr>
      </w:pPr>
    </w:p>
    <w:tbl>
      <w:tblPr>
        <w:tblStyle w:val="13"/>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auto"/>
                <w:sz w:val="18"/>
                <w:szCs w:val="18"/>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秀山土家族苗族自治县梅江镇人民政府（本级）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04</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宋体"/>
                <w:b/>
                <w:color w:val="auto"/>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宋体"/>
                <w:b/>
                <w:color w:val="auto"/>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宋体"/>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2,713.88</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990.66</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990.66</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20.00</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12.37</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12.37</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24.00</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24.00</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193.04</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193.04</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55.21</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55.21</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7.40</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7.40</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1,177.61</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1,177.61</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164.02</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164.02</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80.18</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80.18</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36.00</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36.00</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20.00</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20.00</w:t>
            </w: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2,733.88</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2,760.49</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2,740.49</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20.00</w:t>
            </w: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26.60</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26.60</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宋体"/>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宋体"/>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宋体"/>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2,760.49</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2,760.49</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2,740.49</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20.00</w:t>
            </w: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bl>
    <w:p>
      <w:pPr>
        <w:spacing w:line="240" w:lineRule="exact"/>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备注：1.本表反映单位本年度一般公共预算财政拨款、政府性基金预算财政拨款及国有资本经营预算财政拨款的总收支和年末结转结余情况。</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t xml:space="preserve">      2.本套报表金额单位转换时可能存在尾数误差。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r>
        <w:rPr>
          <w:rFonts w:ascii="Times New Roman" w:hAnsi="Times New Roman" w:cs="宋体"/>
          <w:color w:val="auto"/>
          <w:sz w:val="21"/>
          <w:szCs w:val="21"/>
          <w:highlight w:val="none"/>
        </w:rPr>
        <w:br w:type="page"/>
      </w:r>
    </w:p>
    <w:tbl>
      <w:tblPr>
        <w:tblStyle w:val="13"/>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秀山土家族苗族自治县梅江镇人民政府（本级）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05</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2,740.49</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1,112.61</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1,627.88</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990.66</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798.28</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192.38</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8.71</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8.71</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8.71</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8.71</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943.09</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797.68</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145.41</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797.68</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797.68</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140.18</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140.18</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其他政府办公厅（室）及相关机构事务支出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5.23</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5.23</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6.70</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6.70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2010507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6.70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6.70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20123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民族事务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29.97</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29.97</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2012304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民族工作专项</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29.97</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29.97</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2.19</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0.60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1.59</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2013202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1.59</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1.59</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2013204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0.60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0.60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12.37</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12.37</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20402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公安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2.60</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2040299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其他公安支出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2.60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2.60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司法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9.77</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9.77</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2040605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普法宣传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9.77</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9.77</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24.00</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24.00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24.00</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24.00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2070111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文化创作与保护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24.00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24.00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193.04</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193.04</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193.04</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193.04</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77.40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77.40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77.01</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77.01</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38.63</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38.63</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55.21</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55.21</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55.21</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55.21</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47.09</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47.09</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8.12</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8.12</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7.40</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7.40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自然生态保护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7.40</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7.40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2110402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农村环境保护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7.40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7.40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1,177.61</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1,177.61</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89.60</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89.60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2130122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农业生产发展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66.00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66.00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2130135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农业生态资源保护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23.60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23.60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56.56</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56.56</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56.26</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56.26</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2130234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0.30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0.30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31.44</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31.44</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2130315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抗旱</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9.99</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9.99</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2130335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农村供水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21.45</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21.45</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952.85</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952.85</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648.33</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648.33</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85.19</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85.19</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社会发展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20.89</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20.89</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198.45</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198.45</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21307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47.16</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47.16</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2130701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47.16</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47.16</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164.02</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164.02</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164.02</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164.02</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2200106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164.02</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164.02</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80.18</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66.08</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14.10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14.10</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14.10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2210105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14.10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14.10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66.08</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66.08</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66.08</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66.08</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36.00</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36.00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22402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消防救援事务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35.20</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35.20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2240204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消防应急救援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35.20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35.20</w:t>
            </w:r>
            <w:r>
              <w:rPr>
                <w:rFonts w:ascii="Times New Roman" w:hAnsi="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22407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0.80</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0.80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2240703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0.80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0.80</w:t>
            </w:r>
            <w:r>
              <w:rPr>
                <w:rFonts w:ascii="Times New Roman" w:hAnsi="Times New Roman"/>
                <w:color w:val="auto"/>
                <w:sz w:val="20"/>
                <w:highlight w:val="none"/>
                <w:u w:color="auto"/>
              </w:rPr>
              <w:t xml:space="preserve"> </w:t>
            </w:r>
          </w:p>
        </w:tc>
      </w:tr>
    </w:tbl>
    <w:p>
      <w:pPr>
        <w:rPr>
          <w:rFonts w:hint="default" w:ascii="Times New Roman" w:hAnsi="Times New Roman" w:cs="宋体"/>
          <w:color w:val="auto"/>
          <w:sz w:val="21"/>
          <w:szCs w:val="21"/>
          <w:highlight w:val="none"/>
        </w:rPr>
      </w:pPr>
      <w:r>
        <w:rPr>
          <w:rFonts w:ascii="Times New Roman" w:hAnsi="Times New Roman" w:cs="宋体"/>
          <w:color w:val="auto"/>
          <w:sz w:val="20"/>
          <w:szCs w:val="20"/>
          <w:highlight w:val="none"/>
        </w:rPr>
        <w:t>备注：1.本表反映单位本年度一般公共预算财政拨款支出情况。</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t xml:space="preserve">      2.本套报表金额单位转换时可能存在尾数误差。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p>
    <w:p>
      <w:pPr>
        <w:ind w:firstLine="630" w:firstLineChars="300"/>
        <w:rPr>
          <w:rFonts w:hint="default" w:ascii="Times New Roman" w:hAnsi="Times New Roman" w:cs="宋体"/>
          <w:color w:val="auto"/>
          <w:sz w:val="21"/>
          <w:szCs w:val="21"/>
          <w:highlight w:val="none"/>
        </w:rPr>
      </w:pPr>
      <w:r>
        <w:rPr>
          <w:rFonts w:ascii="Times New Roman" w:hAnsi="Times New Roman" w:cs="宋体"/>
          <w:color w:val="auto"/>
          <w:sz w:val="21"/>
          <w:szCs w:val="21"/>
          <w:highlight w:val="none"/>
        </w:rPr>
        <w:br w:type="page"/>
      </w:r>
    </w:p>
    <w:tbl>
      <w:tblPr>
        <w:tblStyle w:val="13"/>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auto"/>
                <w:sz w:val="18"/>
                <w:szCs w:val="18"/>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秀山土家族苗族自治县梅江镇人民政府（本级）</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06</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宋体"/>
                <w:color w:val="auto"/>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宋体"/>
                <w:b/>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822.03</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163.66</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184.52</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62.50</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140.80</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0.17</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233.60</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24.78</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1.68</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77.01</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8.58</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38.63</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12.58</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47.09</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1.40</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4.16</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66.08</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8.12</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126.92</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1.15</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17.97</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100.55</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28.40</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8.40</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8.77</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35.66</w:t>
            </w: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b/>
                <w:bCs/>
                <w:color w:val="auto"/>
                <w:sz w:val="18"/>
                <w:szCs w:val="18"/>
                <w:highlight w:val="none"/>
              </w:rPr>
            </w:pPr>
            <w:r>
              <w:rPr>
                <w:rFonts w:ascii="Times New Roman" w:hAnsi="Times New Roman" w:cs="宋体"/>
                <w:b/>
                <w:bCs/>
                <w:color w:val="auto"/>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宋体"/>
                <w:color w:val="auto"/>
                <w:sz w:val="18"/>
                <w:szCs w:val="18"/>
                <w:highlight w:val="none"/>
              </w:rPr>
            </w:pPr>
            <w:r>
              <w:rPr>
                <w:rFonts w:ascii="Times New Roman" w:hAnsi="Times New Roman" w:cs="宋体"/>
                <w:color w:val="auto"/>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宋体"/>
                <w:color w:val="auto"/>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948.95</w:t>
            </w:r>
            <w:r>
              <w:rPr>
                <w:rFonts w:ascii="Times New Roman" w:hAnsi="Times New Roman"/>
                <w:color w:val="auto"/>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宋体"/>
                <w:b/>
                <w:color w:val="auto"/>
                <w:sz w:val="18"/>
                <w:szCs w:val="18"/>
                <w:highlight w:val="none"/>
              </w:rPr>
            </w:pPr>
            <w:r>
              <w:rPr>
                <w:rFonts w:ascii="Times New Roman" w:hAnsi="Times New Roman" w:cs="宋体"/>
                <w:b/>
                <w:color w:val="auto"/>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163.66</w:t>
            </w:r>
            <w:r>
              <w:rPr>
                <w:rFonts w:ascii="Times New Roman" w:hAnsi="Times New Roman"/>
                <w:color w:val="auto"/>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备注：1.本表反映单位本年度一般公共预算财政拨款基本支出明细情况。</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t xml:space="preserve">      2.本套报表金额单位转换时可能存在尾数误差。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r>
        <w:rPr>
          <w:rFonts w:ascii="Times New Roman" w:hAnsi="Times New Roman" w:cs="宋体"/>
          <w:color w:val="auto"/>
          <w:sz w:val="21"/>
          <w:szCs w:val="21"/>
          <w:highlight w:val="none"/>
        </w:rPr>
        <w:br w:type="page"/>
      </w:r>
    </w:p>
    <w:tbl>
      <w:tblPr>
        <w:tblStyle w:val="13"/>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秀山土家族苗族自治县梅江镇人民政府（本级）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07</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20.00</w:t>
            </w:r>
            <w:r>
              <w:rPr>
                <w:rFonts w:ascii="Times New Roman" w:hAnsi="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22960</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宋体"/>
                <w:color w:val="auto"/>
                <w:sz w:val="20"/>
                <w:szCs w:val="20"/>
                <w:highlight w:val="none"/>
              </w:rPr>
            </w:pPr>
            <w:r>
              <w:rPr>
                <w:rFonts w:ascii="Times New Roman" w:hAnsi="Times New Roman" w:cs="宋体"/>
                <w:b/>
                <w:color w:val="auto"/>
                <w:sz w:val="20"/>
                <w:szCs w:val="20"/>
                <w:highlight w:val="none"/>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20.00</w:t>
            </w:r>
            <w:r>
              <w:rPr>
                <w:rFonts w:ascii="Times New Roman" w:hAnsi="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2296002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20.00</w:t>
            </w:r>
            <w:r>
              <w:rPr>
                <w:rFonts w:ascii="Times New Roman" w:hAnsi="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20.00</w:t>
            </w:r>
            <w:r>
              <w:rPr>
                <w:rFonts w:ascii="Times New Roman" w:hAnsi="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20.00</w:t>
            </w:r>
            <w:r>
              <w:rPr>
                <w:rFonts w:ascii="Times New Roman" w:hAnsi="Times New Roman"/>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ascii="Times New Roman" w:hAnsi="Times New Roman" w:cs="宋体"/>
          <w:color w:val="auto"/>
          <w:sz w:val="21"/>
          <w:szCs w:val="21"/>
          <w:highlight w:val="none"/>
        </w:rPr>
      </w:pPr>
      <w:r>
        <w:rPr>
          <w:rFonts w:ascii="Times New Roman" w:hAnsi="Times New Roman" w:cs="宋体"/>
          <w:color w:val="auto"/>
          <w:sz w:val="20"/>
          <w:szCs w:val="20"/>
          <w:highlight w:val="none"/>
        </w:rPr>
        <w:t>备注：1.本表反映单位本年度政府性基金预算财政拨款收入支出及结转和结余情况。</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t xml:space="preserve">      2.本套报表金额单位转换时可能存在尾数误差。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p>
    <w:p>
      <w:pPr>
        <w:rPr>
          <w:rFonts w:hint="default" w:ascii="Times New Roman" w:hAnsi="Times New Roman" w:cs="宋体"/>
          <w:color w:val="auto"/>
          <w:sz w:val="21"/>
          <w:szCs w:val="21"/>
          <w:highlight w:val="none"/>
        </w:rPr>
      </w:pPr>
      <w:r>
        <w:rPr>
          <w:rFonts w:ascii="Times New Roman" w:hAnsi="Times New Roman" w:cs="宋体"/>
          <w:color w:val="auto"/>
          <w:sz w:val="21"/>
          <w:szCs w:val="21"/>
          <w:highlight w:val="none"/>
        </w:rPr>
        <w:br w:type="page"/>
      </w:r>
    </w:p>
    <w:tbl>
      <w:tblPr>
        <w:tblStyle w:val="13"/>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32"/>
                <w:szCs w:val="32"/>
                <w:highlight w:val="none"/>
              </w:rPr>
            </w:pPr>
            <w:r>
              <w:rPr>
                <w:rFonts w:ascii="Times New Roman" w:hAnsi="Times New Roman" w:cs="宋体"/>
                <w:b/>
                <w:color w:val="auto"/>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w:t>
            </w:r>
            <w:r>
              <w:rPr>
                <w:rFonts w:ascii="Times New Roman" w:hAnsi="Times New Roman"/>
                <w:color w:val="auto"/>
                <w:sz w:val="20"/>
                <w:highlight w:val="none"/>
                <w:u w:color="auto"/>
              </w:rPr>
              <w:t>秀山土家族苗族自治县梅江镇人民政府（本级）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公开</w:t>
            </w:r>
            <w:r>
              <w:rPr>
                <w:rFonts w:hint="default" w:ascii="Times New Roman" w:hAnsi="Times New Roman" w:cs="Times New Roman"/>
                <w:color w:val="auto"/>
                <w:sz w:val="20"/>
                <w:szCs w:val="20"/>
                <w:highlight w:val="none"/>
              </w:rPr>
              <w:t>08</w:t>
            </w:r>
            <w:r>
              <w:rPr>
                <w:rFonts w:ascii="Times New Roman" w:hAnsi="Times New Roman" w:cs="宋体"/>
                <w:color w:val="auto"/>
                <w:sz w:val="20"/>
                <w:szCs w:val="20"/>
                <w:highlight w:val="none"/>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宋体"/>
                <w:color w:val="auto"/>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宋体"/>
                <w:color w:val="auto"/>
                <w:sz w:val="20"/>
                <w:szCs w:val="20"/>
                <w:highlight w:val="none"/>
              </w:rPr>
            </w:pPr>
            <w:r>
              <w:rPr>
                <w:rFonts w:ascii="Times New Roman" w:hAnsi="Times New Roman" w:cs="宋体"/>
                <w:color w:val="auto"/>
                <w:sz w:val="20"/>
                <w:szCs w:val="20"/>
                <w:highlight w:val="none"/>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宋体"/>
                <w:b/>
                <w:color w:val="auto"/>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宋体"/>
                <w:b/>
                <w:color w:val="auto"/>
                <w:sz w:val="20"/>
                <w:szCs w:val="20"/>
                <w:highlight w:val="none"/>
              </w:rPr>
            </w:pPr>
            <w:r>
              <w:rPr>
                <w:rFonts w:ascii="Times New Roman" w:hAnsi="Times New Roman" w:cs="宋体"/>
                <w:b/>
                <w:color w:val="auto"/>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宋体"/>
                <w:color w:val="auto"/>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r>
    </w:tbl>
    <w:p>
      <w:pPr>
        <w:rPr>
          <w:rFonts w:hint="default" w:ascii="Times New Roman" w:hAnsi="Times New Roman" w:cs="宋体"/>
          <w:color w:val="auto"/>
          <w:sz w:val="21"/>
          <w:szCs w:val="21"/>
          <w:highlight w:val="none"/>
        </w:rPr>
      </w:pPr>
      <w:r>
        <w:rPr>
          <w:rFonts w:ascii="Times New Roman" w:hAnsi="Times New Roman" w:cs="宋体"/>
          <w:color w:val="auto"/>
          <w:sz w:val="20"/>
          <w:szCs w:val="20"/>
          <w:highlight w:val="none"/>
        </w:rPr>
        <w:t>备注：本表反映单位本年度国有资本经营预算财政拨款支出情况。本单位无国有资本经营收支，故本表无数据。</w:t>
      </w:r>
      <w:r>
        <w:rPr>
          <w:rFonts w:ascii="Times New Roman" w:hAnsi="Times New Roman" w:cs="宋体"/>
          <w:color w:val="auto"/>
          <w:sz w:val="20"/>
          <w:szCs w:val="20"/>
          <w:highlight w:val="none"/>
        </w:rPr>
        <w:br w:type="textWrapping"/>
      </w:r>
      <w:r>
        <w:rPr>
          <w:rFonts w:ascii="Times New Roman" w:hAnsi="Times New Roman" w:cs="宋体"/>
          <w:color w:val="auto"/>
          <w:sz w:val="20"/>
          <w:szCs w:val="20"/>
          <w:highlight w:val="none"/>
        </w:rPr>
        <w:br w:type="textWrapping"/>
      </w:r>
    </w:p>
    <w:p>
      <w:pPr>
        <w:rPr>
          <w:rFonts w:hint="default" w:ascii="Times New Roman" w:hAnsi="Times New Roman" w:cs="宋体"/>
          <w:color w:val="auto"/>
          <w:sz w:val="21"/>
          <w:szCs w:val="21"/>
          <w:highlight w:val="none"/>
        </w:rPr>
      </w:pPr>
      <w:r>
        <w:rPr>
          <w:rFonts w:hint="default" w:ascii="Times New Roman" w:hAnsi="Times New Roman" w:cs="宋体"/>
          <w:color w:val="auto"/>
          <w:sz w:val="21"/>
          <w:szCs w:val="21"/>
          <w:highlight w:val="none"/>
        </w:rPr>
        <w:br w:type="page"/>
      </w:r>
    </w:p>
    <w:tbl>
      <w:tblPr>
        <w:tblStyle w:val="13"/>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宋体"/>
                <w:b/>
                <w:color w:val="auto"/>
                <w:kern w:val="2"/>
                <w:sz w:val="32"/>
                <w:szCs w:val="32"/>
                <w:highlight w:val="none"/>
              </w:rPr>
            </w:pPr>
            <w:r>
              <w:rPr>
                <w:rFonts w:ascii="Times New Roman" w:hAnsi="Times New Roman" w:cs="宋体"/>
                <w:b/>
                <w:color w:val="auto"/>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ascii="Times New Roman" w:hAnsi="Times New Roman" w:cs="宋体"/>
                <w:color w:val="auto"/>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ascii="Times New Roman" w:hAnsi="Times New Roman" w:cs="宋体"/>
                <w:color w:val="auto"/>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ascii="Times New Roman" w:hAnsi="Times New Roman" w:cs="宋体"/>
                <w:color w:val="auto"/>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ascii="Times New Roman" w:hAnsi="Times New Roman" w:cs="宋体"/>
                <w:color w:val="auto"/>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宋体"/>
                <w:color w:val="auto"/>
                <w:kern w:val="2"/>
                <w:sz w:val="20"/>
                <w:szCs w:val="20"/>
                <w:highlight w:val="none"/>
              </w:rPr>
            </w:pPr>
            <w:r>
              <w:rPr>
                <w:rFonts w:ascii="Times New Roman" w:hAnsi="Times New Roman" w:cs="宋体"/>
                <w:color w:val="auto"/>
                <w:kern w:val="2"/>
                <w:sz w:val="20"/>
                <w:szCs w:val="20"/>
                <w:highlight w:val="none"/>
              </w:rPr>
              <w:t>公开</w:t>
            </w:r>
            <w:r>
              <w:rPr>
                <w:rFonts w:hint="default" w:ascii="Times New Roman" w:hAnsi="Times New Roman"/>
                <w:color w:val="auto"/>
                <w:kern w:val="2"/>
                <w:sz w:val="20"/>
                <w:szCs w:val="20"/>
                <w:highlight w:val="none"/>
              </w:rPr>
              <w:t>09</w:t>
            </w:r>
            <w:r>
              <w:rPr>
                <w:rFonts w:ascii="Times New Roman" w:hAnsi="Times New Roman" w:cs="宋体"/>
                <w:color w:val="auto"/>
                <w:kern w:val="2"/>
                <w:sz w:val="20"/>
                <w:szCs w:val="20"/>
                <w:highlight w:val="none"/>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宋体"/>
                <w:color w:val="auto"/>
                <w:kern w:val="2"/>
                <w:sz w:val="20"/>
                <w:szCs w:val="20"/>
                <w:highlight w:val="none"/>
              </w:rPr>
            </w:pPr>
            <w:r>
              <w:rPr>
                <w:rFonts w:hint="eastAsia" w:ascii="Times New Roman" w:hAnsi="Times New Roman" w:cs="宋体"/>
                <w:color w:val="auto"/>
                <w:kern w:val="2"/>
                <w:sz w:val="20"/>
                <w:szCs w:val="20"/>
                <w:highlight w:val="none"/>
                <w:lang w:eastAsia="zh-CN"/>
              </w:rPr>
              <w:t>单位</w:t>
            </w:r>
            <w:r>
              <w:rPr>
                <w:rFonts w:ascii="Times New Roman" w:hAnsi="Times New Roman" w:cs="宋体"/>
                <w:color w:val="auto"/>
                <w:kern w:val="2"/>
                <w:sz w:val="20"/>
                <w:szCs w:val="20"/>
                <w:highlight w:val="none"/>
              </w:rPr>
              <w:t>：</w:t>
            </w:r>
            <w:r>
              <w:rPr>
                <w:rFonts w:ascii="Times New Roman" w:hAnsi="Times New Roman"/>
                <w:color w:val="auto"/>
                <w:sz w:val="20"/>
                <w:highlight w:val="none"/>
                <w:u w:color="auto"/>
              </w:rPr>
              <w:t>秀山土家族苗族自治县梅江镇人民政府（本级）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宋体"/>
                <w:color w:val="auto"/>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宋体"/>
                <w:color w:val="auto"/>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宋体"/>
                <w:color w:val="auto"/>
                <w:kern w:val="2"/>
                <w:sz w:val="20"/>
                <w:szCs w:val="20"/>
                <w:highlight w:val="none"/>
              </w:rPr>
            </w:pPr>
            <w:r>
              <w:rPr>
                <w:rFonts w:ascii="Times New Roman" w:hAnsi="Times New Roman" w:cs="宋体"/>
                <w:color w:val="auto"/>
                <w:kern w:val="2"/>
                <w:sz w:val="20"/>
                <w:szCs w:val="20"/>
                <w:highlight w:val="none"/>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163.66</w:t>
            </w: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8.77</w:t>
            </w: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8.77</w:t>
            </w: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163.66</w:t>
            </w: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8.77</w:t>
            </w: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8.77</w:t>
            </w: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w:t>
            </w: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8.77</w:t>
            </w: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8.77</w:t>
            </w: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w:t>
            </w: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3</w:t>
            </w: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7.36</w:t>
            </w: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7.36</w:t>
            </w: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4.50</w:t>
            </w: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kern w:val="2"/>
                <w:sz w:val="16"/>
                <w:szCs w:val="16"/>
                <w:highlight w:val="none"/>
              </w:rPr>
            </w:pPr>
            <w:r>
              <w:rPr>
                <w:rFonts w:ascii="Times New Roman" w:hAnsi="Times New Roman" w:cs="宋体"/>
                <w:b/>
                <w:bCs/>
                <w:color w:val="auto"/>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4.50</w:t>
            </w:r>
            <w:r>
              <w:rPr>
                <w:rFonts w:ascii="Times New Roman" w:hAnsi="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auto"/>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color w:val="auto"/>
                <w:kern w:val="2"/>
                <w:sz w:val="16"/>
                <w:szCs w:val="16"/>
                <w:highlight w:val="none"/>
              </w:rPr>
            </w:pPr>
            <w:r>
              <w:rPr>
                <w:rFonts w:ascii="Times New Roman" w:hAnsi="Times New Roman" w:cs="宋体"/>
                <w:b/>
                <w:color w:val="auto"/>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1.15</w:t>
            </w: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auto"/>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宋体"/>
                <w:b/>
                <w:bCs/>
                <w:color w:val="auto"/>
                <w:sz w:val="16"/>
                <w:szCs w:val="16"/>
                <w:highlight w:val="none"/>
              </w:rPr>
            </w:pPr>
            <w:r>
              <w:rPr>
                <w:rFonts w:ascii="Times New Roman" w:hAnsi="Times New Roman" w:cs="宋体"/>
                <w:b/>
                <w:bCs/>
                <w:color w:val="auto"/>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4.51</w:t>
            </w:r>
            <w:r>
              <w:rPr>
                <w:rFonts w:ascii="Times New Roman" w:hAnsi="Times New Roman"/>
                <w:color w:val="auto"/>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宋体"/>
                <w:color w:val="auto"/>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宋体"/>
                <w:color w:val="auto"/>
                <w:sz w:val="16"/>
                <w:szCs w:val="16"/>
                <w:highlight w:val="none"/>
              </w:rPr>
            </w:pPr>
          </w:p>
        </w:tc>
      </w:tr>
    </w:tbl>
    <w:p>
      <w:pPr>
        <w:rPr>
          <w:rFonts w:hint="default" w:ascii="Times New Roman" w:hAnsi="Times New Roman" w:cs="Times New Roman"/>
          <w:color w:val="auto"/>
          <w:sz w:val="21"/>
          <w:szCs w:val="21"/>
          <w:highlight w:val="none"/>
        </w:rPr>
      </w:pPr>
      <w:r>
        <w:rPr>
          <w:rFonts w:ascii="Times New Roman" w:hAnsi="Times New Roman" w:cs="宋体"/>
          <w:color w:val="auto"/>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color w:val="auto"/>
          <w:sz w:val="18"/>
          <w:szCs w:val="18"/>
          <w:highlight w:val="none"/>
        </w:rPr>
        <w:br w:type="textWrapping"/>
      </w:r>
      <w:r>
        <w:rPr>
          <w:rFonts w:ascii="Times New Roman" w:hAnsi="Times New Roman" w:cs="宋体"/>
          <w:color w:val="auto"/>
          <w:sz w:val="18"/>
          <w:szCs w:val="18"/>
          <w:highlight w:val="none"/>
        </w:rPr>
        <w:t xml:space="preserve">      2.本套报表金额单位转换时可能存在尾数误差。</w:t>
      </w:r>
      <w:r>
        <w:rPr>
          <w:rFonts w:ascii="Times New Roman" w:hAnsi="Times New Roman" w:cs="宋体"/>
          <w:color w:val="auto"/>
          <w:sz w:val="18"/>
          <w:szCs w:val="18"/>
          <w:highlight w:val="none"/>
        </w:rPr>
        <w:br w:type="textWrapping"/>
      </w:r>
      <w:r>
        <w:rPr>
          <w:rFonts w:ascii="Times New Roman" w:hAnsi="Times New Roman" w:cs="宋体"/>
          <w:color w:val="auto"/>
          <w:sz w:val="18"/>
          <w:szCs w:val="18"/>
          <w:highlight w:val="none"/>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F2CCBC8C"/>
    <w:multiLevelType w:val="singleLevel"/>
    <w:tmpl w:val="F2CCBC8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F73F90"/>
    <w:rsid w:val="01474EBF"/>
    <w:rsid w:val="01F3521E"/>
    <w:rsid w:val="01F55AAD"/>
    <w:rsid w:val="02044004"/>
    <w:rsid w:val="03337570"/>
    <w:rsid w:val="03B0392E"/>
    <w:rsid w:val="03B87EA0"/>
    <w:rsid w:val="03CA5F63"/>
    <w:rsid w:val="03E3214F"/>
    <w:rsid w:val="03EF6998"/>
    <w:rsid w:val="044C50BA"/>
    <w:rsid w:val="04773B5A"/>
    <w:rsid w:val="051111AF"/>
    <w:rsid w:val="05745F16"/>
    <w:rsid w:val="05BC6D49"/>
    <w:rsid w:val="05C550F1"/>
    <w:rsid w:val="05E30A62"/>
    <w:rsid w:val="06194FF1"/>
    <w:rsid w:val="06627112"/>
    <w:rsid w:val="06A2550B"/>
    <w:rsid w:val="06F80EE2"/>
    <w:rsid w:val="07001CCA"/>
    <w:rsid w:val="075678DB"/>
    <w:rsid w:val="079D7CC7"/>
    <w:rsid w:val="07A20541"/>
    <w:rsid w:val="07FB6E09"/>
    <w:rsid w:val="08051BCA"/>
    <w:rsid w:val="08134763"/>
    <w:rsid w:val="086C12F4"/>
    <w:rsid w:val="08705944"/>
    <w:rsid w:val="08BA052C"/>
    <w:rsid w:val="08DB07BA"/>
    <w:rsid w:val="0969353F"/>
    <w:rsid w:val="098305D0"/>
    <w:rsid w:val="099F0898"/>
    <w:rsid w:val="099F2E13"/>
    <w:rsid w:val="09CC3E73"/>
    <w:rsid w:val="09DB04A5"/>
    <w:rsid w:val="0A3317EA"/>
    <w:rsid w:val="0A5C4B69"/>
    <w:rsid w:val="0A86124A"/>
    <w:rsid w:val="0AB54CC0"/>
    <w:rsid w:val="0B10767F"/>
    <w:rsid w:val="0B1C293F"/>
    <w:rsid w:val="0B486577"/>
    <w:rsid w:val="0B6C6DF3"/>
    <w:rsid w:val="0B9335CE"/>
    <w:rsid w:val="0B9657DB"/>
    <w:rsid w:val="0BF2311A"/>
    <w:rsid w:val="0C782FC5"/>
    <w:rsid w:val="0C7927C4"/>
    <w:rsid w:val="0C7D110B"/>
    <w:rsid w:val="0C9B098C"/>
    <w:rsid w:val="0CDD61BE"/>
    <w:rsid w:val="0D4B103C"/>
    <w:rsid w:val="0D566EFD"/>
    <w:rsid w:val="0D673E11"/>
    <w:rsid w:val="0D910B8A"/>
    <w:rsid w:val="0DDA54E4"/>
    <w:rsid w:val="0E3A5F83"/>
    <w:rsid w:val="0EA821BE"/>
    <w:rsid w:val="0F475FC4"/>
    <w:rsid w:val="0F53511F"/>
    <w:rsid w:val="0F6B27A3"/>
    <w:rsid w:val="0F836721"/>
    <w:rsid w:val="0FA25D96"/>
    <w:rsid w:val="107B59E5"/>
    <w:rsid w:val="10A85EC9"/>
    <w:rsid w:val="10EC0126"/>
    <w:rsid w:val="10F70B9A"/>
    <w:rsid w:val="111445C7"/>
    <w:rsid w:val="114278C6"/>
    <w:rsid w:val="114A58CD"/>
    <w:rsid w:val="1158083A"/>
    <w:rsid w:val="11643A4B"/>
    <w:rsid w:val="119620B8"/>
    <w:rsid w:val="11ED0F98"/>
    <w:rsid w:val="11F03528"/>
    <w:rsid w:val="120F3D73"/>
    <w:rsid w:val="122C5DCA"/>
    <w:rsid w:val="12C921C4"/>
    <w:rsid w:val="12F57850"/>
    <w:rsid w:val="13100D64"/>
    <w:rsid w:val="13871C70"/>
    <w:rsid w:val="13A71CB4"/>
    <w:rsid w:val="13AF1D43"/>
    <w:rsid w:val="13B935DC"/>
    <w:rsid w:val="13C543CF"/>
    <w:rsid w:val="13CE1647"/>
    <w:rsid w:val="13FD55AB"/>
    <w:rsid w:val="141B154D"/>
    <w:rsid w:val="14200702"/>
    <w:rsid w:val="14604A1D"/>
    <w:rsid w:val="14712FAC"/>
    <w:rsid w:val="14A0327B"/>
    <w:rsid w:val="14B22EA0"/>
    <w:rsid w:val="153D5948"/>
    <w:rsid w:val="154855A9"/>
    <w:rsid w:val="15542055"/>
    <w:rsid w:val="15596D49"/>
    <w:rsid w:val="15A257F3"/>
    <w:rsid w:val="15CE375F"/>
    <w:rsid w:val="163A6CEE"/>
    <w:rsid w:val="16686421"/>
    <w:rsid w:val="16E94427"/>
    <w:rsid w:val="170A1218"/>
    <w:rsid w:val="170B5F9C"/>
    <w:rsid w:val="173708E3"/>
    <w:rsid w:val="17856ADC"/>
    <w:rsid w:val="17B93792"/>
    <w:rsid w:val="17C374FC"/>
    <w:rsid w:val="17FE3AB1"/>
    <w:rsid w:val="182E4AB6"/>
    <w:rsid w:val="18780FC2"/>
    <w:rsid w:val="187C3F22"/>
    <w:rsid w:val="189079DC"/>
    <w:rsid w:val="189B0D0B"/>
    <w:rsid w:val="18B43F7C"/>
    <w:rsid w:val="194A1770"/>
    <w:rsid w:val="196E7B81"/>
    <w:rsid w:val="19B525FC"/>
    <w:rsid w:val="19B906A4"/>
    <w:rsid w:val="19C33E55"/>
    <w:rsid w:val="1A311073"/>
    <w:rsid w:val="1A7A10F2"/>
    <w:rsid w:val="1ABC46CF"/>
    <w:rsid w:val="1B6F15B6"/>
    <w:rsid w:val="1BAA2EDC"/>
    <w:rsid w:val="1BBE6C16"/>
    <w:rsid w:val="1C582F6F"/>
    <w:rsid w:val="1CA55E64"/>
    <w:rsid w:val="1CF50D6F"/>
    <w:rsid w:val="1D014A01"/>
    <w:rsid w:val="1D022362"/>
    <w:rsid w:val="1D1B04B0"/>
    <w:rsid w:val="1D2550CD"/>
    <w:rsid w:val="1DA52501"/>
    <w:rsid w:val="1DBD6767"/>
    <w:rsid w:val="1DC52125"/>
    <w:rsid w:val="1DD26311"/>
    <w:rsid w:val="1E3246E9"/>
    <w:rsid w:val="1E374ACB"/>
    <w:rsid w:val="1E824A28"/>
    <w:rsid w:val="1ECF0A66"/>
    <w:rsid w:val="1EEC63D3"/>
    <w:rsid w:val="1EF67CA4"/>
    <w:rsid w:val="1F020D3A"/>
    <w:rsid w:val="1F2C5189"/>
    <w:rsid w:val="1F4B0B02"/>
    <w:rsid w:val="1FBB35CD"/>
    <w:rsid w:val="1FCD26AF"/>
    <w:rsid w:val="200750AD"/>
    <w:rsid w:val="205611AB"/>
    <w:rsid w:val="20642787"/>
    <w:rsid w:val="20E1497C"/>
    <w:rsid w:val="20EC4A70"/>
    <w:rsid w:val="21037E42"/>
    <w:rsid w:val="21556F04"/>
    <w:rsid w:val="21D60073"/>
    <w:rsid w:val="22403BD3"/>
    <w:rsid w:val="23150453"/>
    <w:rsid w:val="234426EE"/>
    <w:rsid w:val="23511C48"/>
    <w:rsid w:val="24754E13"/>
    <w:rsid w:val="24B92327"/>
    <w:rsid w:val="24C14514"/>
    <w:rsid w:val="24EA5E7A"/>
    <w:rsid w:val="24F34BF9"/>
    <w:rsid w:val="2533755C"/>
    <w:rsid w:val="25400050"/>
    <w:rsid w:val="25510360"/>
    <w:rsid w:val="25791755"/>
    <w:rsid w:val="26396DF4"/>
    <w:rsid w:val="26400D1E"/>
    <w:rsid w:val="264D4FE4"/>
    <w:rsid w:val="26700020"/>
    <w:rsid w:val="26FC1B93"/>
    <w:rsid w:val="27167136"/>
    <w:rsid w:val="271B442C"/>
    <w:rsid w:val="276860E1"/>
    <w:rsid w:val="27B23302"/>
    <w:rsid w:val="2865079C"/>
    <w:rsid w:val="289619FE"/>
    <w:rsid w:val="28C937A5"/>
    <w:rsid w:val="292E16EB"/>
    <w:rsid w:val="29310A5F"/>
    <w:rsid w:val="29C37A35"/>
    <w:rsid w:val="29C801AF"/>
    <w:rsid w:val="29F0501C"/>
    <w:rsid w:val="2A076083"/>
    <w:rsid w:val="2A186CDE"/>
    <w:rsid w:val="2A340A6D"/>
    <w:rsid w:val="2A73162E"/>
    <w:rsid w:val="2A9474F7"/>
    <w:rsid w:val="2ADB21AE"/>
    <w:rsid w:val="2B167953"/>
    <w:rsid w:val="2B200583"/>
    <w:rsid w:val="2B7831DD"/>
    <w:rsid w:val="2B800486"/>
    <w:rsid w:val="2B8209DE"/>
    <w:rsid w:val="2BDC4105"/>
    <w:rsid w:val="2C310EC1"/>
    <w:rsid w:val="2C3F1267"/>
    <w:rsid w:val="2C636760"/>
    <w:rsid w:val="2C6762A3"/>
    <w:rsid w:val="2DAA0DBE"/>
    <w:rsid w:val="2E12683E"/>
    <w:rsid w:val="2E4858FC"/>
    <w:rsid w:val="2E5F471C"/>
    <w:rsid w:val="2E7F2EFF"/>
    <w:rsid w:val="2E9620DB"/>
    <w:rsid w:val="2F3037F1"/>
    <w:rsid w:val="2F59063A"/>
    <w:rsid w:val="2F6853C3"/>
    <w:rsid w:val="2F6904F7"/>
    <w:rsid w:val="2F935C9E"/>
    <w:rsid w:val="2FCA4B37"/>
    <w:rsid w:val="2FE029D7"/>
    <w:rsid w:val="2FF06E00"/>
    <w:rsid w:val="302134D2"/>
    <w:rsid w:val="302F686E"/>
    <w:rsid w:val="30586FEC"/>
    <w:rsid w:val="305D35F7"/>
    <w:rsid w:val="312C6F03"/>
    <w:rsid w:val="315F0B22"/>
    <w:rsid w:val="31D84415"/>
    <w:rsid w:val="32285F6F"/>
    <w:rsid w:val="3232399E"/>
    <w:rsid w:val="32415E7A"/>
    <w:rsid w:val="32770556"/>
    <w:rsid w:val="32842DA8"/>
    <w:rsid w:val="329C0913"/>
    <w:rsid w:val="32AA0460"/>
    <w:rsid w:val="330B54C1"/>
    <w:rsid w:val="3337290D"/>
    <w:rsid w:val="33E31118"/>
    <w:rsid w:val="33EF7674"/>
    <w:rsid w:val="33FA1DA5"/>
    <w:rsid w:val="342D7BC6"/>
    <w:rsid w:val="344B7D81"/>
    <w:rsid w:val="352930DB"/>
    <w:rsid w:val="35573069"/>
    <w:rsid w:val="355F6038"/>
    <w:rsid w:val="358C217E"/>
    <w:rsid w:val="35A46D1A"/>
    <w:rsid w:val="35D25D0F"/>
    <w:rsid w:val="35E23413"/>
    <w:rsid w:val="365E03B7"/>
    <w:rsid w:val="368824D1"/>
    <w:rsid w:val="369463B4"/>
    <w:rsid w:val="36C9128A"/>
    <w:rsid w:val="36D82EA7"/>
    <w:rsid w:val="37841E99"/>
    <w:rsid w:val="37BF1123"/>
    <w:rsid w:val="37FA37E6"/>
    <w:rsid w:val="383C3F15"/>
    <w:rsid w:val="38BE4696"/>
    <w:rsid w:val="38E069EA"/>
    <w:rsid w:val="39313921"/>
    <w:rsid w:val="3939115E"/>
    <w:rsid w:val="396F4AD6"/>
    <w:rsid w:val="39B82A39"/>
    <w:rsid w:val="39C42CA8"/>
    <w:rsid w:val="39DC4FD6"/>
    <w:rsid w:val="39F03D7A"/>
    <w:rsid w:val="39F33306"/>
    <w:rsid w:val="3A2C1C67"/>
    <w:rsid w:val="3A2C75B6"/>
    <w:rsid w:val="3ADD7F09"/>
    <w:rsid w:val="3B1705E5"/>
    <w:rsid w:val="3B18334B"/>
    <w:rsid w:val="3B213084"/>
    <w:rsid w:val="3B36794F"/>
    <w:rsid w:val="3B556063"/>
    <w:rsid w:val="3B5C0FE5"/>
    <w:rsid w:val="3B6F6EE0"/>
    <w:rsid w:val="3B711E67"/>
    <w:rsid w:val="3B8676E9"/>
    <w:rsid w:val="3B960DD4"/>
    <w:rsid w:val="3BFE7FDD"/>
    <w:rsid w:val="3C566AD6"/>
    <w:rsid w:val="3C594871"/>
    <w:rsid w:val="3C6A5B02"/>
    <w:rsid w:val="3C737CCB"/>
    <w:rsid w:val="3CB437CE"/>
    <w:rsid w:val="3D206C41"/>
    <w:rsid w:val="3D2757A1"/>
    <w:rsid w:val="3D345D6A"/>
    <w:rsid w:val="3D3D4FC4"/>
    <w:rsid w:val="3DDF3AB1"/>
    <w:rsid w:val="3E1D0952"/>
    <w:rsid w:val="3E42660A"/>
    <w:rsid w:val="3E7555B1"/>
    <w:rsid w:val="3E787ED9"/>
    <w:rsid w:val="3E875463"/>
    <w:rsid w:val="3EFC108A"/>
    <w:rsid w:val="3F032E93"/>
    <w:rsid w:val="3F0527E5"/>
    <w:rsid w:val="3F687FED"/>
    <w:rsid w:val="3F694D83"/>
    <w:rsid w:val="3F793432"/>
    <w:rsid w:val="3F885DCC"/>
    <w:rsid w:val="3F8C28AD"/>
    <w:rsid w:val="3FCD675E"/>
    <w:rsid w:val="4004000C"/>
    <w:rsid w:val="40511FA4"/>
    <w:rsid w:val="40575E84"/>
    <w:rsid w:val="40BD5482"/>
    <w:rsid w:val="410933F1"/>
    <w:rsid w:val="411B6CE5"/>
    <w:rsid w:val="411C4A4D"/>
    <w:rsid w:val="412070D7"/>
    <w:rsid w:val="41314E40"/>
    <w:rsid w:val="414D5C90"/>
    <w:rsid w:val="41956F5A"/>
    <w:rsid w:val="419D705C"/>
    <w:rsid w:val="41C757E2"/>
    <w:rsid w:val="41E0734B"/>
    <w:rsid w:val="4200352F"/>
    <w:rsid w:val="426C1EA8"/>
    <w:rsid w:val="42736402"/>
    <w:rsid w:val="42E86A87"/>
    <w:rsid w:val="43307B09"/>
    <w:rsid w:val="43835B4D"/>
    <w:rsid w:val="439A3EB9"/>
    <w:rsid w:val="43BB152F"/>
    <w:rsid w:val="44C37687"/>
    <w:rsid w:val="456B186C"/>
    <w:rsid w:val="45CB699A"/>
    <w:rsid w:val="465B470D"/>
    <w:rsid w:val="465C6416"/>
    <w:rsid w:val="469D6AD4"/>
    <w:rsid w:val="46AE212B"/>
    <w:rsid w:val="46BB3779"/>
    <w:rsid w:val="46BE4A1B"/>
    <w:rsid w:val="471E6C84"/>
    <w:rsid w:val="4748792B"/>
    <w:rsid w:val="475D719D"/>
    <w:rsid w:val="47674801"/>
    <w:rsid w:val="48126C0A"/>
    <w:rsid w:val="48225EF7"/>
    <w:rsid w:val="488F422B"/>
    <w:rsid w:val="48A71161"/>
    <w:rsid w:val="48C86C46"/>
    <w:rsid w:val="48CD79DF"/>
    <w:rsid w:val="48E36915"/>
    <w:rsid w:val="48EB6572"/>
    <w:rsid w:val="495C4A24"/>
    <w:rsid w:val="497135DF"/>
    <w:rsid w:val="49B2086E"/>
    <w:rsid w:val="49E7268E"/>
    <w:rsid w:val="4A263DF2"/>
    <w:rsid w:val="4A5047E2"/>
    <w:rsid w:val="4A5D2675"/>
    <w:rsid w:val="4A6F6675"/>
    <w:rsid w:val="4AF25B4D"/>
    <w:rsid w:val="4B135857"/>
    <w:rsid w:val="4B7951CB"/>
    <w:rsid w:val="4B7C315C"/>
    <w:rsid w:val="4BE76D9A"/>
    <w:rsid w:val="4C0A2F30"/>
    <w:rsid w:val="4C234794"/>
    <w:rsid w:val="4D3840AF"/>
    <w:rsid w:val="4DA42CC8"/>
    <w:rsid w:val="4DAC4ACA"/>
    <w:rsid w:val="4DBE01D2"/>
    <w:rsid w:val="4DEF1D09"/>
    <w:rsid w:val="4F0C6BA3"/>
    <w:rsid w:val="4F186D58"/>
    <w:rsid w:val="5028092C"/>
    <w:rsid w:val="503217E1"/>
    <w:rsid w:val="509E22CB"/>
    <w:rsid w:val="50F06B6E"/>
    <w:rsid w:val="5129603F"/>
    <w:rsid w:val="51D21804"/>
    <w:rsid w:val="51E04212"/>
    <w:rsid w:val="52234D33"/>
    <w:rsid w:val="522F6E0C"/>
    <w:rsid w:val="52463BA1"/>
    <w:rsid w:val="5284299D"/>
    <w:rsid w:val="52F163D4"/>
    <w:rsid w:val="531A2DB4"/>
    <w:rsid w:val="53C0244D"/>
    <w:rsid w:val="53DD4D4E"/>
    <w:rsid w:val="53E578CE"/>
    <w:rsid w:val="540652BF"/>
    <w:rsid w:val="540864B1"/>
    <w:rsid w:val="541330F0"/>
    <w:rsid w:val="54272666"/>
    <w:rsid w:val="543B029D"/>
    <w:rsid w:val="545707F2"/>
    <w:rsid w:val="54861779"/>
    <w:rsid w:val="54922303"/>
    <w:rsid w:val="54AE0015"/>
    <w:rsid w:val="552256E1"/>
    <w:rsid w:val="554E5773"/>
    <w:rsid w:val="555A3CBC"/>
    <w:rsid w:val="55817C52"/>
    <w:rsid w:val="5582012B"/>
    <w:rsid w:val="558E4E05"/>
    <w:rsid w:val="55BE2E85"/>
    <w:rsid w:val="56315A56"/>
    <w:rsid w:val="56337B4C"/>
    <w:rsid w:val="56530F5D"/>
    <w:rsid w:val="56583C84"/>
    <w:rsid w:val="567700D3"/>
    <w:rsid w:val="56BD61F5"/>
    <w:rsid w:val="56EC0DCA"/>
    <w:rsid w:val="56FF7E9E"/>
    <w:rsid w:val="577979E6"/>
    <w:rsid w:val="578867FC"/>
    <w:rsid w:val="57C7457B"/>
    <w:rsid w:val="5842572D"/>
    <w:rsid w:val="588B22B5"/>
    <w:rsid w:val="595B2144"/>
    <w:rsid w:val="5A3B59D6"/>
    <w:rsid w:val="5AD134D8"/>
    <w:rsid w:val="5B150553"/>
    <w:rsid w:val="5BE01444"/>
    <w:rsid w:val="5C263CE4"/>
    <w:rsid w:val="5C5D2777"/>
    <w:rsid w:val="5CCD1903"/>
    <w:rsid w:val="5CF66BF3"/>
    <w:rsid w:val="5D290C69"/>
    <w:rsid w:val="5D3C65A4"/>
    <w:rsid w:val="5D4105FE"/>
    <w:rsid w:val="5D4B29E3"/>
    <w:rsid w:val="5D86445B"/>
    <w:rsid w:val="5E622BA2"/>
    <w:rsid w:val="5E82527A"/>
    <w:rsid w:val="5EA9468A"/>
    <w:rsid w:val="5EE643E9"/>
    <w:rsid w:val="5F2D4A41"/>
    <w:rsid w:val="5F3061FF"/>
    <w:rsid w:val="5FB0217E"/>
    <w:rsid w:val="5FB962FD"/>
    <w:rsid w:val="5FF276F8"/>
    <w:rsid w:val="603F7AB6"/>
    <w:rsid w:val="60C74F6C"/>
    <w:rsid w:val="61025A59"/>
    <w:rsid w:val="613D5BBC"/>
    <w:rsid w:val="61536C39"/>
    <w:rsid w:val="61C174A5"/>
    <w:rsid w:val="620455F2"/>
    <w:rsid w:val="624F5899"/>
    <w:rsid w:val="62944DD7"/>
    <w:rsid w:val="6319381F"/>
    <w:rsid w:val="63C25DC5"/>
    <w:rsid w:val="63C62057"/>
    <w:rsid w:val="63D133FF"/>
    <w:rsid w:val="641E4C06"/>
    <w:rsid w:val="644742FA"/>
    <w:rsid w:val="64571EF5"/>
    <w:rsid w:val="64FB113D"/>
    <w:rsid w:val="6546025A"/>
    <w:rsid w:val="656152C6"/>
    <w:rsid w:val="6587477F"/>
    <w:rsid w:val="658C3A08"/>
    <w:rsid w:val="65C031CA"/>
    <w:rsid w:val="65CE6852"/>
    <w:rsid w:val="65D16CF2"/>
    <w:rsid w:val="66000F39"/>
    <w:rsid w:val="66267C04"/>
    <w:rsid w:val="663F505A"/>
    <w:rsid w:val="66425B2A"/>
    <w:rsid w:val="66694AE9"/>
    <w:rsid w:val="66795DE1"/>
    <w:rsid w:val="66EE5541"/>
    <w:rsid w:val="66F67D9A"/>
    <w:rsid w:val="676B4DAF"/>
    <w:rsid w:val="67924660"/>
    <w:rsid w:val="67941C5A"/>
    <w:rsid w:val="67A053B3"/>
    <w:rsid w:val="68276BAF"/>
    <w:rsid w:val="68407834"/>
    <w:rsid w:val="6883293E"/>
    <w:rsid w:val="688412AD"/>
    <w:rsid w:val="68D56F66"/>
    <w:rsid w:val="68EB1B71"/>
    <w:rsid w:val="69391865"/>
    <w:rsid w:val="69E751D5"/>
    <w:rsid w:val="6A471CA2"/>
    <w:rsid w:val="6A6C7940"/>
    <w:rsid w:val="6A8B590B"/>
    <w:rsid w:val="6AAD2300"/>
    <w:rsid w:val="6B0621C5"/>
    <w:rsid w:val="6B474EF5"/>
    <w:rsid w:val="6C0A5AC5"/>
    <w:rsid w:val="6C120F40"/>
    <w:rsid w:val="6C560CAE"/>
    <w:rsid w:val="6C5675A0"/>
    <w:rsid w:val="6C576495"/>
    <w:rsid w:val="6C5E1538"/>
    <w:rsid w:val="6C82602D"/>
    <w:rsid w:val="6C8D548C"/>
    <w:rsid w:val="6D903FF5"/>
    <w:rsid w:val="6DA955B8"/>
    <w:rsid w:val="6DE346AB"/>
    <w:rsid w:val="6DE3524C"/>
    <w:rsid w:val="6DE5391A"/>
    <w:rsid w:val="6E0C7601"/>
    <w:rsid w:val="6E102A8B"/>
    <w:rsid w:val="6E3764A8"/>
    <w:rsid w:val="6E7A319C"/>
    <w:rsid w:val="6E8D581E"/>
    <w:rsid w:val="6ED02243"/>
    <w:rsid w:val="6EFD1324"/>
    <w:rsid w:val="6F5A53AC"/>
    <w:rsid w:val="6FAC003D"/>
    <w:rsid w:val="6FB62832"/>
    <w:rsid w:val="6FE55E12"/>
    <w:rsid w:val="6FEA7952"/>
    <w:rsid w:val="6FEC4888"/>
    <w:rsid w:val="6FF3049A"/>
    <w:rsid w:val="6FF90C89"/>
    <w:rsid w:val="6FFB2E76"/>
    <w:rsid w:val="700B7528"/>
    <w:rsid w:val="708F6F7F"/>
    <w:rsid w:val="70CB266D"/>
    <w:rsid w:val="70D94BD3"/>
    <w:rsid w:val="7182513E"/>
    <w:rsid w:val="71C34D91"/>
    <w:rsid w:val="71D060CE"/>
    <w:rsid w:val="71FF7B1A"/>
    <w:rsid w:val="725F6D7E"/>
    <w:rsid w:val="72DB435C"/>
    <w:rsid w:val="72E2613A"/>
    <w:rsid w:val="72F771F4"/>
    <w:rsid w:val="73035B69"/>
    <w:rsid w:val="736F4FE1"/>
    <w:rsid w:val="73934AD2"/>
    <w:rsid w:val="73BC500E"/>
    <w:rsid w:val="743556C2"/>
    <w:rsid w:val="750837F0"/>
    <w:rsid w:val="754758CF"/>
    <w:rsid w:val="75A55A73"/>
    <w:rsid w:val="75B76F53"/>
    <w:rsid w:val="75CA1437"/>
    <w:rsid w:val="76262F20"/>
    <w:rsid w:val="764F62AB"/>
    <w:rsid w:val="765C45EC"/>
    <w:rsid w:val="768A7619"/>
    <w:rsid w:val="7709759F"/>
    <w:rsid w:val="772E1EBA"/>
    <w:rsid w:val="77616A1C"/>
    <w:rsid w:val="77DA12BD"/>
    <w:rsid w:val="7817666C"/>
    <w:rsid w:val="781926BC"/>
    <w:rsid w:val="78CC78BF"/>
    <w:rsid w:val="790029B8"/>
    <w:rsid w:val="79562CBF"/>
    <w:rsid w:val="796D60A4"/>
    <w:rsid w:val="79A031D5"/>
    <w:rsid w:val="7A1525F7"/>
    <w:rsid w:val="7A422D16"/>
    <w:rsid w:val="7AC15967"/>
    <w:rsid w:val="7AD708B8"/>
    <w:rsid w:val="7AFC70F5"/>
    <w:rsid w:val="7B383E0D"/>
    <w:rsid w:val="7B420052"/>
    <w:rsid w:val="7B6B2ED4"/>
    <w:rsid w:val="7BA27B3A"/>
    <w:rsid w:val="7BD06A28"/>
    <w:rsid w:val="7BDA7FDA"/>
    <w:rsid w:val="7C3A7C0B"/>
    <w:rsid w:val="7C5248E4"/>
    <w:rsid w:val="7C566698"/>
    <w:rsid w:val="7C5866A3"/>
    <w:rsid w:val="7C7E02C8"/>
    <w:rsid w:val="7C9B1202"/>
    <w:rsid w:val="7CDC3F96"/>
    <w:rsid w:val="7D097948"/>
    <w:rsid w:val="7D1E0DC6"/>
    <w:rsid w:val="7D7406BB"/>
    <w:rsid w:val="7DC66248"/>
    <w:rsid w:val="7DE94331"/>
    <w:rsid w:val="7DED6BA3"/>
    <w:rsid w:val="7E4306E5"/>
    <w:rsid w:val="7EEF68F9"/>
    <w:rsid w:val="7EF93F7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qFormat/>
    <w:uiPriority w:val="0"/>
    <w:pPr>
      <w:jc w:val="left"/>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1"/>
    <w:link w:val="6"/>
    <w:qFormat/>
    <w:uiPriority w:val="0"/>
    <w:rPr>
      <w:rFonts w:ascii="宋体" w:hAnsi="宋体"/>
      <w:sz w:val="18"/>
      <w:szCs w:val="18"/>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1</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国库科</cp:lastModifiedBy>
  <dcterms:modified xsi:type="dcterms:W3CDTF">2025-10-27T02:28:08Z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