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Times New Roman" w:hAnsi="Times New Roman" w:eastAsia="方正小标宋_GBK" w:cs="方正小标宋_GBK"/>
          <w:color w:val="auto"/>
          <w:sz w:val="44"/>
          <w:szCs w:val="44"/>
          <w:shd w:val="clear" w:color="auto" w:fill="FFFFFF"/>
        </w:rPr>
      </w:pPr>
      <w:r>
        <w:rPr>
          <w:rFonts w:hint="eastAsia" w:ascii="Times New Roman" w:hAnsi="Times New Roman" w:eastAsia="方正小标宋_GBK" w:cs="方正小标宋_GBK"/>
          <w:color w:val="auto"/>
          <w:sz w:val="44"/>
          <w:szCs w:val="44"/>
        </w:rPr>
        <w:t>秀山土家族苗族自治县梅江镇产业发展服务中心</w:t>
      </w: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w:t>
      </w:r>
      <w:r>
        <w:rPr>
          <w:rFonts w:hint="eastAsia" w:ascii="Times New Roman" w:hAnsi="Times New Roman" w:eastAsia="方正小标宋_GBK" w:cs="方正小标宋_GBK"/>
          <w:color w:val="auto"/>
          <w:sz w:val="44"/>
          <w:szCs w:val="44"/>
          <w:shd w:val="clear" w:color="auto" w:fill="FFFFFF"/>
          <w:lang w:val="en-US" w:eastAsia="zh-CN"/>
        </w:rPr>
        <w:t>公开</w:t>
      </w:r>
      <w:r>
        <w:rPr>
          <w:rFonts w:hint="eastAsia" w:ascii="Times New Roman" w:hAnsi="Times New Roman" w:eastAsia="方正小标宋_GBK" w:cs="方正小标宋_GBK"/>
          <w:color w:val="auto"/>
          <w:sz w:val="44"/>
          <w:szCs w:val="44"/>
          <w:shd w:val="clear" w:color="auto" w:fill="FFFFFF"/>
        </w:rPr>
        <w:t>说明</w:t>
      </w:r>
    </w:p>
    <w:p>
      <w:pPr>
        <w:pStyle w:val="9"/>
        <w:keepNext w:val="0"/>
        <w:keepLines w:val="0"/>
        <w:pageBreakBefore w:val="0"/>
        <w:kinsoku/>
        <w:overflowPunct/>
        <w:topLinePunct w:val="0"/>
        <w:autoSpaceDN/>
        <w:bidi w:val="0"/>
        <w:adjustRightInd/>
        <w:spacing w:before="0" w:beforeAutospacing="0" w:afterAutospacing="0" w:line="560" w:lineRule="exact"/>
        <w:ind w:firstLine="880" w:firstLineChars="200"/>
        <w:jc w:val="center"/>
        <w:rPr>
          <w:rFonts w:hint="default" w:ascii="Times New Roman" w:hAnsi="Times New Roman" w:eastAsia="方正小标宋_GBK" w:cs="Times New Roman"/>
          <w:color w:val="auto"/>
          <w:sz w:val="44"/>
          <w:szCs w:val="44"/>
          <w:highlight w:val="none"/>
          <w:shd w:val="clear" w:color="auto" w:fill="FFFFFF"/>
        </w:rPr>
      </w:pP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黑体" w:cs="Times New Roman"/>
          <w:b w:val="0"/>
          <w:bCs/>
          <w:color w:val="auto"/>
          <w:sz w:val="32"/>
          <w:szCs w:val="32"/>
          <w:highlight w:val="none"/>
        </w:rPr>
      </w:pPr>
      <w:r>
        <w:rPr>
          <w:rStyle w:val="11"/>
          <w:rFonts w:hint="default" w:ascii="Times New Roman" w:hAnsi="Times New Roman" w:eastAsia="方正黑体_GBK" w:cs="Times New Roman"/>
          <w:b w:val="0"/>
          <w:bCs/>
          <w:color w:val="auto"/>
          <w:sz w:val="32"/>
          <w:szCs w:val="32"/>
          <w:highlight w:val="none"/>
          <w:shd w:val="clear" w:color="auto" w:fill="FFFFFF"/>
        </w:rPr>
        <w:t>一、单位基本情况</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color w:val="auto"/>
          <w:sz w:val="32"/>
          <w:szCs w:val="32"/>
          <w:highlight w:val="none"/>
        </w:rPr>
      </w:pPr>
      <w:r>
        <w:rPr>
          <w:rStyle w:val="11"/>
          <w:rFonts w:hint="default" w:ascii="Times New Roman" w:hAnsi="Times New Roman" w:eastAsia="方正楷体_GBK" w:cs="Times New Roman"/>
          <w:b w:val="0"/>
          <w:bCs/>
          <w:color w:val="auto"/>
          <w:sz w:val="32"/>
          <w:szCs w:val="32"/>
          <w:highlight w:val="none"/>
          <w:shd w:val="clear" w:color="auto" w:fill="FFFFFF"/>
        </w:rPr>
        <w:t>（一）职能职责</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承担辖区农林牧副渔等产业发展规划、服务与管理工作，协助开展农业植物和动物疫情防控，落实招商引资、乡村振兴、重大项目、特色产业发展等工作，提升产业发展质量。</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楷体_GBK" w:cs="Times New Roman"/>
          <w:b w:val="0"/>
          <w:bCs/>
          <w:color w:val="auto"/>
          <w:sz w:val="32"/>
          <w:szCs w:val="32"/>
          <w:highlight w:val="none"/>
          <w:shd w:val="clear" w:color="auto" w:fill="FFFFFF"/>
        </w:rPr>
      </w:pPr>
      <w:r>
        <w:rPr>
          <w:rStyle w:val="11"/>
          <w:rFonts w:hint="default" w:ascii="Times New Roman" w:hAnsi="Times New Roman" w:eastAsia="方正楷体_GBK" w:cs="Times New Roman"/>
          <w:b w:val="0"/>
          <w:bCs/>
          <w:color w:val="auto"/>
          <w:sz w:val="32"/>
          <w:szCs w:val="32"/>
          <w:highlight w:val="none"/>
          <w:shd w:val="clear" w:color="auto" w:fill="FFFFFF"/>
        </w:rPr>
        <w:t>（二）机构设置</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i w:val="0"/>
          <w:iCs w:val="0"/>
          <w:caps w:val="0"/>
          <w:color w:val="auto"/>
          <w:spacing w:val="0"/>
          <w:sz w:val="32"/>
          <w:szCs w:val="32"/>
          <w:highlight w:val="none"/>
          <w:shd w:val="clear" w:color="080000" w:fill="FFFFFF"/>
        </w:rPr>
      </w:pPr>
      <w:r>
        <w:rPr>
          <w:rFonts w:hint="default" w:ascii="Times New Roman" w:hAnsi="Times New Roman" w:eastAsia="方正仿宋_GBK" w:cs="Times New Roman"/>
          <w:i w:val="0"/>
          <w:iCs w:val="0"/>
          <w:caps w:val="0"/>
          <w:color w:val="auto"/>
          <w:spacing w:val="0"/>
          <w:sz w:val="32"/>
          <w:szCs w:val="32"/>
          <w:highlight w:val="none"/>
          <w:shd w:val="clear" w:color="080000" w:fill="FFFFFF"/>
        </w:rPr>
        <w:t>秀山土家族苗族自治县梅江镇产业发展服务中心为</w:t>
      </w:r>
      <w:r>
        <w:rPr>
          <w:rFonts w:hint="default" w:ascii="Times New Roman" w:hAnsi="Times New Roman" w:eastAsia="方正仿宋_GBK" w:cs="Times New Roman"/>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i w:val="0"/>
          <w:iCs w:val="0"/>
          <w:caps w:val="0"/>
          <w:color w:val="auto"/>
          <w:spacing w:val="0"/>
          <w:sz w:val="32"/>
          <w:szCs w:val="32"/>
          <w:highlight w:val="none"/>
          <w:shd w:val="clear" w:color="080000" w:fill="FFFFFF"/>
        </w:rPr>
        <w:t>镇人民政府下属二级单位。本单位有事业编制人员</w:t>
      </w:r>
      <w:r>
        <w:rPr>
          <w:rFonts w:hint="eastAsia" w:ascii="Times New Roman" w:hAnsi="Times New Roman" w:eastAsia="方正仿宋_GBK" w:cs="Times New Roman"/>
          <w:i w:val="0"/>
          <w:iCs w:val="0"/>
          <w:caps w:val="0"/>
          <w:color w:val="auto"/>
          <w:spacing w:val="0"/>
          <w:sz w:val="32"/>
          <w:szCs w:val="32"/>
          <w:highlight w:val="none"/>
          <w:shd w:val="clear" w:color="080000" w:fill="FFFFFF"/>
          <w:lang w:val="en-US" w:eastAsia="zh-CN"/>
        </w:rPr>
        <w:t>16</w:t>
      </w:r>
      <w:r>
        <w:rPr>
          <w:rFonts w:hint="default" w:ascii="Times New Roman" w:hAnsi="Times New Roman" w:eastAsia="方正仿宋_GBK" w:cs="Times New Roman"/>
          <w:i w:val="0"/>
          <w:iCs w:val="0"/>
          <w:caps w:val="0"/>
          <w:color w:val="auto"/>
          <w:spacing w:val="0"/>
          <w:sz w:val="32"/>
          <w:szCs w:val="32"/>
          <w:highlight w:val="none"/>
          <w:shd w:val="clear" w:color="080000" w:fill="FFFFFF"/>
        </w:rPr>
        <w:t>名。</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黑体_GBK" w:cs="Times New Roman"/>
          <w:b w:val="0"/>
          <w:bCs/>
          <w:color w:val="auto"/>
          <w:sz w:val="32"/>
          <w:szCs w:val="32"/>
          <w:highlight w:val="none"/>
        </w:rPr>
      </w:pPr>
      <w:r>
        <w:rPr>
          <w:rStyle w:val="11"/>
          <w:rFonts w:hint="default" w:ascii="Times New Roman" w:hAnsi="Times New Roman" w:eastAsia="方正黑体_GBK" w:cs="Times New Roman"/>
          <w:b w:val="0"/>
          <w:bCs/>
          <w:color w:val="auto"/>
          <w:sz w:val="32"/>
          <w:szCs w:val="32"/>
          <w:highlight w:val="none"/>
          <w:shd w:val="clear" w:color="auto" w:fill="FFFFFF"/>
        </w:rPr>
        <w:t>二、单位决算情况说明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1078.75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收、支与2023年度相比，增加86.27万元，增长8.7%</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1</w:t>
      </w:r>
      <w:r>
        <w:rPr>
          <w:rStyle w:val="11"/>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1030.89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与2023年度相比，增加38.41万元，增长3.9%</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主要原因是年中追加梅江镇2024年事业人员补缴职业年金、养老保险等资金。</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1030.89</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47.87</w:t>
      </w:r>
      <w:r>
        <w:rPr>
          <w:rFonts w:ascii="Times New Roman" w:hAnsi="Times New Roman" w:eastAsia="方正仿宋_GBK" w:cs="方正仿宋_GBK"/>
          <w:color w:val="auto"/>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2</w:t>
      </w:r>
      <w:r>
        <w:rPr>
          <w:rStyle w:val="11"/>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1078.75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与2023年度相比，增加134.14万元，增长14.2%</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433.01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40.1%</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645.75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59.9%</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Style w:val="11"/>
          <w:rFonts w:hint="eastAsia" w:ascii="Times New Roman" w:hAnsi="Times New Roman" w:eastAsia="方正仿宋_GBK"/>
          <w:color w:val="auto"/>
          <w:sz w:val="32"/>
          <w:szCs w:val="32"/>
          <w:shd w:val="clear" w:color="auto" w:fill="FFFFFF"/>
          <w:lang w:val="en-US" w:eastAsia="zh-CN"/>
        </w:rPr>
        <w:t>3</w:t>
      </w:r>
      <w:r>
        <w:rPr>
          <w:rStyle w:val="11"/>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与2023年度相比，减少47.87万元，下降100.0%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主要原因是202</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年度年末一般公共预算财政拨款结转和结余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为</w:t>
      </w:r>
      <w:r>
        <w:rPr>
          <w:rFonts w:hint="default" w:ascii="Times New Roman" w:hAnsi="Times New Roman" w:eastAsia="方正仿宋_GBK" w:cs="Times New Roman"/>
          <w:color w:val="auto"/>
          <w:sz w:val="32"/>
          <w:szCs w:val="32"/>
          <w:highlight w:val="none"/>
          <w:shd w:val="clear" w:color="auto" w:fill="FFFFFF"/>
          <w:lang w:val="en-US" w:eastAsia="zh-CN"/>
        </w:rPr>
        <w:t>事业人员超额绩效清算</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结转到</w:t>
      </w:r>
      <w:r>
        <w:rPr>
          <w:rFonts w:hint="eastAsia" w:ascii="Times New Roman" w:hAnsi="Times New Roman" w:eastAsia="方正仿宋_GBK" w:cs="Times New Roman"/>
          <w:color w:val="auto"/>
          <w:sz w:val="32"/>
          <w:szCs w:val="32"/>
          <w:highlight w:val="none"/>
          <w:shd w:val="clear" w:color="auto" w:fill="FFFFFF"/>
          <w:lang w:val="en-US" w:eastAsia="zh-CN"/>
        </w:rPr>
        <w:t>本</w:t>
      </w:r>
      <w:r>
        <w:rPr>
          <w:rFonts w:hint="default" w:ascii="Times New Roman" w:hAnsi="Times New Roman" w:eastAsia="方正仿宋_GBK" w:cs="Times New Roman"/>
          <w:color w:val="auto"/>
          <w:sz w:val="32"/>
          <w:szCs w:val="32"/>
          <w:highlight w:val="none"/>
          <w:shd w:val="clear" w:color="auto" w:fill="FFFFFF"/>
        </w:rPr>
        <w:t>年支付，</w:t>
      </w:r>
      <w:r>
        <w:rPr>
          <w:rFonts w:hint="eastAsia" w:ascii="Times New Roman" w:hAnsi="Times New Roman" w:eastAsia="方正仿宋_GBK" w:cs="Times New Roman"/>
          <w:color w:val="auto"/>
          <w:sz w:val="32"/>
          <w:szCs w:val="32"/>
          <w:highlight w:val="none"/>
          <w:shd w:val="clear" w:color="auto" w:fill="FFFFFF"/>
          <w:lang w:val="en-US" w:eastAsia="zh-CN"/>
        </w:rPr>
        <w:t>故本年</w:t>
      </w:r>
      <w:r>
        <w:rPr>
          <w:rFonts w:hint="default" w:ascii="Times New Roman" w:hAnsi="Times New Roman" w:eastAsia="方正仿宋_GBK" w:cs="Times New Roman"/>
          <w:color w:val="auto"/>
          <w:sz w:val="32"/>
          <w:szCs w:val="32"/>
          <w:highlight w:val="none"/>
          <w:shd w:val="clear" w:color="auto" w:fill="FFFFFF"/>
        </w:rPr>
        <w:t>无年末结余</w:t>
      </w:r>
      <w:r>
        <w:rPr>
          <w:rFonts w:hint="eastAsia" w:ascii="Times New Roman" w:hAnsi="Times New Roman" w:eastAsia="方正仿宋_GBK" w:cs="Times New Roman"/>
          <w:color w:val="auto"/>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1078.75</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财政拨款收、支总计各增加86.27万元，增长8.7%</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rPr>
      </w:pPr>
      <w:r>
        <w:rPr>
          <w:rStyle w:val="11"/>
          <w:rFonts w:hint="default" w:ascii="Times New Roman" w:hAnsi="Times New Roman" w:eastAsia="方正仿宋_GBK"/>
          <w:color w:val="auto"/>
          <w:sz w:val="32"/>
          <w:szCs w:val="32"/>
          <w:shd w:val="clear" w:color="auto" w:fill="FFFFFF"/>
        </w:rPr>
        <w:t>1</w:t>
      </w:r>
      <w:r>
        <w:rPr>
          <w:rStyle w:val="11"/>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1030.89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与2023年度相比，增加38.41万元，增长3.9%</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主要原因是年中追加梅江镇2024年事业人员补缴职业年金、养老保险等资金。</w:t>
      </w:r>
      <w:r>
        <w:rPr>
          <w:rFonts w:hint="default" w:ascii="Times New Roman" w:hAnsi="Times New Roman" w:eastAsia="方正仿宋_GBK"/>
          <w:color w:val="auto"/>
          <w:sz w:val="32"/>
          <w:szCs w:val="32"/>
          <w:shd w:val="clear" w:color="auto" w:fill="FFFFFF"/>
        </w:rPr>
        <w:t>较年初预算数增加66.32万元，增长6.9%</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47.87</w:t>
      </w:r>
      <w:r>
        <w:rPr>
          <w:rFonts w:ascii="Times New Roman" w:hAnsi="Times New Roman"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Style w:val="11"/>
          <w:rFonts w:hint="default" w:ascii="Times New Roman" w:hAnsi="Times New Roman" w:eastAsia="方正仿宋_GBK"/>
          <w:color w:val="auto"/>
          <w:sz w:val="32"/>
          <w:szCs w:val="32"/>
          <w:shd w:val="clear" w:color="auto" w:fill="FFFFFF"/>
        </w:rPr>
        <w:t>2</w:t>
      </w:r>
      <w:r>
        <w:rPr>
          <w:rStyle w:val="11"/>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1078.75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与2023年度相比，增加134.14万元，增长14.2%</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r>
        <w:rPr>
          <w:rFonts w:hint="default" w:ascii="Times New Roman" w:hAnsi="Times New Roman" w:eastAsia="方正仿宋_GBK"/>
          <w:color w:val="auto"/>
          <w:sz w:val="32"/>
          <w:szCs w:val="32"/>
          <w:shd w:val="clear" w:color="auto" w:fill="FFFFFF"/>
        </w:rPr>
        <w:t>较年初预算数增加114.18万元，增长11.8%</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主要原因是本年支付上年结转的事业人员绩效清算，及年中追加梅江镇2024年事业人员补缴职业年金、养老保险等资金。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79.56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较年初预算数增加26.07万元，增长48.7%</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年中追加梅江镇2024年事业人员补缴职业年金、养老保险等资金。</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16.45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967.60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89.7%</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较年初预算数增加88.11万元，增长10.0%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主要原因是本年支付上年结转的事业人员绩效清算，及年中追加</w:t>
      </w:r>
      <w:r>
        <w:rPr>
          <w:rFonts w:hint="default" w:ascii="Times New Roman" w:hAnsi="Times New Roman" w:eastAsia="方正仿宋_GBK" w:cs="Times New Roman"/>
          <w:color w:val="auto"/>
          <w:sz w:val="32"/>
          <w:szCs w:val="32"/>
          <w:highlight w:val="none"/>
          <w:shd w:val="clear" w:color="auto" w:fill="FFFFFF"/>
        </w:rPr>
        <w:t>村道公路养护资金补助</w:t>
      </w:r>
      <w:r>
        <w:rPr>
          <w:rFonts w:hint="eastAsia" w:ascii="Times New Roman" w:hAnsi="Times New Roman" w:eastAsia="方正仿宋_GBK" w:cs="Times New Roman"/>
          <w:color w:val="auto"/>
          <w:sz w:val="32"/>
          <w:szCs w:val="32"/>
          <w:highlight w:val="none"/>
          <w:shd w:val="clear" w:color="auto" w:fill="FFFFFF"/>
          <w:lang w:eastAsia="zh-CN"/>
        </w:rPr>
        <w:t>、在任村干部报酬、村居环境整治经费</w:t>
      </w:r>
      <w:r>
        <w:rPr>
          <w:rFonts w:hint="eastAsia" w:ascii="Times New Roman" w:hAnsi="Times New Roman" w:eastAsia="方正仿宋_GBK" w:cs="Times New Roman"/>
          <w:color w:val="auto"/>
          <w:sz w:val="32"/>
          <w:szCs w:val="32"/>
          <w:highlight w:val="none"/>
          <w:shd w:val="clear" w:color="auto" w:fill="FFFFFF"/>
          <w:lang w:val="en-US" w:eastAsia="zh-CN"/>
        </w:rPr>
        <w:t>等资金。</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15.14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hint="eastAsia" w:ascii="Times New Roman" w:hAnsi="Times New Roman" w:eastAsia="方正仿宋_GBK"/>
          <w:color w:val="auto"/>
          <w:sz w:val="32"/>
          <w:szCs w:val="32"/>
          <w:shd w:val="clear" w:color="auto" w:fill="FFFFFF"/>
          <w:lang w:eastAsia="zh-CN"/>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Style w:val="11"/>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与2023年度相比，减少47.87万元，下降100.0%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主要原因是202</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年度年末一般公共预算财政拨款结转和结余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为</w:t>
      </w:r>
      <w:r>
        <w:rPr>
          <w:rFonts w:hint="default" w:ascii="Times New Roman" w:hAnsi="Times New Roman" w:eastAsia="方正仿宋_GBK" w:cs="Times New Roman"/>
          <w:color w:val="auto"/>
          <w:sz w:val="32"/>
          <w:szCs w:val="32"/>
          <w:highlight w:val="none"/>
          <w:shd w:val="clear" w:color="auto" w:fill="FFFFFF"/>
          <w:lang w:val="en-US" w:eastAsia="zh-CN"/>
        </w:rPr>
        <w:t>事业人员超额绩效清算</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结转到</w:t>
      </w:r>
      <w:r>
        <w:rPr>
          <w:rFonts w:hint="eastAsia" w:ascii="Times New Roman" w:hAnsi="Times New Roman" w:eastAsia="方正仿宋_GBK" w:cs="Times New Roman"/>
          <w:color w:val="auto"/>
          <w:sz w:val="32"/>
          <w:szCs w:val="32"/>
          <w:highlight w:val="none"/>
          <w:shd w:val="clear" w:color="auto" w:fill="FFFFFF"/>
          <w:lang w:val="en-US" w:eastAsia="zh-CN"/>
        </w:rPr>
        <w:t>本</w:t>
      </w:r>
      <w:r>
        <w:rPr>
          <w:rFonts w:hint="default" w:ascii="Times New Roman" w:hAnsi="Times New Roman" w:eastAsia="方正仿宋_GBK" w:cs="Times New Roman"/>
          <w:color w:val="auto"/>
          <w:sz w:val="32"/>
          <w:szCs w:val="32"/>
          <w:highlight w:val="none"/>
          <w:shd w:val="clear" w:color="auto" w:fill="FFFFFF"/>
        </w:rPr>
        <w:t>年支付，</w:t>
      </w:r>
      <w:r>
        <w:rPr>
          <w:rFonts w:hint="eastAsia" w:ascii="Times New Roman" w:hAnsi="Times New Roman" w:eastAsia="方正仿宋_GBK" w:cs="Times New Roman"/>
          <w:color w:val="auto"/>
          <w:sz w:val="32"/>
          <w:szCs w:val="32"/>
          <w:highlight w:val="none"/>
          <w:shd w:val="clear" w:color="auto" w:fill="FFFFFF"/>
          <w:lang w:val="en-US" w:eastAsia="zh-CN"/>
        </w:rPr>
        <w:t>故本年</w:t>
      </w:r>
      <w:r>
        <w:rPr>
          <w:rFonts w:hint="default" w:ascii="Times New Roman" w:hAnsi="Times New Roman" w:eastAsia="方正仿宋_GBK" w:cs="Times New Roman"/>
          <w:color w:val="auto"/>
          <w:sz w:val="32"/>
          <w:szCs w:val="32"/>
          <w:highlight w:val="none"/>
          <w:shd w:val="clear" w:color="auto" w:fill="FFFFFF"/>
        </w:rPr>
        <w:t>无年末结余</w:t>
      </w:r>
      <w:r>
        <w:rPr>
          <w:rFonts w:hint="eastAsia" w:ascii="Times New Roman" w:hAnsi="Times New Roman" w:eastAsia="方正仿宋_GBK" w:cs="Times New Roman"/>
          <w:color w:val="auto"/>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433.01</w:t>
      </w:r>
      <w:r>
        <w:rPr>
          <w:rFonts w:ascii="Times New Roman" w:hAnsi="Times New Roman" w:eastAsia="方正仿宋_GBK" w:cs="方正仿宋_GBK"/>
          <w:color w:val="auto"/>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421.82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与2023年度相比，增加119.67万元，增长39.6%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主要原因是本年留有上年结转的事业人员绩效清算，导致人员经费增加。</w:t>
      </w:r>
      <w:r>
        <w:rPr>
          <w:rFonts w:hint="default" w:ascii="Times New Roman" w:hAnsi="Times New Roman" w:eastAsia="方正仿宋_GBK" w:cs="Times New Roman"/>
          <w:color w:val="auto"/>
          <w:sz w:val="32"/>
          <w:szCs w:val="32"/>
          <w:highlight w:val="none"/>
          <w:shd w:val="clear" w:color="auto" w:fill="FFFFFF"/>
        </w:rPr>
        <w:t>人员经费用途主要包括基本工资、津贴补贴、奖金、社会保障缴费等。</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11.18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与2023年度相比，减少16.77万元，下降60.0%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是落实过紧日子要求，</w:t>
      </w:r>
      <w:r>
        <w:rPr>
          <w:rFonts w:hint="default" w:ascii="Times New Roman" w:hAnsi="Times New Roman" w:eastAsia="方正仿宋_GBK" w:cs="Times New Roman"/>
          <w:color w:val="auto"/>
          <w:sz w:val="32"/>
          <w:szCs w:val="32"/>
          <w:highlight w:val="none"/>
          <w:shd w:val="clear" w:color="auto" w:fill="FFFFFF"/>
        </w:rPr>
        <w:t>本年压缩各项日常公用经费支出</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公用经费用途主要包括支付办公费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水电费</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网费、</w:t>
      </w:r>
      <w:r>
        <w:rPr>
          <w:rFonts w:hint="default" w:ascii="Times New Roman" w:hAnsi="Times New Roman" w:eastAsia="方正仿宋_GBK" w:cs="Times New Roman"/>
          <w:color w:val="auto"/>
          <w:sz w:val="32"/>
          <w:szCs w:val="32"/>
          <w:highlight w:val="none"/>
          <w:shd w:val="clear" w:color="auto" w:fill="FFFFFF"/>
        </w:rPr>
        <w:t>差旅费等。</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年度无政府性基金预算财政拨款收支。</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年度无国有资本经营预算财政拨款支出。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三、财政拨款</w:t>
      </w:r>
      <w:r>
        <w:rPr>
          <w:rStyle w:val="11"/>
          <w:rFonts w:hint="eastAsia" w:ascii="Times New Roman" w:hAnsi="Times New Roman" w:eastAsia="方正黑体_GBK" w:cs="Times New Roman"/>
          <w:b w:val="0"/>
          <w:bCs/>
          <w:color w:val="auto"/>
          <w:sz w:val="32"/>
          <w:szCs w:val="32"/>
          <w:highlight w:val="none"/>
          <w:shd w:val="clear" w:color="auto" w:fill="FFFFFF"/>
          <w:lang w:eastAsia="zh-CN"/>
        </w:rPr>
        <w:t>“</w:t>
      </w:r>
      <w:r>
        <w:rPr>
          <w:rStyle w:val="11"/>
          <w:rFonts w:hint="default" w:ascii="Times New Roman" w:hAnsi="Times New Roman" w:eastAsia="方正黑体_GBK" w:cs="Times New Roman"/>
          <w:b w:val="0"/>
          <w:bCs/>
          <w:color w:val="auto"/>
          <w:sz w:val="32"/>
          <w:szCs w:val="32"/>
          <w:highlight w:val="none"/>
          <w:shd w:val="clear" w:color="auto" w:fill="FFFFFF"/>
        </w:rPr>
        <w:t>三公</w:t>
      </w:r>
      <w:r>
        <w:rPr>
          <w:rStyle w:val="11"/>
          <w:rFonts w:hint="eastAsia" w:ascii="Times New Roman" w:hAnsi="Times New Roman" w:eastAsia="方正黑体_GBK" w:cs="Times New Roman"/>
          <w:b w:val="0"/>
          <w:bCs/>
          <w:color w:val="auto"/>
          <w:sz w:val="32"/>
          <w:szCs w:val="32"/>
          <w:highlight w:val="none"/>
          <w:shd w:val="clear" w:color="auto" w:fill="FFFFFF"/>
          <w:lang w:eastAsia="zh-CN"/>
        </w:rPr>
        <w:t>”</w:t>
      </w:r>
      <w:r>
        <w:rPr>
          <w:rStyle w:val="11"/>
          <w:rFonts w:hint="default" w:ascii="Times New Roman" w:hAnsi="Times New Roman" w:eastAsia="方正黑体_GBK" w:cs="Times New Roman"/>
          <w:b w:val="0"/>
          <w:bCs/>
          <w:color w:val="auto"/>
          <w:sz w:val="32"/>
          <w:szCs w:val="32"/>
          <w:highlight w:val="none"/>
          <w:shd w:val="clear" w:color="auto" w:fill="FFFFFF"/>
        </w:rPr>
        <w:t>经费情况说明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w:t>
      </w:r>
      <w:r>
        <w:rPr>
          <w:rFonts w:hint="default" w:ascii="Times New Roman" w:hAnsi="Times New Roman" w:eastAsia="方正仿宋_GBK" w:cs="Times New Roman"/>
          <w:color w:val="auto"/>
          <w:sz w:val="32"/>
          <w:szCs w:val="32"/>
          <w:highlight w:val="none"/>
          <w:shd w:val="clear" w:color="auto" w:fill="FFFFFF"/>
        </w:rPr>
        <w:t>较年初预算数</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w:t>
      </w:r>
      <w:r>
        <w:rPr>
          <w:rFonts w:hint="eastAsia" w:ascii="Times New Roman" w:hAnsi="Times New Roman" w:eastAsia="方正楷体_GBK" w:cs="Times New Roman"/>
          <w:b w:val="0"/>
          <w:bCs w:val="0"/>
          <w:color w:val="auto"/>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经费分项支出情况</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color w:val="auto"/>
          <w:kern w:val="0"/>
          <w:sz w:val="32"/>
          <w:szCs w:val="32"/>
          <w:highlight w:val="none"/>
          <w:shd w:val="clear" w:fill="FFFFFF"/>
        </w:rPr>
      </w:pP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s="Times New Roman"/>
          <w:b w:val="0"/>
          <w:bCs/>
          <w:color w:val="auto"/>
          <w:kern w:val="0"/>
          <w:sz w:val="32"/>
          <w:szCs w:val="32"/>
          <w:highlight w:val="none"/>
          <w:shd w:val="clear" w:fill="FFFFFF"/>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color w:val="auto"/>
          <w:kern w:val="0"/>
          <w:sz w:val="32"/>
          <w:szCs w:val="32"/>
          <w:highlight w:val="none"/>
          <w:shd w:val="clear" w:fill="FFFFFF"/>
        </w:rPr>
        <w:t>未发生因公出国（境）费用</w:t>
      </w:r>
      <w:r>
        <w:rPr>
          <w:rFonts w:hint="eastAsia" w:ascii="Times New Roman" w:hAnsi="Times New Roman" w:eastAsia="方正楷体_GBK" w:cs="Times New Roman"/>
          <w:b w:val="0"/>
          <w:bCs w:val="0"/>
          <w:color w:val="auto"/>
          <w:sz w:val="32"/>
          <w:szCs w:val="32"/>
          <w:highlight w:val="none"/>
          <w:shd w:val="clear" w:color="auto"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年度未发生公务车购置费。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b w:val="0"/>
          <w:bCs/>
          <w:color w:val="auto"/>
          <w:kern w:val="0"/>
          <w:sz w:val="32"/>
          <w:szCs w:val="32"/>
          <w:highlight w:val="none"/>
          <w:shd w:val="clear" w:fill="FFFFFF"/>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b w:val="0"/>
          <w:bCs/>
          <w:color w:val="auto"/>
          <w:kern w:val="0"/>
          <w:sz w:val="32"/>
          <w:szCs w:val="32"/>
          <w:highlight w:val="none"/>
          <w:shd w:val="clear"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bookmarkStart w:id="0" w:name="_GoBack"/>
      <w:bookmarkEnd w:id="0"/>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highlight w:val="none"/>
          <w:lang w:val="en-US" w:eastAsia="zh-CN"/>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与2023年度相比，减少0.07万元，下降100.0%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本年无会议费。</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0.17</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与2023年度相比，减少0.42万元，下降71.2%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严格执行培训费管理办法及制度，有效节约培训费开支</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2.93</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与2023年度相比，增加1.06万元，增长56.7%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出差次数增加。</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按照部门决算列报口径，我单位不在机关运行经费统计范围之内。</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2024年度我单位未发生政府采购事项，无相关经费支出。</w:t>
      </w:r>
    </w:p>
    <w:p>
      <w:pPr>
        <w:pStyle w:val="9"/>
        <w:keepNext w:val="0"/>
        <w:keepLines w:val="0"/>
        <w:pageBreakBefore w:val="0"/>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（一）单位自评情况</w:t>
      </w:r>
    </w:p>
    <w:p>
      <w:pPr>
        <w:pStyle w:val="15"/>
        <w:keepNext w:val="0"/>
        <w:keepLines w:val="0"/>
        <w:pageBreakBefore w:val="0"/>
        <w:kinsoku/>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根据预算绩效管理要求，我单位对</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个</w:t>
      </w:r>
      <w:r>
        <w:rPr>
          <w:rFonts w:hint="eastAsia" w:ascii="Times New Roman" w:hAnsi="Times New Roman" w:eastAsia="方正仿宋_GBK" w:cs="Times New Roman"/>
          <w:color w:val="auto"/>
          <w:sz w:val="32"/>
          <w:szCs w:val="32"/>
          <w:highlight w:val="none"/>
          <w:shd w:val="clear" w:color="auto" w:fill="FFFFFF"/>
          <w:lang w:val="en-US" w:eastAsia="zh-CN"/>
        </w:rPr>
        <w:t>二级</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645.75</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tbl>
      <w:tblPr>
        <w:tblStyle w:val="12"/>
        <w:tblW w:w="8843" w:type="dxa"/>
        <w:tblInd w:w="91" w:type="dxa"/>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1268"/>
      </w:tblGrid>
      <w:tr>
        <w:tblPrEx>
          <w:tblLayout w:type="fixed"/>
          <w:tblCellMar>
            <w:top w:w="0" w:type="dxa"/>
            <w:left w:w="108" w:type="dxa"/>
            <w:bottom w:w="0" w:type="dxa"/>
            <w:right w:w="108" w:type="dxa"/>
          </w:tblCellMar>
        </w:tblPrEx>
        <w:trPr>
          <w:trHeight w:val="780" w:hRule="atLeast"/>
        </w:trPr>
        <w:tc>
          <w:tcPr>
            <w:tcW w:w="8843" w:type="dxa"/>
            <w:gridSpan w:val="11"/>
            <w:tcBorders>
              <w:top w:val="nil"/>
              <w:left w:val="nil"/>
              <w:bottom w:val="single" w:color="000000" w:sz="4" w:space="0"/>
              <w:right w:val="nil"/>
            </w:tcBorders>
            <w:vAlign w:val="center"/>
          </w:tcPr>
          <w:p>
            <w:pPr>
              <w:widowControl/>
              <w:jc w:val="center"/>
              <w:textAlignment w:val="center"/>
              <w:rPr>
                <w:rFonts w:ascii="Times New Roman" w:hAnsi="Times New Roman" w:eastAsia="方正小标宋_GBK" w:cs="方正小标宋_GBK"/>
                <w:color w:val="auto"/>
                <w:sz w:val="36"/>
                <w:szCs w:val="36"/>
                <w:highlight w:val="none"/>
              </w:rPr>
            </w:pPr>
            <w:r>
              <w:rPr>
                <w:rFonts w:hint="eastAsia" w:ascii="Times New Roman" w:hAnsi="Times New Roman" w:eastAsia="方正小标宋_GBK" w:cs="方正小标宋_GBK"/>
                <w:color w:val="auto"/>
                <w:kern w:val="0"/>
                <w:sz w:val="36"/>
                <w:szCs w:val="36"/>
                <w:highlight w:val="none"/>
                <w:lang w:bidi="ar"/>
              </w:rPr>
              <w:t>梅江镇2024年度项目支出绩效自评表（</w:t>
            </w:r>
            <w:r>
              <w:rPr>
                <w:rFonts w:hint="eastAsia" w:ascii="Times New Roman" w:hAnsi="Times New Roman" w:eastAsia="方正小标宋_GBK" w:cs="方正小标宋_GBK"/>
                <w:color w:val="auto"/>
                <w:kern w:val="0"/>
                <w:sz w:val="36"/>
                <w:szCs w:val="36"/>
                <w:highlight w:val="none"/>
                <w:lang w:val="en-US" w:eastAsia="zh-CN" w:bidi="ar"/>
              </w:rPr>
              <w:t>二级</w:t>
            </w:r>
            <w:r>
              <w:rPr>
                <w:rFonts w:hint="eastAsia" w:ascii="Times New Roman" w:hAnsi="Times New Roman" w:eastAsia="方正小标宋_GBK" w:cs="方正小标宋_GBK"/>
                <w:color w:val="auto"/>
                <w:kern w:val="0"/>
                <w:sz w:val="36"/>
                <w:szCs w:val="36"/>
                <w:highlight w:val="none"/>
                <w:lang w:bidi="ar"/>
              </w:rPr>
              <w:t>项目）</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序号</w:t>
            </w:r>
          </w:p>
        </w:tc>
        <w:tc>
          <w:tcPr>
            <w:tcW w:w="7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项目名称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指标名称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指标性质</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指标值</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计量单位</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指标权重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全年完成值</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指标得分</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说明</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自评得分</w:t>
            </w:r>
          </w:p>
        </w:tc>
      </w:tr>
      <w:tr>
        <w:tblPrEx>
          <w:tblLayout w:type="fixed"/>
          <w:tblCellMar>
            <w:top w:w="0" w:type="dxa"/>
            <w:left w:w="108" w:type="dxa"/>
            <w:bottom w:w="0" w:type="dxa"/>
            <w:right w:w="108" w:type="dxa"/>
          </w:tblCellMar>
        </w:tblPrEx>
        <w:trPr>
          <w:trHeight w:val="907" w:hRule="atLeast"/>
        </w:trPr>
        <w:tc>
          <w:tcPr>
            <w:tcW w:w="600" w:type="dxa"/>
            <w:vMerge w:val="restart"/>
            <w:tcBorders>
              <w:top w:val="single" w:color="auto" w:sz="4" w:space="0"/>
              <w:left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1</w:t>
            </w:r>
          </w:p>
        </w:tc>
        <w:tc>
          <w:tcPr>
            <w:tcW w:w="75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sz w:val="22"/>
                <w:highlight w:val="none"/>
              </w:rPr>
              <w:t>村道公路养护资金补助</w:t>
            </w: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维护公里数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236.323</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公里</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230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21.96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restart"/>
            <w:tcBorders>
              <w:top w:val="single" w:color="000000" w:sz="4" w:space="0"/>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r>
              <w:rPr>
                <w:rFonts w:hint="eastAsia" w:ascii="Times New Roman" w:hAnsi="Times New Roman" w:cs="宋体"/>
                <w:color w:val="auto"/>
                <w:sz w:val="22"/>
                <w:highlight w:val="none"/>
              </w:rPr>
              <w:t>91.35</w:t>
            </w: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验收合格率</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养护单位成本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190000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190000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受益人数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群众满意度</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restart"/>
            <w:tcBorders>
              <w:top w:val="single" w:color="auto" w:sz="4" w:space="0"/>
              <w:left w:val="single" w:color="000000"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2</w:t>
            </w:r>
          </w:p>
        </w:tc>
        <w:tc>
          <w:tcPr>
            <w:tcW w:w="750" w:type="dxa"/>
            <w:vMerge w:val="restart"/>
            <w:tcBorders>
              <w:top w:val="single" w:color="auto" w:sz="4" w:space="0"/>
              <w:left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sz w:val="22"/>
                <w:highlight w:val="none"/>
              </w:rPr>
              <w:t>村居环境整治经费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验收合格率</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restart"/>
            <w:tcBorders>
              <w:top w:val="single" w:color="000000" w:sz="4" w:space="0"/>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r>
              <w:rPr>
                <w:rFonts w:hint="eastAsia" w:ascii="Times New Roman" w:hAnsi="Times New Roman" w:cs="宋体"/>
                <w:color w:val="auto"/>
                <w:sz w:val="22"/>
                <w:highlight w:val="none"/>
              </w:rPr>
              <w:t>100.00</w:t>
            </w: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000000"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整治周期</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000000"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项目成本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000000"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受益人数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500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907" w:hRule="atLeast"/>
        </w:trPr>
        <w:tc>
          <w:tcPr>
            <w:tcW w:w="600" w:type="dxa"/>
            <w:vMerge w:val="continue"/>
            <w:tcBorders>
              <w:left w:val="single" w:color="000000"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left w:val="single" w:color="000000" w:sz="4" w:space="0"/>
              <w:bottom w:val="single" w:color="auto"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群众满意度</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宋体" w:cs="宋体"/>
                <w:i w:val="0"/>
                <w:color w:val="auto"/>
                <w:kern w:val="0"/>
                <w:sz w:val="22"/>
                <w:szCs w:val="22"/>
                <w:highlight w:val="none"/>
                <w:u w:val="none"/>
                <w:lang w:val="en-US" w:eastAsia="zh-CN" w:bidi="ar"/>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bl>
    <w:p>
      <w:pPr>
        <w:pStyle w:val="15"/>
        <w:keepNext w:val="0"/>
        <w:keepLines w:val="0"/>
        <w:pageBreakBefore w:val="0"/>
        <w:kinsoku/>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（二）单位绩效评价情况</w:t>
      </w:r>
    </w:p>
    <w:p>
      <w:pPr>
        <w:pStyle w:val="19"/>
        <w:tabs>
          <w:tab w:val="center" w:pos="4153"/>
          <w:tab w:val="left" w:pos="7275"/>
        </w:tabs>
        <w:spacing w:line="600" w:lineRule="exact"/>
        <w:ind w:firstLine="640"/>
        <w:rPr>
          <w:rFonts w:hint="eastAsia" w:ascii="Times New Roman" w:hAnsi="Times New Roman" w:eastAsia="方正仿宋_GBK" w:cs="宋体"/>
          <w:color w:val="auto"/>
          <w:kern w:val="0"/>
          <w:sz w:val="32"/>
          <w:szCs w:val="32"/>
          <w:highlight w:val="none"/>
          <w:lang w:eastAsia="zh-CN"/>
        </w:rPr>
      </w:pPr>
      <w:r>
        <w:rPr>
          <w:rFonts w:hint="eastAsia" w:ascii="Times New Roman" w:hAnsi="Times New Roman" w:eastAsia="方正仿宋_GBK" w:cs="宋体"/>
          <w:color w:val="auto"/>
          <w:kern w:val="0"/>
          <w:sz w:val="32"/>
          <w:szCs w:val="32"/>
          <w:highlight w:val="none"/>
        </w:rPr>
        <w:t>我</w:t>
      </w:r>
      <w:r>
        <w:rPr>
          <w:rFonts w:hint="eastAsia" w:ascii="Times New Roman" w:hAnsi="Times New Roman" w:eastAsia="方正仿宋_GBK" w:cs="宋体"/>
          <w:color w:val="auto"/>
          <w:kern w:val="0"/>
          <w:sz w:val="32"/>
          <w:szCs w:val="32"/>
          <w:highlight w:val="none"/>
          <w:lang w:val="en-US" w:eastAsia="zh-CN"/>
        </w:rPr>
        <w:t>单位</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《村道公路养护资金补助》</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26.43</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91.35</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《村居环境整治经费》</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宋体"/>
          <w:color w:val="auto"/>
          <w:kern w:val="0"/>
          <w:sz w:val="32"/>
          <w:szCs w:val="32"/>
          <w:highlight w:val="none"/>
          <w:lang w:val="en-US" w:eastAsia="zh-CN"/>
        </w:rPr>
        <w:t>26.15</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宋体"/>
          <w:color w:val="auto"/>
          <w:kern w:val="0"/>
          <w:sz w:val="32"/>
          <w:szCs w:val="32"/>
          <w:highlight w:val="none"/>
          <w:lang w:val="en-US" w:eastAsia="zh-CN"/>
        </w:rPr>
        <w:t>100</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绩效评价发现了</w:t>
      </w:r>
      <w:r>
        <w:rPr>
          <w:rFonts w:hint="default" w:ascii="Times New Roman" w:hAnsi="Times New Roman" w:eastAsia="方正仿宋_GBK" w:cs="Times New Roman"/>
          <w:color w:val="auto"/>
          <w:sz w:val="32"/>
          <w:szCs w:val="32"/>
          <w:highlight w:val="none"/>
          <w:shd w:val="clear" w:color="auto" w:fill="FFFFFF"/>
          <w:lang w:val="en-US" w:eastAsia="zh-CN"/>
        </w:rPr>
        <w:t>资金已支付未审核</w:t>
      </w:r>
      <w:r>
        <w:rPr>
          <w:rFonts w:hint="eastAsia" w:ascii="Times New Roman" w:hAnsi="Times New Roman" w:eastAsia="方正仿宋_GBK" w:cs="宋体"/>
          <w:color w:val="auto"/>
          <w:kern w:val="0"/>
          <w:sz w:val="32"/>
          <w:szCs w:val="32"/>
          <w:highlight w:val="none"/>
        </w:rPr>
        <w:t>等主要问题，提出</w:t>
      </w:r>
      <w:r>
        <w:rPr>
          <w:rFonts w:hint="eastAsia" w:ascii="Times New Roman" w:hAnsi="Times New Roman" w:eastAsia="方正仿宋_GBK" w:cs="宋体"/>
          <w:color w:val="auto"/>
          <w:kern w:val="0"/>
          <w:sz w:val="32"/>
          <w:szCs w:val="32"/>
          <w:highlight w:val="none"/>
          <w:lang w:eastAsia="zh-CN"/>
        </w:rPr>
        <w:t>了</w:t>
      </w:r>
      <w:r>
        <w:rPr>
          <w:rFonts w:hint="eastAsia" w:ascii="Times New Roman" w:hAnsi="Times New Roman" w:eastAsia="方正仿宋_GBK" w:cs="宋体"/>
          <w:color w:val="auto"/>
          <w:kern w:val="0"/>
          <w:sz w:val="32"/>
          <w:szCs w:val="32"/>
          <w:highlight w:val="none"/>
          <w:lang w:val="en-US" w:eastAsia="zh-CN"/>
        </w:rPr>
        <w:t>要</w:t>
      </w:r>
      <w:r>
        <w:rPr>
          <w:rFonts w:hint="eastAsia" w:ascii="Times New Roman" w:hAnsi="Times New Roman" w:eastAsia="方正仿宋_GBK" w:cs="宋体"/>
          <w:color w:val="auto"/>
          <w:kern w:val="0"/>
          <w:sz w:val="32"/>
          <w:szCs w:val="32"/>
          <w:highlight w:val="none"/>
        </w:rPr>
        <w:t>紧盯项目年初绩效目标，打标推进项目实施，确保项目按照预期圆满竣工，达到可支付条件，完成年初设定绩效目标；督促项目实施部门，对已达支付条件项目，抓紧时间完善报账资料，及时报账，提高资金支付率；加强与部门之间的沟通，加快支付进度；提升绩效目标设置的质量，进一步科学、合理的设置目标绩效等下一步工作建议</w:t>
      </w:r>
      <w:r>
        <w:rPr>
          <w:rFonts w:hint="eastAsia" w:ascii="Times New Roman" w:hAnsi="Times New Roman" w:eastAsia="方正仿宋_GBK" w:cs="宋体"/>
          <w:color w:val="auto"/>
          <w:kern w:val="0"/>
          <w:sz w:val="32"/>
          <w:szCs w:val="32"/>
          <w:highlight w:val="none"/>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（三）财政绩效评价情况</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eastAsia" w:ascii="Times New Roman" w:hAnsi="Times New Roman" w:eastAsia="方正仿宋_GBK" w:cs="Times New Roman"/>
          <w:b w:val="0"/>
          <w:bCs w:val="0"/>
          <w:color w:val="auto"/>
          <w:sz w:val="32"/>
          <w:szCs w:val="32"/>
          <w:highlight w:val="none"/>
          <w:shd w:val="clear" w:color="auto" w:fill="FFFFFF"/>
          <w:lang w:eastAsia="zh-CN"/>
        </w:rPr>
        <w:t>县</w:t>
      </w:r>
      <w:r>
        <w:rPr>
          <w:rFonts w:hint="default" w:ascii="Times New Roman" w:hAnsi="Times New Roman" w:eastAsia="方正仿宋_GBK" w:cs="Times New Roman"/>
          <w:b w:val="0"/>
          <w:bCs w:val="0"/>
          <w:color w:val="auto"/>
          <w:sz w:val="32"/>
          <w:szCs w:val="32"/>
          <w:highlight w:val="none"/>
          <w:shd w:val="clear" w:color="auto" w:fill="FFFFFF"/>
        </w:rPr>
        <w:t>财政局未委托第三方对我单位开展绩效评价。</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（五）使用非财政拨款结余（含专用结余）：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1"/>
          <w:rFonts w:hint="eastAsia" w:ascii="Times New Roman" w:hAnsi="Times New Roman" w:eastAsia="方正仿宋_GBK" w:cs="Times New Roman"/>
          <w:color w:val="auto"/>
          <w:sz w:val="32"/>
          <w:szCs w:val="32"/>
          <w:highlight w:val="none"/>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eastAsia" w:ascii="Times New Roman" w:hAnsi="Times New Roman" w:eastAsia="方正仿宋_GBK" w:cs="Times New Roman"/>
          <w:color w:val="auto"/>
          <w:sz w:val="32"/>
          <w:szCs w:val="32"/>
          <w:highlight w:val="none"/>
          <w:shd w:val="clear" w:color="auto" w:fill="FFFFFF"/>
          <w:lang w:val="en-US" w:eastAsia="zh-CN"/>
        </w:rPr>
        <w:t>雷莉19132739474</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Arial"/>
                <w:color w:val="auto"/>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Arial"/>
                <w:color w:val="auto"/>
                <w:sz w:val="22"/>
                <w:szCs w:val="22"/>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1,030.89</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79.56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16.45</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967.60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1,030.89</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1,078.75</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47.87</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1,078.75</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1,078.75</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备注：1.本表反映单位本年度的总收支和年末结转结余情况。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1,030.89</w:t>
            </w:r>
            <w:r>
              <w:rPr>
                <w:rFonts w:ascii="Times New Roman" w:hAnsi="Times New Roman"/>
                <w:b/>
                <w:color w:val="auto"/>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1,030.89</w:t>
            </w:r>
            <w:r>
              <w:rPr>
                <w:rFonts w:ascii="Times New Roman" w:hAnsi="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919.73</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919.73</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276.14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276.14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273.98</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273.98</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备注：1.本表反映单位本年度取得的各项收入情况。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 xml:space="preserve">秀山土家族苗族自治县梅江镇产业发展服务中心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1,078.75</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433.01</w:t>
            </w:r>
            <w:r>
              <w:rPr>
                <w:rFonts w:ascii="Times New Roman" w:hAnsi="Times New Roman"/>
                <w:b/>
                <w:color w:val="auto"/>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645.75</w:t>
            </w:r>
            <w:r>
              <w:rPr>
                <w:rFonts w:ascii="Times New Roman" w:hAnsi="Times New Roman"/>
                <w:b/>
                <w:color w:val="auto"/>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967.60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321.85</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645.75</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324.01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321.85</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2.16</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321.85</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321.85</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备注：1.本表反映单位本年度各项支出情况。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p>
      <w:pPr>
        <w:rPr>
          <w:rFonts w:hint="default" w:ascii="Times New Roman" w:hAnsi="Times New Roman" w:cs="宋体"/>
          <w:color w:val="auto"/>
          <w:sz w:val="21"/>
          <w:szCs w:val="21"/>
          <w:highlight w:val="none"/>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18"/>
                <w:szCs w:val="18"/>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1,030.89</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79.56</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79.56</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967.60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967.60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15.14</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15.14</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1,030.89</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1,078.75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1,078.75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47.87</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47.87</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1,078.75</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1,078.75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1,078.75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pPr>
        <w:spacing w:line="24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r>
        <w:rPr>
          <w:rFonts w:ascii="Times New Roman" w:hAnsi="Times New Roman"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1,078.75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433.01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645.75</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79.56</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23.22</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37.33</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19.01</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12.61</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3.84</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967.60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321.85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645.75</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324.01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321.85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2.16</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321.85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321.85</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40.07</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13.57</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26.50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603.51</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12.86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590.66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15.14</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15.14</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备注：1.本表反映单位本年度一般公共预算财政拨款支出情况。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ind w:firstLine="630" w:firstLineChars="300"/>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18"/>
                <w:szCs w:val="18"/>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398.60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11.18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76.05</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66.23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8.51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159.51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37.33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0.54</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19.01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12.61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15.14</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3.84</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23.22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0.17</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20.70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1.24</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0.78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421.82</w:t>
            </w:r>
            <w:r>
              <w:rPr>
                <w:rFonts w:ascii="Times New Roman" w:hAnsi="Times New Roman"/>
                <w:color w:val="auto"/>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11.18</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备注：1.本表反映单位本年度一般公共预算财政拨款基本支出明细情况。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r>
        <w:rPr>
          <w:rFonts w:ascii="Times New Roman" w:hAnsi="Times New Roman"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备注：本表反映单位本年度政府性基金预算财政拨款收入支出及结转和结余情况。本单位无政府性基金收支，故本表无数据。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秀山土家族苗族自治县梅江镇产业发展服务中心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备注：本表反映单位本年度国有资本经营预算财政拨款支出情况。本单位无国有资本经营收支，故本表无数据。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hint="default" w:ascii="Times New Roman" w:hAnsi="Times New Roman" w:cs="宋体"/>
          <w:color w:val="auto"/>
          <w:sz w:val="21"/>
          <w:szCs w:val="21"/>
          <w:highlight w:val="none"/>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kern w:val="2"/>
                <w:sz w:val="32"/>
                <w:szCs w:val="32"/>
                <w:highlight w:val="none"/>
              </w:rPr>
            </w:pPr>
            <w:r>
              <w:rPr>
                <w:rFonts w:ascii="Times New Roman" w:hAnsi="Times New Roman" w:cs="宋体"/>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宋体"/>
                <w:color w:val="auto"/>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宋体"/>
                <w:color w:val="auto"/>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宋体"/>
                <w:color w:val="auto"/>
                <w:kern w:val="2"/>
                <w:sz w:val="20"/>
                <w:szCs w:val="20"/>
                <w:highlight w:val="none"/>
              </w:rPr>
            </w:pPr>
            <w:r>
              <w:rPr>
                <w:rFonts w:ascii="Times New Roman" w:hAns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hAnsi="Times New Roman" w:cs="宋体"/>
                <w:color w:val="auto"/>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r>
              <w:rPr>
                <w:rFonts w:hint="eastAsia" w:ascii="Times New Roman" w:hAnsi="Times New Roman" w:cs="宋体"/>
                <w:color w:val="auto"/>
                <w:kern w:val="2"/>
                <w:sz w:val="20"/>
                <w:szCs w:val="20"/>
                <w:highlight w:val="none"/>
                <w:lang w:eastAsia="zh-CN"/>
              </w:rPr>
              <w:t>单位</w:t>
            </w:r>
            <w:r>
              <w:rPr>
                <w:rFonts w:ascii="Times New Roman" w:hAnsi="Times New Roman" w:cs="宋体"/>
                <w:color w:val="auto"/>
                <w:kern w:val="2"/>
                <w:sz w:val="20"/>
                <w:szCs w:val="20"/>
                <w:highlight w:val="none"/>
              </w:rPr>
              <w:t>：</w:t>
            </w:r>
            <w:r>
              <w:rPr>
                <w:rFonts w:ascii="Times New Roman" w:hAnsi="Times New Roman"/>
                <w:color w:val="auto"/>
                <w:sz w:val="20"/>
                <w:highlight w:val="none"/>
                <w:u w:color="auto"/>
              </w:rPr>
              <w:t>秀山土家族苗族自治县梅江镇产业发展服务中心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宋体"/>
                <w:color w:val="auto"/>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宋体"/>
                <w:color w:val="auto"/>
                <w:kern w:val="2"/>
                <w:sz w:val="20"/>
                <w:szCs w:val="20"/>
                <w:highlight w:val="none"/>
              </w:rPr>
            </w:pPr>
            <w:r>
              <w:rPr>
                <w:rFonts w:ascii="Times New Roman" w:hAnsi="Times New Roman" w:cs="宋体"/>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0.17</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sz w:val="16"/>
                <w:szCs w:val="16"/>
                <w:highlight w:val="none"/>
              </w:rPr>
            </w:pPr>
            <w:r>
              <w:rPr>
                <w:rFonts w:ascii="Times New Roman" w:hAnsi="Times New Roman" w:cs="宋体"/>
                <w:b/>
                <w:bCs/>
                <w:color w:val="auto"/>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2.93</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sz w:val="16"/>
                <w:szCs w:val="16"/>
                <w:highlight w:val="none"/>
              </w:rPr>
            </w:pPr>
          </w:p>
        </w:tc>
      </w:tr>
    </w:tbl>
    <w:p>
      <w:pPr>
        <w:rPr>
          <w:rFonts w:hint="default" w:ascii="Times New Roman" w:hAnsi="Times New Roman" w:cs="宋体"/>
          <w:color w:val="auto"/>
          <w:sz w:val="20"/>
          <w:szCs w:val="20"/>
          <w:highlight w:val="none"/>
        </w:rPr>
      </w:pPr>
      <w:r>
        <w:rPr>
          <w:rFonts w:ascii="Times New Roman" w:hAns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color w:val="auto"/>
          <w:sz w:val="18"/>
          <w:szCs w:val="18"/>
          <w:highlight w:val="none"/>
        </w:rPr>
        <w:br w:type="textWrapping"/>
      </w:r>
      <w:r>
        <w:rPr>
          <w:rFonts w:ascii="Times New Roman" w:hAnsi="Times New Roman" w:cs="宋体"/>
          <w:color w:val="auto"/>
          <w:sz w:val="18"/>
          <w:szCs w:val="18"/>
          <w:highlight w:val="none"/>
        </w:rPr>
        <w:t xml:space="preserve">      2.本套报表金额单位转换时可能存在尾数误差。</w:t>
      </w:r>
      <w:r>
        <w:rPr>
          <w:rFonts w:ascii="Times New Roman" w:hAnsi="Times New Roman" w:cs="宋体"/>
          <w:color w:val="auto"/>
          <w:sz w:val="18"/>
          <w:szCs w:val="18"/>
          <w:highlight w:val="none"/>
        </w:rPr>
        <w:br w:type="textWrapping"/>
      </w:r>
      <w:r>
        <w:rPr>
          <w:rFonts w:ascii="Times New Roman" w:hAnsi="Times New Roman" w:cs="宋体"/>
          <w:color w:val="auto"/>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EC59D7"/>
    <w:rsid w:val="00F73F90"/>
    <w:rsid w:val="010328E3"/>
    <w:rsid w:val="01474EBF"/>
    <w:rsid w:val="01F3521E"/>
    <w:rsid w:val="02951F7D"/>
    <w:rsid w:val="035C231F"/>
    <w:rsid w:val="03B87EA0"/>
    <w:rsid w:val="03E3214F"/>
    <w:rsid w:val="041600D2"/>
    <w:rsid w:val="044C50BA"/>
    <w:rsid w:val="05BC6D49"/>
    <w:rsid w:val="05E45D43"/>
    <w:rsid w:val="06194FF1"/>
    <w:rsid w:val="063E0213"/>
    <w:rsid w:val="06A2550B"/>
    <w:rsid w:val="06B9669A"/>
    <w:rsid w:val="06EE54D2"/>
    <w:rsid w:val="06F80EE2"/>
    <w:rsid w:val="07001CCA"/>
    <w:rsid w:val="070E2171"/>
    <w:rsid w:val="075678DB"/>
    <w:rsid w:val="079D7CC7"/>
    <w:rsid w:val="08051BCA"/>
    <w:rsid w:val="081904A6"/>
    <w:rsid w:val="086C12F4"/>
    <w:rsid w:val="08705944"/>
    <w:rsid w:val="08BA052C"/>
    <w:rsid w:val="08DB07BA"/>
    <w:rsid w:val="0969353F"/>
    <w:rsid w:val="098305D0"/>
    <w:rsid w:val="0A3317EA"/>
    <w:rsid w:val="0A5C4B69"/>
    <w:rsid w:val="0A86124A"/>
    <w:rsid w:val="0AB54CC0"/>
    <w:rsid w:val="0B8B6294"/>
    <w:rsid w:val="0B9335CE"/>
    <w:rsid w:val="0BF2311A"/>
    <w:rsid w:val="0C7927C4"/>
    <w:rsid w:val="0C9B098C"/>
    <w:rsid w:val="0CEB57F4"/>
    <w:rsid w:val="0D6508E9"/>
    <w:rsid w:val="0D673E11"/>
    <w:rsid w:val="0DDA54E4"/>
    <w:rsid w:val="0DF44522"/>
    <w:rsid w:val="0E3A5F83"/>
    <w:rsid w:val="0EB22575"/>
    <w:rsid w:val="0F836721"/>
    <w:rsid w:val="0FA25D96"/>
    <w:rsid w:val="107B59E5"/>
    <w:rsid w:val="10EC0126"/>
    <w:rsid w:val="10F70B9A"/>
    <w:rsid w:val="110E475D"/>
    <w:rsid w:val="111445C7"/>
    <w:rsid w:val="114278C6"/>
    <w:rsid w:val="1158083A"/>
    <w:rsid w:val="11643A4B"/>
    <w:rsid w:val="11917F6C"/>
    <w:rsid w:val="11C74109"/>
    <w:rsid w:val="11ED0F98"/>
    <w:rsid w:val="11F03528"/>
    <w:rsid w:val="12683E05"/>
    <w:rsid w:val="12C921C4"/>
    <w:rsid w:val="13182702"/>
    <w:rsid w:val="13871C70"/>
    <w:rsid w:val="13A71CB4"/>
    <w:rsid w:val="13AF1D43"/>
    <w:rsid w:val="13CE1647"/>
    <w:rsid w:val="13FD55AB"/>
    <w:rsid w:val="14200702"/>
    <w:rsid w:val="15734951"/>
    <w:rsid w:val="163A6CEE"/>
    <w:rsid w:val="173708E3"/>
    <w:rsid w:val="17BD0EAE"/>
    <w:rsid w:val="17C374FC"/>
    <w:rsid w:val="18196638"/>
    <w:rsid w:val="182E4AB6"/>
    <w:rsid w:val="18591BFD"/>
    <w:rsid w:val="185E1876"/>
    <w:rsid w:val="189079DC"/>
    <w:rsid w:val="189B0D0B"/>
    <w:rsid w:val="18B43F7C"/>
    <w:rsid w:val="18D23D6D"/>
    <w:rsid w:val="18DE1FD6"/>
    <w:rsid w:val="193B3B01"/>
    <w:rsid w:val="194A1770"/>
    <w:rsid w:val="195F1C37"/>
    <w:rsid w:val="19836E94"/>
    <w:rsid w:val="19B906A4"/>
    <w:rsid w:val="1AAE4656"/>
    <w:rsid w:val="1B110B01"/>
    <w:rsid w:val="1B6F15B6"/>
    <w:rsid w:val="1BAA2EDC"/>
    <w:rsid w:val="1C526E72"/>
    <w:rsid w:val="1C7C3235"/>
    <w:rsid w:val="1CA55E64"/>
    <w:rsid w:val="1D014A01"/>
    <w:rsid w:val="1D022362"/>
    <w:rsid w:val="1D1B04B0"/>
    <w:rsid w:val="1D684611"/>
    <w:rsid w:val="1DA52501"/>
    <w:rsid w:val="1DBD6767"/>
    <w:rsid w:val="1DC52125"/>
    <w:rsid w:val="1DD26311"/>
    <w:rsid w:val="1DE85B05"/>
    <w:rsid w:val="1E374ACB"/>
    <w:rsid w:val="1E9608F3"/>
    <w:rsid w:val="1ECF0A66"/>
    <w:rsid w:val="1EF67CA4"/>
    <w:rsid w:val="1F020D3A"/>
    <w:rsid w:val="1F2C5189"/>
    <w:rsid w:val="1F4B0B02"/>
    <w:rsid w:val="1FBB35CD"/>
    <w:rsid w:val="1FCD26AF"/>
    <w:rsid w:val="20634555"/>
    <w:rsid w:val="20642787"/>
    <w:rsid w:val="20E25055"/>
    <w:rsid w:val="21556F04"/>
    <w:rsid w:val="22403BD3"/>
    <w:rsid w:val="22974AFE"/>
    <w:rsid w:val="22A31233"/>
    <w:rsid w:val="22C80BDE"/>
    <w:rsid w:val="22FC45FA"/>
    <w:rsid w:val="237A106C"/>
    <w:rsid w:val="23DF4E4D"/>
    <w:rsid w:val="24530A1F"/>
    <w:rsid w:val="24B92327"/>
    <w:rsid w:val="24C14514"/>
    <w:rsid w:val="24DB77F0"/>
    <w:rsid w:val="25190772"/>
    <w:rsid w:val="252F5055"/>
    <w:rsid w:val="2533755C"/>
    <w:rsid w:val="25791755"/>
    <w:rsid w:val="25874994"/>
    <w:rsid w:val="25AA287B"/>
    <w:rsid w:val="26085672"/>
    <w:rsid w:val="26396DF4"/>
    <w:rsid w:val="2696732F"/>
    <w:rsid w:val="269D2A8B"/>
    <w:rsid w:val="27167136"/>
    <w:rsid w:val="271B442C"/>
    <w:rsid w:val="27B23302"/>
    <w:rsid w:val="282E1C52"/>
    <w:rsid w:val="28856D1A"/>
    <w:rsid w:val="29310A5F"/>
    <w:rsid w:val="29675600"/>
    <w:rsid w:val="29C37A35"/>
    <w:rsid w:val="2A076083"/>
    <w:rsid w:val="2A1405BD"/>
    <w:rsid w:val="2A73162E"/>
    <w:rsid w:val="2B167953"/>
    <w:rsid w:val="2B200583"/>
    <w:rsid w:val="2B7343FA"/>
    <w:rsid w:val="2B8209DE"/>
    <w:rsid w:val="2B9023AF"/>
    <w:rsid w:val="2BEF6D4C"/>
    <w:rsid w:val="2C636760"/>
    <w:rsid w:val="2C6762A3"/>
    <w:rsid w:val="2CCA4D8B"/>
    <w:rsid w:val="2CD506F8"/>
    <w:rsid w:val="2CDF4429"/>
    <w:rsid w:val="2CE125F7"/>
    <w:rsid w:val="2D1F5D9E"/>
    <w:rsid w:val="2E6A7FFE"/>
    <w:rsid w:val="2ED26682"/>
    <w:rsid w:val="2ED62CED"/>
    <w:rsid w:val="2F046B72"/>
    <w:rsid w:val="2F0F66DE"/>
    <w:rsid w:val="2FCA4B37"/>
    <w:rsid w:val="2FE029D7"/>
    <w:rsid w:val="2FE73800"/>
    <w:rsid w:val="2FEB655D"/>
    <w:rsid w:val="2FF06E00"/>
    <w:rsid w:val="3053434F"/>
    <w:rsid w:val="305361FE"/>
    <w:rsid w:val="30586FEC"/>
    <w:rsid w:val="314B0F40"/>
    <w:rsid w:val="315F0B22"/>
    <w:rsid w:val="31680C06"/>
    <w:rsid w:val="31C82120"/>
    <w:rsid w:val="31D84415"/>
    <w:rsid w:val="32285F6F"/>
    <w:rsid w:val="32770556"/>
    <w:rsid w:val="329B3F9C"/>
    <w:rsid w:val="329C0913"/>
    <w:rsid w:val="32AA0460"/>
    <w:rsid w:val="32AB4F93"/>
    <w:rsid w:val="32BF17A4"/>
    <w:rsid w:val="32E10762"/>
    <w:rsid w:val="3337290D"/>
    <w:rsid w:val="33E31118"/>
    <w:rsid w:val="33EF7674"/>
    <w:rsid w:val="34156AB9"/>
    <w:rsid w:val="341E749D"/>
    <w:rsid w:val="342D7BC6"/>
    <w:rsid w:val="34B03D86"/>
    <w:rsid w:val="352930DB"/>
    <w:rsid w:val="352D2965"/>
    <w:rsid w:val="35573069"/>
    <w:rsid w:val="355F6038"/>
    <w:rsid w:val="3585481E"/>
    <w:rsid w:val="358C217E"/>
    <w:rsid w:val="361266D1"/>
    <w:rsid w:val="36C9128A"/>
    <w:rsid w:val="372259CC"/>
    <w:rsid w:val="37841E99"/>
    <w:rsid w:val="37BF1123"/>
    <w:rsid w:val="37D339EC"/>
    <w:rsid w:val="383C3F15"/>
    <w:rsid w:val="38BE4696"/>
    <w:rsid w:val="3939115E"/>
    <w:rsid w:val="39B82A39"/>
    <w:rsid w:val="39C42CA8"/>
    <w:rsid w:val="39DC4FD6"/>
    <w:rsid w:val="39F03D7A"/>
    <w:rsid w:val="39F33306"/>
    <w:rsid w:val="3A1413B0"/>
    <w:rsid w:val="3A2C1C67"/>
    <w:rsid w:val="3A3A6343"/>
    <w:rsid w:val="3A6E60CC"/>
    <w:rsid w:val="3ABF719D"/>
    <w:rsid w:val="3ADD7F09"/>
    <w:rsid w:val="3B1705E5"/>
    <w:rsid w:val="3B18334B"/>
    <w:rsid w:val="3B36794F"/>
    <w:rsid w:val="3B6F6EE0"/>
    <w:rsid w:val="3BF97B22"/>
    <w:rsid w:val="3C067035"/>
    <w:rsid w:val="3C1C564A"/>
    <w:rsid w:val="3C3648E7"/>
    <w:rsid w:val="3C566AD6"/>
    <w:rsid w:val="3C594871"/>
    <w:rsid w:val="3C6A5B02"/>
    <w:rsid w:val="3D2757A1"/>
    <w:rsid w:val="3D3D4FC4"/>
    <w:rsid w:val="3D5522BD"/>
    <w:rsid w:val="3DB86A9C"/>
    <w:rsid w:val="3DDF3AB1"/>
    <w:rsid w:val="3E0B4A8D"/>
    <w:rsid w:val="3E1D0952"/>
    <w:rsid w:val="3E42660A"/>
    <w:rsid w:val="3E7555B1"/>
    <w:rsid w:val="3E787ED9"/>
    <w:rsid w:val="3E9E0117"/>
    <w:rsid w:val="3F032E93"/>
    <w:rsid w:val="3F0527E5"/>
    <w:rsid w:val="3F694D83"/>
    <w:rsid w:val="3F885DCC"/>
    <w:rsid w:val="3FCD675E"/>
    <w:rsid w:val="4004000C"/>
    <w:rsid w:val="40060206"/>
    <w:rsid w:val="402B4E0D"/>
    <w:rsid w:val="404F0E65"/>
    <w:rsid w:val="40A158A3"/>
    <w:rsid w:val="40B51544"/>
    <w:rsid w:val="40BD5482"/>
    <w:rsid w:val="411B6CE5"/>
    <w:rsid w:val="412070D7"/>
    <w:rsid w:val="41314E40"/>
    <w:rsid w:val="4145721E"/>
    <w:rsid w:val="415F52FA"/>
    <w:rsid w:val="41E0734B"/>
    <w:rsid w:val="426C1EA8"/>
    <w:rsid w:val="42736402"/>
    <w:rsid w:val="428E2AF7"/>
    <w:rsid w:val="42CC22C8"/>
    <w:rsid w:val="42E86A87"/>
    <w:rsid w:val="43307B09"/>
    <w:rsid w:val="4356387D"/>
    <w:rsid w:val="439A3EB9"/>
    <w:rsid w:val="43BB152F"/>
    <w:rsid w:val="448A7D07"/>
    <w:rsid w:val="44C37687"/>
    <w:rsid w:val="45373471"/>
    <w:rsid w:val="45CB699A"/>
    <w:rsid w:val="45D93807"/>
    <w:rsid w:val="465B470D"/>
    <w:rsid w:val="469D6AD4"/>
    <w:rsid w:val="46E25836"/>
    <w:rsid w:val="471A3FD3"/>
    <w:rsid w:val="471E6C84"/>
    <w:rsid w:val="4748792B"/>
    <w:rsid w:val="475D719D"/>
    <w:rsid w:val="47674801"/>
    <w:rsid w:val="480A35C2"/>
    <w:rsid w:val="48225EF7"/>
    <w:rsid w:val="484A6E90"/>
    <w:rsid w:val="488F422B"/>
    <w:rsid w:val="48E36915"/>
    <w:rsid w:val="48EB6572"/>
    <w:rsid w:val="495C4A24"/>
    <w:rsid w:val="497135DF"/>
    <w:rsid w:val="4A145E40"/>
    <w:rsid w:val="4A263DF2"/>
    <w:rsid w:val="4A614FA1"/>
    <w:rsid w:val="4A691B13"/>
    <w:rsid w:val="4A6F6675"/>
    <w:rsid w:val="4AF929A4"/>
    <w:rsid w:val="4B135857"/>
    <w:rsid w:val="4B3C73E7"/>
    <w:rsid w:val="4B573218"/>
    <w:rsid w:val="4B7951CB"/>
    <w:rsid w:val="4B7C315C"/>
    <w:rsid w:val="4C10703F"/>
    <w:rsid w:val="4CA01D00"/>
    <w:rsid w:val="4CB80E93"/>
    <w:rsid w:val="4D3F1122"/>
    <w:rsid w:val="4DAC4ACA"/>
    <w:rsid w:val="4DB465B1"/>
    <w:rsid w:val="4DBE01D2"/>
    <w:rsid w:val="4DF353F9"/>
    <w:rsid w:val="4E613350"/>
    <w:rsid w:val="4E735D14"/>
    <w:rsid w:val="4E7B5431"/>
    <w:rsid w:val="4E8834EE"/>
    <w:rsid w:val="4F0C6BA3"/>
    <w:rsid w:val="4F186D58"/>
    <w:rsid w:val="50841C54"/>
    <w:rsid w:val="50F06B6E"/>
    <w:rsid w:val="515065DC"/>
    <w:rsid w:val="515A2D8E"/>
    <w:rsid w:val="518B1208"/>
    <w:rsid w:val="51D21804"/>
    <w:rsid w:val="52234D33"/>
    <w:rsid w:val="522F6E0C"/>
    <w:rsid w:val="52463BA1"/>
    <w:rsid w:val="52D555E6"/>
    <w:rsid w:val="52F163D4"/>
    <w:rsid w:val="52F5625A"/>
    <w:rsid w:val="531A2DB4"/>
    <w:rsid w:val="53C0244D"/>
    <w:rsid w:val="53DD4D4E"/>
    <w:rsid w:val="53E578CE"/>
    <w:rsid w:val="53FF19AD"/>
    <w:rsid w:val="541330F0"/>
    <w:rsid w:val="54202FCF"/>
    <w:rsid w:val="54272666"/>
    <w:rsid w:val="54324E89"/>
    <w:rsid w:val="543B029D"/>
    <w:rsid w:val="54861779"/>
    <w:rsid w:val="551E20F7"/>
    <w:rsid w:val="552256E1"/>
    <w:rsid w:val="554E5773"/>
    <w:rsid w:val="555A3CBC"/>
    <w:rsid w:val="5582012B"/>
    <w:rsid w:val="558E4E05"/>
    <w:rsid w:val="55BE2E85"/>
    <w:rsid w:val="56530F5D"/>
    <w:rsid w:val="567700D3"/>
    <w:rsid w:val="56F37AAC"/>
    <w:rsid w:val="56FF7E9E"/>
    <w:rsid w:val="573E1D8D"/>
    <w:rsid w:val="574123E8"/>
    <w:rsid w:val="578867FC"/>
    <w:rsid w:val="57960209"/>
    <w:rsid w:val="582C5EE2"/>
    <w:rsid w:val="5842572D"/>
    <w:rsid w:val="587305D6"/>
    <w:rsid w:val="588D2833"/>
    <w:rsid w:val="5A3B59D6"/>
    <w:rsid w:val="5A471C02"/>
    <w:rsid w:val="5AD134D8"/>
    <w:rsid w:val="5B304456"/>
    <w:rsid w:val="5B624D81"/>
    <w:rsid w:val="5C263CE4"/>
    <w:rsid w:val="5C5D2777"/>
    <w:rsid w:val="5C9768AF"/>
    <w:rsid w:val="5CF66BF3"/>
    <w:rsid w:val="5D08215D"/>
    <w:rsid w:val="5D0B130E"/>
    <w:rsid w:val="5D290C69"/>
    <w:rsid w:val="5DB17861"/>
    <w:rsid w:val="5E0A4EF6"/>
    <w:rsid w:val="5EDE5775"/>
    <w:rsid w:val="5F2D4A41"/>
    <w:rsid w:val="5F7E7B00"/>
    <w:rsid w:val="6009714B"/>
    <w:rsid w:val="60C56F53"/>
    <w:rsid w:val="60C74F6C"/>
    <w:rsid w:val="60D333C6"/>
    <w:rsid w:val="61025A59"/>
    <w:rsid w:val="612D5BAD"/>
    <w:rsid w:val="613D5BBC"/>
    <w:rsid w:val="61536C39"/>
    <w:rsid w:val="6166759D"/>
    <w:rsid w:val="62944DD7"/>
    <w:rsid w:val="6319381F"/>
    <w:rsid w:val="632A6328"/>
    <w:rsid w:val="63C25DC5"/>
    <w:rsid w:val="63C62057"/>
    <w:rsid w:val="64571EF5"/>
    <w:rsid w:val="64C86938"/>
    <w:rsid w:val="64FB113D"/>
    <w:rsid w:val="656152C6"/>
    <w:rsid w:val="657B2F73"/>
    <w:rsid w:val="6587477F"/>
    <w:rsid w:val="658C3A08"/>
    <w:rsid w:val="65C031CA"/>
    <w:rsid w:val="65CE6852"/>
    <w:rsid w:val="65FD7B20"/>
    <w:rsid w:val="66267C04"/>
    <w:rsid w:val="663059E6"/>
    <w:rsid w:val="663F505A"/>
    <w:rsid w:val="66546E3B"/>
    <w:rsid w:val="66563163"/>
    <w:rsid w:val="66BA6804"/>
    <w:rsid w:val="66EE5541"/>
    <w:rsid w:val="67924660"/>
    <w:rsid w:val="67ED3852"/>
    <w:rsid w:val="68407834"/>
    <w:rsid w:val="6883293E"/>
    <w:rsid w:val="688412AD"/>
    <w:rsid w:val="68EB1B71"/>
    <w:rsid w:val="691373F5"/>
    <w:rsid w:val="696A4A28"/>
    <w:rsid w:val="6A6C7940"/>
    <w:rsid w:val="6AAD2300"/>
    <w:rsid w:val="6ADC4E63"/>
    <w:rsid w:val="6AFD7E01"/>
    <w:rsid w:val="6B474EF5"/>
    <w:rsid w:val="6BC70080"/>
    <w:rsid w:val="6C0A5AC5"/>
    <w:rsid w:val="6C560CAE"/>
    <w:rsid w:val="6C576495"/>
    <w:rsid w:val="6C8220F7"/>
    <w:rsid w:val="6CB31A0C"/>
    <w:rsid w:val="6CE7705C"/>
    <w:rsid w:val="6D903FF5"/>
    <w:rsid w:val="6DA955B8"/>
    <w:rsid w:val="6DE346AB"/>
    <w:rsid w:val="6DE5391A"/>
    <w:rsid w:val="6EFD1324"/>
    <w:rsid w:val="6F370994"/>
    <w:rsid w:val="6F5A53AC"/>
    <w:rsid w:val="6F990DD5"/>
    <w:rsid w:val="6FAC003D"/>
    <w:rsid w:val="6FE55E12"/>
    <w:rsid w:val="6FFB2E76"/>
    <w:rsid w:val="70492B5C"/>
    <w:rsid w:val="708F6F7F"/>
    <w:rsid w:val="70C0003D"/>
    <w:rsid w:val="70D43EB7"/>
    <w:rsid w:val="70D94BD3"/>
    <w:rsid w:val="71173E66"/>
    <w:rsid w:val="719F3C70"/>
    <w:rsid w:val="71C34D91"/>
    <w:rsid w:val="728B38EF"/>
    <w:rsid w:val="72A01762"/>
    <w:rsid w:val="72C43793"/>
    <w:rsid w:val="72DB435C"/>
    <w:rsid w:val="72E2613A"/>
    <w:rsid w:val="72F771F4"/>
    <w:rsid w:val="732A573A"/>
    <w:rsid w:val="73700899"/>
    <w:rsid w:val="738C304B"/>
    <w:rsid w:val="73934AD2"/>
    <w:rsid w:val="743B4F19"/>
    <w:rsid w:val="74C57E26"/>
    <w:rsid w:val="750837F0"/>
    <w:rsid w:val="754758CF"/>
    <w:rsid w:val="76116294"/>
    <w:rsid w:val="761A4C89"/>
    <w:rsid w:val="764F62AB"/>
    <w:rsid w:val="765C45EC"/>
    <w:rsid w:val="768A7619"/>
    <w:rsid w:val="772E1EBA"/>
    <w:rsid w:val="781926BC"/>
    <w:rsid w:val="78780CC1"/>
    <w:rsid w:val="796D60A4"/>
    <w:rsid w:val="79A031D5"/>
    <w:rsid w:val="7A1525F7"/>
    <w:rsid w:val="7A5E65C1"/>
    <w:rsid w:val="7A605FDB"/>
    <w:rsid w:val="7AC049F5"/>
    <w:rsid w:val="7AE52B66"/>
    <w:rsid w:val="7B420052"/>
    <w:rsid w:val="7B9A6F53"/>
    <w:rsid w:val="7BD06A28"/>
    <w:rsid w:val="7C3A7C0B"/>
    <w:rsid w:val="7C5248E4"/>
    <w:rsid w:val="7C566698"/>
    <w:rsid w:val="7C5866A3"/>
    <w:rsid w:val="7D7406BB"/>
    <w:rsid w:val="7D8E155B"/>
    <w:rsid w:val="7DE94331"/>
    <w:rsid w:val="7E2D2123"/>
    <w:rsid w:val="7EF43DBA"/>
    <w:rsid w:val="7F02726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0</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2025-09-28T02:56:35Z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