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秀山土家族苗族自治县膏田镇卫生院</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hint="default" w:ascii="Times New Roman" w:hAnsi="Times New Roman" w:eastAsia="方正小标宋_GBK" w:cs="Times New Roman"/>
          <w:b w:val="0"/>
          <w:bCs w:val="0"/>
          <w:sz w:val="44"/>
          <w:szCs w:val="44"/>
          <w:shd w:val="clear" w:color="auto" w:fill="FFFFFF"/>
        </w:rPr>
      </w:pPr>
      <w:r>
        <w:rPr>
          <w:rFonts w:hint="default" w:ascii="Times New Roman" w:hAnsi="Times New Roman" w:eastAsia="方正小标宋_GBK" w:cs="Times New Roman"/>
          <w:b w:val="0"/>
          <w:bCs w:val="0"/>
          <w:sz w:val="44"/>
          <w:szCs w:val="44"/>
          <w:shd w:val="clear" w:color="auto" w:fill="FFFFFF"/>
        </w:rPr>
        <w:t>2024年度决算公开说明</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textAlignment w:val="auto"/>
        <w:outlineLvl w:val="9"/>
        <w:rPr>
          <w:rStyle w:val="11"/>
          <w:rFonts w:hint="default" w:ascii="Times New Roman" w:hAnsi="Times New Roman" w:eastAsia="方正黑体_GBK" w:cs="Times New Roman"/>
          <w:b w:val="0"/>
          <w:bCs/>
          <w:sz w:val="32"/>
          <w:szCs w:val="32"/>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一、</w:t>
      </w:r>
      <w:r>
        <w:rPr>
          <w:rStyle w:val="11"/>
          <w:rFonts w:hint="default" w:ascii="Times New Roman" w:hAnsi="Times New Roman" w:eastAsia="方正黑体_GBK" w:cs="Times New Roman"/>
          <w:b w:val="0"/>
          <w:bCs/>
          <w:sz w:val="32"/>
          <w:szCs w:val="32"/>
          <w:shd w:val="clear" w:color="auto" w:fill="FFFFFF"/>
          <w:lang w:eastAsia="zh-CN"/>
        </w:rPr>
        <w:t>单位</w:t>
      </w:r>
      <w:r>
        <w:rPr>
          <w:rStyle w:val="11"/>
          <w:rFonts w:hint="default" w:ascii="Times New Roman" w:hAnsi="Times New Roman" w:eastAsia="方正黑体_GBK" w:cs="Times New Roman"/>
          <w:b w:val="0"/>
          <w:bCs/>
          <w:sz w:val="32"/>
          <w:szCs w:val="32"/>
          <w:shd w:val="clear" w:color="auto" w:fill="FFFFFF"/>
        </w:rPr>
        <w:t>基本情况</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sz w:val="32"/>
          <w:szCs w:val="32"/>
        </w:rPr>
      </w:pPr>
      <w:r>
        <w:rPr>
          <w:rStyle w:val="11"/>
          <w:rFonts w:hint="default" w:ascii="Times New Roman" w:hAnsi="Times New Roman" w:eastAsia="方正楷体_GBK" w:cs="Times New Roman"/>
          <w:b w:val="0"/>
          <w:bCs/>
          <w:sz w:val="32"/>
          <w:szCs w:val="32"/>
          <w:shd w:val="clear" w:color="auto" w:fill="FFFFFF"/>
        </w:rPr>
        <w:t>（一）职能职责</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bookmarkStart w:id="0" w:name="OLE_LINK1"/>
      <w:r>
        <w:rPr>
          <w:rStyle w:val="11"/>
          <w:rFonts w:hint="default" w:ascii="Times New Roman" w:hAnsi="Times New Roman" w:eastAsia="方正仿宋_GBK" w:cs="Times New Roman"/>
          <w:b w:val="0"/>
          <w:bCs w:val="0"/>
          <w:sz w:val="32"/>
          <w:szCs w:val="32"/>
          <w:shd w:val="clear" w:color="auto" w:fill="FFFFFF"/>
        </w:rPr>
        <w:t>本单位属基层医疗卫生机构，为非</w:t>
      </w:r>
      <w:r>
        <w:rPr>
          <w:rStyle w:val="11"/>
          <w:rFonts w:hint="default" w:ascii="Times New Roman" w:hAnsi="Times New Roman" w:eastAsia="方正仿宋_GBK" w:cs="Times New Roman"/>
          <w:b w:val="0"/>
          <w:bCs w:val="0"/>
          <w:sz w:val="32"/>
          <w:szCs w:val="32"/>
          <w:shd w:val="clear" w:color="auto" w:fill="FFFFFF"/>
          <w:lang w:eastAsia="zh-CN"/>
        </w:rPr>
        <w:t>营</w:t>
      </w:r>
      <w:r>
        <w:rPr>
          <w:rStyle w:val="11"/>
          <w:rFonts w:hint="default" w:ascii="Times New Roman" w:hAnsi="Times New Roman" w:eastAsia="方正仿宋_GBK" w:cs="Times New Roman"/>
          <w:b w:val="0"/>
          <w:bCs w:val="0"/>
          <w:sz w:val="32"/>
          <w:szCs w:val="32"/>
          <w:shd w:val="clear" w:color="auto" w:fill="FFFFFF"/>
        </w:rPr>
        <w:t>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1.根据国家和本市规定收集、报送辖区内卫生健康信息，建立和管理居民健康档案，提出改进辖区公共卫生状况的建议；</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2.开展健康教育</w:t>
      </w:r>
      <w:r>
        <w:rPr>
          <w:rStyle w:val="11"/>
          <w:rFonts w:hint="default" w:ascii="Times New Roman" w:hAnsi="Times New Roman" w:eastAsia="方正仿宋_GBK" w:cs="Times New Roman"/>
          <w:b w:val="0"/>
          <w:bCs w:val="0"/>
          <w:sz w:val="32"/>
          <w:szCs w:val="32"/>
          <w:shd w:val="clear" w:color="auto" w:fill="FFFFFF"/>
          <w:lang w:eastAsia="zh-CN"/>
        </w:rPr>
        <w:t>，</w:t>
      </w:r>
      <w:r>
        <w:rPr>
          <w:rStyle w:val="11"/>
          <w:rFonts w:hint="default" w:ascii="Times New Roman" w:hAnsi="Times New Roman" w:eastAsia="方正仿宋_GBK" w:cs="Times New Roman"/>
          <w:b w:val="0"/>
          <w:bCs w:val="0"/>
          <w:sz w:val="32"/>
          <w:szCs w:val="32"/>
          <w:shd w:val="clear" w:color="auto" w:fill="FFFFFF"/>
        </w:rPr>
        <w:t>普及健康知识；</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3.协助开展传染病以及地方病、寄生虫病的预防控制，配合开展爱国卫生工作；</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4.做好高危人群、重点慢性病患者的筛查和病例管理；</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5.提供心理健康指导服务，实施精神病社区管理；</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6.为妇女、儿童、老年人、残疾人等重点人群提供保健和康复服务；</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7.提供计划生育技术服务，协助处置辖区内突发公共卫生事件等；</w:t>
      </w:r>
    </w:p>
    <w:p>
      <w:pPr>
        <w:pStyle w:val="9"/>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outlineLvl w:val="9"/>
        <w:rPr>
          <w:rStyle w:val="11"/>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仿宋_GBK" w:cs="Times New Roman"/>
          <w:b w:val="0"/>
          <w:bCs w:val="0"/>
          <w:sz w:val="32"/>
          <w:szCs w:val="32"/>
          <w:shd w:val="clear" w:color="auto" w:fill="FFFFFF"/>
        </w:rPr>
        <w:t>8.按要求提供其他公共卫生服务。</w:t>
      </w:r>
    </w:p>
    <w:bookmarkEnd w:id="0"/>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sz w:val="32"/>
          <w:szCs w:val="32"/>
        </w:rPr>
      </w:pPr>
      <w:r>
        <w:rPr>
          <w:rStyle w:val="11"/>
          <w:rFonts w:hint="default" w:ascii="Times New Roman" w:hAnsi="Times New Roman" w:eastAsia="方正楷体_GBK" w:cs="Times New Roman"/>
          <w:b w:val="0"/>
          <w:bCs/>
          <w:sz w:val="32"/>
          <w:szCs w:val="32"/>
          <w:shd w:val="clear" w:color="auto" w:fill="FFFFFF"/>
        </w:rPr>
        <w:t>（二）机构设置</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本单位下设办公室、财务科、医务科、门诊部、中医科、医技科、库房、药房、收费室、综合住院部。本单位为秀山县卫生健康委员会二级预算单位，无下级预算单位。</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Times New Roman" w:hAnsi="Times New Roman" w:eastAsia="方正黑体_GBK" w:cs="Times New Roman"/>
          <w:b w:val="0"/>
          <w:bCs/>
          <w:sz w:val="32"/>
          <w:szCs w:val="32"/>
          <w:shd w:val="clear" w:color="auto" w:fill="FFFFFF"/>
        </w:rPr>
      </w:pPr>
      <w:bookmarkStart w:id="4" w:name="_GoBack"/>
      <w:r>
        <w:rPr>
          <w:rStyle w:val="11"/>
          <w:rFonts w:hint="default" w:ascii="Times New Roman" w:hAnsi="Times New Roman" w:eastAsia="方正黑体_GBK" w:cs="Times New Roman"/>
          <w:b w:val="0"/>
          <w:bCs/>
          <w:sz w:val="32"/>
          <w:szCs w:val="32"/>
          <w:shd w:val="clear" w:color="auto" w:fill="FFFFFF"/>
        </w:rPr>
        <w:t>二、</w:t>
      </w:r>
      <w:r>
        <w:rPr>
          <w:rStyle w:val="11"/>
          <w:rFonts w:hint="default" w:ascii="Times New Roman" w:hAnsi="Times New Roman" w:eastAsia="方正黑体_GBK" w:cs="Times New Roman"/>
          <w:b w:val="0"/>
          <w:bCs/>
          <w:sz w:val="32"/>
          <w:szCs w:val="32"/>
          <w:shd w:val="clear" w:color="auto" w:fill="FFFFFF"/>
          <w:lang w:eastAsia="zh-CN"/>
        </w:rPr>
        <w:t>单位</w:t>
      </w:r>
      <w:r>
        <w:rPr>
          <w:rStyle w:val="11"/>
          <w:rFonts w:hint="default" w:ascii="Times New Roman" w:hAnsi="Times New Roman" w:eastAsia="方正黑体_GBK" w:cs="Times New Roman"/>
          <w:b w:val="0"/>
          <w:bCs/>
          <w:sz w:val="32"/>
          <w:szCs w:val="32"/>
          <w:shd w:val="clear" w:color="auto" w:fill="FFFFFF"/>
        </w:rPr>
        <w:t>决算</w:t>
      </w:r>
      <w:r>
        <w:rPr>
          <w:rStyle w:val="11"/>
          <w:rFonts w:hint="default" w:ascii="Times New Roman" w:hAnsi="Times New Roman" w:eastAsia="方正黑体_GBK" w:cs="Times New Roman"/>
          <w:b w:val="0"/>
          <w:bCs/>
          <w:sz w:val="32"/>
          <w:szCs w:val="32"/>
          <w:shd w:val="clear" w:color="auto" w:fill="FFFFFF"/>
          <w:lang w:eastAsia="zh-CN"/>
        </w:rPr>
        <w:t>收支</w:t>
      </w:r>
      <w:r>
        <w:rPr>
          <w:rStyle w:val="11"/>
          <w:rFonts w:hint="default" w:ascii="Times New Roman" w:hAnsi="Times New Roman" w:eastAsia="方正黑体_GBK" w:cs="Times New Roman"/>
          <w:b w:val="0"/>
          <w:bCs/>
          <w:sz w:val="32"/>
          <w:szCs w:val="32"/>
          <w:shd w:val="clear" w:color="auto" w:fill="FFFFFF"/>
        </w:rPr>
        <w:t>情况说明</w:t>
      </w:r>
    </w:p>
    <w:bookmarkEnd w:id="4"/>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（一）收入支出决算总体情况说明</w:t>
      </w:r>
    </w:p>
    <w:p>
      <w:pPr>
        <w:pStyle w:val="9"/>
        <w:keepNext w:val="0"/>
        <w:keepLines w:val="0"/>
        <w:pageBreakBefore w:val="0"/>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color w:val="FF0000"/>
          <w:sz w:val="32"/>
          <w:szCs w:val="32"/>
          <w:shd w:val="clear" w:color="auto" w:fill="FFFFFF"/>
          <w:lang w:val="en-US" w:eastAsia="zh-CN"/>
        </w:rPr>
      </w:pPr>
      <w:r>
        <w:rPr>
          <w:rFonts w:hint="default" w:ascii="Times New Roman" w:hAnsi="Times New Roman" w:eastAsia="方正仿宋_GBK" w:cs="Times New Roman"/>
          <w:sz w:val="32"/>
          <w:szCs w:val="32"/>
          <w:shd w:val="clear" w:color="auto" w:fill="FFFFFF"/>
        </w:rPr>
        <w:t>2024年度收</w:t>
      </w:r>
      <w:r>
        <w:rPr>
          <w:rFonts w:hint="default" w:ascii="Times New Roman" w:hAnsi="Times New Roman" w:eastAsia="方正仿宋_GBK" w:cs="Times New Roman"/>
          <w:sz w:val="32"/>
          <w:szCs w:val="32"/>
          <w:shd w:val="clear" w:color="auto" w:fill="FFFFFF"/>
          <w:lang w:eastAsia="zh-CN"/>
        </w:rPr>
        <w:t>、支</w:t>
      </w:r>
      <w:r>
        <w:rPr>
          <w:rFonts w:hint="default" w:ascii="Times New Roman" w:hAnsi="Times New Roman" w:eastAsia="方正仿宋_GBK" w:cs="Times New Roman"/>
          <w:sz w:val="32"/>
          <w:szCs w:val="32"/>
          <w:shd w:val="clear" w:color="auto" w:fill="FFFFFF"/>
        </w:rPr>
        <w:t>总计</w:t>
      </w:r>
      <w:r>
        <w:rPr>
          <w:rFonts w:hint="default" w:ascii="Times New Roman" w:hAnsi="Times New Roman" w:eastAsia="方正仿宋_GBK" w:cs="Times New Roman"/>
          <w:sz w:val="32"/>
          <w:szCs w:val="32"/>
          <w:shd w:val="clear" w:color="auto" w:fill="FFFFFF"/>
          <w:lang w:eastAsia="zh-CN"/>
        </w:rPr>
        <w:t>均为</w:t>
      </w:r>
      <w:r>
        <w:rPr>
          <w:rFonts w:hint="default" w:ascii="Times New Roman" w:hAnsi="Times New Roman" w:eastAsia="方正仿宋_GBK" w:cs="Times New Roman"/>
          <w:sz w:val="32"/>
          <w:szCs w:val="32"/>
          <w:shd w:val="clear" w:color="auto" w:fill="FFFFFF"/>
        </w:rPr>
        <w:t>454.37万元。收、支与2023年度相比，减少64.72万元，下降12.5%，主要原因是</w:t>
      </w:r>
      <w:r>
        <w:rPr>
          <w:rFonts w:hint="default" w:ascii="Times New Roman" w:hAnsi="Times New Roman" w:eastAsia="方正仿宋_GBK" w:cs="Times New Roman"/>
          <w:sz w:val="32"/>
          <w:szCs w:val="32"/>
          <w:shd w:val="clear" w:color="auto" w:fill="FFFFFF"/>
          <w:lang w:eastAsia="zh-CN"/>
        </w:rPr>
        <w:t>财政拨款收入减少，</w:t>
      </w:r>
      <w:r>
        <w:rPr>
          <w:rFonts w:hint="default" w:ascii="Times New Roman" w:hAnsi="Times New Roman" w:eastAsia="方正仿宋_GBK" w:cs="Times New Roman"/>
          <w:sz w:val="32"/>
          <w:szCs w:val="32"/>
        </w:rPr>
        <w:t>同时院内人员支出相应</w:t>
      </w:r>
      <w:r>
        <w:rPr>
          <w:rFonts w:hint="default" w:ascii="Times New Roman" w:hAnsi="Times New Roman" w:eastAsia="方正仿宋_GBK" w:cs="Times New Roman"/>
          <w:sz w:val="32"/>
          <w:szCs w:val="32"/>
          <w:lang w:eastAsia="zh-CN"/>
        </w:rPr>
        <w:t>减少。</w:t>
      </w:r>
    </w:p>
    <w:p>
      <w:pPr>
        <w:pStyle w:val="9"/>
        <w:keepNext w:val="0"/>
        <w:keepLines w:val="0"/>
        <w:pageBreakBefore w:val="0"/>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lang w:val="en-US" w:eastAsia="zh-CN"/>
        </w:rPr>
        <w:t>1</w:t>
      </w:r>
      <w:r>
        <w:rPr>
          <w:rStyle w:val="11"/>
          <w:rFonts w:hint="default" w:ascii="Times New Roman" w:hAnsi="Times New Roman" w:eastAsia="方正仿宋_GBK" w:cs="Times New Roman"/>
          <w:b w:val="0"/>
          <w:bCs/>
          <w:sz w:val="32"/>
          <w:szCs w:val="32"/>
          <w:shd w:val="clear" w:color="auto" w:fill="FFFFFF"/>
        </w:rPr>
        <w:t>.收入情况。</w:t>
      </w:r>
      <w:r>
        <w:rPr>
          <w:rFonts w:hint="default" w:ascii="Times New Roman" w:hAnsi="Times New Roman" w:eastAsia="方正仿宋_GBK" w:cs="Times New Roman"/>
          <w:sz w:val="32"/>
          <w:szCs w:val="32"/>
          <w:shd w:val="clear" w:color="auto" w:fill="FFFFFF"/>
        </w:rPr>
        <w:t>2024年度收入合计426.97万元，与2023年度相比，减少85.92万元，下降16.8%，主要原因是</w:t>
      </w:r>
      <w:r>
        <w:rPr>
          <w:rFonts w:hint="default" w:ascii="Times New Roman" w:hAnsi="Times New Roman" w:eastAsia="方正仿宋_GBK" w:cs="Times New Roman"/>
          <w:sz w:val="32"/>
          <w:szCs w:val="32"/>
          <w:shd w:val="clear" w:color="auto" w:fill="FFFFFF"/>
          <w:lang w:eastAsia="zh-CN"/>
        </w:rPr>
        <w:t>财政拨款减少。</w:t>
      </w:r>
      <w:r>
        <w:rPr>
          <w:rFonts w:hint="default" w:ascii="Times New Roman" w:hAnsi="Times New Roman" w:eastAsia="方正仿宋_GBK" w:cs="Times New Roman"/>
          <w:sz w:val="32"/>
          <w:szCs w:val="32"/>
          <w:shd w:val="clear" w:color="auto" w:fill="FFFFFF"/>
        </w:rPr>
        <w:t>其中：财政拨款收入195.62万元，占45.8%；事业收入223.14万元，占52.3%；经营收入0.00万元，占0.0%；其他收入8.21万元，占1.9%。此外，使用非财政拨款结余（含专用结余）0.00万元，年初结转和结余27.40万元。</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lang w:val="en-US" w:eastAsia="zh-CN"/>
        </w:rPr>
        <w:t>2</w:t>
      </w:r>
      <w:r>
        <w:rPr>
          <w:rStyle w:val="11"/>
          <w:rFonts w:hint="default" w:ascii="Times New Roman" w:hAnsi="Times New Roman" w:eastAsia="方正仿宋_GBK" w:cs="Times New Roman"/>
          <w:b w:val="0"/>
          <w:bCs/>
          <w:sz w:val="32"/>
          <w:szCs w:val="32"/>
          <w:shd w:val="clear" w:color="auto" w:fill="FFFFFF"/>
        </w:rPr>
        <w:t>.支出情况。</w:t>
      </w:r>
      <w:r>
        <w:rPr>
          <w:rFonts w:hint="default" w:ascii="Times New Roman" w:hAnsi="Times New Roman" w:eastAsia="方正仿宋_GBK" w:cs="Times New Roman"/>
          <w:sz w:val="32"/>
          <w:szCs w:val="32"/>
          <w:shd w:val="clear" w:color="auto" w:fill="FFFFFF"/>
        </w:rPr>
        <w:t>2024年度支出合计454.37万元，与2023年度相比，减少37.32万元，下降7.6%，主要原因是</w:t>
      </w:r>
      <w:r>
        <w:rPr>
          <w:rFonts w:hint="default" w:ascii="Times New Roman" w:hAnsi="Times New Roman" w:eastAsia="方正仿宋_GBK" w:cs="Times New Roman"/>
          <w:sz w:val="32"/>
          <w:szCs w:val="32"/>
          <w:shd w:val="clear" w:color="auto" w:fill="FFFFFF"/>
          <w:lang w:eastAsia="zh-CN"/>
        </w:rPr>
        <w:t>人员支出减少。</w:t>
      </w:r>
      <w:r>
        <w:rPr>
          <w:rFonts w:hint="default" w:ascii="Times New Roman" w:hAnsi="Times New Roman" w:eastAsia="方正仿宋_GBK" w:cs="Times New Roman"/>
          <w:sz w:val="32"/>
          <w:szCs w:val="32"/>
          <w:shd w:val="clear" w:color="auto" w:fill="FFFFFF"/>
        </w:rPr>
        <w:t>其中：基本支出450.24万元，占99.1%；项目支出4.13万元，占0.9%；经营支出</w:t>
      </w:r>
      <w:r>
        <w:rPr>
          <w:rFonts w:hint="default" w:ascii="Times New Roman" w:hAnsi="Times New Roman" w:eastAsia="方正仿宋_GBK" w:cs="Times New Roman"/>
          <w:sz w:val="32"/>
          <w:szCs w:val="32"/>
        </w:rPr>
        <w:t>0.00</w:t>
      </w:r>
      <w:r>
        <w:rPr>
          <w:rFonts w:hint="default" w:ascii="Times New Roman" w:hAnsi="Times New Roman" w:eastAsia="方正仿宋_GBK" w:cs="Times New Roman"/>
          <w:sz w:val="32"/>
          <w:szCs w:val="32"/>
          <w:shd w:val="clear" w:color="auto" w:fill="FFFFFF"/>
        </w:rPr>
        <w:t>万元，占0.0%。此外，结余分配0.00万元。</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lang w:eastAsia="zh-CN"/>
        </w:rPr>
      </w:pPr>
      <w:r>
        <w:rPr>
          <w:rStyle w:val="11"/>
          <w:rFonts w:hint="default" w:ascii="Times New Roman" w:hAnsi="Times New Roman" w:eastAsia="方正仿宋_GBK" w:cs="Times New Roman"/>
          <w:b w:val="0"/>
          <w:bCs/>
          <w:sz w:val="32"/>
          <w:szCs w:val="32"/>
          <w:shd w:val="clear" w:color="auto" w:fill="FFFFFF"/>
          <w:lang w:val="en-US" w:eastAsia="zh-CN"/>
        </w:rPr>
        <w:t>3</w:t>
      </w:r>
      <w:r>
        <w:rPr>
          <w:rStyle w:val="11"/>
          <w:rFonts w:hint="default" w:ascii="Times New Roman" w:hAnsi="Times New Roman" w:eastAsia="方正仿宋_GBK" w:cs="Times New Roman"/>
          <w:b w:val="0"/>
          <w:bCs/>
          <w:sz w:val="32"/>
          <w:szCs w:val="32"/>
          <w:shd w:val="clear" w:color="auto" w:fill="FFFFFF"/>
        </w:rPr>
        <w:t>.结转结余情况。</w:t>
      </w:r>
      <w:r>
        <w:rPr>
          <w:rFonts w:hint="default" w:ascii="Times New Roman" w:hAnsi="Times New Roman" w:eastAsia="方正仿宋_GBK" w:cs="Times New Roman"/>
          <w:sz w:val="32"/>
          <w:szCs w:val="32"/>
          <w:shd w:val="clear" w:color="auto" w:fill="FFFFFF"/>
        </w:rPr>
        <w:t>2024年度年末结转和结余0.00万元，与2023年度相比，减少27.40万元，下降100.0%，主要原因是</w:t>
      </w:r>
      <w:r>
        <w:rPr>
          <w:rFonts w:hint="default" w:ascii="Times New Roman" w:hAnsi="Times New Roman" w:eastAsia="方正仿宋_GBK" w:cs="Times New Roman"/>
          <w:sz w:val="32"/>
          <w:szCs w:val="32"/>
          <w:shd w:val="clear" w:color="auto" w:fill="FFFFFF"/>
          <w:lang w:eastAsia="zh-CN"/>
        </w:rPr>
        <w:t>财政拨款减少。</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（二）财政拨款收入支出决算总体情况说明</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shd w:val="clear" w:color="auto" w:fill="FFFFFF"/>
        </w:rPr>
        <w:t>2024年度财政拨款收、支总计均为207.99万元。与2023年</w:t>
      </w:r>
      <w:r>
        <w:rPr>
          <w:rFonts w:hint="default" w:ascii="Times New Roman" w:hAnsi="Times New Roman" w:eastAsia="方正仿宋_GBK" w:cs="Times New Roman"/>
          <w:sz w:val="32"/>
          <w:szCs w:val="32"/>
          <w:shd w:val="clear" w:color="auto" w:fill="FFFFFF"/>
          <w:lang w:eastAsia="zh-CN"/>
        </w:rPr>
        <w:t>度</w:t>
      </w:r>
      <w:r>
        <w:rPr>
          <w:rFonts w:hint="default" w:ascii="Times New Roman" w:hAnsi="Times New Roman" w:eastAsia="方正仿宋_GBK" w:cs="Times New Roman"/>
          <w:sz w:val="32"/>
          <w:szCs w:val="32"/>
          <w:shd w:val="clear" w:color="auto" w:fill="FFFFFF"/>
        </w:rPr>
        <w:t>相比，财政拨款收、支总计各减少62.17万元，下降23.0%。主要原因是</w:t>
      </w:r>
      <w:r>
        <w:rPr>
          <w:rFonts w:hint="default" w:ascii="Times New Roman" w:hAnsi="Times New Roman" w:eastAsia="方正仿宋_GBK" w:cs="Times New Roman"/>
          <w:sz w:val="32"/>
          <w:szCs w:val="32"/>
          <w:shd w:val="clear" w:color="auto" w:fill="FFFFFF"/>
          <w:lang w:eastAsia="zh-CN"/>
        </w:rPr>
        <w:t>基本药物补助资金和公卫经费减少。</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（三）一般公共预算财政拨款收入支出决算情况说明</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Style w:val="11"/>
          <w:rFonts w:hint="default" w:ascii="Times New Roman" w:hAnsi="Times New Roman" w:eastAsia="方正仿宋_GBK" w:cs="Times New Roman"/>
          <w:b w:val="0"/>
          <w:bCs/>
          <w:sz w:val="32"/>
          <w:szCs w:val="32"/>
          <w:shd w:val="clear" w:color="auto" w:fill="FFFFFF"/>
        </w:rPr>
        <w:t>1.收入情况。</w:t>
      </w:r>
      <w:r>
        <w:rPr>
          <w:rFonts w:hint="default" w:ascii="Times New Roman" w:hAnsi="Times New Roman" w:eastAsia="方正仿宋_GBK" w:cs="Times New Roman"/>
          <w:sz w:val="32"/>
          <w:szCs w:val="32"/>
          <w:shd w:val="clear" w:color="auto" w:fill="FFFFFF"/>
        </w:rPr>
        <w:t>2024年度一般公共预算财政拨款收入195.62万元，与2023年度相比，减少74.54万元，下降27.6%。主要原因是</w:t>
      </w:r>
      <w:r>
        <w:rPr>
          <w:rFonts w:hint="default" w:ascii="Times New Roman" w:hAnsi="Times New Roman" w:eastAsia="方正仿宋_GBK" w:cs="Times New Roman"/>
          <w:sz w:val="32"/>
          <w:szCs w:val="32"/>
          <w:shd w:val="clear" w:color="auto" w:fill="FFFFFF"/>
          <w:lang w:eastAsia="zh-CN"/>
        </w:rPr>
        <w:t>基本药物补助资金和公卫经费减少。</w:t>
      </w:r>
      <w:r>
        <w:rPr>
          <w:rFonts w:hint="default" w:ascii="Times New Roman" w:hAnsi="Times New Roman" w:eastAsia="方正仿宋_GBK" w:cs="Times New Roman"/>
          <w:sz w:val="32"/>
          <w:szCs w:val="32"/>
          <w:shd w:val="clear" w:color="auto" w:fill="FFFFFF"/>
        </w:rPr>
        <w:t>较年初预算数增加65.42万元，增长50.3%。主要原因是年初预算主要是根据单位情况预估核算，实际财政拨款收入由财政根据资金分配情况统一安排拨款。此外，年初财政拨款结转和结余12.37万元。</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color w:val="FF0000"/>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2.支出情况。</w:t>
      </w:r>
      <w:r>
        <w:rPr>
          <w:rFonts w:hint="default" w:ascii="Times New Roman" w:hAnsi="Times New Roman" w:eastAsia="方正仿宋_GBK" w:cs="Times New Roman"/>
          <w:sz w:val="32"/>
          <w:szCs w:val="32"/>
          <w:shd w:val="clear" w:color="auto" w:fill="FFFFFF"/>
        </w:rPr>
        <w:t>2024年度一般公共预算财政拨款支出207.99万元，与2023年度相比，减少49.80万元，下降19.3%。主要原因是</w:t>
      </w:r>
      <w:r>
        <w:rPr>
          <w:rFonts w:hint="default" w:ascii="Times New Roman" w:hAnsi="Times New Roman" w:eastAsia="方正仿宋_GBK" w:cs="Times New Roman"/>
          <w:sz w:val="32"/>
          <w:szCs w:val="32"/>
          <w:shd w:val="clear" w:color="auto" w:fill="FFFFFF"/>
          <w:lang w:eastAsia="zh-CN"/>
        </w:rPr>
        <w:t>人员支出减少。</w:t>
      </w:r>
      <w:r>
        <w:rPr>
          <w:rFonts w:hint="default" w:ascii="Times New Roman" w:hAnsi="Times New Roman" w:eastAsia="方正仿宋_GBK" w:cs="Times New Roman"/>
          <w:sz w:val="32"/>
          <w:szCs w:val="32"/>
          <w:shd w:val="clear" w:color="auto" w:fill="FFFFFF"/>
        </w:rPr>
        <w:t>较年初预算数增加77.79万元，增长59.8%。主要原因是</w:t>
      </w:r>
      <w:r>
        <w:rPr>
          <w:rFonts w:hint="default" w:ascii="Times New Roman" w:hAnsi="Times New Roman" w:eastAsia="方正仿宋_GBK" w:cs="Times New Roman"/>
          <w:sz w:val="32"/>
          <w:szCs w:val="32"/>
        </w:rPr>
        <w:t>根据单位情况预估核算，实际财政拨款收入由财政根据资金分配情况统一安排拨款，因此财政拨款支出与年初预算有相应增加。</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highlight w:val="none"/>
          <w:shd w:val="clear" w:color="auto" w:fill="FFFFFF"/>
        </w:rPr>
      </w:pPr>
      <w:r>
        <w:rPr>
          <w:rFonts w:hint="default" w:ascii="Times New Roman" w:hAnsi="Times New Roman" w:eastAsia="方正仿宋_GBK" w:cs="Times New Roman"/>
          <w:sz w:val="32"/>
          <w:szCs w:val="32"/>
          <w:highlight w:val="none"/>
          <w:shd w:val="clear" w:color="auto" w:fill="FFFFFF"/>
        </w:rPr>
        <w:t>一般公共预算财政拨款支出主要</w:t>
      </w:r>
      <w:r>
        <w:rPr>
          <w:rFonts w:hint="default" w:ascii="Times New Roman" w:hAnsi="Times New Roman" w:eastAsia="方正仿宋_GBK" w:cs="Times New Roman"/>
          <w:sz w:val="32"/>
          <w:szCs w:val="32"/>
          <w:highlight w:val="none"/>
          <w:shd w:val="clear" w:color="auto" w:fill="FFFFFF"/>
          <w:lang w:eastAsia="zh-CN"/>
        </w:rPr>
        <w:t>用途如下</w:t>
      </w:r>
      <w:r>
        <w:rPr>
          <w:rFonts w:hint="default" w:ascii="Times New Roman" w:hAnsi="Times New Roman" w:eastAsia="方正仿宋_GBK" w:cs="Times New Roman"/>
          <w:sz w:val="32"/>
          <w:szCs w:val="32"/>
          <w:highlight w:val="none"/>
          <w:shd w:val="clear" w:color="auto" w:fill="FFFFFF"/>
        </w:rPr>
        <w:t>：</w:t>
      </w:r>
    </w:p>
    <w:p>
      <w:pPr>
        <w:pStyle w:val="9"/>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w:t>
      </w:r>
      <w:r>
        <w:rPr>
          <w:rFonts w:hint="eastAsia" w:ascii="Times New Roman" w:hAnsi="Times New Roman" w:eastAsia="方正仿宋_GBK" w:cs="Times New Roman"/>
          <w:sz w:val="32"/>
          <w:szCs w:val="32"/>
          <w:shd w:val="clear" w:color="auto" w:fill="FFFFFF"/>
          <w:lang w:val="en-US" w:eastAsia="zh-CN"/>
        </w:rPr>
        <w:t>1</w:t>
      </w:r>
      <w:r>
        <w:rPr>
          <w:rFonts w:hint="default" w:ascii="Times New Roman" w:hAnsi="Times New Roman" w:eastAsia="方正仿宋_GBK" w:cs="Times New Roman"/>
          <w:sz w:val="32"/>
          <w:szCs w:val="32"/>
          <w:shd w:val="clear" w:color="auto" w:fill="FFFFFF"/>
        </w:rPr>
        <w:t>）社会保障</w:t>
      </w:r>
      <w:r>
        <w:rPr>
          <w:rFonts w:hint="default" w:ascii="Times New Roman" w:hAnsi="Times New Roman" w:eastAsia="方正仿宋_GBK" w:cs="Times New Roman"/>
          <w:sz w:val="32"/>
          <w:szCs w:val="32"/>
          <w:shd w:val="clear" w:color="auto" w:fill="FFFFFF"/>
          <w:lang w:eastAsia="zh-CN"/>
        </w:rPr>
        <w:t>和</w:t>
      </w:r>
      <w:r>
        <w:rPr>
          <w:rFonts w:hint="default" w:ascii="Times New Roman" w:hAnsi="Times New Roman" w:eastAsia="方正仿宋_GBK" w:cs="Times New Roman"/>
          <w:sz w:val="32"/>
          <w:szCs w:val="32"/>
          <w:shd w:val="clear" w:color="auto" w:fill="FFFFFF"/>
        </w:rPr>
        <w:t>就业支出22.47万元，占10.8%，较年初预算数增加6.68万元，增长42.3%，主要原因是</w:t>
      </w:r>
      <w:bookmarkStart w:id="1" w:name="OLE_LINK3"/>
      <w:r>
        <w:rPr>
          <w:rFonts w:hint="default" w:ascii="Times New Roman" w:hAnsi="Times New Roman" w:eastAsia="方正仿宋_GBK" w:cs="Times New Roman"/>
          <w:b w:val="0"/>
          <w:bCs w:val="0"/>
          <w:sz w:val="32"/>
          <w:szCs w:val="32"/>
          <w:shd w:val="clear" w:color="auto" w:fill="FFFFFF"/>
          <w:lang w:val="en-US" w:eastAsia="zh-CN"/>
        </w:rPr>
        <w:t>本年人员增加，支出相应增加。</w:t>
      </w:r>
      <w:bookmarkEnd w:id="1"/>
    </w:p>
    <w:p>
      <w:pPr>
        <w:pStyle w:val="15"/>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w:t>
      </w:r>
      <w:r>
        <w:rPr>
          <w:rFonts w:hint="eastAsia" w:ascii="Times New Roman" w:hAnsi="Times New Roman" w:eastAsia="方正仿宋_GBK" w:cs="Times New Roman"/>
          <w:sz w:val="32"/>
          <w:szCs w:val="32"/>
          <w:shd w:val="clear" w:color="auto" w:fill="FFFFFF"/>
          <w:lang w:val="en-US" w:eastAsia="zh-CN"/>
        </w:rPr>
        <w:t>2</w:t>
      </w:r>
      <w:r>
        <w:rPr>
          <w:rFonts w:hint="default" w:ascii="Times New Roman" w:hAnsi="Times New Roman" w:eastAsia="方正仿宋_GBK" w:cs="Times New Roman"/>
          <w:sz w:val="32"/>
          <w:szCs w:val="32"/>
          <w:shd w:val="clear" w:color="auto" w:fill="FFFFFF"/>
        </w:rPr>
        <w:t>）卫生健康支出178.40万元，占85.8%，较年初预算数增加71.12万元，增长66.3%，主要原因是</w:t>
      </w:r>
      <w:r>
        <w:rPr>
          <w:rFonts w:hint="default" w:ascii="Times New Roman" w:hAnsi="Times New Roman" w:eastAsia="方正仿宋_GBK" w:cs="Times New Roman"/>
          <w:sz w:val="32"/>
          <w:szCs w:val="32"/>
        </w:rPr>
        <w:t>根据单位情况预估核算，实际支出与年初预算有相应差异。</w:t>
      </w:r>
    </w:p>
    <w:p>
      <w:pPr>
        <w:keepNext w:val="0"/>
        <w:keepLines w:val="0"/>
        <w:pageBreakBefore w:val="0"/>
        <w:kinsoku/>
        <w:wordWrap/>
        <w:overflowPunct/>
        <w:topLinePunct w:val="0"/>
        <w:autoSpaceDN/>
        <w:bidi w:val="0"/>
        <w:adjustRightInd/>
        <w:snapToGrid/>
        <w:spacing w:afterAutospacing="0" w:line="560" w:lineRule="exact"/>
        <w:ind w:firstLine="640" w:firstLineChars="200"/>
        <w:jc w:val="both"/>
        <w:rPr>
          <w:rFonts w:hint="default" w:ascii="Times New Roman" w:hAnsi="Times New Roman" w:eastAsia="方正仿宋_GBK" w:cs="Times New Roman"/>
          <w:color w:val="FF0000"/>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w:t>
      </w:r>
      <w:r>
        <w:rPr>
          <w:rFonts w:hint="eastAsia" w:ascii="Times New Roman" w:hAnsi="Times New Roman" w:eastAsia="方正仿宋_GBK" w:cs="Times New Roman"/>
          <w:sz w:val="32"/>
          <w:szCs w:val="32"/>
          <w:shd w:val="clear" w:color="auto" w:fill="FFFFFF"/>
          <w:lang w:val="en-US" w:eastAsia="zh-CN"/>
        </w:rPr>
        <w:t>3</w:t>
      </w:r>
      <w:r>
        <w:rPr>
          <w:rFonts w:hint="default" w:ascii="Times New Roman" w:hAnsi="Times New Roman" w:eastAsia="方正仿宋_GBK" w:cs="Times New Roman"/>
          <w:sz w:val="32"/>
          <w:szCs w:val="32"/>
          <w:shd w:val="clear" w:color="auto" w:fill="FFFFFF"/>
        </w:rPr>
        <w:t>）</w:t>
      </w:r>
      <w:r>
        <w:rPr>
          <w:rFonts w:hint="default" w:ascii="Times New Roman" w:hAnsi="Times New Roman" w:eastAsia="方正仿宋_GBK" w:cs="Times New Roman"/>
          <w:sz w:val="32"/>
          <w:szCs w:val="32"/>
        </w:rPr>
        <w:t>住房保障支出</w:t>
      </w:r>
      <w:r>
        <w:rPr>
          <w:rFonts w:hint="default" w:ascii="Times New Roman" w:hAnsi="Times New Roman" w:eastAsia="方正仿宋_GBK" w:cs="Times New Roman"/>
          <w:sz w:val="32"/>
          <w:szCs w:val="32"/>
          <w:shd w:val="clear" w:color="auto" w:fill="FFFFFF"/>
        </w:rPr>
        <w:t>7.12万元，占3.4%，较年初预算数无增减，主要原因是</w:t>
      </w:r>
      <w:r>
        <w:rPr>
          <w:rFonts w:hint="default" w:ascii="Times New Roman" w:hAnsi="Times New Roman" w:eastAsia="方正仿宋_GBK" w:cs="Times New Roman"/>
          <w:sz w:val="32"/>
          <w:szCs w:val="32"/>
        </w:rPr>
        <w:t>实际支出与年初预算</w:t>
      </w:r>
      <w:r>
        <w:rPr>
          <w:rFonts w:hint="default" w:ascii="Times New Roman" w:hAnsi="Times New Roman" w:eastAsia="方正仿宋_GBK" w:cs="Times New Roman"/>
          <w:sz w:val="32"/>
          <w:szCs w:val="32"/>
          <w:lang w:eastAsia="zh-CN"/>
        </w:rPr>
        <w:t>无</w:t>
      </w:r>
      <w:r>
        <w:rPr>
          <w:rFonts w:hint="default" w:ascii="Times New Roman" w:hAnsi="Times New Roman" w:eastAsia="方正仿宋_GBK" w:cs="Times New Roman"/>
          <w:sz w:val="32"/>
          <w:szCs w:val="32"/>
        </w:rPr>
        <w:t>差异</w:t>
      </w:r>
      <w:r>
        <w:rPr>
          <w:rFonts w:hint="default" w:ascii="Times New Roman" w:hAnsi="Times New Roman" w:eastAsia="方正仿宋_GBK" w:cs="Times New Roman"/>
          <w:sz w:val="32"/>
          <w:szCs w:val="32"/>
          <w:lang w:eastAsia="zh-CN"/>
        </w:rPr>
        <w:t>。</w:t>
      </w:r>
    </w:p>
    <w:p>
      <w:pPr>
        <w:pStyle w:val="9"/>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color w:val="FF0000"/>
          <w:sz w:val="32"/>
          <w:szCs w:val="32"/>
          <w:shd w:val="clear" w:color="auto" w:fill="FFFFFF"/>
        </w:rPr>
      </w:pPr>
      <w:r>
        <w:rPr>
          <w:rStyle w:val="11"/>
          <w:rFonts w:hint="default" w:ascii="Times New Roman" w:hAnsi="Times New Roman" w:eastAsia="方正仿宋_GBK" w:cs="Times New Roman"/>
          <w:b w:val="0"/>
          <w:bCs/>
          <w:sz w:val="32"/>
          <w:szCs w:val="32"/>
          <w:shd w:val="clear" w:color="auto" w:fill="FFFFFF"/>
        </w:rPr>
        <w:t>3.结转结余情况。</w:t>
      </w:r>
      <w:r>
        <w:rPr>
          <w:rFonts w:hint="default" w:ascii="Times New Roman" w:hAnsi="Times New Roman" w:eastAsia="方正仿宋_GBK" w:cs="Times New Roman"/>
          <w:sz w:val="32"/>
          <w:szCs w:val="32"/>
          <w:shd w:val="clear" w:color="auto" w:fill="FFFFFF"/>
        </w:rPr>
        <w:t>2024年度年末一般公共预算财政拨款结转和结余0.00万元，与2023年度相比，减少12.37万元，下降100.0%，主要原因是</w:t>
      </w:r>
      <w:r>
        <w:rPr>
          <w:rFonts w:hint="default" w:ascii="Times New Roman" w:hAnsi="Times New Roman" w:eastAsia="方正仿宋_GBK" w:cs="Times New Roman"/>
          <w:sz w:val="32"/>
          <w:szCs w:val="32"/>
          <w:shd w:val="clear" w:color="auto" w:fill="FFFFFF"/>
          <w:lang w:eastAsia="zh-CN"/>
        </w:rPr>
        <w:t>去年</w:t>
      </w:r>
      <w:r>
        <w:rPr>
          <w:rFonts w:hint="default" w:ascii="Times New Roman" w:hAnsi="Times New Roman" w:eastAsia="方正仿宋_GBK" w:cs="Times New Roman"/>
          <w:b w:val="0"/>
          <w:bCs w:val="0"/>
          <w:sz w:val="32"/>
          <w:szCs w:val="32"/>
          <w:shd w:val="clear" w:color="auto" w:fill="FFFFFF"/>
          <w:lang w:val="en-US" w:eastAsia="zh-CN"/>
        </w:rPr>
        <w:t>财政拨入的人员超额绩效已发放。</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（四）一般公共预算财政拨款基本支出决算情况说明</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2024年度一般公共财政拨款基本支出203.86万元。</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jc w:val="both"/>
        <w:rPr>
          <w:rFonts w:hint="default" w:ascii="Times New Roman" w:hAnsi="Times New Roman" w:eastAsia="方正仿宋_GBK" w:cs="Times New Roman"/>
          <w:sz w:val="32"/>
          <w:szCs w:val="32"/>
          <w:shd w:val="clear" w:color="auto" w:fill="FFFFFF"/>
        </w:rPr>
      </w:pPr>
      <w:r>
        <w:rPr>
          <w:rFonts w:hint="default" w:ascii="Times New Roman" w:hAnsi="Times New Roman" w:eastAsia="方正仿宋_GBK" w:cs="Times New Roman"/>
          <w:sz w:val="32"/>
          <w:szCs w:val="32"/>
          <w:shd w:val="clear" w:color="auto" w:fill="FFFFFF"/>
        </w:rPr>
        <w:t>其中：</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color w:val="FF0000"/>
          <w:sz w:val="32"/>
          <w:szCs w:val="32"/>
          <w:shd w:val="clear" w:color="auto" w:fill="FFFFFF"/>
        </w:rPr>
      </w:pPr>
      <w:r>
        <w:rPr>
          <w:rFonts w:hint="default" w:ascii="Times New Roman" w:hAnsi="Times New Roman" w:eastAsia="方正仿宋_GBK" w:cs="Times New Roman"/>
          <w:sz w:val="32"/>
          <w:szCs w:val="32"/>
          <w:shd w:val="clear" w:color="auto" w:fill="FFFFFF"/>
        </w:rPr>
        <w:t>人员经费183.61万元，与2023年度相比，减少29.40万元，下降13.8%，主要原因是</w:t>
      </w:r>
      <w:r>
        <w:rPr>
          <w:rFonts w:hint="default" w:ascii="Times New Roman" w:hAnsi="Times New Roman" w:eastAsia="方正仿宋_GBK" w:cs="Times New Roman"/>
          <w:b w:val="0"/>
          <w:bCs w:val="0"/>
          <w:sz w:val="32"/>
          <w:szCs w:val="32"/>
          <w:shd w:val="clear" w:color="auto" w:fill="FFFFFF"/>
          <w:lang w:val="en-US" w:eastAsia="zh-CN"/>
        </w:rPr>
        <w:t>本年绩效发放减少</w:t>
      </w:r>
      <w:r>
        <w:rPr>
          <w:rFonts w:hint="default" w:ascii="Times New Roman" w:hAnsi="Times New Roman" w:eastAsia="方正仿宋_GBK" w:cs="Times New Roman"/>
          <w:sz w:val="32"/>
          <w:szCs w:val="32"/>
          <w:shd w:val="clear" w:color="auto" w:fill="FFFFFF"/>
        </w:rPr>
        <w:t>。人员经费用途主要包括人员社会保障、工资、绩效、津补贴支出等。</w:t>
      </w:r>
    </w:p>
    <w:p>
      <w:pPr>
        <w:pStyle w:val="9"/>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公用经费20.25万元，与2023年度相比，减少2.79万元，下降12.1%，主要原因是</w:t>
      </w:r>
      <w:r>
        <w:rPr>
          <w:rFonts w:hint="default" w:ascii="Times New Roman" w:hAnsi="Times New Roman" w:eastAsia="方正仿宋_GBK" w:cs="Times New Roman"/>
          <w:sz w:val="32"/>
          <w:szCs w:val="32"/>
          <w:shd w:val="clear" w:color="auto" w:fill="FFFFFF"/>
          <w:lang w:eastAsia="zh-CN"/>
        </w:rPr>
        <w:t>劳务费支出减少。</w:t>
      </w:r>
      <w:r>
        <w:rPr>
          <w:rFonts w:hint="default" w:ascii="Times New Roman" w:hAnsi="Times New Roman" w:eastAsia="方正仿宋_GBK" w:cs="Times New Roman"/>
          <w:sz w:val="32"/>
          <w:szCs w:val="32"/>
          <w:shd w:val="clear" w:color="auto" w:fill="FFFFFF"/>
        </w:rPr>
        <w:t>公用经费用途主要包括</w:t>
      </w:r>
      <w:r>
        <w:rPr>
          <w:rFonts w:hint="default" w:ascii="Times New Roman" w:hAnsi="Times New Roman" w:eastAsia="方正仿宋_GBK" w:cs="Times New Roman"/>
          <w:b w:val="0"/>
          <w:bCs w:val="0"/>
          <w:sz w:val="32"/>
          <w:szCs w:val="32"/>
          <w:shd w:val="clear" w:color="auto" w:fill="FFFFFF"/>
          <w:lang w:val="en-US" w:eastAsia="zh-CN"/>
        </w:rPr>
        <w:t>办公费、水费、电费、邮电费、差旅费、维修费、劳务费等。</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（五）政府性基金预算收支决算情况说明</w:t>
      </w:r>
    </w:p>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楷体" w:cs="Times New Roman"/>
          <w:b/>
          <w:bCs/>
          <w:sz w:val="32"/>
          <w:szCs w:val="32"/>
          <w:shd w:val="clear" w:color="auto" w:fill="FFFFFF"/>
        </w:rPr>
      </w:pPr>
      <w:r>
        <w:rPr>
          <w:rFonts w:hint="default" w:ascii="Times New Roman" w:hAnsi="Times New Roman" w:eastAsia="方正仿宋_GBK" w:cs="Times New Roman"/>
          <w:sz w:val="32"/>
          <w:szCs w:val="32"/>
          <w:shd w:val="clear" w:color="auto" w:fill="FFFFFF"/>
        </w:rPr>
        <w:t>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年度无政府性基金预算财政拨款收支。</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（六）国有资本经营预算财政拨款支出决算情况说明</w:t>
      </w:r>
    </w:p>
    <w:p>
      <w:pPr>
        <w:pStyle w:val="15"/>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黑体" w:cs="Times New Roman"/>
          <w:sz w:val="32"/>
          <w:szCs w:val="32"/>
          <w:shd w:val="clear" w:color="auto" w:fill="FFFFFF"/>
        </w:rPr>
      </w:pPr>
      <w:r>
        <w:rPr>
          <w:rFonts w:hint="default" w:ascii="Times New Roman" w:hAnsi="Times New Roman" w:eastAsia="方正仿宋_GBK" w:cs="Times New Roman"/>
          <w:sz w:val="32"/>
          <w:szCs w:val="32"/>
          <w:shd w:val="clear" w:color="auto" w:fill="FFFFFF"/>
        </w:rPr>
        <w:t>本单位202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三、</w:t>
      </w:r>
      <w:r>
        <w:rPr>
          <w:rStyle w:val="11"/>
          <w:rFonts w:hint="default" w:ascii="Times New Roman" w:hAnsi="Times New Roman" w:eastAsia="方正黑体_GBK" w:cs="Times New Roman"/>
          <w:b w:val="0"/>
          <w:bCs/>
          <w:sz w:val="32"/>
          <w:szCs w:val="32"/>
          <w:shd w:val="clear" w:color="auto" w:fill="FFFFFF"/>
          <w:lang w:eastAsia="zh-CN"/>
        </w:rPr>
        <w:t>财政拨款</w:t>
      </w:r>
      <w:r>
        <w:rPr>
          <w:rStyle w:val="11"/>
          <w:rFonts w:hint="default" w:ascii="Times New Roman" w:hAnsi="Times New Roman" w:eastAsia="方正黑体_GBK" w:cs="Times New Roman"/>
          <w:b w:val="0"/>
          <w:bCs/>
          <w:sz w:val="32"/>
          <w:szCs w:val="32"/>
          <w:shd w:val="clear" w:color="auto" w:fill="FFFFFF"/>
        </w:rPr>
        <w:t>“三公”经费情况说明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（一）“三公”经费支出总体情况说明</w:t>
      </w:r>
    </w:p>
    <w:p>
      <w:pPr>
        <w:pStyle w:val="15"/>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eastAsia="zh-CN"/>
        </w:rPr>
      </w:pPr>
      <w:bookmarkStart w:id="2" w:name="OLE_LINK14"/>
      <w:r>
        <w:rPr>
          <w:rFonts w:hint="default"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shd w:val="clear" w:color="auto" w:fill="FFFFFF"/>
        </w:rPr>
        <w:t>单位属于</w:t>
      </w:r>
      <w:r>
        <w:rPr>
          <w:rFonts w:hint="default" w:ascii="Times New Roman" w:hAnsi="Times New Roman" w:eastAsia="方正仿宋_GBK" w:cs="Times New Roman"/>
          <w:sz w:val="32"/>
          <w:szCs w:val="32"/>
          <w:shd w:val="clear" w:color="auto" w:fill="FFFFFF"/>
          <w:lang w:eastAsia="zh-CN"/>
        </w:rPr>
        <w:t>差额拨款单位</w:t>
      </w:r>
      <w:r>
        <w:rPr>
          <w:rFonts w:hint="default" w:ascii="Times New Roman" w:hAnsi="Times New Roman" w:eastAsia="方正仿宋_GBK" w:cs="Times New Roman"/>
          <w:sz w:val="32"/>
          <w:szCs w:val="32"/>
          <w:shd w:val="clear" w:color="auto" w:fill="FFFFFF"/>
        </w:rPr>
        <w:t>，财政未保障</w:t>
      </w:r>
      <w:r>
        <w:rPr>
          <w:rFonts w:hint="default"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shd w:val="clear" w:color="auto" w:fill="FFFFFF"/>
        </w:rPr>
        <w:t>单位“三公”经费</w:t>
      </w:r>
      <w:r>
        <w:rPr>
          <w:rFonts w:hint="default" w:ascii="Times New Roman" w:hAnsi="Times New Roman" w:eastAsia="方正仿宋_GBK" w:cs="Times New Roman"/>
          <w:sz w:val="32"/>
          <w:szCs w:val="32"/>
          <w:shd w:val="clear" w:color="auto" w:fill="FFFFFF"/>
          <w:lang w:eastAsia="zh-CN"/>
        </w:rPr>
        <w:t>。</w:t>
      </w:r>
    </w:p>
    <w:bookmarkEnd w:id="2"/>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w:t>
      </w:r>
      <w:r>
        <w:rPr>
          <w:rFonts w:hint="default" w:ascii="Times New Roman" w:hAnsi="Times New Roman" w:eastAsia="方正仿宋_GBK" w:cs="Times New Roman"/>
          <w:sz w:val="32"/>
          <w:szCs w:val="32"/>
          <w:shd w:val="clear" w:color="auto" w:fill="FFFFFF"/>
        </w:rPr>
        <w:t>因公出国（境）费用</w:t>
      </w:r>
      <w:r>
        <w:rPr>
          <w:rFonts w:hint="default"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无公务车购置费，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无公务车运行维护费，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4"/>
        <w:keepNext w:val="0"/>
        <w:keepLines w:val="0"/>
        <w:pageBreakBefore w:val="0"/>
        <w:kinsoku/>
        <w:wordWrap/>
        <w:overflowPunct/>
        <w:topLinePunct w:val="0"/>
        <w:autoSpaceDE/>
        <w:autoSpaceDN/>
        <w:bidi w:val="0"/>
        <w:adjustRightInd/>
        <w:snapToGrid/>
        <w:spacing w:afterAutospacing="0" w:line="560" w:lineRule="exact"/>
        <w:ind w:left="0" w:firstLine="640" w:firstLineChars="200"/>
        <w:jc w:val="both"/>
        <w:textAlignment w:val="auto"/>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32"/>
          <w:szCs w:val="32"/>
          <w:shd w:val="clear" w:color="auto" w:fill="FFFFFF"/>
        </w:rPr>
        <w:t>202</w:t>
      </w:r>
      <w:r>
        <w:rPr>
          <w:rFonts w:hint="default" w:ascii="Times New Roman" w:hAnsi="Times New Roman" w:eastAsia="方正仿宋_GBK" w:cs="Times New Roman"/>
          <w:sz w:val="32"/>
          <w:szCs w:val="32"/>
          <w:shd w:val="clear" w:color="auto" w:fill="FFFFFF"/>
          <w:lang w:val="en-US" w:eastAsia="zh-CN"/>
        </w:rPr>
        <w:t>4</w:t>
      </w:r>
      <w:r>
        <w:rPr>
          <w:rFonts w:hint="default" w:ascii="Times New Roman" w:hAnsi="Times New Roman" w:eastAsia="方正仿宋_GBK" w:cs="Times New Roman"/>
          <w:sz w:val="32"/>
          <w:szCs w:val="32"/>
          <w:shd w:val="clear" w:color="auto" w:fill="FFFFFF"/>
        </w:rPr>
        <w:t>年度本单位</w:t>
      </w:r>
      <w:r>
        <w:rPr>
          <w:rFonts w:hint="default" w:ascii="Times New Roman" w:hAnsi="Times New Roman" w:eastAsia="方正仿宋_GBK" w:cs="Times New Roman"/>
          <w:sz w:val="32"/>
          <w:szCs w:val="32"/>
          <w:shd w:val="clear" w:color="auto" w:fill="FFFFFF"/>
          <w:lang w:eastAsia="zh-CN"/>
        </w:rPr>
        <w:t>无公务接待费，</w:t>
      </w:r>
      <w:r>
        <w:rPr>
          <w:rFonts w:hint="default" w:ascii="Times New Roman" w:hAnsi="Times New Roman" w:eastAsia="方正仿宋_GBK" w:cs="Times New Roman"/>
          <w:b w:val="0"/>
          <w:bCs w:val="0"/>
          <w:sz w:val="32"/>
          <w:szCs w:val="32"/>
          <w:lang w:eastAsia="zh-CN"/>
        </w:rPr>
        <w:t>较年初预算数无增减，较上年支出数无增减。</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（三）“三公”经费实物量情况</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2024年度本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因公出国（境）共计0个团组，0人；公务用车购置0辆，公务车保有量为0辆；国内公务接待0批次0人，其中：国内外事接待0批次，0人；国（境）外公务接待0批次，0人。2024年本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人均接待费0元，车均购置费0万元，车均维护费0万元。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rPr>
        <w:t>四、其他需要说明的事项</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（一）财政拨款会议费、培训费和差旅费情况说明</w:t>
      </w:r>
    </w:p>
    <w:p>
      <w:pPr>
        <w:pStyle w:val="15"/>
        <w:keepNext w:val="0"/>
        <w:keepLines w:val="0"/>
        <w:pageBreakBefore w:val="0"/>
        <w:widowControl w:val="0"/>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rPr>
          <w:rStyle w:val="20"/>
          <w:rFonts w:hint="default" w:ascii="Times New Roman" w:hAnsi="Times New Roman" w:eastAsia="方正仿宋_GBK" w:cs="Times New Roman"/>
          <w:b w:val="0"/>
          <w:sz w:val="32"/>
          <w:szCs w:val="32"/>
          <w:shd w:val="clear" w:color="auto" w:fill="FFFFFF"/>
        </w:rPr>
      </w:pPr>
      <w:bookmarkStart w:id="3" w:name="OLE_LINK5"/>
      <w:r>
        <w:rPr>
          <w:rFonts w:hint="default" w:ascii="Times New Roman" w:hAnsi="Times New Roman" w:eastAsia="方正仿宋_GBK" w:cs="Times New Roman"/>
          <w:sz w:val="32"/>
          <w:szCs w:val="32"/>
          <w:shd w:val="clear" w:color="auto" w:fill="FFFFFF"/>
        </w:rPr>
        <w:t>因本单位为差额拨款事业单位</w:t>
      </w:r>
      <w:bookmarkEnd w:id="3"/>
      <w:r>
        <w:rPr>
          <w:rFonts w:hint="default" w:ascii="Times New Roman" w:hAnsi="Times New Roman" w:eastAsia="方正仿宋_GBK" w:cs="Times New Roman"/>
          <w:sz w:val="32"/>
          <w:szCs w:val="32"/>
          <w:shd w:val="clear" w:color="auto" w:fill="FFFFFF"/>
        </w:rPr>
        <w:t>，财政未保障</w:t>
      </w:r>
      <w:r>
        <w:rPr>
          <w:rFonts w:hint="default" w:ascii="Times New Roman" w:hAnsi="Times New Roman" w:eastAsia="方正仿宋_GBK" w:cs="Times New Roman"/>
          <w:sz w:val="32"/>
          <w:szCs w:val="32"/>
          <w:shd w:val="clear" w:color="auto" w:fill="FFFFFF"/>
          <w:lang w:val="en-US" w:eastAsia="zh-CN"/>
        </w:rPr>
        <w:t>本</w:t>
      </w:r>
      <w:r>
        <w:rPr>
          <w:rFonts w:hint="default" w:ascii="Times New Roman" w:hAnsi="Times New Roman" w:eastAsia="方正仿宋_GBK" w:cs="Times New Roman"/>
          <w:sz w:val="32"/>
          <w:szCs w:val="32"/>
          <w:shd w:val="clear" w:color="auto" w:fill="FFFFFF"/>
        </w:rPr>
        <w:t>单位会议费</w:t>
      </w:r>
      <w:r>
        <w:rPr>
          <w:rFonts w:hint="eastAsia" w:ascii="Times New Roman" w:hAnsi="Times New Roman" w:eastAsia="方正仿宋_GBK" w:cs="Times New Roman"/>
          <w:sz w:val="32"/>
          <w:szCs w:val="32"/>
          <w:shd w:val="clear" w:color="auto" w:fill="FFFFFF"/>
          <w:lang w:eastAsia="zh-CN"/>
        </w:rPr>
        <w:t>、</w:t>
      </w:r>
      <w:r>
        <w:rPr>
          <w:rFonts w:hint="default" w:ascii="Times New Roman" w:hAnsi="Times New Roman" w:eastAsia="方正仿宋_GBK" w:cs="Times New Roman"/>
          <w:sz w:val="32"/>
          <w:szCs w:val="32"/>
          <w:shd w:val="clear" w:color="auto" w:fill="FFFFFF"/>
        </w:rPr>
        <w:t>培训费</w:t>
      </w:r>
      <w:r>
        <w:rPr>
          <w:rFonts w:hint="eastAsia" w:ascii="Times New Roman" w:hAnsi="Times New Roman" w:eastAsia="方正仿宋_GBK" w:cs="Times New Roman"/>
          <w:sz w:val="32"/>
          <w:szCs w:val="32"/>
          <w:shd w:val="clear" w:color="auto" w:fill="FFFFFF"/>
          <w:lang w:eastAsia="zh-CN"/>
        </w:rPr>
        <w:t>和差旅费</w:t>
      </w:r>
      <w:r>
        <w:rPr>
          <w:rFonts w:hint="default" w:ascii="Times New Roman" w:hAnsi="Times New Roman" w:eastAsia="方正仿宋_GBK" w:cs="Times New Roman"/>
          <w:sz w:val="32"/>
          <w:szCs w:val="32"/>
          <w:shd w:val="clear" w:color="auto" w:fill="FFFFFF"/>
        </w:rPr>
        <w:t>。</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（二）机关运行经费情况说明</w:t>
      </w:r>
    </w:p>
    <w:p>
      <w:pPr>
        <w:pStyle w:val="9"/>
        <w:keepNext w:val="0"/>
        <w:keepLines w:val="0"/>
        <w:pageBreakBefore w:val="0"/>
        <w:widowControl/>
        <w:kinsoku/>
        <w:wordWrap/>
        <w:overflowPunct/>
        <w:topLinePunct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sz w:val="32"/>
          <w:szCs w:val="32"/>
        </w:rPr>
        <w:t>按照部门决算列报口径，因</w:t>
      </w:r>
      <w:r>
        <w:rPr>
          <w:rFonts w:hint="default" w:ascii="Times New Roman" w:hAnsi="Times New Roman" w:eastAsia="方正仿宋_GBK" w:cs="Times New Roman"/>
          <w:sz w:val="32"/>
          <w:szCs w:val="32"/>
          <w:lang w:eastAsia="zh-CN"/>
        </w:rPr>
        <w:t>本单位</w:t>
      </w:r>
      <w:r>
        <w:rPr>
          <w:rFonts w:hint="default" w:ascii="Times New Roman" w:hAnsi="Times New Roman" w:eastAsia="方正仿宋_GBK" w:cs="Times New Roman"/>
          <w:sz w:val="32"/>
          <w:szCs w:val="32"/>
        </w:rPr>
        <w:t>为差额拨款事业单位不在机关运行经费统计范围之内。</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（三）国有资产占用情况说明</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shd w:val="clear" w:color="auto" w:fill="FFFFFF"/>
        </w:rPr>
        <w:t>截至2024年12月31日，本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共有车辆1辆，其中，副部（省）级及以上领导用车0辆、主要负责人用车0辆、机要通信用车0辆、应急保障用车0辆、执法执勤用车0辆，特种专业技术用车1辆，离退休干部用车0辆。单价100万元（含）以上专用设备0台（套）。</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rPr>
        <w:t>（四）政府采购支出情况说明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Fonts w:hint="default" w:ascii="Times New Roman" w:hAnsi="Times New Roman" w:eastAsia="方正仿宋_GBK" w:cs="Times New Roman"/>
          <w:sz w:val="32"/>
          <w:szCs w:val="32"/>
          <w:shd w:val="clear" w:color="auto" w:fill="FFFFFF"/>
          <w:lang w:eastAsia="zh-CN"/>
        </w:rPr>
      </w:pPr>
      <w:r>
        <w:rPr>
          <w:rFonts w:hint="default" w:ascii="Times New Roman" w:hAnsi="Times New Roman" w:eastAsia="方正仿宋_GBK" w:cs="Times New Roman"/>
          <w:sz w:val="32"/>
          <w:szCs w:val="32"/>
          <w:shd w:val="clear" w:color="auto" w:fill="FFFFFF"/>
        </w:rPr>
        <w:t>2024年度本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政府采购支出总额0.67万元，其中：政府采购货物支出0.67万元、政府采购工程支出0.00万元、政府采购服务支出0.00万元。授予中小企业合同金额0.67</w:t>
      </w:r>
      <w:r>
        <w:rPr>
          <w:rFonts w:hint="default" w:ascii="Times New Roman" w:hAnsi="Times New Roman" w:eastAsia="方正仿宋_GBK" w:cs="Times New Roman"/>
          <w:sz w:val="32"/>
          <w:szCs w:val="32"/>
        </w:rPr>
        <w:t>万</w:t>
      </w:r>
      <w:r>
        <w:rPr>
          <w:rFonts w:hint="default" w:ascii="Times New Roman" w:hAnsi="Times New Roman" w:eastAsia="方正仿宋_GBK" w:cs="Times New Roman"/>
          <w:sz w:val="32"/>
          <w:szCs w:val="32"/>
          <w:shd w:val="clear" w:color="auto" w:fill="FFFFFF"/>
        </w:rPr>
        <w:t>元，占政府采购支出总额的100.0%，其中：授予小微企业合同金额0.67万元，占政府采购支出总额的100.0%。主要用于采购</w:t>
      </w:r>
      <w:r>
        <w:rPr>
          <w:rFonts w:hint="default" w:ascii="Times New Roman" w:hAnsi="Times New Roman" w:eastAsia="方正仿宋_GBK" w:cs="Times New Roman"/>
          <w:sz w:val="32"/>
          <w:szCs w:val="32"/>
          <w:shd w:val="clear" w:color="auto" w:fill="FFFFFF"/>
          <w:lang w:eastAsia="zh-CN"/>
        </w:rPr>
        <w:t>办公用品。</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lang w:val="en-US" w:eastAsia="zh-CN" w:bidi="ar-SA"/>
        </w:rPr>
      </w:pPr>
      <w:r>
        <w:rPr>
          <w:rStyle w:val="11"/>
          <w:rFonts w:hint="default" w:ascii="Times New Roman" w:hAnsi="Times New Roman" w:eastAsia="方正黑体_GBK" w:cs="Times New Roman"/>
          <w:b w:val="0"/>
          <w:bCs/>
          <w:sz w:val="32"/>
          <w:szCs w:val="32"/>
          <w:shd w:val="clear" w:color="auto" w:fill="FFFFFF"/>
        </w:rPr>
        <w:t>五、</w:t>
      </w:r>
      <w:r>
        <w:rPr>
          <w:rStyle w:val="11"/>
          <w:rFonts w:hint="default" w:ascii="Times New Roman" w:hAnsi="Times New Roman" w:eastAsia="方正黑体_GBK" w:cs="Times New Roman"/>
          <w:b w:val="0"/>
          <w:bCs/>
          <w:sz w:val="32"/>
          <w:szCs w:val="32"/>
          <w:shd w:val="clear" w:color="auto" w:fill="FFFFFF"/>
          <w:lang w:eastAsia="zh-CN"/>
        </w:rPr>
        <w:t>预算</w:t>
      </w:r>
      <w:r>
        <w:rPr>
          <w:rStyle w:val="11"/>
          <w:rFonts w:hint="default" w:ascii="Times New Roman" w:hAnsi="Times New Roman" w:eastAsia="方正黑体_GBK" w:cs="Times New Roman"/>
          <w:b w:val="0"/>
          <w:bCs/>
          <w:sz w:val="32"/>
          <w:szCs w:val="32"/>
          <w:shd w:val="clear" w:color="auto" w:fill="FFFFFF"/>
          <w:lang w:val="en-US" w:eastAsia="zh-CN" w:bidi="ar-SA"/>
        </w:rPr>
        <w:t>绩效管理情况说明</w:t>
      </w:r>
    </w:p>
    <w:p>
      <w:pPr>
        <w:pStyle w:val="14"/>
        <w:keepNext w:val="0"/>
        <w:keepLines w:val="0"/>
        <w:pageBreakBefore w:val="0"/>
        <w:kinsoku/>
        <w:wordWrap/>
        <w:overflowPunct/>
        <w:topLinePunct w:val="0"/>
        <w:autoSpaceDE w:val="0"/>
        <w:autoSpaceDN/>
        <w:bidi w:val="0"/>
        <w:adjustRightInd/>
        <w:snapToGrid/>
        <w:spacing w:afterAutospacing="0" w:line="560" w:lineRule="exact"/>
        <w:ind w:firstLine="640" w:firstLineChars="200"/>
        <w:jc w:val="both"/>
        <w:rPr>
          <w:rFonts w:hint="default" w:ascii="Times New Roman" w:hAnsi="Times New Roman" w:eastAsia="方正楷体_GBK" w:cs="Times New Roman"/>
          <w:b w:val="0"/>
          <w:bCs w:val="0"/>
          <w:sz w:val="32"/>
          <w:szCs w:val="32"/>
          <w:shd w:val="clear" w:color="auto" w:fill="FFFFFF"/>
          <w:lang w:val="en-US" w:eastAsia="zh-CN" w:bidi="ar"/>
        </w:rPr>
      </w:pPr>
      <w:r>
        <w:rPr>
          <w:rFonts w:hint="default" w:ascii="Times New Roman" w:hAnsi="Times New Roman" w:eastAsia="方正楷体_GBK" w:cs="Times New Roman"/>
          <w:b w:val="0"/>
          <w:bCs w:val="0"/>
          <w:sz w:val="32"/>
          <w:szCs w:val="32"/>
          <w:shd w:val="clear" w:color="auto" w:fill="FFFFFF"/>
          <w:lang w:bidi="ar"/>
        </w:rPr>
        <w:t>（一）</w:t>
      </w:r>
      <w:r>
        <w:rPr>
          <w:rFonts w:hint="default" w:ascii="Times New Roman" w:hAnsi="Times New Roman" w:eastAsia="方正楷体_GBK" w:cs="Times New Roman"/>
          <w:b w:val="0"/>
          <w:bCs w:val="0"/>
          <w:sz w:val="32"/>
          <w:szCs w:val="32"/>
          <w:shd w:val="clear" w:color="auto" w:fill="FFFFFF"/>
          <w:lang w:val="en-US" w:eastAsia="zh-CN" w:bidi="ar"/>
        </w:rPr>
        <w:t>单位</w:t>
      </w:r>
      <w:r>
        <w:rPr>
          <w:rFonts w:hint="default" w:ascii="Times New Roman" w:hAnsi="Times New Roman" w:eastAsia="方正楷体_GBK" w:cs="Times New Roman"/>
          <w:b w:val="0"/>
          <w:bCs w:val="0"/>
          <w:sz w:val="32"/>
          <w:szCs w:val="32"/>
          <w:shd w:val="clear" w:color="auto" w:fill="FFFFFF"/>
          <w:lang w:bidi="ar"/>
        </w:rPr>
        <w:t>自评情况</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outlineLvl w:val="9"/>
        <w:rPr>
          <w:rFonts w:hint="default" w:ascii="Times New Roman" w:hAnsi="Times New Roman" w:eastAsia="方正仿宋_GBK" w:cs="Times New Roman"/>
          <w:b w:val="0"/>
          <w:bCs w:val="0"/>
          <w:sz w:val="32"/>
          <w:szCs w:val="32"/>
          <w:shd w:val="clear" w:color="auto" w:fill="FFFFFF"/>
          <w:lang w:eastAsia="zh-CN"/>
        </w:rPr>
      </w:pPr>
      <w:r>
        <w:rPr>
          <w:rFonts w:hint="default" w:ascii="Times New Roman" w:hAnsi="Times New Roman" w:eastAsia="方正仿宋_GBK" w:cs="Times New Roman"/>
          <w:b w:val="0"/>
          <w:bCs w:val="0"/>
          <w:sz w:val="32"/>
          <w:szCs w:val="32"/>
          <w:shd w:val="clear" w:color="auto" w:fill="FFFFFF"/>
          <w:lang w:eastAsia="zh-CN"/>
        </w:rPr>
        <w:t>本单位为秀山土家族苗族自治县卫生健康委员会二级预算单位，由主管部门统一开展项目支出绩效自评。</w:t>
      </w:r>
    </w:p>
    <w:tbl>
      <w:tblPr>
        <w:tblStyle w:val="12"/>
        <w:tblpPr w:leftFromText="180" w:rightFromText="180" w:vertAnchor="text" w:horzAnchor="page" w:tblpX="1973" w:tblpY="72"/>
        <w:tblOverlap w:val="never"/>
        <w:tblW w:w="8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93"/>
        <w:gridCol w:w="763"/>
        <w:gridCol w:w="1995"/>
        <w:gridCol w:w="514"/>
        <w:gridCol w:w="541"/>
        <w:gridCol w:w="614"/>
        <w:gridCol w:w="615"/>
        <w:gridCol w:w="688"/>
        <w:gridCol w:w="670"/>
        <w:gridCol w:w="614"/>
        <w:gridCol w:w="6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436" w:hRule="atLeast"/>
        </w:trPr>
        <w:tc>
          <w:tcPr>
            <w:tcW w:w="8200" w:type="dxa"/>
            <w:gridSpan w:val="11"/>
            <w:shd w:val="clear" w:color="auto" w:fill="auto"/>
            <w:vAlign w:val="center"/>
          </w:tcPr>
          <w:p>
            <w:pPr>
              <w:keepNext w:val="0"/>
              <w:keepLines w:val="0"/>
              <w:widowControl/>
              <w:suppressLineNumbers w:val="0"/>
              <w:ind w:firstLine="1280" w:firstLineChars="400"/>
              <w:jc w:val="both"/>
              <w:textAlignment w:val="cente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方正小标宋_GBK" w:hAnsi="方正小标宋_GBK" w:eastAsia="方正小标宋_GBK" w:cs="方正小标宋_GBK"/>
                <w:b w:val="0"/>
                <w:bCs/>
                <w:i w:val="0"/>
                <w:color w:val="auto"/>
                <w:kern w:val="0"/>
                <w:sz w:val="32"/>
                <w:szCs w:val="32"/>
                <w:highlight w:val="none"/>
                <w:u w:val="none"/>
                <w:lang w:val="en-US" w:eastAsia="zh-CN" w:bidi="ar"/>
              </w:rPr>
              <w:t>2024年度项目支出绩效自评情况表（二级项目）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58"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序号</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项目名称</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指标名称</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指标性质</w:t>
            </w:r>
          </w:p>
        </w:tc>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指标值</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计量单位</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指标权重</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全年完成值</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指标得分</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说明</w:t>
            </w: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sz w:val="24"/>
                <w:szCs w:val="24"/>
                <w:highlight w:val="none"/>
                <w:u w:val="none"/>
              </w:rPr>
            </w:pPr>
            <w:r>
              <w:rPr>
                <w:rFonts w:hint="default" w:ascii="Times New Roman" w:hAnsi="Times New Roman" w:eastAsia="方正仿宋_GBK" w:cs="Times New Roman"/>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4" w:hRule="atLeast"/>
        </w:trPr>
        <w:tc>
          <w:tcPr>
            <w:tcW w:w="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7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国家基本公共卫生服务补助资金</w:t>
            </w: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适龄儿童国家免疫规划疫苗接种</w:t>
            </w:r>
            <w:r>
              <w:rPr>
                <w:rFonts w:hint="default" w:ascii="Times New Roman" w:hAnsi="Times New Roman" w:eastAsia="方正仿宋_GBK" w:cs="Times New Roman"/>
                <w:sz w:val="24"/>
                <w:szCs w:val="24"/>
              </w:rPr>
              <w:t>率</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29</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384" w:hRule="atLeast"/>
        </w:trPr>
        <w:tc>
          <w:tcPr>
            <w:tcW w:w="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1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lang w:eastAsia="zh-CN"/>
              </w:rPr>
              <w:t>0-6岁儿童健康管理率</w:t>
            </w:r>
          </w:p>
        </w:tc>
        <w:tc>
          <w:tcPr>
            <w:tcW w:w="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6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4"/>
        <w:keepNext w:val="0"/>
        <w:keepLines w:val="0"/>
        <w:pageBreakBefore w:val="0"/>
        <w:widowControl/>
        <w:kinsoku/>
        <w:wordWrap/>
        <w:overflowPunct/>
        <w:topLinePunct w:val="0"/>
        <w:autoSpaceDE w:val="0"/>
        <w:autoSpaceDN/>
        <w:bidi w:val="0"/>
        <w:adjustRightInd/>
        <w:snapToGrid/>
        <w:spacing w:beforeAutospacing="0" w:afterAutospacing="0" w:line="560" w:lineRule="exact"/>
        <w:ind w:left="0" w:leftChars="0" w:firstLine="640" w:firstLineChars="200"/>
        <w:jc w:val="both"/>
        <w:textAlignment w:val="auto"/>
        <w:outlineLvl w:val="9"/>
        <w:rPr>
          <w:rFonts w:hint="default" w:ascii="Times New Roman" w:hAnsi="Times New Roman" w:eastAsia="方正楷体_GBK" w:cs="Times New Roman"/>
          <w:b w:val="0"/>
          <w:bCs w:val="0"/>
          <w:sz w:val="32"/>
          <w:szCs w:val="32"/>
          <w:shd w:val="clear" w:color="auto" w:fill="FFFFFF"/>
        </w:rPr>
      </w:pPr>
      <w:r>
        <w:rPr>
          <w:rFonts w:hint="default" w:ascii="Times New Roman" w:hAnsi="Times New Roman" w:eastAsia="方正楷体_GBK" w:cs="Times New Roman"/>
          <w:b w:val="0"/>
          <w:bCs w:val="0"/>
          <w:sz w:val="32"/>
          <w:szCs w:val="32"/>
          <w:shd w:val="clear" w:color="auto" w:fill="FFFFFF"/>
          <w:lang w:eastAsia="zh-CN"/>
        </w:rPr>
        <w:t>（</w:t>
      </w:r>
      <w:r>
        <w:rPr>
          <w:rFonts w:hint="default" w:ascii="Times New Roman" w:hAnsi="Times New Roman" w:eastAsia="方正楷体_GBK" w:cs="Times New Roman"/>
          <w:b w:val="0"/>
          <w:bCs w:val="0"/>
          <w:sz w:val="32"/>
          <w:szCs w:val="32"/>
          <w:shd w:val="clear" w:color="auto" w:fill="FFFFFF"/>
          <w:lang w:val="en-US" w:eastAsia="zh-CN"/>
        </w:rPr>
        <w:t>二）</w:t>
      </w:r>
      <w:r>
        <w:rPr>
          <w:rFonts w:hint="default" w:ascii="Times New Roman" w:hAnsi="Times New Roman" w:eastAsia="方正楷体_GBK" w:cs="Times New Roman"/>
          <w:b w:val="0"/>
          <w:bCs w:val="0"/>
          <w:sz w:val="32"/>
          <w:szCs w:val="32"/>
          <w:shd w:val="clear" w:color="auto" w:fill="FFFFFF"/>
        </w:rPr>
        <w:t>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snapToGrid/>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default" w:ascii="Times New Roman" w:hAnsi="Times New Roman" w:eastAsia="方正仿宋_GBK" w:cs="Times New Roman"/>
          <w:b w:val="0"/>
          <w:bCs w:val="0"/>
          <w:kern w:val="0"/>
          <w:sz w:val="32"/>
          <w:szCs w:val="32"/>
          <w:lang w:val="en-US" w:eastAsia="zh-CN" w:bidi="ar-SA"/>
        </w:rPr>
        <w:t>本单位未组织开展绩效评价。</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lang w:eastAsia="zh-CN"/>
        </w:rPr>
        <w:t>六</w:t>
      </w:r>
      <w:r>
        <w:rPr>
          <w:rStyle w:val="11"/>
          <w:rFonts w:hint="default" w:ascii="Times New Roman" w:hAnsi="Times New Roman" w:eastAsia="方正黑体_GBK" w:cs="Times New Roman"/>
          <w:b w:val="0"/>
          <w:bCs/>
          <w:sz w:val="32"/>
          <w:szCs w:val="32"/>
          <w:shd w:val="clear" w:color="auto" w:fill="FFFFFF"/>
        </w:rPr>
        <w:t>、专业名词解释</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sz w:val="32"/>
          <w:szCs w:val="32"/>
          <w:shd w:val="clear" w:color="auto" w:fill="FFFFFF"/>
        </w:rPr>
        <w:t>（一）财政拨款收入：</w:t>
      </w:r>
      <w:r>
        <w:rPr>
          <w:rFonts w:hint="default" w:ascii="Times New Roman" w:hAnsi="Times New Roman" w:eastAsia="方正仿宋_GBK" w:cs="Times New Roman"/>
          <w:b w:val="0"/>
          <w:bCs w:val="0"/>
          <w:sz w:val="32"/>
          <w:szCs w:val="32"/>
          <w:shd w:val="clear" w:color="auto" w:fill="FFFFFF"/>
        </w:rPr>
        <w:t>指本年度从本级财政部门取得的财政拨款。</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（二）事业收入</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指事业单位开展专业业务活动及其辅助活动取得的</w:t>
      </w:r>
      <w:r>
        <w:rPr>
          <w:rFonts w:hint="default" w:ascii="Times New Roman" w:hAnsi="Times New Roman" w:eastAsia="方正仿宋_GBK" w:cs="Times New Roman"/>
          <w:b w:val="0"/>
          <w:bCs w:val="0"/>
          <w:sz w:val="32"/>
          <w:szCs w:val="32"/>
          <w:shd w:val="clear" w:color="auto" w:fill="FFFFFF"/>
          <w:lang w:eastAsia="zh-CN"/>
        </w:rPr>
        <w:t>收入</w:t>
      </w:r>
      <w:r>
        <w:rPr>
          <w:rFonts w:hint="default" w:ascii="Times New Roman" w:hAnsi="Times New Roman" w:eastAsia="方正仿宋_GBK" w:cs="Times New Roman"/>
          <w:b w:val="0"/>
          <w:bCs w:val="0"/>
          <w:sz w:val="32"/>
          <w:szCs w:val="32"/>
          <w:shd w:val="clear" w:color="auto" w:fill="FFFFFF"/>
        </w:rPr>
        <w:t>。</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（三）经营收入</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指事业单位在专业业务活动及其辅助活动之外开展非独立核算经营活动取得的</w:t>
      </w:r>
      <w:r>
        <w:rPr>
          <w:rFonts w:hint="default" w:ascii="Times New Roman" w:hAnsi="Times New Roman" w:eastAsia="方正仿宋_GBK" w:cs="Times New Roman"/>
          <w:b w:val="0"/>
          <w:bCs w:val="0"/>
          <w:sz w:val="32"/>
          <w:szCs w:val="32"/>
          <w:shd w:val="clear" w:color="auto" w:fill="FFFFFF"/>
          <w:lang w:eastAsia="zh-CN"/>
        </w:rPr>
        <w:t>收入</w:t>
      </w:r>
      <w:r>
        <w:rPr>
          <w:rFonts w:hint="default" w:ascii="Times New Roman" w:hAnsi="Times New Roman" w:eastAsia="方正仿宋_GBK" w:cs="Times New Roman"/>
          <w:b w:val="0"/>
          <w:bCs w:val="0"/>
          <w:sz w:val="32"/>
          <w:szCs w:val="32"/>
          <w:shd w:val="clear" w:color="auto" w:fill="FFFFFF"/>
        </w:rPr>
        <w:t>。</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（四）其他收入</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（五）使用非财政拨款结余</w:t>
      </w:r>
      <w:r>
        <w:rPr>
          <w:rStyle w:val="11"/>
          <w:rFonts w:hint="default" w:ascii="Times New Roman" w:hAnsi="Times New Roman" w:eastAsia="方正楷体_GBK" w:cs="Times New Roman"/>
          <w:b w:val="0"/>
          <w:bCs w:val="0"/>
          <w:sz w:val="32"/>
          <w:szCs w:val="32"/>
          <w:shd w:val="clear" w:color="auto" w:fill="FFFFFF"/>
          <w:lang w:eastAsia="zh-CN"/>
        </w:rPr>
        <w:t>（含专用结余）</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w:t>
      </w:r>
      <w:r>
        <w:rPr>
          <w:rFonts w:hint="default" w:ascii="Times New Roman" w:hAnsi="Times New Roman" w:eastAsia="方正仿宋_GBK" w:cs="Times New Roman"/>
          <w:b w:val="0"/>
          <w:bCs w:val="0"/>
          <w:sz w:val="32"/>
          <w:szCs w:val="32"/>
          <w:shd w:val="clear" w:color="auto" w:fill="FFFFFF"/>
          <w:lang w:eastAsia="zh-CN"/>
        </w:rPr>
        <w:t>事业单位按照预算管理要求使用非财政拨款结余弥补收支差额的金额，以及使用专用结余安排支出的金额。</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（六）年初结转和结余</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指单位上年结转本年使用的基本支出结转、项目支出结转和结余、经营结余。</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（七）结余分配</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指单位按照国家有关规定，缴纳所得税、提取专用基金、转入非财政拨款结余等当年结余的分配情况。</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（八）年末结转和结余</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指单位结转下年的基本支出结转、项目支出结转和结余、经营结余。</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（九）基本支出</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（十）项目支出</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指在基本支出之外为完成特定行政任务和事业发展目标所发生的支出。</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（十一）经营支出</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指事业单位在专业业务活动及其辅助活动之外开展非独立核算经营活动发生的支出。</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（十二）“三公”经费</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（十三）机关运行经费</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（十四）工资福利支出（支出经济分类科目类级）</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反映单位开支的在职职工和编制外长期聘用人员的各类劳动报酬，以及为上述人员缴纳的各项社会保险费等。</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（十五）商品和服务支出（支出经济分类科目类级）</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反映单位购买商品和服务的支出（不包括用于购置固定资产的支出、战略性和应急储备支出）。</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rPr>
      </w:pPr>
      <w:r>
        <w:rPr>
          <w:rStyle w:val="11"/>
          <w:rFonts w:hint="default" w:ascii="Times New Roman" w:hAnsi="Times New Roman" w:eastAsia="方正楷体_GBK" w:cs="Times New Roman"/>
          <w:b w:val="0"/>
          <w:bCs w:val="0"/>
          <w:sz w:val="32"/>
          <w:szCs w:val="32"/>
          <w:shd w:val="clear" w:color="auto" w:fill="FFFFFF"/>
        </w:rPr>
        <w:t>（十六）对个人和家庭的补助（支出经济分类科目类级）</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反映用于对个人和家庭的补助支出。</w:t>
      </w:r>
    </w:p>
    <w:p>
      <w:pPr>
        <w:pStyle w:val="9"/>
        <w:keepNext w:val="0"/>
        <w:keepLines w:val="0"/>
        <w:pageBreakBefore w:val="0"/>
        <w:kinsoku/>
        <w:wordWrap/>
        <w:overflowPunct/>
        <w:topLinePunct w:val="0"/>
        <w:autoSpaceDN/>
        <w:bidi w:val="0"/>
        <w:adjustRightInd/>
        <w:snapToGrid/>
        <w:spacing w:before="0" w:beforeAutospacing="0" w:after="0" w:afterAutospacing="0" w:line="560" w:lineRule="exact"/>
        <w:ind w:firstLine="640" w:firstLineChars="200"/>
        <w:jc w:val="both"/>
        <w:rPr>
          <w:rFonts w:hint="default" w:ascii="Times New Roman" w:hAnsi="Times New Roman" w:eastAsia="方正仿宋_GBK" w:cs="Times New Roman"/>
          <w:b w:val="0"/>
          <w:bCs w:val="0"/>
          <w:sz w:val="32"/>
          <w:szCs w:val="32"/>
          <w:shd w:val="clear" w:color="auto" w:fill="FFFFFF"/>
        </w:rPr>
      </w:pPr>
      <w:r>
        <w:rPr>
          <w:rStyle w:val="11"/>
          <w:rFonts w:hint="default" w:ascii="Times New Roman" w:hAnsi="Times New Roman" w:eastAsia="方正楷体_GBK" w:cs="Times New Roman"/>
          <w:b w:val="0"/>
          <w:bCs w:val="0"/>
          <w:sz w:val="32"/>
          <w:szCs w:val="32"/>
          <w:shd w:val="clear" w:color="auto" w:fill="FFFFFF"/>
        </w:rPr>
        <w:t>（十七）其他资本性支出（支出经济分类科目类级）</w:t>
      </w:r>
      <w:r>
        <w:rPr>
          <w:rFonts w:hint="default" w:ascii="Times New Roman" w:hAnsi="Times New Roman" w:eastAsia="方正楷体_GBK" w:cs="Times New Roman"/>
          <w:b w:val="0"/>
          <w:bCs w:val="0"/>
          <w:sz w:val="32"/>
          <w:szCs w:val="32"/>
          <w:shd w:val="clear" w:color="auto" w:fill="FFFFFF"/>
        </w:rPr>
        <w:t>：</w:t>
      </w:r>
      <w:r>
        <w:rPr>
          <w:rFonts w:hint="default" w:ascii="Times New Roman" w:hAnsi="Times New Roman" w:eastAsia="方正仿宋_GBK" w:cs="Times New Roman"/>
          <w:b w:val="0"/>
          <w:bCs w:val="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default" w:ascii="Times New Roman" w:hAnsi="Times New Roman" w:eastAsia="方正黑体_GBK" w:cs="Times New Roman"/>
          <w:b w:val="0"/>
          <w:bCs/>
          <w:sz w:val="32"/>
          <w:szCs w:val="32"/>
          <w:shd w:val="clear" w:color="auto" w:fill="FFFFFF"/>
        </w:rPr>
      </w:pPr>
      <w:r>
        <w:rPr>
          <w:rStyle w:val="11"/>
          <w:rFonts w:hint="default" w:ascii="Times New Roman" w:hAnsi="Times New Roman" w:eastAsia="方正黑体_GBK" w:cs="Times New Roman"/>
          <w:b w:val="0"/>
          <w:bCs/>
          <w:sz w:val="32"/>
          <w:szCs w:val="32"/>
          <w:shd w:val="clear" w:color="auto" w:fill="FFFFFF"/>
          <w:lang w:eastAsia="zh-CN"/>
        </w:rPr>
        <w:t>七</w:t>
      </w:r>
      <w:r>
        <w:rPr>
          <w:rStyle w:val="11"/>
          <w:rFonts w:hint="default" w:ascii="Times New Roman" w:hAnsi="Times New Roman" w:eastAsia="方正黑体_GBK" w:cs="Times New Roman"/>
          <w:b w:val="0"/>
          <w:bCs/>
          <w:sz w:val="32"/>
          <w:szCs w:val="32"/>
          <w:shd w:val="clear" w:color="auto" w:fill="FFFFFF"/>
        </w:rPr>
        <w:t>、决算公开联系方式及信息反馈渠道</w:t>
      </w:r>
    </w:p>
    <w:p>
      <w:pPr>
        <w:pStyle w:val="14"/>
        <w:keepNext w:val="0"/>
        <w:keepLines w:val="0"/>
        <w:pageBreakBefore w:val="0"/>
        <w:widowControl/>
        <w:kinsoku/>
        <w:wordWrap/>
        <w:overflowPunct/>
        <w:topLinePunct w:val="0"/>
        <w:autoSpaceDE w:val="0"/>
        <w:autoSpaceDN/>
        <w:bidi w:val="0"/>
        <w:adjustRightInd/>
        <w:spacing w:beforeAutospacing="0" w:afterAutospacing="0" w:line="596" w:lineRule="exact"/>
        <w:ind w:firstLine="640"/>
        <w:jc w:val="both"/>
        <w:textAlignment w:val="auto"/>
        <w:rPr>
          <w:rStyle w:val="11"/>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r>
        <w:rPr>
          <w:rFonts w:hint="default" w:ascii="Times New Roman" w:hAnsi="Times New Roman" w:eastAsia="方正仿宋_GBK" w:cs="Times New Roman"/>
          <w:sz w:val="32"/>
          <w:szCs w:val="32"/>
          <w:shd w:val="clear" w:color="auto" w:fill="FFFFFF"/>
        </w:rPr>
        <w:t>本</w:t>
      </w:r>
      <w:r>
        <w:rPr>
          <w:rFonts w:hint="default" w:ascii="Times New Roman" w:hAnsi="Times New Roman" w:eastAsia="方正仿宋_GBK" w:cs="Times New Roman"/>
          <w:sz w:val="32"/>
          <w:szCs w:val="32"/>
          <w:shd w:val="clear" w:color="auto" w:fill="FFFFFF"/>
          <w:lang w:eastAsia="zh-CN"/>
        </w:rPr>
        <w:t>单位</w:t>
      </w:r>
      <w:r>
        <w:rPr>
          <w:rFonts w:hint="default" w:ascii="Times New Roman" w:hAnsi="Times New Roman" w:eastAsia="方正仿宋_GBK" w:cs="Times New Roman"/>
          <w:sz w:val="32"/>
          <w:szCs w:val="32"/>
          <w:shd w:val="clear" w:color="auto" w:fill="FFFFFF"/>
        </w:rPr>
        <w:t>决算公开信息反馈和联系方式：</w:t>
      </w:r>
      <w:r>
        <w:rPr>
          <w:rFonts w:hint="default" w:ascii="Times New Roman" w:hAnsi="Times New Roman" w:eastAsia="方正仿宋_GBK" w:cs="Times New Roman"/>
          <w:sz w:val="32"/>
          <w:szCs w:val="32"/>
          <w:shd w:val="clear" w:color="auto" w:fill="FFFFFF"/>
          <w:lang w:val="en-US" w:eastAsia="zh-CN"/>
        </w:rPr>
        <w:t>023-76617280</w:t>
      </w: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u w:color="auto"/>
              </w:rPr>
              <w:t>秀山土家族苗族自治县膏田镇卫生院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195.62</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223.14</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8.21</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53.90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376.31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24.16</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426.97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454.37</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27.40</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454.37</w:t>
            </w:r>
            <w:r>
              <w:rPr>
                <w:rFonts w:ascii="Times New Roman" w:hAnsi="Times New Roman"/>
                <w:color w:val="000000"/>
                <w:sz w:val="20"/>
                <w:u w:color="auto"/>
              </w:rPr>
              <w:t xml:space="preserve"> </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454.37</w:t>
            </w:r>
            <w:r>
              <w:rPr>
                <w:rFonts w:ascii="Times New Roman" w:hAnsi="Times New Roman"/>
                <w:color w:val="000000"/>
                <w:sz w:val="20"/>
                <w:u w:color="auto"/>
              </w:rPr>
              <w:t xml:space="preserve"> </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u w:color="auto"/>
              </w:rPr>
              <w:t>秀山土家族苗族自治县膏田镇卫生院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426.97</w:t>
            </w:r>
            <w:r>
              <w:rPr>
                <w:rFonts w:ascii="Times New Roman" w:hAnsi="Times New Roman"/>
                <w:b/>
                <w:color w:val="000000"/>
                <w:sz w:val="20"/>
                <w:u w:color="auto"/>
              </w:rPr>
              <w:t xml:space="preserve"> </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195.62</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223.14</w:t>
            </w:r>
            <w:r>
              <w:rPr>
                <w:rFonts w:ascii="Times New Roman" w:hAnsi="Times New Roman"/>
                <w:b/>
                <w:color w:val="000000"/>
                <w:sz w:val="20"/>
                <w:u w:color="auto"/>
              </w:rPr>
              <w:t xml:space="preserve"> </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8.21</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53.90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22.47</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31.43</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53.90</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22.47</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31.43</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34.72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13.89</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20.83</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17.64</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7.04</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10.60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348.91</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166.03</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174.67</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8.21</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291.64</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112.72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170.71</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8.21</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289.72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110.80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170.71</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8.21</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45.35</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45.35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44.82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44.82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11.91</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7.95</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3.96</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9.89</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5.94</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3.96</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24.16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7.12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17.04</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24.16</w:t>
            </w:r>
            <w:r>
              <w:rPr>
                <w:rFonts w:ascii="Times New Roman" w:hAnsi="Times New Roman"/>
                <w:b/>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7.12</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17.04</w:t>
            </w:r>
            <w:r>
              <w:rPr>
                <w:rFonts w:ascii="Times New Roman" w:hAnsi="Times New Roman"/>
                <w:b/>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24.16</w:t>
            </w:r>
            <w:r>
              <w:rPr>
                <w:rFonts w:ascii="Times New Roman" w:hAnsi="Times New Roman"/>
                <w:color w:val="000000"/>
                <w:sz w:val="20"/>
                <w:u w:color="auto"/>
              </w:rPr>
              <w:t xml:space="preserve"> </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7.12</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17.04</w:t>
            </w:r>
            <w:r>
              <w:rPr>
                <w:rFonts w:ascii="Times New Roman" w:hAnsi="Times New Roman"/>
                <w:color w:val="000000"/>
                <w:sz w:val="20"/>
                <w:u w:color="auto"/>
              </w:rPr>
              <w:t xml:space="preserve"> </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 xml:space="preserve">秀山土家族苗族自治县膏田镇卫生院 </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454.37</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450.24</w:t>
            </w:r>
            <w:r>
              <w:rPr>
                <w:rFonts w:ascii="Times New Roman" w:hAnsi="Times New Roman"/>
                <w:b/>
                <w:color w:val="000000"/>
                <w:sz w:val="20"/>
                <w:u w:color="auto"/>
              </w:rPr>
              <w:t xml:space="preserve"> </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4.13</w:t>
            </w:r>
            <w:r>
              <w:rPr>
                <w:rFonts w:ascii="Times New Roman" w:hAnsi="Times New Roman"/>
                <w:b/>
                <w:color w:val="000000"/>
                <w:sz w:val="20"/>
                <w:u w:color="auto"/>
              </w:rPr>
              <w:t xml:space="preserve"> </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53.90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53.90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53.90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53.90</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34.72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34.72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17.64</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17.64</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376.31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372.18</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4.13</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319.05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315.45</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3.60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317.13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315.45</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45.35</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44.82</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44.82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44.82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11.91</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11.91</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9.89</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9.89</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24.16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24.16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24.16</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24.16</w:t>
            </w:r>
            <w:r>
              <w:rPr>
                <w:rFonts w:ascii="Times New Roman" w:hAnsi="Times New Roman"/>
                <w:b/>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24.16</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24.16</w:t>
            </w:r>
            <w:r>
              <w:rPr>
                <w:rFonts w:ascii="Times New Roman" w:hAnsi="Times New Roman"/>
                <w:color w:val="000000"/>
                <w:sz w:val="20"/>
                <w:u w:color="auto"/>
              </w:rPr>
              <w:t xml:space="preserve"> </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p>
      <w:pPr>
        <w:rPr>
          <w:rFonts w:hint="default" w:cs="宋体"/>
          <w:sz w:val="21"/>
          <w:szCs w:val="21"/>
        </w:rPr>
      </w:pP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秀山土家族苗族自治县膏田镇卫生院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195.62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22.47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22.47</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178.40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178.40</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7.12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7.12</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195.62</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207.99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207.99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12.37</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12.37</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207.99</w:t>
            </w:r>
            <w:r>
              <w:rPr>
                <w:rFonts w:ascii="Times New Roman" w:hAnsi="Times New Roman"/>
                <w:color w:val="000000"/>
                <w:sz w:val="18"/>
                <w:u w:color="auto"/>
              </w:rPr>
              <w:t xml:space="preserve"> </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207.99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207.99</w:t>
            </w:r>
            <w:r>
              <w:rPr>
                <w:rFonts w:ascii="Times New Roman" w:hAnsi="Times New Roman"/>
                <w:color w:val="000000"/>
                <w:sz w:val="18"/>
                <w:u w:color="auto"/>
              </w:rPr>
              <w:t xml:space="preserve"> </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秀山土家族苗族自治县膏田镇卫生院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207.99</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203.86</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4.13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22.47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22.47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22.47</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22.47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1.55</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13.89</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13.89</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7.04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7.04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178.40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174.27</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4.13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125.10</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121.50</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3.60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123.18</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121.50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1.68</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1.92</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21004</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公共卫生</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45.35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44.82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0.53</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基本公共卫生服务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44.82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44.82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2100410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突发公共卫生事件应急处置</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0.53</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7.95</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7.95</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5.94</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5.94</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2.02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7.12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7.12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7.12</w:t>
            </w:r>
            <w:r>
              <w:rPr>
                <w:rFonts w:ascii="Times New Roman" w:hAnsi="Times New Roman"/>
                <w:b/>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7.12</w:t>
            </w:r>
            <w:r>
              <w:rPr>
                <w:rFonts w:ascii="Times New Roman" w:hAnsi="Times New Roman"/>
                <w:b/>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7.12</w:t>
            </w:r>
            <w:r>
              <w:rPr>
                <w:rFonts w:ascii="Times New Roman" w:hAnsi="Times New Roman"/>
                <w:color w:val="000000"/>
                <w:sz w:val="20"/>
                <w:u w:color="auto"/>
              </w:rPr>
              <w:t xml:space="preserve"> </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7.12</w:t>
            </w:r>
            <w:r>
              <w:rPr>
                <w:rFonts w:ascii="Times New Roman" w:hAnsi="Times New Roman"/>
                <w:color w:val="000000"/>
                <w:sz w:val="20"/>
                <w:u w:color="auto"/>
              </w:rPr>
              <w:t xml:space="preserve"> </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ind w:firstLine="600" w:firstLineChars="300"/>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u w:color="auto"/>
              </w:rPr>
              <w:t>秀山土家族苗族自治县膏田镇卫生院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180.81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20.25</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41.06</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13.38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90.19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13.89</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7.04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5.94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0.18</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7.12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2.02</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2.81</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3.32</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2.64</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16.93</w:t>
            </w: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0.17</w:t>
            </w: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183.61</w:t>
            </w:r>
            <w:r>
              <w:rPr>
                <w:rFonts w:ascii="Times New Roman" w:hAnsi="Times New Roman"/>
                <w:color w:val="000000"/>
                <w:sz w:val="18"/>
                <w:u w:color="auto"/>
              </w:rPr>
              <w:t xml:space="preserve"> </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20.25</w:t>
            </w:r>
            <w:r>
              <w:rPr>
                <w:rFonts w:ascii="Times New Roman" w:hAnsi="Times New Roman"/>
                <w:color w:val="000000"/>
                <w:sz w:val="18"/>
                <w:u w:color="auto"/>
              </w:rPr>
              <w:t xml:space="preserve"> </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秀山土家族苗族自治县膏田镇卫生院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r>
              <w:rPr>
                <w:rFonts w:ascii="Times New Roman" w:hAnsi="Times New Roman"/>
                <w:color w:val="000000"/>
                <w:sz w:val="20"/>
                <w:u w:color="auto"/>
              </w:rPr>
              <w:t xml:space="preserve"> </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u w:color="auto"/>
              </w:rPr>
              <w:t>秀山土家族苗族自治县膏田镇卫生院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s="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r>
              <w:rPr>
                <w:rFonts w:ascii="Times New Roman" w:hAnsi="Times New Roman"/>
                <w:b/>
                <w:color w:val="000000"/>
                <w:sz w:val="20"/>
                <w:u w:color="auto"/>
              </w:rPr>
              <w:t xml:space="preserve"> </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 xml:space="preserve">0.00 </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hint="eastAsia" w:cs="宋体"/>
                <w:kern w:val="2"/>
                <w:sz w:val="20"/>
                <w:szCs w:val="20"/>
                <w:lang w:eastAsia="zh-CN"/>
              </w:rPr>
              <w:t>单位</w:t>
            </w:r>
            <w:r>
              <w:rPr>
                <w:rFonts w:cs="宋体"/>
                <w:color w:val="000000"/>
                <w:kern w:val="2"/>
                <w:sz w:val="20"/>
                <w:szCs w:val="20"/>
              </w:rPr>
              <w:t>：</w:t>
            </w:r>
            <w:r>
              <w:rPr>
                <w:color w:val="000000"/>
                <w:sz w:val="20"/>
                <w:u w:color="auto"/>
              </w:rPr>
              <w:t>秀山土家族苗族自治县膏田镇卫生院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0.67</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0.67</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0.67</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0.67</w:t>
            </w:r>
            <w:r>
              <w:rPr>
                <w:rFonts w:ascii="Times New Roman" w:hAnsi="Times New Roman"/>
                <w:color w:val="000000"/>
                <w:sz w:val="18"/>
                <w:u w:color="auto"/>
              </w:rPr>
              <w:t xml:space="preserve"> </w:t>
            </w: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kern w:val="2"/>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ind w:right="120" w:rightChars="50"/>
              <w:jc w:val="right"/>
              <w:textAlignment w:val="bottom"/>
              <w:rPr>
                <w:rFonts w:hint="default" w:ascii="Times New Roman" w:hAnsi="Times New Roman"/>
                <w:color w:val="000000"/>
                <w:sz w:val="18"/>
                <w:szCs w:val="18"/>
              </w:rPr>
            </w:pPr>
            <w:r>
              <w:rPr>
                <w:rFonts w:ascii="Times New Roman" w:hAnsi="Times New Roman"/>
                <w:color w:val="000000"/>
                <w:sz w:val="18"/>
                <w:u w:color="auto"/>
              </w:rPr>
              <w:t xml:space="preserve"> </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fldChar w:fldCharType="begin"/>
                          </w:r>
                          <w:r>
                            <w:instrText xml:space="preserve"> PAGE  \* MERGEFORMAT </w:instrText>
                          </w:r>
                          <w:r>
                            <w:fldChar w:fldCharType="separate"/>
                          </w:r>
                          <w:r>
                            <w:rPr>
                              <w:rFonts w:hint="default"/>
                            </w:rPr>
                            <w:t>- 19 -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4384" behindDoc="0" locked="0" layoutInCell="1" allowOverlap="0">
              <wp:simplePos x="0" y="0"/>
              <wp:positionH relativeFrom="margin">
                <wp:align>center</wp:align>
              </wp:positionH>
              <wp:positionV relativeFrom="paragraph">
                <wp:posOffset>0</wp:posOffset>
              </wp:positionV>
              <wp:extent cx="1828800" cy="1828800"/>
              <wp:effectExtent l="0" t="0" r="0" b="0"/>
              <wp:wrapNone/>
              <wp:docPr id="127" name="文本框 1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sPgxiRcCAAAZBAAADgAAAAAA&#10;AAABACAAAAAfAQAAZHJzL2Uyb0RvYy54bWxQSwUGAAAAAAYABgBZAQAAqAUAAAAA&#10;">
              <v:fill on="f" focussize="0,0"/>
              <v:stroke on="f" weight="0.5pt"/>
              <v:imagedata o:title=""/>
              <o:lock v:ext="edit" aspectratio="f"/>
              <v:textbox inset="0mm,0mm,0mm,0mm" style="mso-fit-shape-to-text:t;">
                <w:txbxContent>
                  <w:p>
                    <w:pPr>
                      <w:pStyle w:val="6"/>
                      <w:rPr>
                        <w:rFonts w:hint="default"/>
                      </w:rPr>
                    </w:pPr>
                    <w:r>
                      <w:t xml:space="preserve"> </w:t>
                    </w:r>
                    <w:r>
                      <w:fldChar w:fldCharType="begin"/>
                    </w:r>
                    <w:r>
                      <w:instrText xml:space="preserve">PAGE   \* MERGEFORMAT</w:instrText>
                    </w:r>
                    <w:r>
                      <w:fldChar w:fldCharType="separate"/>
                    </w:r>
                    <w:r>
                      <w:rPr>
                        <w:rFonts w:hint="default"/>
                        <w:lang w:val="zh-CN"/>
                      </w:rPr>
                      <w:t>-</w:t>
                    </w:r>
                    <w:r>
                      <w:rPr>
                        <w:rFonts w:hint="default"/>
                      </w:rPr>
                      <w:t xml:space="preserve"> 31 -</w:t>
                    </w:r>
                    <w:r>
                      <w:fldChar w:fldCharType="end"/>
                    </w:r>
                    <w:r>
                      <w:t xml:space="preserve"> </w:t>
                    </w:r>
                  </w:p>
                </w:txbxContent>
              </v:textbox>
            </v:shape>
          </w:pict>
        </mc:Fallback>
      </mc:AlternateContent>
    </w:r>
    <w:r>
      <w:rPr>
        <w:rFonts w:hint="default"/>
      </w:rPr>
      <mc:AlternateContent>
        <mc:Choice Requires="wps">
          <w:drawing>
            <wp:anchor distT="0" distB="0" distL="114300" distR="114300" simplePos="0" relativeHeight="251663360" behindDoc="0" locked="0" layoutInCell="1" allowOverlap="0">
              <wp:simplePos x="0" y="0"/>
              <wp:positionH relativeFrom="margin">
                <wp:align>center</wp:align>
              </wp:positionH>
              <wp:positionV relativeFrom="page">
                <wp:posOffset>14737080</wp:posOffset>
              </wp:positionV>
              <wp:extent cx="1828800" cy="220980"/>
              <wp:effectExtent l="0" t="0" r="0" b="0"/>
              <wp:wrapNone/>
              <wp:docPr id="126" name="文本框 126"/>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a:effectLst/>
                    </wps:spPr>
                    <wps:txbx>
                      <w:txbxContent>
                        <w:p>
                          <w:pPr>
                            <w:pStyle w:val="6"/>
                            <w:jc w:val="both"/>
                            <w:rPr>
                              <w:rFonts w:hint="default" w:cs="宋体"/>
                            </w:rPr>
                          </w:pPr>
                          <w:r>
                            <w:rPr>
                              <w:rFonts w:cs="宋体"/>
                            </w:rPr>
                            <w:t>— 27.1 —</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160.4pt;height:17.4pt;width:144pt;mso-position-horizontal:center;mso-position-horizontal-relative:margin;mso-position-vertical-relative:page;mso-wrap-style:none;z-index:251663360;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eA1UVNgAAAAKAQAA&#10;DwAAAAAAAAABACAAAAAiAAAAZHJzL2Rvd25yZXYueG1sUEsBAhQAFAAAAAgAh07iQG8zbR0ZAgAA&#10;GAQAAA4AAAAAAAAAAQAgAAAAJwEAAGRycy9lMm9Eb2MueG1sUEsFBgAAAAAGAAYAWQEAALIFAAAA&#10;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F2ACF"/>
    <w:rsid w:val="00D03AAF"/>
    <w:rsid w:val="00DD0539"/>
    <w:rsid w:val="00E07662"/>
    <w:rsid w:val="00E368E9"/>
    <w:rsid w:val="00EE1E33"/>
    <w:rsid w:val="00F73F90"/>
    <w:rsid w:val="00FB4B3B"/>
    <w:rsid w:val="01474EBF"/>
    <w:rsid w:val="01F3521E"/>
    <w:rsid w:val="036E2DA9"/>
    <w:rsid w:val="03B87EA0"/>
    <w:rsid w:val="03E3214F"/>
    <w:rsid w:val="044C50BA"/>
    <w:rsid w:val="05BC6D49"/>
    <w:rsid w:val="06194FF1"/>
    <w:rsid w:val="06A2550B"/>
    <w:rsid w:val="06F80EE2"/>
    <w:rsid w:val="07001CCA"/>
    <w:rsid w:val="075678DB"/>
    <w:rsid w:val="079D7CC7"/>
    <w:rsid w:val="08051BCA"/>
    <w:rsid w:val="086C12F4"/>
    <w:rsid w:val="08705944"/>
    <w:rsid w:val="08BA052C"/>
    <w:rsid w:val="08DB07BA"/>
    <w:rsid w:val="0969353F"/>
    <w:rsid w:val="098305D0"/>
    <w:rsid w:val="09B1218B"/>
    <w:rsid w:val="0A3317EA"/>
    <w:rsid w:val="0A5C4B69"/>
    <w:rsid w:val="0A86124A"/>
    <w:rsid w:val="0AB54CC0"/>
    <w:rsid w:val="0B9335CE"/>
    <w:rsid w:val="0BF2311A"/>
    <w:rsid w:val="0C7927C4"/>
    <w:rsid w:val="0C9B098C"/>
    <w:rsid w:val="0D673E11"/>
    <w:rsid w:val="0DDA54E4"/>
    <w:rsid w:val="0E3A5F83"/>
    <w:rsid w:val="0F836721"/>
    <w:rsid w:val="0FA25D96"/>
    <w:rsid w:val="0FBD3C60"/>
    <w:rsid w:val="107B59E5"/>
    <w:rsid w:val="10EC0126"/>
    <w:rsid w:val="10F70B9A"/>
    <w:rsid w:val="111445C7"/>
    <w:rsid w:val="114278C6"/>
    <w:rsid w:val="1158083A"/>
    <w:rsid w:val="11643A4B"/>
    <w:rsid w:val="11ED0F98"/>
    <w:rsid w:val="11F03528"/>
    <w:rsid w:val="12C921C4"/>
    <w:rsid w:val="13871C70"/>
    <w:rsid w:val="13A71CB4"/>
    <w:rsid w:val="13AF1D43"/>
    <w:rsid w:val="13CE1647"/>
    <w:rsid w:val="13FD55AB"/>
    <w:rsid w:val="14200702"/>
    <w:rsid w:val="14370EA1"/>
    <w:rsid w:val="145D6F41"/>
    <w:rsid w:val="1639311F"/>
    <w:rsid w:val="163A6CEE"/>
    <w:rsid w:val="173708E3"/>
    <w:rsid w:val="17C374FC"/>
    <w:rsid w:val="182E4AB6"/>
    <w:rsid w:val="189079DC"/>
    <w:rsid w:val="189B0D0B"/>
    <w:rsid w:val="18B43F7C"/>
    <w:rsid w:val="191C433B"/>
    <w:rsid w:val="194A1770"/>
    <w:rsid w:val="19B906A4"/>
    <w:rsid w:val="1AC077D6"/>
    <w:rsid w:val="1B6F15B6"/>
    <w:rsid w:val="1BAA2EDC"/>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20642787"/>
    <w:rsid w:val="21556F04"/>
    <w:rsid w:val="22403BD3"/>
    <w:rsid w:val="235417B6"/>
    <w:rsid w:val="24B92327"/>
    <w:rsid w:val="24C14514"/>
    <w:rsid w:val="2533755C"/>
    <w:rsid w:val="25791755"/>
    <w:rsid w:val="26396DF4"/>
    <w:rsid w:val="27167136"/>
    <w:rsid w:val="271B442C"/>
    <w:rsid w:val="27B23302"/>
    <w:rsid w:val="29310A5F"/>
    <w:rsid w:val="29C37A35"/>
    <w:rsid w:val="2A076083"/>
    <w:rsid w:val="2A73162E"/>
    <w:rsid w:val="2B167953"/>
    <w:rsid w:val="2B200583"/>
    <w:rsid w:val="2B8209DE"/>
    <w:rsid w:val="2B821C91"/>
    <w:rsid w:val="2BF81A22"/>
    <w:rsid w:val="2C636760"/>
    <w:rsid w:val="2C6762A3"/>
    <w:rsid w:val="2DF41D09"/>
    <w:rsid w:val="2FCA4B37"/>
    <w:rsid w:val="2FE029D7"/>
    <w:rsid w:val="2FF06E00"/>
    <w:rsid w:val="3012614D"/>
    <w:rsid w:val="30176939"/>
    <w:rsid w:val="30586FEC"/>
    <w:rsid w:val="315F0B22"/>
    <w:rsid w:val="31D84415"/>
    <w:rsid w:val="32285F6F"/>
    <w:rsid w:val="32770556"/>
    <w:rsid w:val="329C0913"/>
    <w:rsid w:val="32AA0460"/>
    <w:rsid w:val="3337290D"/>
    <w:rsid w:val="33E31118"/>
    <w:rsid w:val="33EF7674"/>
    <w:rsid w:val="342D7BC6"/>
    <w:rsid w:val="352930DB"/>
    <w:rsid w:val="35573069"/>
    <w:rsid w:val="355F6038"/>
    <w:rsid w:val="358C217E"/>
    <w:rsid w:val="36C9128A"/>
    <w:rsid w:val="37841E99"/>
    <w:rsid w:val="37BF1123"/>
    <w:rsid w:val="383C3F15"/>
    <w:rsid w:val="38BE4696"/>
    <w:rsid w:val="3939115E"/>
    <w:rsid w:val="39AB7AFE"/>
    <w:rsid w:val="39B82A39"/>
    <w:rsid w:val="39C42CA8"/>
    <w:rsid w:val="39DC4FD6"/>
    <w:rsid w:val="39F03D7A"/>
    <w:rsid w:val="39F33306"/>
    <w:rsid w:val="3A1A0B83"/>
    <w:rsid w:val="3A2C1C67"/>
    <w:rsid w:val="3A2C6DA1"/>
    <w:rsid w:val="3A6A77C9"/>
    <w:rsid w:val="3ADD7F09"/>
    <w:rsid w:val="3B1705E5"/>
    <w:rsid w:val="3B18334B"/>
    <w:rsid w:val="3B36794F"/>
    <w:rsid w:val="3B6F6EE0"/>
    <w:rsid w:val="3C566AD6"/>
    <w:rsid w:val="3C594871"/>
    <w:rsid w:val="3C6A5B02"/>
    <w:rsid w:val="3D2757A1"/>
    <w:rsid w:val="3D3D4FC4"/>
    <w:rsid w:val="3D6F21C5"/>
    <w:rsid w:val="3DDF3AB1"/>
    <w:rsid w:val="3E1D0952"/>
    <w:rsid w:val="3E42660A"/>
    <w:rsid w:val="3E7555B1"/>
    <w:rsid w:val="3E787ED9"/>
    <w:rsid w:val="3F032E93"/>
    <w:rsid w:val="3F0527E5"/>
    <w:rsid w:val="3F4C52C6"/>
    <w:rsid w:val="3F694D83"/>
    <w:rsid w:val="3F885DCC"/>
    <w:rsid w:val="3FCD675E"/>
    <w:rsid w:val="4004000C"/>
    <w:rsid w:val="40BD5482"/>
    <w:rsid w:val="411B6CE5"/>
    <w:rsid w:val="412070D7"/>
    <w:rsid w:val="41314E40"/>
    <w:rsid w:val="41E0734B"/>
    <w:rsid w:val="426C1EA8"/>
    <w:rsid w:val="42736402"/>
    <w:rsid w:val="42E86A87"/>
    <w:rsid w:val="43307B09"/>
    <w:rsid w:val="436D44AF"/>
    <w:rsid w:val="439A3EB9"/>
    <w:rsid w:val="43A2191B"/>
    <w:rsid w:val="43BB152F"/>
    <w:rsid w:val="44C37687"/>
    <w:rsid w:val="45CB699A"/>
    <w:rsid w:val="46423C66"/>
    <w:rsid w:val="465B470D"/>
    <w:rsid w:val="469D6AD4"/>
    <w:rsid w:val="471E6C84"/>
    <w:rsid w:val="4748792B"/>
    <w:rsid w:val="475D719D"/>
    <w:rsid w:val="47674801"/>
    <w:rsid w:val="48225EF7"/>
    <w:rsid w:val="488F422B"/>
    <w:rsid w:val="48E36915"/>
    <w:rsid w:val="48EB6572"/>
    <w:rsid w:val="495C4A24"/>
    <w:rsid w:val="497135DF"/>
    <w:rsid w:val="4A263DF2"/>
    <w:rsid w:val="4A2F278B"/>
    <w:rsid w:val="4A6F6675"/>
    <w:rsid w:val="4AC26C93"/>
    <w:rsid w:val="4B135857"/>
    <w:rsid w:val="4B7951CB"/>
    <w:rsid w:val="4B7C315C"/>
    <w:rsid w:val="4C9316A8"/>
    <w:rsid w:val="4D1F53CA"/>
    <w:rsid w:val="4DAC4ACA"/>
    <w:rsid w:val="4DBE01D2"/>
    <w:rsid w:val="4F0C6BA3"/>
    <w:rsid w:val="4F186D58"/>
    <w:rsid w:val="4FAB3463"/>
    <w:rsid w:val="50F06B6E"/>
    <w:rsid w:val="51D21804"/>
    <w:rsid w:val="52234D33"/>
    <w:rsid w:val="522F6E0C"/>
    <w:rsid w:val="52463BA1"/>
    <w:rsid w:val="52F163D4"/>
    <w:rsid w:val="531A2DB4"/>
    <w:rsid w:val="53C0244D"/>
    <w:rsid w:val="53DD4D4E"/>
    <w:rsid w:val="53E578CE"/>
    <w:rsid w:val="541330F0"/>
    <w:rsid w:val="54272666"/>
    <w:rsid w:val="543B029D"/>
    <w:rsid w:val="54861779"/>
    <w:rsid w:val="552256E1"/>
    <w:rsid w:val="554E5773"/>
    <w:rsid w:val="555829E0"/>
    <w:rsid w:val="555A3CBC"/>
    <w:rsid w:val="5582012B"/>
    <w:rsid w:val="558E4E05"/>
    <w:rsid w:val="55BE2E85"/>
    <w:rsid w:val="56530F5D"/>
    <w:rsid w:val="567700D3"/>
    <w:rsid w:val="569E5A73"/>
    <w:rsid w:val="56FF7E9E"/>
    <w:rsid w:val="578867FC"/>
    <w:rsid w:val="5842572D"/>
    <w:rsid w:val="58614FDC"/>
    <w:rsid w:val="5A3B59D6"/>
    <w:rsid w:val="5AD134D8"/>
    <w:rsid w:val="5BF41F67"/>
    <w:rsid w:val="5C263CE4"/>
    <w:rsid w:val="5C5D2777"/>
    <w:rsid w:val="5CF66BF3"/>
    <w:rsid w:val="5D290C69"/>
    <w:rsid w:val="5DA80C2C"/>
    <w:rsid w:val="5F2D4A41"/>
    <w:rsid w:val="60C02211"/>
    <w:rsid w:val="60C74F6C"/>
    <w:rsid w:val="61015958"/>
    <w:rsid w:val="61025A59"/>
    <w:rsid w:val="613D5BBC"/>
    <w:rsid w:val="61536C39"/>
    <w:rsid w:val="61894431"/>
    <w:rsid w:val="62944DD7"/>
    <w:rsid w:val="6319381F"/>
    <w:rsid w:val="63C25DC5"/>
    <w:rsid w:val="63C62057"/>
    <w:rsid w:val="63F5493C"/>
    <w:rsid w:val="64571EF5"/>
    <w:rsid w:val="64FB113D"/>
    <w:rsid w:val="656152C6"/>
    <w:rsid w:val="6587477F"/>
    <w:rsid w:val="658C3A08"/>
    <w:rsid w:val="65C031CA"/>
    <w:rsid w:val="65CE6852"/>
    <w:rsid w:val="66267C04"/>
    <w:rsid w:val="663F505A"/>
    <w:rsid w:val="66AF5D7C"/>
    <w:rsid w:val="66EE5541"/>
    <w:rsid w:val="67924660"/>
    <w:rsid w:val="68407834"/>
    <w:rsid w:val="6883293E"/>
    <w:rsid w:val="688412AD"/>
    <w:rsid w:val="68EB1B71"/>
    <w:rsid w:val="696C0310"/>
    <w:rsid w:val="6A6C7940"/>
    <w:rsid w:val="6A9F1565"/>
    <w:rsid w:val="6AAD2300"/>
    <w:rsid w:val="6B474EF5"/>
    <w:rsid w:val="6C0A5AC5"/>
    <w:rsid w:val="6C560CAE"/>
    <w:rsid w:val="6C576495"/>
    <w:rsid w:val="6D903FF5"/>
    <w:rsid w:val="6DA955B8"/>
    <w:rsid w:val="6DE346AB"/>
    <w:rsid w:val="6DE5391A"/>
    <w:rsid w:val="6EFD1324"/>
    <w:rsid w:val="6F5A53AC"/>
    <w:rsid w:val="6FAC003D"/>
    <w:rsid w:val="6FD926BF"/>
    <w:rsid w:val="6FE55E12"/>
    <w:rsid w:val="6FFB2E76"/>
    <w:rsid w:val="6FFC400C"/>
    <w:rsid w:val="708F6F7F"/>
    <w:rsid w:val="70D94BD3"/>
    <w:rsid w:val="71574775"/>
    <w:rsid w:val="71C34D91"/>
    <w:rsid w:val="72DB435C"/>
    <w:rsid w:val="72E2613A"/>
    <w:rsid w:val="72F771F4"/>
    <w:rsid w:val="72FF75B0"/>
    <w:rsid w:val="73934AD2"/>
    <w:rsid w:val="73FA6618"/>
    <w:rsid w:val="750837F0"/>
    <w:rsid w:val="754758CF"/>
    <w:rsid w:val="75595ECD"/>
    <w:rsid w:val="764F62AB"/>
    <w:rsid w:val="765C45EC"/>
    <w:rsid w:val="768A7619"/>
    <w:rsid w:val="772E1EBA"/>
    <w:rsid w:val="781926BC"/>
    <w:rsid w:val="79585E19"/>
    <w:rsid w:val="796D60A4"/>
    <w:rsid w:val="797A664A"/>
    <w:rsid w:val="79A031D5"/>
    <w:rsid w:val="79B47FDF"/>
    <w:rsid w:val="79E569A9"/>
    <w:rsid w:val="7A1525F7"/>
    <w:rsid w:val="7B420052"/>
    <w:rsid w:val="7B964597"/>
    <w:rsid w:val="7BD06A28"/>
    <w:rsid w:val="7C3A7C0B"/>
    <w:rsid w:val="7C5248E4"/>
    <w:rsid w:val="7C566698"/>
    <w:rsid w:val="7C5866A3"/>
    <w:rsid w:val="7D7406BB"/>
    <w:rsid w:val="7DE94331"/>
    <w:rsid w:val="7E9900D4"/>
    <w:rsid w:val="7F446A19"/>
    <w:rsid w:val="7F745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keepNext w:val="0"/>
      <w:keepLines w:val="0"/>
      <w:widowControl w:val="0"/>
      <w:suppressLineNumbers w:val="0"/>
      <w:spacing w:before="0" w:beforeAutospacing="0" w:after="0" w:afterAutospacing="0"/>
      <w:ind w:left="101" w:right="0" w:firstLine="679"/>
      <w:jc w:val="left"/>
    </w:pPr>
    <w:rPr>
      <w:rFonts w:hint="default" w:ascii="Arial" w:hAnsi="Arial" w:eastAsia="宋体" w:cs="Times New Roman"/>
      <w:kern w:val="0"/>
      <w:sz w:val="34"/>
      <w:szCs w:val="34"/>
      <w:lang w:val="en-US" w:eastAsia="zh-CN" w:bidi="ar"/>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List Paragraph"/>
    <w:qFormat/>
    <w:uiPriority w:val="99"/>
    <w:pPr>
      <w:ind w:firstLine="420" w:firstLineChars="200"/>
    </w:pPr>
    <w:rPr>
      <w:rFonts w:hint="default" w:ascii="宋体" w:hAnsi="宋体" w:eastAsia="宋体" w:cs="Times New Roman"/>
      <w:sz w:val="24"/>
      <w:szCs w:val="24"/>
      <w:lang w:val="en-US" w:eastAsia="zh-CN" w:bidi="ar-SA"/>
    </w:rPr>
  </w:style>
  <w:style w:type="character" w:customStyle="1" w:styleId="20">
    <w:name w:val="25"/>
    <w:basedOn w:val="10"/>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3935</Words>
  <Characters>22430</Characters>
  <Lines>186</Lines>
  <Paragraphs>52</Paragraphs>
  <TotalTime>1</TotalTime>
  <ScaleCrop>false</ScaleCrop>
  <LinksUpToDate>false</LinksUpToDate>
  <CharactersWithSpaces>26313</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2024-07-11T02:00:00Z</dcterms:created>
  <dc:creator>Administrator</dc:creator>
  <cp:lastModifiedBy>龚盼</cp:lastModifiedBy>
  <dcterms:modified xsi:type="dcterms:W3CDTF">2025-10-14T09:01:31Z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BB46EABDBB2749749395447164B066B3_12</vt:lpwstr>
  </property>
</Properties>
</file>