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before="0" w:beforeAutospacing="0" w:after="0" w:afterAutospacing="0" w:line="596" w:lineRule="exact"/>
        <w:jc w:val="center"/>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秀山土家族苗族自治县大溪镇卫生院</w:t>
      </w:r>
    </w:p>
    <w:p>
      <w:pPr>
        <w:pStyle w:val="9"/>
        <w:spacing w:before="0" w:beforeAutospacing="0" w:after="0" w:afterAutospacing="0" w:line="596" w:lineRule="exact"/>
        <w:jc w:val="center"/>
        <w:rPr>
          <w:rFonts w:hint="default" w:ascii="方正小标宋_GBK" w:hAnsi="方正小标宋_GBK" w:eastAsia="方正小标宋_GBK" w:cs="方正小标宋_GBK"/>
          <w:sz w:val="36"/>
          <w:szCs w:val="36"/>
          <w:shd w:val="clear" w:color="auto" w:fill="FFFFFF"/>
        </w:rPr>
      </w:pPr>
      <w:r>
        <w:rPr>
          <w:rFonts w:hint="default" w:ascii="Times New Roman" w:hAnsi="Times New Roman" w:eastAsia="方正小标宋_GBK" w:cs="Times New Roman"/>
          <w:sz w:val="44"/>
          <w:szCs w:val="44"/>
          <w:shd w:val="clear" w:color="auto" w:fill="FFFFFF"/>
        </w:rPr>
        <w:t>2024</w:t>
      </w:r>
      <w:r>
        <w:rPr>
          <w:rFonts w:ascii="方正小标宋_GBK" w:hAnsi="方正小标宋_GBK" w:eastAsia="方正小标宋_GBK" w:cs="方正小标宋_GBK"/>
          <w:sz w:val="44"/>
          <w:szCs w:val="44"/>
          <w:shd w:val="clear" w:color="auto" w:fill="FFFFFF"/>
        </w:rPr>
        <w:t>年度决算公开说明</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rPr>
      </w:pP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一、单位基本情况</w:t>
      </w:r>
    </w:p>
    <w:p>
      <w:pPr>
        <w:pStyle w:val="9"/>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560" w:lineRule="exact"/>
        <w:ind w:firstLine="640" w:firstLineChars="200"/>
        <w:jc w:val="both"/>
        <w:textAlignment w:val="auto"/>
        <w:rPr>
          <w:rFonts w:hint="eastAsia" w:ascii="方正楷体_GBK" w:hAnsi="方正楷体_GBK" w:eastAsia="方正楷体_GBK" w:cs="方正楷体_GBK"/>
          <w:b w:val="0"/>
          <w:bCs/>
          <w:sz w:val="32"/>
          <w:szCs w:val="32"/>
        </w:rPr>
      </w:pPr>
      <w:r>
        <w:rPr>
          <w:rStyle w:val="11"/>
          <w:rFonts w:hint="eastAsia" w:ascii="方正楷体_GBK" w:hAnsi="方正楷体_GBK" w:eastAsia="方正楷体_GBK" w:cs="方正楷体_GBK"/>
          <w:b w:val="0"/>
          <w:bCs/>
          <w:sz w:val="32"/>
          <w:szCs w:val="32"/>
          <w:shd w:val="clear" w:color="auto" w:fill="FFFFFF"/>
        </w:rPr>
        <w:t>（一）职能职责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方正仿宋_GBK" w:hAnsi="方正仿宋_GBK" w:eastAsia="方正仿宋_GBK" w:cs="方正仿宋_GBK"/>
          <w:b w:val="0"/>
          <w:bCs w:val="0"/>
          <w:color w:val="333333"/>
          <w:kern w:val="0"/>
          <w:sz w:val="32"/>
          <w:szCs w:val="32"/>
          <w:shd w:val="clear" w:fill="FFFFFF"/>
        </w:rPr>
        <w:t>本单位属基层医疗卫生机构，为非营利性医疗机构，应当为居民提供基本医疗和基本公共卫生服务。基层医疗卫生机构应当使用与其能力相适应的技术、设备和药物，按照规范诊疗程序开展常见病、多发病的诊疗和部分疾病的康复、护理，提供中医药诊疗、双向转诊、现场急诊急救等医疗服务。本单位为乡镇卫生院，应当履行以下公共卫生职责：</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1</w:t>
      </w:r>
      <w:r>
        <w:rPr>
          <w:rFonts w:hint="eastAsia" w:ascii="方正仿宋_GBK" w:hAnsi="方正仿宋_GBK" w:eastAsia="方正仿宋_GBK" w:cs="方正仿宋_GBK"/>
          <w:b w:val="0"/>
          <w:bCs w:val="0"/>
          <w:color w:val="333333"/>
          <w:kern w:val="0"/>
          <w:sz w:val="32"/>
          <w:szCs w:val="32"/>
          <w:shd w:val="clear" w:fill="FFFFFF"/>
        </w:rPr>
        <w:t>.根据国家和本市规定收集、报送辖区内卫生健康信息，建立和管理居民健康档案，提出改进辖区公共卫生状况的建议；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2</w:t>
      </w:r>
      <w:r>
        <w:rPr>
          <w:rFonts w:hint="eastAsia" w:ascii="方正仿宋_GBK" w:hAnsi="方正仿宋_GBK" w:eastAsia="方正仿宋_GBK" w:cs="方正仿宋_GBK"/>
          <w:b w:val="0"/>
          <w:bCs w:val="0"/>
          <w:color w:val="333333"/>
          <w:kern w:val="0"/>
          <w:sz w:val="32"/>
          <w:szCs w:val="32"/>
          <w:shd w:val="clear" w:fill="FFFFFF"/>
        </w:rPr>
        <w:t>.开展健康教育，普及健康知识；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3</w:t>
      </w:r>
      <w:r>
        <w:rPr>
          <w:rFonts w:hint="eastAsia" w:ascii="方正仿宋_GBK" w:hAnsi="方正仿宋_GBK" w:eastAsia="方正仿宋_GBK" w:cs="方正仿宋_GBK"/>
          <w:b w:val="0"/>
          <w:bCs w:val="0"/>
          <w:color w:val="333333"/>
          <w:kern w:val="0"/>
          <w:sz w:val="32"/>
          <w:szCs w:val="32"/>
          <w:shd w:val="clear" w:fill="FFFFFF"/>
        </w:rPr>
        <w:t>.协助开展传染病以及地方病、寄生虫病的预防控制，配合开展爱国卫生工作；</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4</w:t>
      </w:r>
      <w:r>
        <w:rPr>
          <w:rFonts w:hint="eastAsia" w:ascii="方正仿宋_GBK" w:hAnsi="方正仿宋_GBK" w:eastAsia="方正仿宋_GBK" w:cs="方正仿宋_GBK"/>
          <w:b w:val="0"/>
          <w:bCs w:val="0"/>
          <w:color w:val="333333"/>
          <w:kern w:val="0"/>
          <w:sz w:val="32"/>
          <w:szCs w:val="32"/>
          <w:shd w:val="clear" w:fill="FFFFFF"/>
        </w:rPr>
        <w:t>.做好高危人群、重点慢性病患者的筛查和病例管理；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5</w:t>
      </w:r>
      <w:r>
        <w:rPr>
          <w:rFonts w:hint="eastAsia" w:ascii="方正仿宋_GBK" w:hAnsi="方正仿宋_GBK" w:eastAsia="方正仿宋_GBK" w:cs="方正仿宋_GBK"/>
          <w:b w:val="0"/>
          <w:bCs w:val="0"/>
          <w:color w:val="333333"/>
          <w:kern w:val="0"/>
          <w:sz w:val="32"/>
          <w:szCs w:val="32"/>
          <w:shd w:val="clear" w:fill="FFFFFF"/>
        </w:rPr>
        <w:t>.提供心理健康指导服务，实施精神病社区管理；</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6</w:t>
      </w:r>
      <w:r>
        <w:rPr>
          <w:rFonts w:hint="eastAsia" w:ascii="方正仿宋_GBK" w:hAnsi="方正仿宋_GBK" w:eastAsia="方正仿宋_GBK" w:cs="方正仿宋_GBK"/>
          <w:b w:val="0"/>
          <w:bCs w:val="0"/>
          <w:color w:val="333333"/>
          <w:kern w:val="0"/>
          <w:sz w:val="32"/>
          <w:szCs w:val="32"/>
          <w:shd w:val="clear" w:fill="FFFFFF"/>
        </w:rPr>
        <w:t>.为妇女、儿童、老年人、残疾人等重点人群提供保健和康复服务；</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eastAsia" w:ascii="Times New Roman" w:hAnsi="Times New Roman" w:eastAsia="方正仿宋_GBK" w:cs="方正仿宋_GBK"/>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7</w:t>
      </w:r>
      <w:r>
        <w:rPr>
          <w:rFonts w:hint="eastAsia" w:ascii="方正仿宋_GBK" w:hAnsi="方正仿宋_GBK" w:eastAsia="方正仿宋_GBK" w:cs="方正仿宋_GBK"/>
          <w:b w:val="0"/>
          <w:bCs w:val="0"/>
          <w:color w:val="333333"/>
          <w:kern w:val="0"/>
          <w:sz w:val="32"/>
          <w:szCs w:val="32"/>
          <w:shd w:val="clear" w:fill="FFFFFF"/>
        </w:rPr>
        <w:t>.提供计划生育技术服务，协助处置辖区内突发公共卫生事件等；</w:t>
      </w:r>
    </w:p>
    <w:p>
      <w:pPr>
        <w:pStyle w:val="9"/>
        <w:keepNext w:val="0"/>
        <w:keepLines w:val="0"/>
        <w:pageBreakBefore w:val="0"/>
        <w:widowControl/>
        <w:shd w:val="clear" w:color="auto"/>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shd w:val="clear" w:fill="FFFFFF"/>
        </w:rPr>
      </w:pPr>
      <w:r>
        <w:rPr>
          <w:rFonts w:hint="eastAsia" w:ascii="Times New Roman" w:hAnsi="Times New Roman" w:eastAsia="方正仿宋_GBK" w:cs="方正仿宋_GBK"/>
          <w:b w:val="0"/>
          <w:bCs w:val="0"/>
          <w:color w:val="333333"/>
          <w:kern w:val="0"/>
          <w:sz w:val="32"/>
          <w:szCs w:val="32"/>
          <w:shd w:val="clear" w:fill="FFFFFF"/>
        </w:rPr>
        <w:t>8</w:t>
      </w:r>
      <w:r>
        <w:rPr>
          <w:rFonts w:hint="eastAsia" w:ascii="方正仿宋_GBK" w:hAnsi="方正仿宋_GBK" w:eastAsia="方正仿宋_GBK" w:cs="方正仿宋_GBK"/>
          <w:b w:val="0"/>
          <w:bCs w:val="0"/>
          <w:color w:val="333333"/>
          <w:kern w:val="0"/>
          <w:sz w:val="32"/>
          <w:szCs w:val="32"/>
          <w:shd w:val="clear" w:fill="FFFFFF"/>
        </w:rPr>
        <w:t>.按要求提供其他公共卫生服务。</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default" w:ascii="方正楷体_GBK" w:hAnsi="方正楷体_GBK" w:eastAsia="方正楷体_GBK" w:cs="方正楷体_GBK"/>
          <w:b w:val="0"/>
          <w:bCs/>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rPr>
        <w:t>（二）机构设置</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Times New Roman"/>
          <w:b w:val="0"/>
          <w:bCs w:val="0"/>
          <w:color w:val="333333"/>
          <w:kern w:val="0"/>
          <w:sz w:val="32"/>
          <w:szCs w:val="32"/>
          <w:highlight w:val="none"/>
          <w:shd w:val="clear" w:fill="FFFFFF"/>
        </w:rPr>
      </w:pPr>
      <w:r>
        <w:rPr>
          <w:rFonts w:hint="default" w:ascii="Times New Roman" w:hAnsi="Times New Roman" w:eastAsia="方正仿宋_GBK" w:cs="Times New Roman"/>
          <w:b w:val="0"/>
          <w:bCs w:val="0"/>
          <w:color w:val="333333"/>
          <w:kern w:val="0"/>
          <w:sz w:val="32"/>
          <w:szCs w:val="32"/>
          <w:highlight w:val="none"/>
          <w:shd w:val="clear" w:fill="FFFFFF"/>
        </w:rPr>
        <w:t>本单位</w:t>
      </w:r>
      <w:r>
        <w:rPr>
          <w:rFonts w:hint="default" w:ascii="Times New Roman" w:hAnsi="Times New Roman" w:eastAsia="方正仿宋_GBK" w:cs="Times New Roman"/>
          <w:b w:val="0"/>
          <w:bCs w:val="0"/>
          <w:color w:val="333333"/>
          <w:kern w:val="0"/>
          <w:sz w:val="32"/>
          <w:szCs w:val="32"/>
          <w:highlight w:val="none"/>
          <w:shd w:val="clear" w:fill="FFFFFF"/>
          <w:lang w:eastAsia="zh-CN"/>
        </w:rPr>
        <w:t>为托管单位</w:t>
      </w:r>
      <w:r>
        <w:rPr>
          <w:rFonts w:hint="default" w:ascii="Times New Roman" w:hAnsi="Times New Roman" w:eastAsia="方正仿宋_GBK" w:cs="Times New Roman"/>
          <w:b w:val="0"/>
          <w:bCs w:val="0"/>
          <w:color w:val="333333"/>
          <w:kern w:val="0"/>
          <w:sz w:val="32"/>
          <w:szCs w:val="32"/>
          <w:highlight w:val="none"/>
          <w:shd w:val="clear" w:fill="FFFFFF"/>
        </w:rPr>
        <w:t>下设</w:t>
      </w:r>
      <w:r>
        <w:rPr>
          <w:rFonts w:hint="default" w:ascii="Times New Roman" w:hAnsi="Times New Roman" w:eastAsia="方正仿宋_GBK" w:cs="Times New Roman"/>
          <w:b w:val="0"/>
          <w:bCs w:val="0"/>
          <w:color w:val="333333"/>
          <w:kern w:val="0"/>
          <w:sz w:val="32"/>
          <w:szCs w:val="32"/>
          <w:highlight w:val="none"/>
          <w:shd w:val="clear" w:fill="FFFFFF"/>
          <w:lang w:eastAsia="zh-CN"/>
        </w:rPr>
        <w:t>全科门诊</w:t>
      </w:r>
      <w:r>
        <w:rPr>
          <w:rFonts w:hint="default" w:ascii="Times New Roman" w:hAnsi="Times New Roman" w:eastAsia="方正仿宋_GBK" w:cs="Times New Roman"/>
          <w:b w:val="0"/>
          <w:bCs w:val="0"/>
          <w:color w:val="333333"/>
          <w:kern w:val="0"/>
          <w:sz w:val="32"/>
          <w:szCs w:val="32"/>
          <w:highlight w:val="none"/>
          <w:shd w:val="clear" w:fill="FFFFFF"/>
        </w:rPr>
        <w:t>。本单位实有事业编制</w:t>
      </w:r>
      <w:r>
        <w:rPr>
          <w:rFonts w:hint="eastAsia" w:ascii="Times New Roman" w:hAnsi="Times New Roman" w:eastAsia="方正仿宋_GBK" w:cs="Times New Roman"/>
          <w:b w:val="0"/>
          <w:bCs w:val="0"/>
          <w:color w:val="000000" w:themeColor="text1"/>
          <w:kern w:val="0"/>
          <w:sz w:val="32"/>
          <w:szCs w:val="32"/>
          <w:highlight w:val="none"/>
          <w:shd w:val="clear" w:fill="FFFFFF"/>
          <w:lang w:val="en-US" w:eastAsia="zh-CN"/>
          <w14:textFill>
            <w14:solidFill>
              <w14:schemeClr w14:val="tx1"/>
            </w14:solidFill>
          </w14:textFill>
        </w:rPr>
        <w:t>10</w:t>
      </w:r>
      <w:r>
        <w:rPr>
          <w:rFonts w:hint="default" w:ascii="Times New Roman" w:hAnsi="Times New Roman" w:eastAsia="方正仿宋_GBK" w:cs="Times New Roman"/>
          <w:b w:val="0"/>
          <w:bCs w:val="0"/>
          <w:color w:val="333333"/>
          <w:kern w:val="0"/>
          <w:sz w:val="32"/>
          <w:szCs w:val="32"/>
          <w:highlight w:val="none"/>
          <w:shd w:val="clear" w:fill="FFFFFF"/>
        </w:rPr>
        <w:t>名，临聘人员</w:t>
      </w:r>
      <w:r>
        <w:rPr>
          <w:rFonts w:hint="default" w:ascii="Times New Roman" w:hAnsi="Times New Roman" w:eastAsia="方正仿宋_GBK" w:cs="Times New Roman"/>
          <w:b w:val="0"/>
          <w:bCs w:val="0"/>
          <w:color w:val="333333"/>
          <w:kern w:val="0"/>
          <w:sz w:val="32"/>
          <w:szCs w:val="32"/>
          <w:highlight w:val="none"/>
          <w:shd w:val="clear" w:fill="FFFFFF"/>
          <w:lang w:val="en-US" w:eastAsia="zh-CN"/>
        </w:rPr>
        <w:t>1</w:t>
      </w:r>
      <w:r>
        <w:rPr>
          <w:rFonts w:hint="default" w:ascii="Times New Roman" w:hAnsi="Times New Roman" w:eastAsia="方正仿宋_GBK" w:cs="Times New Roman"/>
          <w:b w:val="0"/>
          <w:bCs w:val="0"/>
          <w:color w:val="333333"/>
          <w:kern w:val="0"/>
          <w:sz w:val="32"/>
          <w:szCs w:val="32"/>
          <w:highlight w:val="none"/>
          <w:shd w:val="clear" w:fill="FFFFFF"/>
        </w:rPr>
        <w:t>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二、单位决算收支情况说明</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eastAsia" w:ascii="Times New Roman" w:hAnsi="Times New Roman" w:eastAsia="方正楷体_GBK" w:cs="方正楷体_GBK"/>
          <w:b w:val="0"/>
          <w:bCs/>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rPr>
        <w:t>（一）收入支出决算总体情况说明</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方正仿宋_GBK" w:hAnsi="方正仿宋_GBK" w:eastAsia="方正仿宋_GBK" w:cs="方正仿宋_GBK"/>
          <w:b w:val="0"/>
          <w:bCs w:val="0"/>
          <w:color w:val="333333"/>
          <w:kern w:val="0"/>
          <w:sz w:val="32"/>
          <w:szCs w:val="32"/>
          <w:shd w:val="clear" w:fill="FFFFFF"/>
          <w:lang w:val="en-US" w:eastAsia="zh-CN" w:bidi="ar-SA"/>
        </w:rPr>
        <w:t>年度收、支总计均</w:t>
      </w:r>
      <w:r>
        <w:rPr>
          <w:rFonts w:hint="eastAsia" w:ascii="Times New Roman" w:hAnsi="Times New Roman" w:eastAsia="方正仿宋_GBK" w:cs="方正仿宋_GBK"/>
          <w:b w:val="0"/>
          <w:bCs w:val="0"/>
          <w:color w:val="333333"/>
          <w:kern w:val="0"/>
          <w:sz w:val="32"/>
          <w:szCs w:val="32"/>
          <w:shd w:val="clear" w:fill="FFFFFF"/>
          <w:lang w:val="en-US" w:eastAsia="zh-CN" w:bidi="ar-SA"/>
        </w:rPr>
        <w:t>为</w:t>
      </w:r>
      <w:r>
        <w:rPr>
          <w:rFonts w:hint="default" w:ascii="Times New Roman" w:hAnsi="Times New Roman" w:eastAsia="方正仿宋_GBK" w:cs="方正仿宋_GBK"/>
          <w:b w:val="0"/>
          <w:bCs w:val="0"/>
          <w:color w:val="333333"/>
          <w:kern w:val="0"/>
          <w:sz w:val="32"/>
          <w:szCs w:val="32"/>
          <w:shd w:val="clear" w:fill="FFFFFF"/>
          <w:lang w:val="en-US" w:eastAsia="zh-CN" w:bidi="ar-SA"/>
        </w:rPr>
        <w:t>111.60</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w:t>
      </w:r>
      <w:r>
        <w:rPr>
          <w:rFonts w:hint="default" w:ascii="方正仿宋_GBK" w:hAnsi="方正仿宋_GBK" w:eastAsia="方正仿宋_GBK" w:cs="方正仿宋_GBK"/>
          <w:b w:val="0"/>
          <w:bCs w:val="0"/>
          <w:color w:val="333333"/>
          <w:kern w:val="0"/>
          <w:sz w:val="32"/>
          <w:szCs w:val="32"/>
          <w:shd w:val="clear" w:fill="FFFFFF"/>
          <w:lang w:val="en-US" w:eastAsia="zh-CN" w:bidi="ar-SA"/>
        </w:rPr>
        <w:t>收、支</w:t>
      </w:r>
      <w:r>
        <w:rPr>
          <w:rFonts w:hint="default" w:ascii="Times New Roman" w:hAnsi="Times New Roman" w:eastAsia="方正仿宋_GBK" w:cs="方正仿宋_GBK"/>
          <w:b w:val="0"/>
          <w:bCs w:val="0"/>
          <w:color w:val="333333"/>
          <w:kern w:val="0"/>
          <w:sz w:val="32"/>
          <w:szCs w:val="32"/>
          <w:shd w:val="clear" w:fill="FFFFFF"/>
          <w:lang w:val="en-US" w:eastAsia="zh-CN" w:bidi="ar-SA"/>
        </w:rPr>
        <w:t>与2023</w:t>
      </w:r>
      <w:r>
        <w:rPr>
          <w:rFonts w:hint="default" w:ascii="方正仿宋_GBK" w:hAnsi="方正仿宋_GBK" w:eastAsia="方正仿宋_GBK" w:cs="方正仿宋_GBK"/>
          <w:b w:val="0"/>
          <w:bCs w:val="0"/>
          <w:color w:val="333333"/>
          <w:kern w:val="0"/>
          <w:sz w:val="32"/>
          <w:szCs w:val="32"/>
          <w:shd w:val="clear" w:fill="FFFFFF"/>
          <w:lang w:val="en-US" w:eastAsia="zh-CN" w:bidi="ar-SA"/>
        </w:rPr>
        <w:t>年度相比，减</w:t>
      </w:r>
      <w:r>
        <w:rPr>
          <w:rFonts w:hint="default" w:ascii="Times New Roman" w:hAnsi="Times New Roman" w:eastAsia="方正仿宋_GBK" w:cs="方正仿宋_GBK"/>
          <w:b w:val="0"/>
          <w:bCs w:val="0"/>
          <w:color w:val="333333"/>
          <w:kern w:val="0"/>
          <w:sz w:val="32"/>
          <w:szCs w:val="32"/>
          <w:shd w:val="clear" w:fill="FFFFFF"/>
          <w:lang w:val="en-US" w:eastAsia="zh-CN" w:bidi="ar-SA"/>
        </w:rPr>
        <w:t>少18.48</w:t>
      </w:r>
      <w:r>
        <w:rPr>
          <w:rFonts w:hint="default" w:ascii="方正仿宋_GBK" w:hAnsi="方正仿宋_GBK" w:eastAsia="方正仿宋_GBK" w:cs="方正仿宋_GBK"/>
          <w:b w:val="0"/>
          <w:bCs w:val="0"/>
          <w:color w:val="333333"/>
          <w:kern w:val="0"/>
          <w:sz w:val="32"/>
          <w:szCs w:val="32"/>
          <w:shd w:val="clear" w:fill="FFFFFF"/>
          <w:lang w:val="en-US" w:eastAsia="zh-CN" w:bidi="ar-SA"/>
        </w:rPr>
        <w:t>万元，下</w:t>
      </w:r>
      <w:r>
        <w:rPr>
          <w:rFonts w:hint="default" w:ascii="Times New Roman" w:hAnsi="Times New Roman" w:eastAsia="方正仿宋_GBK" w:cs="方正仿宋_GBK"/>
          <w:b w:val="0"/>
          <w:bCs w:val="0"/>
          <w:color w:val="333333"/>
          <w:kern w:val="0"/>
          <w:sz w:val="32"/>
          <w:szCs w:val="32"/>
          <w:shd w:val="clear" w:fill="FFFFFF"/>
          <w:lang w:val="en-US" w:eastAsia="zh-CN" w:bidi="ar-SA"/>
        </w:rPr>
        <w:t>降14.2%</w:t>
      </w:r>
      <w:r>
        <w:rPr>
          <w:rFonts w:hint="eastAsia" w:ascii="方正仿宋_GBK" w:hAnsi="方正仿宋_GBK" w:eastAsia="方正仿宋_GBK" w:cs="方正仿宋_GBK"/>
          <w:b w:val="0"/>
          <w:bCs w:val="0"/>
          <w:color w:val="333333"/>
          <w:kern w:val="0"/>
          <w:sz w:val="32"/>
          <w:szCs w:val="32"/>
          <w:shd w:val="clear" w:fill="FFFFFF"/>
          <w:lang w:val="en-US" w:eastAsia="zh-CN" w:bidi="ar-SA"/>
        </w:rPr>
        <w:t>，主要原因是</w:t>
      </w:r>
      <w:bookmarkStart w:id="0" w:name="OLE_LINK1"/>
      <w:r>
        <w:rPr>
          <w:rFonts w:hint="eastAsia" w:ascii="方正仿宋_GBK" w:hAnsi="方正仿宋_GBK" w:eastAsia="方正仿宋_GBK" w:cs="方正仿宋_GBK"/>
          <w:b w:val="0"/>
          <w:bCs w:val="0"/>
          <w:color w:val="333333"/>
          <w:kern w:val="0"/>
          <w:sz w:val="32"/>
          <w:szCs w:val="32"/>
          <w:shd w:val="clear" w:fill="FFFFFF"/>
          <w:lang w:val="en-US" w:eastAsia="zh-CN" w:bidi="ar-SA"/>
        </w:rPr>
        <w:t>财政拨款、其他收入减少</w:t>
      </w:r>
      <w:bookmarkEnd w:id="0"/>
      <w:r>
        <w:rPr>
          <w:rFonts w:hint="eastAsia" w:ascii="方正仿宋_GBK" w:hAnsi="方正仿宋_GBK" w:eastAsia="方正仿宋_GBK" w:cs="方正仿宋_GBK"/>
          <w:b w:val="0"/>
          <w:bCs w:val="0"/>
          <w:color w:val="333333"/>
          <w:kern w:val="0"/>
          <w:sz w:val="32"/>
          <w:szCs w:val="32"/>
          <w:shd w:val="clear" w:fill="FFFFFF"/>
          <w:lang w:val="en-US" w:eastAsia="zh-CN" w:bidi="ar-SA"/>
        </w:rPr>
        <w:t>，相对于支出减少。</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1.收入情况。</w:t>
      </w: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方正仿宋_GBK" w:hAnsi="方正仿宋_GBK" w:eastAsia="方正仿宋_GBK" w:cs="方正仿宋_GBK"/>
          <w:b w:val="0"/>
          <w:bCs w:val="0"/>
          <w:color w:val="333333"/>
          <w:kern w:val="0"/>
          <w:sz w:val="32"/>
          <w:szCs w:val="32"/>
          <w:shd w:val="clear" w:fill="FFFFFF"/>
          <w:lang w:val="en-US" w:eastAsia="zh-CN" w:bidi="ar-SA"/>
        </w:rPr>
        <w:t>年度收入合</w:t>
      </w:r>
      <w:r>
        <w:rPr>
          <w:rFonts w:hint="eastAsia" w:ascii="Times New Roman" w:hAnsi="Times New Roman" w:eastAsia="方正仿宋_GBK" w:cs="方正仿宋_GBK"/>
          <w:b w:val="0"/>
          <w:bCs w:val="0"/>
          <w:color w:val="333333"/>
          <w:kern w:val="0"/>
          <w:sz w:val="32"/>
          <w:szCs w:val="32"/>
          <w:shd w:val="clear" w:fill="FFFFFF"/>
          <w:lang w:val="en-US" w:eastAsia="zh-CN" w:bidi="ar-SA"/>
        </w:rPr>
        <w:t>计</w:t>
      </w:r>
      <w:r>
        <w:rPr>
          <w:rFonts w:hint="default" w:ascii="Times New Roman" w:hAnsi="Times New Roman" w:eastAsia="方正仿宋_GBK" w:cs="方正仿宋_GBK"/>
          <w:b w:val="0"/>
          <w:bCs w:val="0"/>
          <w:color w:val="333333"/>
          <w:kern w:val="0"/>
          <w:sz w:val="32"/>
          <w:szCs w:val="32"/>
          <w:shd w:val="clear" w:fill="FFFFFF"/>
          <w:lang w:val="en-US" w:eastAsia="zh-CN" w:bidi="ar-SA"/>
        </w:rPr>
        <w:t>105.80</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w:t>
      </w:r>
      <w:r>
        <w:rPr>
          <w:rFonts w:hint="default" w:ascii="Times New Roman" w:hAnsi="Times New Roman" w:eastAsia="方正仿宋_GBK" w:cs="方正仿宋_GBK"/>
          <w:b w:val="0"/>
          <w:bCs w:val="0"/>
          <w:color w:val="333333"/>
          <w:kern w:val="0"/>
          <w:sz w:val="32"/>
          <w:szCs w:val="32"/>
          <w:shd w:val="clear" w:fill="FFFFFF"/>
          <w:lang w:val="en-US" w:eastAsia="zh-CN" w:bidi="ar-SA"/>
        </w:rPr>
        <w:t>与2023</w:t>
      </w:r>
      <w:r>
        <w:rPr>
          <w:rFonts w:hint="default" w:ascii="方正仿宋_GBK" w:hAnsi="方正仿宋_GBK" w:eastAsia="方正仿宋_GBK" w:cs="方正仿宋_GBK"/>
          <w:b w:val="0"/>
          <w:bCs w:val="0"/>
          <w:color w:val="333333"/>
          <w:kern w:val="0"/>
          <w:sz w:val="32"/>
          <w:szCs w:val="32"/>
          <w:shd w:val="clear" w:fill="FFFFFF"/>
          <w:lang w:val="en-US" w:eastAsia="zh-CN" w:bidi="ar-SA"/>
        </w:rPr>
        <w:t>年度相比，减</w:t>
      </w:r>
      <w:r>
        <w:rPr>
          <w:rFonts w:hint="default" w:ascii="Times New Roman" w:hAnsi="Times New Roman" w:eastAsia="方正仿宋_GBK" w:cs="方正仿宋_GBK"/>
          <w:b w:val="0"/>
          <w:bCs w:val="0"/>
          <w:color w:val="333333"/>
          <w:kern w:val="0"/>
          <w:sz w:val="32"/>
          <w:szCs w:val="32"/>
          <w:shd w:val="clear" w:fill="FFFFFF"/>
          <w:lang w:val="en-US" w:eastAsia="zh-CN" w:bidi="ar-SA"/>
        </w:rPr>
        <w:t>少24.28</w:t>
      </w:r>
      <w:r>
        <w:rPr>
          <w:rFonts w:hint="default" w:ascii="方正仿宋_GBK" w:hAnsi="方正仿宋_GBK" w:eastAsia="方正仿宋_GBK" w:cs="方正仿宋_GBK"/>
          <w:b w:val="0"/>
          <w:bCs w:val="0"/>
          <w:color w:val="333333"/>
          <w:kern w:val="0"/>
          <w:sz w:val="32"/>
          <w:szCs w:val="32"/>
          <w:shd w:val="clear" w:fill="FFFFFF"/>
          <w:lang w:val="en-US" w:eastAsia="zh-CN" w:bidi="ar-SA"/>
        </w:rPr>
        <w:t>万元，下</w:t>
      </w:r>
      <w:r>
        <w:rPr>
          <w:rFonts w:hint="default" w:ascii="Times New Roman" w:hAnsi="Times New Roman" w:eastAsia="方正仿宋_GBK" w:cs="方正仿宋_GBK"/>
          <w:b w:val="0"/>
          <w:bCs w:val="0"/>
          <w:color w:val="333333"/>
          <w:kern w:val="0"/>
          <w:sz w:val="32"/>
          <w:szCs w:val="32"/>
          <w:shd w:val="clear" w:fill="FFFFFF"/>
          <w:lang w:val="en-US" w:eastAsia="zh-CN" w:bidi="ar-SA"/>
        </w:rPr>
        <w:t>降18.7%</w:t>
      </w:r>
      <w:r>
        <w:rPr>
          <w:rFonts w:hint="eastAsia" w:ascii="方正仿宋_GBK" w:hAnsi="方正仿宋_GBK" w:eastAsia="方正仿宋_GBK" w:cs="方正仿宋_GBK"/>
          <w:b w:val="0"/>
          <w:bCs w:val="0"/>
          <w:color w:val="333333"/>
          <w:kern w:val="0"/>
          <w:sz w:val="32"/>
          <w:szCs w:val="32"/>
          <w:shd w:val="clear" w:fill="FFFFFF"/>
          <w:lang w:val="en-US" w:eastAsia="zh-CN" w:bidi="ar-SA"/>
        </w:rPr>
        <w:t>，主要原因是财政拨款、其他收入减少。其中：财政拨款收</w:t>
      </w:r>
      <w:r>
        <w:rPr>
          <w:rFonts w:hint="eastAsia" w:ascii="Times New Roman" w:hAnsi="Times New Roman" w:eastAsia="方正仿宋_GBK" w:cs="方正仿宋_GBK"/>
          <w:b w:val="0"/>
          <w:bCs w:val="0"/>
          <w:color w:val="333333"/>
          <w:kern w:val="0"/>
          <w:sz w:val="32"/>
          <w:szCs w:val="32"/>
          <w:shd w:val="clear" w:fill="FFFFFF"/>
          <w:lang w:val="en-US" w:eastAsia="zh-CN" w:bidi="ar-SA"/>
        </w:rPr>
        <w:t>入</w:t>
      </w:r>
      <w:r>
        <w:rPr>
          <w:rFonts w:hint="default" w:ascii="Times New Roman" w:hAnsi="Times New Roman" w:eastAsia="方正仿宋_GBK" w:cs="方正仿宋_GBK"/>
          <w:b w:val="0"/>
          <w:bCs w:val="0"/>
          <w:color w:val="333333"/>
          <w:kern w:val="0"/>
          <w:sz w:val="32"/>
          <w:szCs w:val="32"/>
          <w:shd w:val="clear" w:fill="FFFFFF"/>
          <w:lang w:val="en-US" w:eastAsia="zh-CN" w:bidi="ar-SA"/>
        </w:rPr>
        <w:t>90.08</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w:t>
      </w:r>
      <w:r>
        <w:rPr>
          <w:rFonts w:hint="eastAsia" w:ascii="Times New Roman" w:hAnsi="Times New Roman" w:eastAsia="方正仿宋_GBK" w:cs="方正仿宋_GBK"/>
          <w:b w:val="0"/>
          <w:bCs w:val="0"/>
          <w:color w:val="333333"/>
          <w:kern w:val="0"/>
          <w:sz w:val="32"/>
          <w:szCs w:val="32"/>
          <w:shd w:val="clear" w:fill="FFFFFF"/>
          <w:lang w:val="en-US" w:eastAsia="zh-CN" w:bidi="ar-SA"/>
        </w:rPr>
        <w:t>占</w:t>
      </w:r>
      <w:r>
        <w:rPr>
          <w:rFonts w:hint="default" w:ascii="Times New Roman" w:hAnsi="Times New Roman" w:eastAsia="方正仿宋_GBK" w:cs="方正仿宋_GBK"/>
          <w:b w:val="0"/>
          <w:bCs w:val="0"/>
          <w:color w:val="333333"/>
          <w:kern w:val="0"/>
          <w:sz w:val="32"/>
          <w:szCs w:val="32"/>
          <w:shd w:val="clear" w:fill="FFFFFF"/>
          <w:lang w:val="en-US" w:eastAsia="zh-CN" w:bidi="ar-SA"/>
        </w:rPr>
        <w:t>85.2%</w:t>
      </w:r>
      <w:r>
        <w:rPr>
          <w:rFonts w:hint="eastAsia" w:ascii="方正仿宋_GBK" w:hAnsi="方正仿宋_GBK" w:eastAsia="方正仿宋_GBK" w:cs="方正仿宋_GBK"/>
          <w:b w:val="0"/>
          <w:bCs w:val="0"/>
          <w:color w:val="333333"/>
          <w:kern w:val="0"/>
          <w:sz w:val="32"/>
          <w:szCs w:val="32"/>
          <w:shd w:val="clear" w:fill="FFFFFF"/>
          <w:lang w:val="en-US" w:eastAsia="zh-CN" w:bidi="ar-SA"/>
        </w:rPr>
        <w:t>；事业收</w:t>
      </w:r>
      <w:r>
        <w:rPr>
          <w:rFonts w:hint="eastAsia" w:ascii="Times New Roman" w:hAnsi="Times New Roman" w:eastAsia="方正仿宋_GBK" w:cs="方正仿宋_GBK"/>
          <w:b w:val="0"/>
          <w:bCs w:val="0"/>
          <w:color w:val="333333"/>
          <w:kern w:val="0"/>
          <w:sz w:val="32"/>
          <w:szCs w:val="32"/>
          <w:shd w:val="clear" w:fill="FFFFFF"/>
          <w:lang w:val="en-US" w:eastAsia="zh-CN" w:bidi="ar-SA"/>
        </w:rPr>
        <w:t>入</w:t>
      </w:r>
      <w:r>
        <w:rPr>
          <w:rFonts w:hint="default" w:ascii="Times New Roman" w:hAnsi="Times New Roman" w:eastAsia="方正仿宋_GBK" w:cs="方正仿宋_GBK"/>
          <w:b w:val="0"/>
          <w:bCs w:val="0"/>
          <w:color w:val="333333"/>
          <w:kern w:val="0"/>
          <w:sz w:val="32"/>
          <w:szCs w:val="32"/>
          <w:shd w:val="clear" w:fill="FFFFFF"/>
          <w:lang w:val="en-US" w:eastAsia="zh-CN" w:bidi="ar-SA"/>
        </w:rPr>
        <w:t>15.48</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w:t>
      </w:r>
      <w:r>
        <w:rPr>
          <w:rFonts w:hint="eastAsia" w:ascii="Times New Roman" w:hAnsi="Times New Roman" w:eastAsia="方正仿宋_GBK" w:cs="方正仿宋_GBK"/>
          <w:b w:val="0"/>
          <w:bCs w:val="0"/>
          <w:color w:val="333333"/>
          <w:kern w:val="0"/>
          <w:sz w:val="32"/>
          <w:szCs w:val="32"/>
          <w:shd w:val="clear" w:fill="FFFFFF"/>
          <w:lang w:val="en-US" w:eastAsia="zh-CN" w:bidi="ar-SA"/>
        </w:rPr>
        <w:t>占</w:t>
      </w:r>
      <w:r>
        <w:rPr>
          <w:rFonts w:hint="default" w:ascii="Times New Roman" w:hAnsi="Times New Roman" w:eastAsia="方正仿宋_GBK" w:cs="方正仿宋_GBK"/>
          <w:b w:val="0"/>
          <w:bCs w:val="0"/>
          <w:color w:val="333333"/>
          <w:kern w:val="0"/>
          <w:sz w:val="32"/>
          <w:szCs w:val="32"/>
          <w:shd w:val="clear" w:fill="FFFFFF"/>
          <w:lang w:val="en-US" w:eastAsia="zh-CN" w:bidi="ar-SA"/>
        </w:rPr>
        <w:t>14.6%</w:t>
      </w:r>
      <w:r>
        <w:rPr>
          <w:rFonts w:hint="eastAsia" w:ascii="方正仿宋_GBK" w:hAnsi="方正仿宋_GBK" w:eastAsia="方正仿宋_GBK" w:cs="方正仿宋_GBK"/>
          <w:b w:val="0"/>
          <w:bCs w:val="0"/>
          <w:color w:val="333333"/>
          <w:kern w:val="0"/>
          <w:sz w:val="32"/>
          <w:szCs w:val="32"/>
          <w:shd w:val="clear" w:fill="FFFFFF"/>
          <w:lang w:val="en-US" w:eastAsia="zh-CN" w:bidi="ar-SA"/>
        </w:rPr>
        <w:t>；经营收</w:t>
      </w:r>
      <w:r>
        <w:rPr>
          <w:rFonts w:hint="eastAsia" w:ascii="Times New Roman" w:hAnsi="Times New Roman" w:eastAsia="方正仿宋_GBK" w:cs="方正仿宋_GBK"/>
          <w:b w:val="0"/>
          <w:bCs w:val="0"/>
          <w:color w:val="333333"/>
          <w:kern w:val="0"/>
          <w:sz w:val="32"/>
          <w:szCs w:val="32"/>
          <w:shd w:val="clear" w:fill="FFFFFF"/>
          <w:lang w:val="en-US" w:eastAsia="zh-CN" w:bidi="ar-SA"/>
        </w:rPr>
        <w:t>入</w:t>
      </w:r>
      <w:r>
        <w:rPr>
          <w:rFonts w:hint="default" w:ascii="Times New Roman" w:hAnsi="Times New Roman" w:eastAsia="方正仿宋_GBK" w:cs="方正仿宋_GBK"/>
          <w:b w:val="0"/>
          <w:bCs w:val="0"/>
          <w:color w:val="333333"/>
          <w:kern w:val="0"/>
          <w:sz w:val="32"/>
          <w:szCs w:val="32"/>
          <w:shd w:val="clear" w:fill="FFFFFF"/>
          <w:lang w:val="en-US" w:eastAsia="zh-CN" w:bidi="ar-SA"/>
        </w:rPr>
        <w:t>0.00</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w:t>
      </w:r>
      <w:r>
        <w:rPr>
          <w:rFonts w:hint="eastAsia" w:ascii="Times New Roman" w:hAnsi="Times New Roman" w:eastAsia="方正仿宋_GBK" w:cs="方正仿宋_GBK"/>
          <w:b w:val="0"/>
          <w:bCs w:val="0"/>
          <w:color w:val="333333"/>
          <w:kern w:val="0"/>
          <w:sz w:val="32"/>
          <w:szCs w:val="32"/>
          <w:shd w:val="clear" w:fill="FFFFFF"/>
          <w:lang w:val="en-US" w:eastAsia="zh-CN" w:bidi="ar-SA"/>
        </w:rPr>
        <w:t>占</w:t>
      </w:r>
      <w:r>
        <w:rPr>
          <w:rFonts w:hint="default" w:ascii="Times New Roman" w:hAnsi="Times New Roman" w:eastAsia="方正仿宋_GBK" w:cs="方正仿宋_GBK"/>
          <w:b w:val="0"/>
          <w:bCs w:val="0"/>
          <w:color w:val="333333"/>
          <w:kern w:val="0"/>
          <w:sz w:val="32"/>
          <w:szCs w:val="32"/>
          <w:shd w:val="clear" w:fill="FFFFFF"/>
          <w:lang w:val="en-US" w:eastAsia="zh-CN" w:bidi="ar-SA"/>
        </w:rPr>
        <w:t>0.0</w:t>
      </w:r>
      <w:r>
        <w:rPr>
          <w:rFonts w:hint="default" w:ascii="方正仿宋_GBK" w:hAnsi="方正仿宋_GBK" w:eastAsia="方正仿宋_GBK" w:cs="方正仿宋_GBK"/>
          <w:b w:val="0"/>
          <w:bCs w:val="0"/>
          <w:color w:val="333333"/>
          <w:kern w:val="0"/>
          <w:sz w:val="32"/>
          <w:szCs w:val="32"/>
          <w:shd w:val="clear" w:fill="FFFFFF"/>
          <w:lang w:val="en-US" w:eastAsia="zh-CN" w:bidi="ar-SA"/>
        </w:rPr>
        <w:t>%</w:t>
      </w:r>
      <w:r>
        <w:rPr>
          <w:rFonts w:hint="eastAsia" w:ascii="方正仿宋_GBK" w:hAnsi="方正仿宋_GBK" w:eastAsia="方正仿宋_GBK" w:cs="方正仿宋_GBK"/>
          <w:b w:val="0"/>
          <w:bCs w:val="0"/>
          <w:color w:val="333333"/>
          <w:kern w:val="0"/>
          <w:sz w:val="32"/>
          <w:szCs w:val="32"/>
          <w:shd w:val="clear" w:fill="FFFFFF"/>
          <w:lang w:val="en-US" w:eastAsia="zh-CN" w:bidi="ar-SA"/>
        </w:rPr>
        <w:t>；其他收</w:t>
      </w:r>
      <w:r>
        <w:rPr>
          <w:rFonts w:hint="eastAsia" w:ascii="Times New Roman" w:hAnsi="Times New Roman" w:eastAsia="方正仿宋_GBK" w:cs="方正仿宋_GBK"/>
          <w:b w:val="0"/>
          <w:bCs w:val="0"/>
          <w:color w:val="333333"/>
          <w:kern w:val="0"/>
          <w:sz w:val="32"/>
          <w:szCs w:val="32"/>
          <w:shd w:val="clear" w:fill="FFFFFF"/>
          <w:lang w:val="en-US" w:eastAsia="zh-CN" w:bidi="ar-SA"/>
        </w:rPr>
        <w:t>入</w:t>
      </w:r>
      <w:r>
        <w:rPr>
          <w:rFonts w:hint="default" w:ascii="Times New Roman" w:hAnsi="Times New Roman" w:eastAsia="方正仿宋_GBK" w:cs="方正仿宋_GBK"/>
          <w:b w:val="0"/>
          <w:bCs w:val="0"/>
          <w:color w:val="333333"/>
          <w:kern w:val="0"/>
          <w:sz w:val="32"/>
          <w:szCs w:val="32"/>
          <w:shd w:val="clear" w:fill="FFFFFF"/>
          <w:lang w:val="en-US" w:eastAsia="zh-CN" w:bidi="ar-SA"/>
        </w:rPr>
        <w:t>0.23</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w:t>
      </w:r>
      <w:r>
        <w:rPr>
          <w:rFonts w:hint="eastAsia" w:ascii="Times New Roman" w:hAnsi="Times New Roman" w:eastAsia="方正仿宋_GBK" w:cs="方正仿宋_GBK"/>
          <w:b w:val="0"/>
          <w:bCs w:val="0"/>
          <w:color w:val="333333"/>
          <w:kern w:val="0"/>
          <w:sz w:val="32"/>
          <w:szCs w:val="32"/>
          <w:shd w:val="clear" w:fill="FFFFFF"/>
          <w:lang w:val="en-US" w:eastAsia="zh-CN" w:bidi="ar-SA"/>
        </w:rPr>
        <w:t>占</w:t>
      </w:r>
      <w:r>
        <w:rPr>
          <w:rFonts w:hint="default" w:ascii="Times New Roman" w:hAnsi="Times New Roman" w:eastAsia="方正仿宋_GBK" w:cs="方正仿宋_GBK"/>
          <w:b w:val="0"/>
          <w:bCs w:val="0"/>
          <w:color w:val="333333"/>
          <w:kern w:val="0"/>
          <w:sz w:val="32"/>
          <w:szCs w:val="32"/>
          <w:shd w:val="clear" w:fill="FFFFFF"/>
          <w:lang w:val="en-US" w:eastAsia="zh-CN" w:bidi="ar-SA"/>
        </w:rPr>
        <w:t>0.2%</w:t>
      </w:r>
      <w:r>
        <w:rPr>
          <w:rFonts w:hint="eastAsia" w:ascii="方正仿宋_GBK" w:hAnsi="方正仿宋_GBK" w:eastAsia="方正仿宋_GBK" w:cs="方正仿宋_GBK"/>
          <w:b w:val="0"/>
          <w:bCs w:val="0"/>
          <w:color w:val="333333"/>
          <w:kern w:val="0"/>
          <w:sz w:val="32"/>
          <w:szCs w:val="32"/>
          <w:shd w:val="clear" w:fill="FFFFFF"/>
          <w:lang w:val="en-US" w:eastAsia="zh-CN" w:bidi="ar-SA"/>
        </w:rPr>
        <w:t>。此外，使用非财政拨款结余（含专用结余</w:t>
      </w:r>
      <w:r>
        <w:rPr>
          <w:rFonts w:hint="eastAsia" w:ascii="Times New Roman" w:hAnsi="Times New Roman" w:eastAsia="方正仿宋_GBK" w:cs="方正仿宋_GBK"/>
          <w:b w:val="0"/>
          <w:bCs w:val="0"/>
          <w:color w:val="333333"/>
          <w:kern w:val="0"/>
          <w:sz w:val="32"/>
          <w:szCs w:val="32"/>
          <w:shd w:val="clear" w:fill="FFFFFF"/>
          <w:lang w:val="en-US" w:eastAsia="zh-CN" w:bidi="ar-SA"/>
        </w:rPr>
        <w:t>）</w:t>
      </w:r>
      <w:r>
        <w:rPr>
          <w:rFonts w:hint="default" w:ascii="Times New Roman" w:hAnsi="Times New Roman" w:eastAsia="方正仿宋_GBK" w:cs="方正仿宋_GBK"/>
          <w:b w:val="0"/>
          <w:bCs w:val="0"/>
          <w:color w:val="333333"/>
          <w:kern w:val="0"/>
          <w:sz w:val="32"/>
          <w:szCs w:val="32"/>
          <w:shd w:val="clear" w:fill="FFFFFF"/>
          <w:lang w:val="en-US" w:eastAsia="zh-CN" w:bidi="ar-SA"/>
        </w:rPr>
        <w:t>0.00</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万元，年初结转和结</w:t>
      </w:r>
      <w:r>
        <w:rPr>
          <w:rFonts w:hint="eastAsia" w:ascii="Times New Roman" w:hAnsi="Times New Roman" w:eastAsia="方正仿宋_GBK" w:cs="方正仿宋_GBK"/>
          <w:b w:val="0"/>
          <w:bCs w:val="0"/>
          <w:color w:val="333333"/>
          <w:kern w:val="0"/>
          <w:sz w:val="32"/>
          <w:szCs w:val="32"/>
          <w:shd w:val="clear" w:fill="FFFFFF"/>
          <w:lang w:val="en-US" w:eastAsia="zh-CN" w:bidi="ar-SA"/>
        </w:rPr>
        <w:t>余</w:t>
      </w:r>
      <w:r>
        <w:rPr>
          <w:rFonts w:hint="default" w:ascii="Times New Roman" w:hAnsi="Times New Roman" w:eastAsia="方正仿宋_GBK" w:cs="方正仿宋_GBK"/>
          <w:b w:val="0"/>
          <w:bCs w:val="0"/>
          <w:color w:val="333333"/>
          <w:kern w:val="0"/>
          <w:sz w:val="32"/>
          <w:szCs w:val="32"/>
          <w:shd w:val="clear" w:fill="FFFFFF"/>
          <w:lang w:val="en-US" w:eastAsia="zh-CN" w:bidi="ar-SA"/>
        </w:rPr>
        <w:t>5.80</w:t>
      </w:r>
      <w:r>
        <w:rPr>
          <w:rFonts w:hint="eastAsia" w:ascii="方正仿宋_GBK" w:hAnsi="方正仿宋_GBK" w:eastAsia="方正仿宋_GBK" w:cs="方正仿宋_GBK"/>
          <w:b w:val="0"/>
          <w:bCs w:val="0"/>
          <w:color w:val="333333"/>
          <w:kern w:val="0"/>
          <w:sz w:val="32"/>
          <w:szCs w:val="32"/>
          <w:shd w:val="clear" w:fill="FFFFFF"/>
          <w:lang w:val="en-US" w:eastAsia="zh-CN" w:bidi="ar-SA"/>
        </w:rPr>
        <w:t>万元。</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2.支出情况。</w:t>
      </w: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年度支出合计</w:t>
      </w:r>
      <w:r>
        <w:rPr>
          <w:rFonts w:hint="default" w:ascii="Times New Roman" w:hAnsi="Times New Roman" w:eastAsia="方正仿宋_GBK" w:cs="方正仿宋_GBK"/>
          <w:b w:val="0"/>
          <w:bCs w:val="0"/>
          <w:color w:val="333333"/>
          <w:kern w:val="0"/>
          <w:sz w:val="32"/>
          <w:szCs w:val="32"/>
          <w:shd w:val="clear" w:fill="FFFFFF"/>
          <w:lang w:val="en-US" w:eastAsia="zh-CN" w:bidi="ar-SA"/>
        </w:rPr>
        <w:t>111.60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r>
        <w:rPr>
          <w:rFonts w:hint="default" w:ascii="Times New Roman" w:hAnsi="Times New Roman" w:eastAsia="方正仿宋_GBK" w:cs="方正仿宋_GBK"/>
          <w:b w:val="0"/>
          <w:bCs w:val="0"/>
          <w:color w:val="333333"/>
          <w:kern w:val="0"/>
          <w:sz w:val="32"/>
          <w:szCs w:val="32"/>
          <w:shd w:val="clear" w:fill="FFFFFF"/>
          <w:lang w:val="en-US" w:eastAsia="zh-CN" w:bidi="ar-SA"/>
        </w:rPr>
        <w:t>与2023年度相比，减少12.68万元，下降10.2%</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，主要原因是财政拨款、其他收入减少。其中：基本支出</w:t>
      </w:r>
      <w:r>
        <w:rPr>
          <w:rFonts w:hint="default" w:ascii="Times New Roman" w:hAnsi="Times New Roman" w:eastAsia="方正仿宋_GBK" w:cs="方正仿宋_GBK"/>
          <w:b w:val="0"/>
          <w:bCs w:val="0"/>
          <w:color w:val="333333"/>
          <w:kern w:val="0"/>
          <w:sz w:val="32"/>
          <w:szCs w:val="32"/>
          <w:shd w:val="clear" w:fill="FFFFFF"/>
          <w:lang w:val="en-US" w:eastAsia="zh-CN" w:bidi="ar-SA"/>
        </w:rPr>
        <w:t>107.28</w:t>
      </w:r>
      <w:r>
        <w:rPr>
          <w:rFonts w:hint="eastAsia" w:ascii="Times New Roman" w:hAnsi="Times New Roman" w:eastAsia="方正仿宋_GBK" w:cs="方正仿宋_GBK"/>
          <w:b w:val="0"/>
          <w:bCs w:val="0"/>
          <w:color w:val="333333"/>
          <w:kern w:val="0"/>
          <w:sz w:val="32"/>
          <w:szCs w:val="32"/>
          <w:shd w:val="clear" w:fill="FFFFFF"/>
          <w:lang w:val="en-US" w:eastAsia="zh-CN" w:bidi="ar-SA"/>
        </w:rPr>
        <w:t>万元，占</w:t>
      </w:r>
      <w:r>
        <w:rPr>
          <w:rFonts w:hint="default" w:ascii="Times New Roman" w:hAnsi="Times New Roman" w:eastAsia="方正仿宋_GBK" w:cs="方正仿宋_GBK"/>
          <w:b w:val="0"/>
          <w:bCs w:val="0"/>
          <w:color w:val="333333"/>
          <w:kern w:val="0"/>
          <w:sz w:val="32"/>
          <w:szCs w:val="32"/>
          <w:shd w:val="clear" w:fill="FFFFFF"/>
          <w:lang w:val="en-US" w:eastAsia="zh-CN" w:bidi="ar-SA"/>
        </w:rPr>
        <w:t>96.1%</w:t>
      </w:r>
      <w:r>
        <w:rPr>
          <w:rFonts w:hint="eastAsia" w:ascii="Times New Roman" w:hAnsi="Times New Roman" w:eastAsia="方正仿宋_GBK" w:cs="方正仿宋_GBK"/>
          <w:b w:val="0"/>
          <w:bCs w:val="0"/>
          <w:color w:val="333333"/>
          <w:kern w:val="0"/>
          <w:sz w:val="32"/>
          <w:szCs w:val="32"/>
          <w:shd w:val="clear" w:fill="FFFFFF"/>
          <w:lang w:val="en-US" w:eastAsia="zh-CN" w:bidi="ar-SA"/>
        </w:rPr>
        <w:t>；项目支出</w:t>
      </w:r>
      <w:r>
        <w:rPr>
          <w:rFonts w:hint="default" w:ascii="Times New Roman" w:hAnsi="Times New Roman" w:eastAsia="方正仿宋_GBK" w:cs="方正仿宋_GBK"/>
          <w:b w:val="0"/>
          <w:bCs w:val="0"/>
          <w:color w:val="333333"/>
          <w:kern w:val="0"/>
          <w:sz w:val="32"/>
          <w:szCs w:val="32"/>
          <w:shd w:val="clear" w:fill="FFFFFF"/>
          <w:lang w:val="en-US" w:eastAsia="zh-CN" w:bidi="ar-SA"/>
        </w:rPr>
        <w:t>4.32</w:t>
      </w:r>
      <w:r>
        <w:rPr>
          <w:rFonts w:hint="eastAsia" w:ascii="Times New Roman" w:hAnsi="Times New Roman" w:eastAsia="方正仿宋_GBK" w:cs="方正仿宋_GBK"/>
          <w:b w:val="0"/>
          <w:bCs w:val="0"/>
          <w:color w:val="333333"/>
          <w:kern w:val="0"/>
          <w:sz w:val="32"/>
          <w:szCs w:val="32"/>
          <w:shd w:val="clear" w:fill="FFFFFF"/>
          <w:lang w:val="en-US" w:eastAsia="zh-CN" w:bidi="ar-SA"/>
        </w:rPr>
        <w:t>万元，占</w:t>
      </w:r>
      <w:r>
        <w:rPr>
          <w:rFonts w:hint="default" w:ascii="Times New Roman" w:hAnsi="Times New Roman" w:eastAsia="方正仿宋_GBK" w:cs="方正仿宋_GBK"/>
          <w:b w:val="0"/>
          <w:bCs w:val="0"/>
          <w:color w:val="333333"/>
          <w:kern w:val="0"/>
          <w:sz w:val="32"/>
          <w:szCs w:val="32"/>
          <w:shd w:val="clear" w:fill="FFFFFF"/>
          <w:lang w:val="en-US" w:eastAsia="zh-CN" w:bidi="ar-SA"/>
        </w:rPr>
        <w:t>3.9%</w:t>
      </w:r>
      <w:r>
        <w:rPr>
          <w:rFonts w:hint="eastAsia" w:ascii="Times New Roman" w:hAnsi="Times New Roman" w:eastAsia="方正仿宋_GBK" w:cs="方正仿宋_GBK"/>
          <w:b w:val="0"/>
          <w:bCs w:val="0"/>
          <w:color w:val="333333"/>
          <w:kern w:val="0"/>
          <w:sz w:val="32"/>
          <w:szCs w:val="32"/>
          <w:shd w:val="clear" w:fill="FFFFFF"/>
          <w:lang w:val="en-US" w:eastAsia="zh-CN" w:bidi="ar-SA"/>
        </w:rPr>
        <w:t>；经营支出</w:t>
      </w:r>
      <w:r>
        <w:rPr>
          <w:rFonts w:hint="default" w:ascii="Times New Roman" w:hAnsi="Times New Roman" w:eastAsia="方正仿宋_GBK" w:cs="方正仿宋_GBK"/>
          <w:b w:val="0"/>
          <w:bCs w:val="0"/>
          <w:color w:val="333333"/>
          <w:kern w:val="0"/>
          <w:sz w:val="32"/>
          <w:szCs w:val="32"/>
          <w:shd w:val="clear" w:fill="FFFFFF"/>
          <w:lang w:val="en-US" w:eastAsia="zh-CN" w:bidi="ar-SA"/>
        </w:rPr>
        <w:t>0.00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万元，占</w:t>
      </w:r>
      <w:r>
        <w:rPr>
          <w:rFonts w:hint="default" w:ascii="Times New Roman" w:hAnsi="Times New Roman" w:eastAsia="方正仿宋_GBK" w:cs="方正仿宋_GBK"/>
          <w:b w:val="0"/>
          <w:bCs w:val="0"/>
          <w:color w:val="333333"/>
          <w:kern w:val="0"/>
          <w:sz w:val="32"/>
          <w:szCs w:val="32"/>
          <w:shd w:val="clear" w:fill="FFFFFF"/>
          <w:lang w:val="en-US" w:eastAsia="zh-CN" w:bidi="ar-SA"/>
        </w:rPr>
        <w:t>0.0%</w:t>
      </w:r>
      <w:r>
        <w:rPr>
          <w:rFonts w:hint="eastAsia" w:ascii="Times New Roman" w:hAnsi="Times New Roman" w:eastAsia="方正仿宋_GBK" w:cs="方正仿宋_GBK"/>
          <w:b w:val="0"/>
          <w:bCs w:val="0"/>
          <w:color w:val="333333"/>
          <w:kern w:val="0"/>
          <w:sz w:val="32"/>
          <w:szCs w:val="32"/>
          <w:shd w:val="clear" w:fill="FFFFFF"/>
          <w:lang w:val="en-US" w:eastAsia="zh-CN" w:bidi="ar-SA"/>
        </w:rPr>
        <w:t>。此外，结余分配</w:t>
      </w:r>
      <w:r>
        <w:rPr>
          <w:rFonts w:hint="default" w:ascii="Times New Roman" w:hAnsi="Times New Roman" w:eastAsia="方正仿宋_GBK" w:cs="方正仿宋_GBK"/>
          <w:b w:val="0"/>
          <w:bCs w:val="0"/>
          <w:color w:val="333333"/>
          <w:kern w:val="0"/>
          <w:sz w:val="32"/>
          <w:szCs w:val="32"/>
          <w:shd w:val="clear" w:fill="FFFFFF"/>
          <w:lang w:val="en-US" w:eastAsia="zh-CN" w:bidi="ar-SA"/>
        </w:rPr>
        <w:t>0.00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3.结转结余情况。</w:t>
      </w: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年度年末结转和结余</w:t>
      </w:r>
      <w:r>
        <w:rPr>
          <w:rFonts w:hint="default" w:ascii="Times New Roman" w:hAnsi="Times New Roman" w:eastAsia="方正仿宋_GBK" w:cs="方正仿宋_GBK"/>
          <w:b w:val="0"/>
          <w:bCs w:val="0"/>
          <w:color w:val="333333"/>
          <w:kern w:val="0"/>
          <w:sz w:val="32"/>
          <w:szCs w:val="32"/>
          <w:shd w:val="clear" w:fill="FFFFFF"/>
          <w:lang w:val="en-US" w:eastAsia="zh-CN" w:bidi="ar-SA"/>
        </w:rPr>
        <w:t>0.00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r>
        <w:rPr>
          <w:rFonts w:hint="default" w:ascii="Times New Roman" w:hAnsi="Times New Roman" w:eastAsia="方正仿宋_GBK" w:cs="方正仿宋_GBK"/>
          <w:b w:val="0"/>
          <w:bCs w:val="0"/>
          <w:color w:val="333333"/>
          <w:kern w:val="0"/>
          <w:sz w:val="32"/>
          <w:szCs w:val="32"/>
          <w:shd w:val="clear" w:fill="FFFFFF"/>
          <w:lang w:val="en-US" w:eastAsia="zh-CN" w:bidi="ar-SA"/>
        </w:rPr>
        <w:t>与2023年度相比，减少5.80万元，下降100.0%</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，主要原因是2024年财政拨款已在当年发放。</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eastAsia" w:ascii="方正楷体_GBK" w:hAnsi="方正楷体_GBK" w:eastAsia="方正楷体_GBK" w:cs="方正楷体_GBK"/>
          <w:b w:val="0"/>
          <w:bCs/>
          <w:sz w:val="32"/>
          <w:szCs w:val="32"/>
          <w:shd w:val="clear" w:color="auto" w:fill="FFFFFF"/>
        </w:rPr>
      </w:pP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Style w:val="11"/>
          <w:rFonts w:hint="eastAsia" w:ascii="Times New Roman" w:hAnsi="Times New Roman" w:eastAsia="方正楷体_GBK" w:cs="方正楷体_GBK"/>
          <w:b w:val="0"/>
          <w:bCs/>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rPr>
        <w:t>（二）财政拨款收入支出决算总体情况说明</w:t>
      </w:r>
    </w:p>
    <w:p>
      <w:pPr>
        <w:pStyle w:val="9"/>
        <w:keepNext w:val="0"/>
        <w:keepLines w:val="0"/>
        <w:pageBreakBefore w:val="0"/>
        <w:widowControl/>
        <w:shd w:val="clear" w:color="auto" w:fill="FFFFFF"/>
        <w:kinsoku/>
        <w:wordWrap/>
        <w:overflowPunct/>
        <w:topLinePunct w:val="0"/>
        <w:autoSpaceDN/>
        <w:bidi w:val="0"/>
        <w:adjustRightInd/>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年度财政拨款收、支总计均为</w:t>
      </w:r>
      <w:r>
        <w:rPr>
          <w:rFonts w:hint="default" w:ascii="Times New Roman" w:hAnsi="Times New Roman" w:eastAsia="方正仿宋_GBK" w:cs="方正仿宋_GBK"/>
          <w:b w:val="0"/>
          <w:bCs w:val="0"/>
          <w:color w:val="333333"/>
          <w:kern w:val="0"/>
          <w:sz w:val="32"/>
          <w:szCs w:val="32"/>
          <w:shd w:val="clear" w:fill="FFFFFF"/>
          <w:lang w:val="en-US" w:eastAsia="zh-CN" w:bidi="ar-SA"/>
        </w:rPr>
        <w:t>95.88</w:t>
      </w:r>
      <w:r>
        <w:rPr>
          <w:rFonts w:hint="eastAsia" w:ascii="Times New Roman" w:hAnsi="Times New Roman" w:eastAsia="方正仿宋_GBK" w:cs="方正仿宋_GBK"/>
          <w:b w:val="0"/>
          <w:bCs w:val="0"/>
          <w:color w:val="333333"/>
          <w:kern w:val="0"/>
          <w:sz w:val="32"/>
          <w:szCs w:val="32"/>
          <w:shd w:val="clear" w:fill="FFFFFF"/>
          <w:lang w:val="en-US" w:eastAsia="zh-CN" w:bidi="ar-SA"/>
        </w:rPr>
        <w:t>万元。与</w:t>
      </w:r>
      <w:r>
        <w:rPr>
          <w:rFonts w:hint="default" w:ascii="Times New Roman" w:hAnsi="Times New Roman" w:eastAsia="方正仿宋_GBK" w:cs="方正仿宋_GBK"/>
          <w:b w:val="0"/>
          <w:bCs w:val="0"/>
          <w:color w:val="333333"/>
          <w:kern w:val="0"/>
          <w:sz w:val="32"/>
          <w:szCs w:val="32"/>
          <w:shd w:val="clear" w:fill="FFFFFF"/>
          <w:lang w:val="en-US" w:eastAsia="zh-CN" w:bidi="ar-SA"/>
        </w:rPr>
        <w:t>2023</w:t>
      </w:r>
      <w:r>
        <w:rPr>
          <w:rFonts w:hint="eastAsia" w:ascii="Times New Roman" w:hAnsi="Times New Roman" w:eastAsia="方正仿宋_GBK" w:cs="方正仿宋_GBK"/>
          <w:b w:val="0"/>
          <w:bCs w:val="0"/>
          <w:color w:val="333333"/>
          <w:kern w:val="0"/>
          <w:sz w:val="32"/>
          <w:szCs w:val="32"/>
          <w:shd w:val="clear" w:fill="FFFFFF"/>
          <w:lang w:val="en-US" w:eastAsia="zh-CN" w:bidi="ar-SA"/>
        </w:rPr>
        <w:t>年度相比，</w:t>
      </w:r>
      <w:r>
        <w:rPr>
          <w:rFonts w:hint="default" w:ascii="Times New Roman" w:hAnsi="Times New Roman" w:eastAsia="方正仿宋_GBK" w:cs="方正仿宋_GBK"/>
          <w:b w:val="0"/>
          <w:bCs w:val="0"/>
          <w:color w:val="333333"/>
          <w:kern w:val="0"/>
          <w:sz w:val="32"/>
          <w:szCs w:val="32"/>
          <w:shd w:val="clear" w:fill="FFFFFF"/>
          <w:lang w:val="en-US" w:eastAsia="zh-CN" w:bidi="ar-SA"/>
        </w:rPr>
        <w:t>财政拨款收、支总计各减少3.71万元，下降3.7%</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。主要原因是财政拨款减少，相对于支出减少。</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Style w:val="11"/>
          <w:rFonts w:hint="eastAsia" w:ascii="Times New Roman" w:hAnsi="Times New Roman" w:eastAsia="方正楷体_GBK" w:cs="方正楷体_GBK"/>
          <w:b w:val="0"/>
          <w:bCs/>
          <w:sz w:val="32"/>
          <w:szCs w:val="32"/>
          <w:shd w:val="clear" w:color="auto" w:fill="FFFFFF"/>
        </w:rPr>
      </w:pPr>
      <w:r>
        <w:rPr>
          <w:rStyle w:val="11"/>
          <w:rFonts w:hint="eastAsia" w:ascii="方正楷体_GBK" w:hAnsi="方正楷体_GBK" w:eastAsia="方正楷体_GBK" w:cs="方正楷体_GBK"/>
          <w:b w:val="0"/>
          <w:bCs/>
          <w:sz w:val="32"/>
          <w:szCs w:val="32"/>
          <w:shd w:val="clear" w:color="auto" w:fill="FFFFFF"/>
        </w:rPr>
        <w:t>（三）一般公共预算财政拨款收入支出决算情况说明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1</w:t>
      </w:r>
      <w:r>
        <w:rPr>
          <w:rFonts w:hint="eastAsia" w:ascii="Times New Roman" w:hAnsi="Times New Roman" w:eastAsia="方正仿宋_GBK" w:cs="方正仿宋_GBK"/>
          <w:b w:val="0"/>
          <w:bCs w:val="0"/>
          <w:color w:val="333333"/>
          <w:kern w:val="0"/>
          <w:sz w:val="32"/>
          <w:szCs w:val="32"/>
          <w:shd w:val="clear" w:fill="FFFFFF"/>
          <w:lang w:val="en-US" w:eastAsia="zh-CN" w:bidi="ar-SA"/>
        </w:rPr>
        <w:t>.收入情况。</w:t>
      </w: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年度一般公共预算财政拨款收入</w:t>
      </w:r>
      <w:r>
        <w:rPr>
          <w:rFonts w:hint="default" w:ascii="Times New Roman" w:hAnsi="Times New Roman" w:eastAsia="方正仿宋_GBK" w:cs="方正仿宋_GBK"/>
          <w:b w:val="0"/>
          <w:bCs w:val="0"/>
          <w:color w:val="333333"/>
          <w:kern w:val="0"/>
          <w:sz w:val="32"/>
          <w:szCs w:val="32"/>
          <w:shd w:val="clear" w:fill="FFFFFF"/>
          <w:lang w:val="en-US" w:eastAsia="zh-CN" w:bidi="ar-SA"/>
        </w:rPr>
        <w:t>90.08</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r>
        <w:rPr>
          <w:rFonts w:hint="default" w:ascii="Times New Roman" w:hAnsi="Times New Roman" w:eastAsia="方正仿宋_GBK" w:cs="方正仿宋_GBK"/>
          <w:b w:val="0"/>
          <w:bCs w:val="0"/>
          <w:color w:val="333333"/>
          <w:kern w:val="0"/>
          <w:sz w:val="32"/>
          <w:szCs w:val="32"/>
          <w:shd w:val="clear" w:fill="FFFFFF"/>
          <w:lang w:val="en-US" w:eastAsia="zh-CN" w:bidi="ar-SA"/>
        </w:rPr>
        <w:t>与2023年度相比，减少9.51万元，下降9.6%</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。主要原因是财政拨款减少。</w:t>
      </w:r>
      <w:r>
        <w:rPr>
          <w:rFonts w:hint="default" w:ascii="Times New Roman" w:hAnsi="Times New Roman" w:eastAsia="方正仿宋_GBK" w:cs="方正仿宋_GBK"/>
          <w:b w:val="0"/>
          <w:bCs w:val="0"/>
          <w:color w:val="333333"/>
          <w:kern w:val="0"/>
          <w:sz w:val="32"/>
          <w:szCs w:val="32"/>
          <w:shd w:val="clear" w:fill="FFFFFF"/>
          <w:lang w:val="en-US" w:eastAsia="zh-CN" w:bidi="ar-SA"/>
        </w:rPr>
        <w:t>较年初预算数增加17.92万元，增长24.8%</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w:t>
      </w:r>
      <w:r>
        <w:rPr>
          <w:rFonts w:hint="default" w:ascii="Times New Roman" w:hAnsi="Times New Roman" w:eastAsia="方正仿宋_GBK" w:cs="方正仿宋_GBK"/>
          <w:b w:val="0"/>
          <w:bCs w:val="0"/>
          <w:color w:val="333333"/>
          <w:kern w:val="0"/>
          <w:sz w:val="32"/>
          <w:szCs w:val="32"/>
          <w:shd w:val="clear" w:fill="FFFFFF"/>
          <w:lang w:val="en-US" w:eastAsia="zh-CN" w:bidi="ar-SA"/>
        </w:rPr>
        <w:t>根据单位情况预估核算，实际财政拨款收入由财政根据资金分配情况统一安排拨款。</w:t>
      </w:r>
      <w:r>
        <w:rPr>
          <w:rFonts w:hint="eastAsia" w:ascii="Times New Roman" w:hAnsi="Times New Roman" w:eastAsia="方正仿宋_GBK" w:cs="方正仿宋_GBK"/>
          <w:b w:val="0"/>
          <w:bCs w:val="0"/>
          <w:color w:val="333333"/>
          <w:kern w:val="0"/>
          <w:sz w:val="32"/>
          <w:szCs w:val="32"/>
          <w:shd w:val="clear" w:fill="FFFFFF"/>
          <w:lang w:val="en-US" w:eastAsia="zh-CN" w:bidi="ar-SA"/>
        </w:rPr>
        <w:t>此外，年初财政拨款结转和结余</w:t>
      </w:r>
      <w:r>
        <w:rPr>
          <w:rFonts w:hint="default" w:ascii="Times New Roman" w:hAnsi="Times New Roman" w:eastAsia="方正仿宋_GBK" w:cs="方正仿宋_GBK"/>
          <w:b w:val="0"/>
          <w:bCs w:val="0"/>
          <w:color w:val="333333"/>
          <w:kern w:val="0"/>
          <w:sz w:val="32"/>
          <w:szCs w:val="32"/>
          <w:shd w:val="clear" w:fill="FFFFFF"/>
          <w:lang w:val="en-US" w:eastAsia="zh-CN" w:bidi="ar-SA"/>
        </w:rPr>
        <w:t>5.80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方正仿宋_GBK" w:hAnsi="方正仿宋_GBK"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2</w:t>
      </w:r>
      <w:r>
        <w:rPr>
          <w:rFonts w:hint="eastAsia" w:ascii="Times New Roman" w:hAnsi="Times New Roman" w:eastAsia="方正仿宋_GBK" w:cs="方正仿宋_GBK"/>
          <w:b w:val="0"/>
          <w:bCs w:val="0"/>
          <w:color w:val="333333"/>
          <w:kern w:val="0"/>
          <w:sz w:val="32"/>
          <w:szCs w:val="32"/>
          <w:shd w:val="clear" w:fill="FFFFFF"/>
          <w:lang w:val="en-US" w:eastAsia="zh-CN" w:bidi="ar-SA"/>
        </w:rPr>
        <w:t>.支出情况。</w:t>
      </w: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年度一般公共预算财政拨款支出</w:t>
      </w:r>
      <w:r>
        <w:rPr>
          <w:rFonts w:hint="default" w:ascii="Times New Roman" w:hAnsi="Times New Roman" w:eastAsia="方正仿宋_GBK" w:cs="方正仿宋_GBK"/>
          <w:b w:val="0"/>
          <w:bCs w:val="0"/>
          <w:color w:val="333333"/>
          <w:kern w:val="0"/>
          <w:sz w:val="32"/>
          <w:szCs w:val="32"/>
          <w:shd w:val="clear" w:fill="FFFFFF"/>
          <w:lang w:val="en-US" w:eastAsia="zh-CN" w:bidi="ar-SA"/>
        </w:rPr>
        <w:t>95.88</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r>
        <w:rPr>
          <w:rFonts w:hint="default" w:ascii="Times New Roman" w:hAnsi="Times New Roman" w:eastAsia="方正仿宋_GBK" w:cs="方正仿宋_GBK"/>
          <w:b w:val="0"/>
          <w:bCs w:val="0"/>
          <w:color w:val="333333"/>
          <w:kern w:val="0"/>
          <w:sz w:val="32"/>
          <w:szCs w:val="32"/>
          <w:shd w:val="clear" w:fill="FFFFFF"/>
          <w:lang w:val="en-US" w:eastAsia="zh-CN" w:bidi="ar-SA"/>
        </w:rPr>
        <w:t>与2023年度相比，增加2.09万元，增长2.2%</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。主要原因是2024年年初结转5.8万元。</w:t>
      </w:r>
      <w:r>
        <w:rPr>
          <w:rFonts w:hint="default" w:ascii="Times New Roman" w:hAnsi="Times New Roman" w:eastAsia="方正仿宋_GBK" w:cs="方正仿宋_GBK"/>
          <w:b w:val="0"/>
          <w:bCs w:val="0"/>
          <w:color w:val="333333"/>
          <w:kern w:val="0"/>
          <w:sz w:val="32"/>
          <w:szCs w:val="32"/>
          <w:shd w:val="clear" w:fill="FFFFFF"/>
          <w:lang w:val="en-US" w:eastAsia="zh-CN" w:bidi="ar-SA"/>
        </w:rPr>
        <w:t>较年初预算数增加23.72万元，增长32.9%</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w:t>
      </w:r>
      <w:r>
        <w:rPr>
          <w:rFonts w:hint="default" w:ascii="Times New Roman" w:hAnsi="Times New Roman" w:eastAsia="方正仿宋_GBK" w:cs="方正仿宋_GBK"/>
          <w:b w:val="0"/>
          <w:bCs w:val="0"/>
          <w:color w:val="333333"/>
          <w:kern w:val="0"/>
          <w:sz w:val="32"/>
          <w:szCs w:val="32"/>
          <w:shd w:val="clear" w:fill="FFFFFF"/>
          <w:lang w:val="en-US" w:eastAsia="zh-CN" w:bidi="ar-SA"/>
        </w:rPr>
        <w:t>根据单位情况预估核算，实际财政拨款收入由财政根据资金分配情况统一安排拨款。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一般公共预算财政拨款支出主要用途如下：</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（1）社会保障和就业支出</w:t>
      </w:r>
      <w:r>
        <w:rPr>
          <w:rFonts w:hint="default" w:ascii="Times New Roman" w:hAnsi="Times New Roman" w:eastAsia="方正仿宋_GBK" w:cs="方正仿宋_GBK"/>
          <w:b w:val="0"/>
          <w:bCs w:val="0"/>
          <w:color w:val="333333"/>
          <w:kern w:val="0"/>
          <w:sz w:val="32"/>
          <w:szCs w:val="32"/>
          <w:shd w:val="clear" w:fill="FFFFFF"/>
          <w:lang w:val="en-US" w:eastAsia="zh-CN" w:bidi="ar-SA"/>
        </w:rPr>
        <w:t>14.67</w:t>
      </w:r>
      <w:r>
        <w:rPr>
          <w:rFonts w:hint="eastAsia" w:ascii="Times New Roman" w:hAnsi="Times New Roman" w:eastAsia="方正仿宋_GBK" w:cs="方正仿宋_GBK"/>
          <w:b w:val="0"/>
          <w:bCs w:val="0"/>
          <w:color w:val="333333"/>
          <w:kern w:val="0"/>
          <w:sz w:val="32"/>
          <w:szCs w:val="32"/>
          <w:shd w:val="clear" w:fill="FFFFFF"/>
          <w:lang w:val="en-US" w:eastAsia="zh-CN" w:bidi="ar-SA"/>
        </w:rPr>
        <w:t>万元，占</w:t>
      </w:r>
      <w:r>
        <w:rPr>
          <w:rFonts w:hint="default" w:ascii="Times New Roman" w:hAnsi="Times New Roman" w:eastAsia="方正仿宋_GBK" w:cs="方正仿宋_GBK"/>
          <w:b w:val="0"/>
          <w:bCs w:val="0"/>
          <w:color w:val="333333"/>
          <w:kern w:val="0"/>
          <w:sz w:val="32"/>
          <w:szCs w:val="32"/>
          <w:shd w:val="clear" w:fill="FFFFFF"/>
          <w:lang w:val="en-US" w:eastAsia="zh-CN" w:bidi="ar-SA"/>
        </w:rPr>
        <w:t>15.3%</w:t>
      </w:r>
      <w:r>
        <w:rPr>
          <w:rFonts w:hint="eastAsia" w:ascii="Times New Roman" w:hAnsi="Times New Roman" w:eastAsia="方正仿宋_GBK" w:cs="方正仿宋_GBK"/>
          <w:b w:val="0"/>
          <w:bCs w:val="0"/>
          <w:color w:val="333333"/>
          <w:kern w:val="0"/>
          <w:sz w:val="32"/>
          <w:szCs w:val="32"/>
          <w:shd w:val="clear" w:fill="FFFFFF"/>
          <w:lang w:val="en-US" w:eastAsia="zh-CN" w:bidi="ar-SA"/>
        </w:rPr>
        <w:t>，</w:t>
      </w:r>
      <w:r>
        <w:rPr>
          <w:rFonts w:hint="default" w:ascii="Times New Roman" w:hAnsi="Times New Roman" w:eastAsia="方正仿宋_GBK" w:cs="方正仿宋_GBK"/>
          <w:b w:val="0"/>
          <w:bCs w:val="0"/>
          <w:color w:val="333333"/>
          <w:kern w:val="0"/>
          <w:sz w:val="32"/>
          <w:szCs w:val="32"/>
          <w:shd w:val="clear" w:fill="FFFFFF"/>
          <w:lang w:val="en-US" w:eastAsia="zh-CN" w:bidi="ar-SA"/>
        </w:rPr>
        <w:t>较年初预算数增加3.84万元，增长35.5%</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w:t>
      </w:r>
      <w:r>
        <w:rPr>
          <w:rFonts w:hint="default" w:ascii="Times New Roman" w:hAnsi="Times New Roman" w:eastAsia="方正仿宋_GBK" w:cs="方正仿宋_GBK"/>
          <w:b w:val="0"/>
          <w:bCs w:val="0"/>
          <w:color w:val="333333"/>
          <w:kern w:val="0"/>
          <w:sz w:val="32"/>
          <w:szCs w:val="32"/>
          <w:shd w:val="clear" w:fill="FFFFFF"/>
          <w:lang w:val="en-US" w:eastAsia="zh-CN" w:bidi="ar-SA"/>
        </w:rPr>
        <w:t>根据单位情况预估核算，实际财政拨款收入由财政根据资金分配情况统一安排拨款。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（2）卫生健康支出</w:t>
      </w:r>
      <w:r>
        <w:rPr>
          <w:rFonts w:hint="default" w:ascii="Times New Roman" w:hAnsi="Times New Roman" w:eastAsia="方正仿宋_GBK" w:cs="方正仿宋_GBK"/>
          <w:b w:val="0"/>
          <w:bCs w:val="0"/>
          <w:color w:val="333333"/>
          <w:kern w:val="0"/>
          <w:sz w:val="32"/>
          <w:szCs w:val="32"/>
          <w:shd w:val="clear" w:fill="FFFFFF"/>
          <w:lang w:val="en-US" w:eastAsia="zh-CN" w:bidi="ar-SA"/>
        </w:rPr>
        <w:t>77.35</w:t>
      </w:r>
      <w:r>
        <w:rPr>
          <w:rFonts w:hint="eastAsia" w:ascii="Times New Roman" w:hAnsi="Times New Roman" w:eastAsia="方正仿宋_GBK" w:cs="方正仿宋_GBK"/>
          <w:b w:val="0"/>
          <w:bCs w:val="0"/>
          <w:color w:val="333333"/>
          <w:kern w:val="0"/>
          <w:sz w:val="32"/>
          <w:szCs w:val="32"/>
          <w:shd w:val="clear" w:fill="FFFFFF"/>
          <w:lang w:val="en-US" w:eastAsia="zh-CN" w:bidi="ar-SA"/>
        </w:rPr>
        <w:t>万元，占</w:t>
      </w:r>
      <w:r>
        <w:rPr>
          <w:rFonts w:hint="default" w:ascii="Times New Roman" w:hAnsi="Times New Roman" w:eastAsia="方正仿宋_GBK" w:cs="方正仿宋_GBK"/>
          <w:b w:val="0"/>
          <w:bCs w:val="0"/>
          <w:color w:val="333333"/>
          <w:kern w:val="0"/>
          <w:sz w:val="32"/>
          <w:szCs w:val="32"/>
          <w:shd w:val="clear" w:fill="FFFFFF"/>
          <w:lang w:val="en-US" w:eastAsia="zh-CN" w:bidi="ar-SA"/>
        </w:rPr>
        <w:t>80.7%</w:t>
      </w:r>
      <w:r>
        <w:rPr>
          <w:rFonts w:hint="eastAsia" w:ascii="Times New Roman" w:hAnsi="Times New Roman" w:eastAsia="方正仿宋_GBK" w:cs="方正仿宋_GBK"/>
          <w:b w:val="0"/>
          <w:bCs w:val="0"/>
          <w:color w:val="333333"/>
          <w:kern w:val="0"/>
          <w:sz w:val="32"/>
          <w:szCs w:val="32"/>
          <w:shd w:val="clear" w:fill="FFFFFF"/>
          <w:lang w:val="en-US" w:eastAsia="zh-CN" w:bidi="ar-SA"/>
        </w:rPr>
        <w:t>，</w:t>
      </w:r>
      <w:r>
        <w:rPr>
          <w:rFonts w:hint="default" w:ascii="Times New Roman" w:hAnsi="Times New Roman" w:eastAsia="方正仿宋_GBK" w:cs="方正仿宋_GBK"/>
          <w:b w:val="0"/>
          <w:bCs w:val="0"/>
          <w:color w:val="333333"/>
          <w:kern w:val="0"/>
          <w:sz w:val="32"/>
          <w:szCs w:val="32"/>
          <w:shd w:val="clear" w:fill="FFFFFF"/>
          <w:lang w:val="en-US" w:eastAsia="zh-CN" w:bidi="ar-SA"/>
        </w:rPr>
        <w:t>较年初预算数增加19.89万元，增长34.6%</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w:t>
      </w:r>
      <w:r>
        <w:rPr>
          <w:rFonts w:hint="default" w:ascii="Times New Roman" w:hAnsi="Times New Roman" w:eastAsia="方正仿宋_GBK" w:cs="方正仿宋_GBK"/>
          <w:b w:val="0"/>
          <w:bCs w:val="0"/>
          <w:color w:val="333333"/>
          <w:kern w:val="0"/>
          <w:sz w:val="32"/>
          <w:szCs w:val="32"/>
          <w:shd w:val="clear" w:fill="FFFFFF"/>
          <w:lang w:val="en-US" w:eastAsia="zh-CN" w:bidi="ar-SA"/>
        </w:rPr>
        <w:t>根据单位情况预估核算，实际财政拨款收入由财政根据资金分配情况统一安排拨款。</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（3）住房保障支出</w:t>
      </w:r>
      <w:r>
        <w:rPr>
          <w:rFonts w:hint="default" w:ascii="Times New Roman" w:hAnsi="Times New Roman" w:eastAsia="方正仿宋_GBK" w:cs="方正仿宋_GBK"/>
          <w:b w:val="0"/>
          <w:bCs w:val="0"/>
          <w:color w:val="333333"/>
          <w:kern w:val="0"/>
          <w:sz w:val="32"/>
          <w:szCs w:val="32"/>
          <w:shd w:val="clear" w:fill="FFFFFF"/>
          <w:lang w:val="en-US" w:eastAsia="zh-CN" w:bidi="ar-SA"/>
        </w:rPr>
        <w:t>3.87</w:t>
      </w:r>
      <w:r>
        <w:rPr>
          <w:rFonts w:hint="eastAsia" w:ascii="Times New Roman" w:hAnsi="Times New Roman" w:eastAsia="方正仿宋_GBK" w:cs="方正仿宋_GBK"/>
          <w:b w:val="0"/>
          <w:bCs w:val="0"/>
          <w:color w:val="333333"/>
          <w:kern w:val="0"/>
          <w:sz w:val="32"/>
          <w:szCs w:val="32"/>
          <w:shd w:val="clear" w:fill="FFFFFF"/>
          <w:lang w:val="en-US" w:eastAsia="zh-CN" w:bidi="ar-SA"/>
        </w:rPr>
        <w:t>万元，占</w:t>
      </w:r>
      <w:r>
        <w:rPr>
          <w:rFonts w:hint="default" w:ascii="Times New Roman" w:hAnsi="Times New Roman" w:eastAsia="方正仿宋_GBK" w:cs="方正仿宋_GBK"/>
          <w:b w:val="0"/>
          <w:bCs w:val="0"/>
          <w:color w:val="333333"/>
          <w:kern w:val="0"/>
          <w:sz w:val="32"/>
          <w:szCs w:val="32"/>
          <w:shd w:val="clear" w:fill="FFFFFF"/>
          <w:lang w:val="en-US" w:eastAsia="zh-CN" w:bidi="ar-SA"/>
        </w:rPr>
        <w:t>4.0%</w:t>
      </w:r>
      <w:r>
        <w:rPr>
          <w:rFonts w:hint="eastAsia" w:ascii="Times New Roman" w:hAnsi="Times New Roman" w:eastAsia="方正仿宋_GBK" w:cs="方正仿宋_GBK"/>
          <w:b w:val="0"/>
          <w:bCs w:val="0"/>
          <w:color w:val="333333"/>
          <w:kern w:val="0"/>
          <w:sz w:val="32"/>
          <w:szCs w:val="32"/>
          <w:shd w:val="clear" w:fill="FFFFFF"/>
          <w:lang w:val="en-US" w:eastAsia="zh-CN" w:bidi="ar-SA"/>
        </w:rPr>
        <w:t>，</w:t>
      </w:r>
      <w:r>
        <w:rPr>
          <w:rFonts w:hint="default" w:ascii="Times New Roman" w:hAnsi="Times New Roman" w:eastAsia="方正仿宋_GBK" w:cs="方正仿宋_GBK"/>
          <w:b w:val="0"/>
          <w:bCs w:val="0"/>
          <w:color w:val="333333"/>
          <w:kern w:val="0"/>
          <w:sz w:val="32"/>
          <w:szCs w:val="32"/>
          <w:shd w:val="clear" w:fill="FFFFFF"/>
          <w:lang w:val="en-US" w:eastAsia="zh-CN" w:bidi="ar-SA"/>
        </w:rPr>
        <w:t>较年初预算数无增减</w:t>
      </w:r>
      <w:r>
        <w:rPr>
          <w:rFonts w:hint="eastAsia" w:ascii="Times New Roman" w:hAnsi="Times New Roman" w:eastAsia="方正仿宋_GBK" w:cs="方正仿宋_GBK"/>
          <w:b w:val="0"/>
          <w:bCs w:val="0"/>
          <w:color w:val="333333"/>
          <w:kern w:val="0"/>
          <w:sz w:val="32"/>
          <w:szCs w:val="32"/>
          <w:shd w:val="clear" w:fill="FFFFFF"/>
          <w:lang w:val="en-US" w:eastAsia="zh-CN" w:bidi="ar-SA"/>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方正仿宋_GBK" w:hAnsi="方正仿宋_GBK"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3</w:t>
      </w:r>
      <w:r>
        <w:rPr>
          <w:rFonts w:hint="eastAsia" w:ascii="Times New Roman" w:hAnsi="Times New Roman" w:eastAsia="方正仿宋_GBK" w:cs="方正仿宋_GBK"/>
          <w:b w:val="0"/>
          <w:bCs w:val="0"/>
          <w:color w:val="333333"/>
          <w:kern w:val="0"/>
          <w:sz w:val="32"/>
          <w:szCs w:val="32"/>
          <w:shd w:val="clear" w:fill="FFFFFF"/>
          <w:lang w:val="en-US" w:eastAsia="zh-CN" w:bidi="ar-SA"/>
        </w:rPr>
        <w:t>.结转结余情况。</w:t>
      </w: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年度年末一般公共预算财政拨款结转和结余</w:t>
      </w:r>
      <w:r>
        <w:rPr>
          <w:rFonts w:hint="default" w:ascii="Times New Roman" w:hAnsi="Times New Roman" w:eastAsia="方正仿宋_GBK" w:cs="方正仿宋_GBK"/>
          <w:b w:val="0"/>
          <w:bCs w:val="0"/>
          <w:color w:val="333333"/>
          <w:kern w:val="0"/>
          <w:sz w:val="32"/>
          <w:szCs w:val="32"/>
          <w:shd w:val="clear" w:fill="FFFFFF"/>
          <w:lang w:val="en-US" w:eastAsia="zh-CN" w:bidi="ar-SA"/>
        </w:rPr>
        <w:t>0.00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r>
        <w:rPr>
          <w:rFonts w:hint="default" w:ascii="Times New Roman" w:hAnsi="Times New Roman" w:eastAsia="方正仿宋_GBK" w:cs="方正仿宋_GBK"/>
          <w:b w:val="0"/>
          <w:bCs w:val="0"/>
          <w:color w:val="333333"/>
          <w:kern w:val="0"/>
          <w:sz w:val="32"/>
          <w:szCs w:val="32"/>
          <w:shd w:val="clear" w:fill="FFFFFF"/>
          <w:lang w:val="en-US" w:eastAsia="zh-CN" w:bidi="ar-SA"/>
        </w:rPr>
        <w:t>与2023年度相比，减少5.80万元，下降100.0%</w:t>
      </w:r>
      <w:r>
        <w:rPr>
          <w:rFonts w:hint="eastAsia" w:ascii="Times New Roman" w:hAnsi="Times New Roman" w:eastAsia="方正仿宋_GBK" w:cs="方正仿宋_GBK"/>
          <w:b w:val="0"/>
          <w:bCs w:val="0"/>
          <w:color w:val="333333"/>
          <w:kern w:val="0"/>
          <w:sz w:val="32"/>
          <w:szCs w:val="32"/>
          <w:shd w:val="clear" w:fill="FFFFFF"/>
          <w:lang w:val="en-US" w:eastAsia="zh-CN" w:bidi="ar-SA"/>
        </w:rPr>
        <w:t>，主要原因是</w:t>
      </w:r>
      <w:r>
        <w:rPr>
          <w:rFonts w:hint="eastAsia" w:ascii="方正仿宋_GBK" w:hAnsi="方正仿宋_GBK" w:eastAsia="方正仿宋_GBK" w:cs="方正仿宋_GBK"/>
          <w:b w:val="0"/>
          <w:bCs w:val="0"/>
          <w:color w:val="333333"/>
          <w:kern w:val="0"/>
          <w:sz w:val="32"/>
          <w:szCs w:val="32"/>
          <w:shd w:val="clear" w:fill="FFFFFF"/>
          <w:lang w:val="en-US" w:eastAsia="zh-CN" w:bidi="ar-SA"/>
        </w:rPr>
        <w:t>2023年结转结余为2022年清算绩效，本年度无清算绩效。</w:t>
      </w:r>
      <w:r>
        <w:rPr>
          <w:rFonts w:hint="eastAsia" w:ascii="Times New Roman" w:hAnsi="Times New Roman" w:eastAsia="方正仿宋_GBK" w:cs="方正仿宋_GBK"/>
          <w:b w:val="0"/>
          <w:bCs w:val="0"/>
          <w:color w:val="333333"/>
          <w:kern w:val="0"/>
          <w:sz w:val="32"/>
          <w:szCs w:val="32"/>
          <w:shd w:val="clear" w:fill="FFFFFF"/>
          <w:lang w:val="en-US" w:eastAsia="zh-CN" w:bidi="ar-SA"/>
        </w:rPr>
        <w:t>。</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Times New Roman" w:hAnsi="Times New Roman"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（四）一般公共预算财政拨款基本支出决算情况说明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2024年度一般公共财政拨款基本支出91.56万元。</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其中：</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人员经费91.29万元，与2023年度相比，减少2.50万元，下降2.7%，主要原因是</w:t>
      </w:r>
      <w:r>
        <w:rPr>
          <w:rFonts w:hint="eastAsia" w:ascii="Times New Roman" w:hAnsi="Times New Roman" w:eastAsia="方正仿宋_GBK" w:cs="方正仿宋_GBK"/>
          <w:b w:val="0"/>
          <w:bCs w:val="0"/>
          <w:color w:val="333333"/>
          <w:kern w:val="0"/>
          <w:sz w:val="32"/>
          <w:szCs w:val="32"/>
          <w:shd w:val="clear" w:fill="FFFFFF"/>
          <w:lang w:val="en-US" w:eastAsia="zh-CN" w:bidi="ar-SA"/>
        </w:rPr>
        <w:t>财政拨款减少。</w:t>
      </w:r>
      <w:r>
        <w:rPr>
          <w:rFonts w:hint="default" w:ascii="Times New Roman" w:hAnsi="Times New Roman" w:eastAsia="方正仿宋_GBK" w:cs="方正仿宋_GBK"/>
          <w:b w:val="0"/>
          <w:bCs w:val="0"/>
          <w:color w:val="333333"/>
          <w:kern w:val="0"/>
          <w:sz w:val="32"/>
          <w:szCs w:val="32"/>
          <w:shd w:val="clear" w:fill="FFFFFF"/>
          <w:lang w:val="en-US" w:eastAsia="zh-CN" w:bidi="ar-SA"/>
        </w:rPr>
        <w:t>人员经费用途主要包括人员社会保障、工资、绩效、津补贴支出等。</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公用经费0.27万元，与2023年度相比，增加0.27万元，增长100.0%，主要原因是</w:t>
      </w:r>
      <w:r>
        <w:rPr>
          <w:rFonts w:hint="eastAsia" w:ascii="Times New Roman" w:hAnsi="Times New Roman" w:eastAsia="方正仿宋_GBK" w:cs="方正仿宋_GBK"/>
          <w:b w:val="0"/>
          <w:bCs w:val="0"/>
          <w:color w:val="333333"/>
          <w:kern w:val="0"/>
          <w:sz w:val="32"/>
          <w:szCs w:val="32"/>
          <w:shd w:val="clear" w:fill="FFFFFF"/>
          <w:lang w:val="en-US" w:eastAsia="zh-CN" w:bidi="ar-SA"/>
        </w:rPr>
        <w:t>办公费、水电费等增加。</w:t>
      </w:r>
      <w:r>
        <w:rPr>
          <w:rFonts w:hint="default" w:ascii="Times New Roman" w:hAnsi="Times New Roman" w:eastAsia="方正仿宋_GBK" w:cs="方正仿宋_GBK"/>
          <w:b w:val="0"/>
          <w:bCs w:val="0"/>
          <w:color w:val="333333"/>
          <w:kern w:val="0"/>
          <w:sz w:val="32"/>
          <w:szCs w:val="32"/>
          <w:shd w:val="clear" w:fill="FFFFFF"/>
          <w:lang w:val="en-US" w:eastAsia="zh-CN" w:bidi="ar-SA"/>
        </w:rPr>
        <w:t>公用经费用途主要包括办公费、水电费、培训费等。</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（五）政府性基金预算收支决算情况说明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本单位202</w:t>
      </w:r>
      <w:r>
        <w:rPr>
          <w:rFonts w:hint="eastAsia" w:ascii="Times New Roman" w:hAnsi="Times New Roman" w:eastAsia="方正仿宋_GBK" w:cs="方正仿宋_GBK"/>
          <w:b w:val="0"/>
          <w:bCs w:val="0"/>
          <w:color w:val="333333"/>
          <w:kern w:val="0"/>
          <w:sz w:val="32"/>
          <w:szCs w:val="32"/>
          <w:shd w:val="clear" w:fill="FFFFFF"/>
          <w:lang w:val="en-US" w:eastAsia="zh-CN" w:bidi="ar-SA"/>
        </w:rPr>
        <w:t>4</w:t>
      </w:r>
      <w:r>
        <w:rPr>
          <w:rFonts w:hint="default" w:ascii="Times New Roman" w:hAnsi="Times New Roman" w:eastAsia="方正仿宋_GBK" w:cs="方正仿宋_GBK"/>
          <w:b w:val="0"/>
          <w:bCs w:val="0"/>
          <w:color w:val="333333"/>
          <w:kern w:val="0"/>
          <w:sz w:val="32"/>
          <w:szCs w:val="32"/>
          <w:shd w:val="clear" w:fill="FFFFFF"/>
          <w:lang w:val="en-US" w:eastAsia="zh-CN" w:bidi="ar-SA"/>
        </w:rPr>
        <w:t>年度无政府性基金预算财政拨款收支。</w:t>
      </w:r>
    </w:p>
    <w:p>
      <w:pPr>
        <w:pStyle w:val="14"/>
        <w:keepNext w:val="0"/>
        <w:keepLines w:val="0"/>
        <w:pageBreakBefore w:val="0"/>
        <w:widowControl/>
        <w:kinsoku/>
        <w:wordWrap/>
        <w:overflowPunct/>
        <w:topLinePunct w:val="0"/>
        <w:autoSpaceDE w:val="0"/>
        <w:autoSpaceDN/>
        <w:bidi w:val="0"/>
        <w:adjustRightInd/>
        <w:spacing w:afterAutospacing="0" w:line="560" w:lineRule="exact"/>
        <w:ind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（六）国有资本经营预算财政拨款支出决算情况说明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outlineLvl w:val="9"/>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本单位202</w:t>
      </w:r>
      <w:r>
        <w:rPr>
          <w:rFonts w:hint="eastAsia" w:ascii="Times New Roman" w:hAnsi="Times New Roman" w:eastAsia="方正仿宋_GBK" w:cs="方正仿宋_GBK"/>
          <w:b w:val="0"/>
          <w:bCs w:val="0"/>
          <w:color w:val="333333"/>
          <w:kern w:val="0"/>
          <w:sz w:val="32"/>
          <w:szCs w:val="32"/>
          <w:shd w:val="clear" w:fill="FFFFFF"/>
          <w:lang w:val="en-US" w:eastAsia="zh-CN" w:bidi="ar-SA"/>
        </w:rPr>
        <w:t>4</w:t>
      </w:r>
      <w:r>
        <w:rPr>
          <w:rFonts w:hint="default" w:ascii="Times New Roman" w:hAnsi="Times New Roman" w:eastAsia="方正仿宋_GBK" w:cs="方正仿宋_GBK"/>
          <w:b w:val="0"/>
          <w:bCs w:val="0"/>
          <w:color w:val="333333"/>
          <w:kern w:val="0"/>
          <w:sz w:val="32"/>
          <w:szCs w:val="32"/>
          <w:shd w:val="clear" w:fill="FFFFFF"/>
          <w:lang w:val="en-US" w:eastAsia="zh-CN" w:bidi="ar-SA"/>
        </w:rPr>
        <w:t>年度无国有资本经营预算财政拨款支出。</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三、财政拨款“三公”经费情况说明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left="0" w:leftChars="0" w:firstLine="640" w:firstLineChars="200"/>
        <w:jc w:val="both"/>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（一）“三公”经费支出总体情况说明</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left="0" w:leftChars="0" w:firstLine="640" w:firstLineChars="200"/>
        <w:jc w:val="both"/>
        <w:textAlignment w:val="auto"/>
        <w:outlineLvl w:val="9"/>
        <w:rPr>
          <w:rFonts w:hint="default" w:ascii="方正仿宋_GBK" w:hAnsi="方正仿宋_GBK" w:eastAsia="方正仿宋_GBK" w:cs="方正仿宋_GBK"/>
          <w:b w:val="0"/>
          <w:bCs w:val="0"/>
          <w:color w:val="333333"/>
          <w:kern w:val="0"/>
          <w:sz w:val="32"/>
          <w:szCs w:val="32"/>
          <w:shd w:val="clear" w:fill="FFFFFF"/>
          <w:lang w:val="en-US" w:eastAsia="zh-CN" w:bidi="ar-SA"/>
        </w:rPr>
      </w:pPr>
      <w:r>
        <w:rPr>
          <w:rFonts w:hint="eastAsia" w:ascii="方正仿宋_GBK" w:hAnsi="方正仿宋_GBK" w:eastAsia="方正仿宋_GBK" w:cs="方正仿宋_GBK"/>
          <w:b w:val="0"/>
          <w:bCs w:val="0"/>
          <w:color w:val="333333"/>
          <w:kern w:val="0"/>
          <w:sz w:val="32"/>
          <w:szCs w:val="32"/>
          <w:shd w:val="clear" w:fill="FFFFFF"/>
          <w:lang w:val="en-US" w:eastAsia="zh-CN" w:bidi="ar-SA"/>
        </w:rPr>
        <w:t>本</w:t>
      </w:r>
      <w:r>
        <w:rPr>
          <w:rFonts w:hint="default" w:ascii="方正仿宋_GBK" w:hAnsi="方正仿宋_GBK" w:eastAsia="方正仿宋_GBK" w:cs="方正仿宋_GBK"/>
          <w:b w:val="0"/>
          <w:bCs w:val="0"/>
          <w:color w:val="333333"/>
          <w:kern w:val="0"/>
          <w:sz w:val="32"/>
          <w:szCs w:val="32"/>
          <w:shd w:val="clear" w:fill="FFFFFF"/>
          <w:lang w:val="en-US" w:eastAsia="zh-CN" w:bidi="ar-SA"/>
        </w:rPr>
        <w:t>单位</w:t>
      </w:r>
      <w:r>
        <w:rPr>
          <w:rFonts w:hint="eastAsia" w:ascii="方正仿宋_GBK" w:hAnsi="方正仿宋_GBK" w:eastAsia="方正仿宋_GBK" w:cs="方正仿宋_GBK"/>
          <w:b w:val="0"/>
          <w:bCs w:val="0"/>
          <w:color w:val="333333"/>
          <w:kern w:val="0"/>
          <w:sz w:val="32"/>
          <w:szCs w:val="32"/>
          <w:shd w:val="clear" w:fill="FFFFFF"/>
          <w:lang w:val="en-US" w:eastAsia="zh-CN" w:bidi="ar-SA"/>
        </w:rPr>
        <w:t>属于</w:t>
      </w:r>
      <w:r>
        <w:rPr>
          <w:rFonts w:hint="default" w:ascii="方正仿宋_GBK" w:hAnsi="方正仿宋_GBK" w:eastAsia="方正仿宋_GBK" w:cs="方正仿宋_GBK"/>
          <w:b w:val="0"/>
          <w:bCs w:val="0"/>
          <w:color w:val="333333"/>
          <w:kern w:val="0"/>
          <w:sz w:val="32"/>
          <w:szCs w:val="32"/>
          <w:shd w:val="clear" w:fill="FFFFFF"/>
          <w:lang w:val="en-US" w:eastAsia="zh-CN" w:bidi="ar-SA"/>
        </w:rPr>
        <w:t>差额拨款单位，</w:t>
      </w:r>
      <w:r>
        <w:rPr>
          <w:rFonts w:hint="eastAsia" w:ascii="方正仿宋_GBK" w:hAnsi="方正仿宋_GBK" w:eastAsia="方正仿宋_GBK" w:cs="方正仿宋_GBK"/>
          <w:b w:val="0"/>
          <w:bCs w:val="0"/>
          <w:color w:val="333333"/>
          <w:kern w:val="0"/>
          <w:sz w:val="32"/>
          <w:szCs w:val="32"/>
          <w:shd w:val="clear" w:fill="FFFFFF"/>
          <w:lang w:val="en-US" w:eastAsia="zh-CN" w:bidi="ar-SA"/>
        </w:rPr>
        <w:t>未使用</w:t>
      </w:r>
      <w:r>
        <w:rPr>
          <w:rFonts w:hint="default" w:ascii="方正仿宋_GBK" w:hAnsi="方正仿宋_GBK" w:eastAsia="方正仿宋_GBK" w:cs="方正仿宋_GBK"/>
          <w:b w:val="0"/>
          <w:bCs w:val="0"/>
          <w:color w:val="333333"/>
          <w:kern w:val="0"/>
          <w:sz w:val="32"/>
          <w:szCs w:val="32"/>
          <w:shd w:val="clear" w:fill="FFFFFF"/>
          <w:lang w:val="en-US" w:eastAsia="zh-CN" w:bidi="ar-SA"/>
        </w:rPr>
        <w:t>财政</w:t>
      </w:r>
      <w:r>
        <w:rPr>
          <w:rFonts w:hint="eastAsia" w:ascii="方正仿宋_GBK" w:hAnsi="方正仿宋_GBK" w:eastAsia="方正仿宋_GBK" w:cs="方正仿宋_GBK"/>
          <w:b w:val="0"/>
          <w:bCs w:val="0"/>
          <w:color w:val="333333"/>
          <w:kern w:val="0"/>
          <w:sz w:val="32"/>
          <w:szCs w:val="32"/>
          <w:shd w:val="clear" w:fill="FFFFFF"/>
          <w:lang w:val="en-US" w:eastAsia="zh-CN" w:bidi="ar-SA"/>
        </w:rPr>
        <w:t>资金</w:t>
      </w:r>
      <w:r>
        <w:rPr>
          <w:rFonts w:hint="default" w:ascii="方正仿宋_GBK" w:hAnsi="方正仿宋_GBK" w:eastAsia="方正仿宋_GBK" w:cs="方正仿宋_GBK"/>
          <w:b w:val="0"/>
          <w:bCs w:val="0"/>
          <w:color w:val="333333"/>
          <w:kern w:val="0"/>
          <w:sz w:val="32"/>
          <w:szCs w:val="32"/>
          <w:shd w:val="clear" w:fill="FFFFFF"/>
          <w:lang w:val="en-US" w:eastAsia="zh-CN" w:bidi="ar-SA"/>
        </w:rPr>
        <w:t>保障“三公”经费。</w:t>
      </w:r>
    </w:p>
    <w:p>
      <w:pPr>
        <w:pStyle w:val="14"/>
        <w:keepNext w:val="0"/>
        <w:keepLines w:val="0"/>
        <w:pageBreakBefore w:val="0"/>
        <w:widowControl/>
        <w:kinsoku/>
        <w:wordWrap/>
        <w:overflowPunct/>
        <w:topLinePunct w:val="0"/>
        <w:autoSpaceDE w:val="0"/>
        <w:autoSpaceDN/>
        <w:bidi w:val="0"/>
        <w:adjustRightInd/>
        <w:snapToGrid/>
        <w:spacing w:afterAutospacing="0" w:line="560" w:lineRule="exact"/>
        <w:ind w:left="0" w:leftChars="0" w:firstLine="640" w:firstLineChars="200"/>
        <w:jc w:val="both"/>
        <w:textAlignment w:val="auto"/>
        <w:rPr>
          <w:rFonts w:hint="eastAsia" w:ascii="Times New Roman" w:hAnsi="Times New Roman"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（二）“三公”经费分项支出情况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2024年度本单位无因公出国（境）费用，较年初预算数无增减，较上年支出数无增减。</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2024年度本</w:t>
      </w:r>
      <w:r>
        <w:rPr>
          <w:rFonts w:hint="eastAsia" w:ascii="Times New Roman" w:hAnsi="Times New Roman" w:eastAsia="方正仿宋_GBK" w:cs="方正仿宋_GBK"/>
          <w:b w:val="0"/>
          <w:bCs w:val="0"/>
          <w:color w:val="333333"/>
          <w:kern w:val="0"/>
          <w:sz w:val="30"/>
          <w:szCs w:val="30"/>
          <w:shd w:val="clear" w:fill="FFFFFF"/>
          <w:lang w:val="en-US" w:eastAsia="zh-CN" w:bidi="ar-SA"/>
        </w:rPr>
        <w:t>单位无公务车购置费，较年初预算数无增减，较上年支出数无增减</w:t>
      </w:r>
      <w:r>
        <w:rPr>
          <w:rFonts w:hint="eastAsia" w:ascii="Times New Roman" w:hAnsi="Times New Roman" w:eastAsia="方正仿宋_GBK" w:cs="方正仿宋_GBK"/>
          <w:b w:val="0"/>
          <w:bCs w:val="0"/>
          <w:color w:val="333333"/>
          <w:kern w:val="0"/>
          <w:sz w:val="32"/>
          <w:szCs w:val="32"/>
          <w:shd w:val="clear" w:fill="FFFFFF"/>
          <w:lang w:val="en-US" w:eastAsia="zh-CN" w:bidi="ar-SA"/>
        </w:rPr>
        <w:t>。</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2024年度本单位无公务车运行维护费，较年初预算数无增减，较上年支出数无增减。</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eastAsia" w:ascii="Times New Roman" w:hAnsi="Times New Roman" w:eastAsia="方正仿宋_GBK" w:cs="方正仿宋_GBK"/>
          <w:b w:val="0"/>
          <w:bCs w:val="0"/>
          <w:color w:val="333333"/>
          <w:kern w:val="0"/>
          <w:sz w:val="32"/>
          <w:szCs w:val="32"/>
          <w:shd w:val="clear" w:fill="FFFFFF"/>
          <w:lang w:val="en-US" w:eastAsia="zh-CN" w:bidi="ar-SA"/>
        </w:rPr>
      </w:pPr>
      <w:r>
        <w:rPr>
          <w:rFonts w:hint="eastAsia" w:ascii="Times New Roman" w:hAnsi="Times New Roman" w:eastAsia="方正仿宋_GBK" w:cs="方正仿宋_GBK"/>
          <w:b w:val="0"/>
          <w:bCs w:val="0"/>
          <w:color w:val="333333"/>
          <w:kern w:val="0"/>
          <w:sz w:val="32"/>
          <w:szCs w:val="32"/>
          <w:shd w:val="clear" w:fill="FFFFFF"/>
          <w:lang w:val="en-US" w:eastAsia="zh-CN" w:bidi="ar-SA"/>
        </w:rPr>
        <w:t>2024年度本单位无公务接待费，较年初预算数无增减，较上年支出数无增减。</w:t>
      </w:r>
    </w:p>
    <w:p>
      <w:pPr>
        <w:pStyle w:val="14"/>
        <w:keepNext w:val="0"/>
        <w:keepLines w:val="0"/>
        <w:pageBreakBefore w:val="0"/>
        <w:widowControl/>
        <w:kinsoku/>
        <w:wordWrap/>
        <w:overflowPunct/>
        <w:topLinePunct w:val="0"/>
        <w:autoSpaceDE w:val="0"/>
        <w:autoSpaceDN/>
        <w:bidi w:val="0"/>
        <w:adjustRightInd/>
        <w:spacing w:afterAutospacing="0" w:line="560" w:lineRule="exact"/>
        <w:ind w:firstLine="640" w:firstLineChars="200"/>
        <w:jc w:val="both"/>
        <w:textAlignment w:val="auto"/>
        <w:rPr>
          <w:rFonts w:hint="eastAsia" w:ascii="Times New Roman" w:hAnsi="Times New Roman"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（三）“三公”经费实物量情况</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年度本单位因公出国（境）共计</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个团组，</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人；公务用车购置</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辆，公务车保有量为</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辆；国内公务接待</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批次</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人，其中：国内外事接待</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批次，</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人；国（境）外公务接待</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批次，</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人。</w:t>
      </w: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年本单位人均接待费</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元，车均购置费</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万元，车均维护费</w:t>
      </w:r>
      <w:r>
        <w:rPr>
          <w:rFonts w:hint="default" w:ascii="Times New Roman" w:hAnsi="Times New Roman" w:eastAsia="方正仿宋_GBK" w:cs="方正仿宋_GBK"/>
          <w:b w:val="0"/>
          <w:bCs w:val="0"/>
          <w:color w:val="333333"/>
          <w:kern w:val="0"/>
          <w:sz w:val="32"/>
          <w:szCs w:val="32"/>
          <w:shd w:val="clear" w:fill="FFFFFF"/>
          <w:lang w:val="en-US" w:eastAsia="zh-CN" w:bidi="ar-SA"/>
        </w:rPr>
        <w:t>0</w:t>
      </w:r>
      <w:r>
        <w:rPr>
          <w:rFonts w:hint="eastAsia" w:ascii="Times New Roman" w:hAnsi="Times New Roman" w:eastAsia="方正仿宋_GBK" w:cs="方正仿宋_GBK"/>
          <w:b w:val="0"/>
          <w:bCs w:val="0"/>
          <w:color w:val="333333"/>
          <w:kern w:val="0"/>
          <w:sz w:val="32"/>
          <w:szCs w:val="32"/>
          <w:shd w:val="clear" w:fill="FFFFFF"/>
          <w:lang w:val="en-US" w:eastAsia="zh-CN" w:bidi="ar-SA"/>
        </w:rPr>
        <w:t>万元。</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四、其他需要说明的事项</w:t>
      </w:r>
    </w:p>
    <w:p>
      <w:pPr>
        <w:pStyle w:val="14"/>
        <w:keepNext w:val="0"/>
        <w:keepLines w:val="0"/>
        <w:pageBreakBefore w:val="0"/>
        <w:widowControl/>
        <w:kinsoku/>
        <w:wordWrap/>
        <w:overflowPunct/>
        <w:topLinePunct w:val="0"/>
        <w:autoSpaceDE w:val="0"/>
        <w:autoSpaceDN/>
        <w:bidi w:val="0"/>
        <w:adjustRightIn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（一）财政拨款会议费、培训费和差旅费情况说明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方正仿宋_GBK" w:hAnsi="方正仿宋_GBK" w:eastAsia="方正仿宋_GBK" w:cs="方正仿宋_GBK"/>
          <w:b w:val="0"/>
          <w:bCs w:val="0"/>
          <w:color w:val="333333"/>
          <w:kern w:val="0"/>
          <w:sz w:val="32"/>
          <w:szCs w:val="32"/>
          <w:shd w:val="clear" w:fill="FFFFFF"/>
          <w:lang w:val="en-US" w:eastAsia="zh-CN" w:bidi="ar-SA"/>
        </w:rPr>
      </w:pPr>
      <w:r>
        <w:rPr>
          <w:rFonts w:hint="eastAsia" w:ascii="方正仿宋_GBK" w:hAnsi="方正仿宋_GBK" w:eastAsia="方正仿宋_GBK" w:cs="方正仿宋_GBK"/>
          <w:b w:val="0"/>
          <w:bCs w:val="0"/>
          <w:color w:val="333333"/>
          <w:kern w:val="0"/>
          <w:sz w:val="32"/>
          <w:szCs w:val="32"/>
          <w:shd w:val="clear" w:fill="FFFFFF"/>
          <w:lang w:val="en-US" w:eastAsia="zh-CN" w:bidi="ar-SA"/>
        </w:rPr>
        <w:t>本</w:t>
      </w:r>
      <w:r>
        <w:rPr>
          <w:rFonts w:hint="default" w:ascii="方正仿宋_GBK" w:hAnsi="方正仿宋_GBK" w:eastAsia="方正仿宋_GBK" w:cs="方正仿宋_GBK"/>
          <w:b w:val="0"/>
          <w:bCs w:val="0"/>
          <w:color w:val="333333"/>
          <w:kern w:val="0"/>
          <w:sz w:val="32"/>
          <w:szCs w:val="32"/>
          <w:shd w:val="clear" w:fill="FFFFFF"/>
          <w:lang w:val="en-US" w:eastAsia="zh-CN" w:bidi="ar-SA"/>
        </w:rPr>
        <w:t>单位</w:t>
      </w:r>
      <w:r>
        <w:rPr>
          <w:rFonts w:hint="eastAsia" w:ascii="方正仿宋_GBK" w:hAnsi="方正仿宋_GBK" w:eastAsia="方正仿宋_GBK" w:cs="方正仿宋_GBK"/>
          <w:b w:val="0"/>
          <w:bCs w:val="0"/>
          <w:color w:val="333333"/>
          <w:kern w:val="0"/>
          <w:sz w:val="32"/>
          <w:szCs w:val="32"/>
          <w:shd w:val="clear" w:fill="FFFFFF"/>
          <w:lang w:val="en-US" w:eastAsia="zh-CN" w:bidi="ar-SA"/>
        </w:rPr>
        <w:t>属于</w:t>
      </w:r>
      <w:r>
        <w:rPr>
          <w:rFonts w:hint="default" w:ascii="方正仿宋_GBK" w:hAnsi="方正仿宋_GBK" w:eastAsia="方正仿宋_GBK" w:cs="方正仿宋_GBK"/>
          <w:b w:val="0"/>
          <w:bCs w:val="0"/>
          <w:color w:val="333333"/>
          <w:kern w:val="0"/>
          <w:sz w:val="32"/>
          <w:szCs w:val="32"/>
          <w:shd w:val="clear" w:fill="FFFFFF"/>
          <w:lang w:val="en-US" w:eastAsia="zh-CN" w:bidi="ar-SA"/>
        </w:rPr>
        <w:t>差额拨款单位，财政未保障本单位会议费</w:t>
      </w:r>
      <w:r>
        <w:rPr>
          <w:rFonts w:hint="eastAsia" w:ascii="方正仿宋_GBK" w:hAnsi="方正仿宋_GBK" w:eastAsia="方正仿宋_GBK" w:cs="方正仿宋_GBK"/>
          <w:b w:val="0"/>
          <w:bCs w:val="0"/>
          <w:color w:val="333333"/>
          <w:kern w:val="0"/>
          <w:sz w:val="32"/>
          <w:szCs w:val="32"/>
          <w:shd w:val="clear" w:fill="FFFFFF"/>
          <w:lang w:val="en-US" w:eastAsia="zh-CN" w:bidi="ar-SA"/>
        </w:rPr>
        <w:t>、差旅费</w:t>
      </w:r>
      <w:r>
        <w:rPr>
          <w:rFonts w:hint="default" w:ascii="方正仿宋_GBK" w:hAnsi="方正仿宋_GBK" w:eastAsia="方正仿宋_GBK" w:cs="方正仿宋_GBK"/>
          <w:b w:val="0"/>
          <w:bCs w:val="0"/>
          <w:color w:val="333333"/>
          <w:kern w:val="0"/>
          <w:sz w:val="32"/>
          <w:szCs w:val="32"/>
          <w:shd w:val="clear" w:fill="FFFFFF"/>
          <w:lang w:val="en-US" w:eastAsia="zh-CN" w:bidi="ar-SA"/>
        </w:rPr>
        <w:t>和培训费。</w:t>
      </w:r>
    </w:p>
    <w:p>
      <w:pPr>
        <w:pStyle w:val="14"/>
        <w:keepNext w:val="0"/>
        <w:keepLines w:val="0"/>
        <w:pageBreakBefore w:val="0"/>
        <w:widowControl/>
        <w:kinsoku/>
        <w:wordWrap/>
        <w:overflowPunct/>
        <w:topLinePunct w:val="0"/>
        <w:autoSpaceDE w:val="0"/>
        <w:autoSpaceDN/>
        <w:bidi w:val="0"/>
        <w:adjustRightInd/>
        <w:spacing w:afterAutospacing="0" w:line="560" w:lineRule="exact"/>
        <w:ind w:left="0" w:leftChars="0"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（二）机关运行经费情况说明</w:t>
      </w:r>
    </w:p>
    <w:p>
      <w:pPr>
        <w:pStyle w:val="15"/>
        <w:keepNext w:val="0"/>
        <w:keepLines w:val="0"/>
        <w:pageBreakBefore w:val="0"/>
        <w:widowControl/>
        <w:suppressLineNumbers w:val="0"/>
        <w:shd w:val="clear"/>
        <w:kinsoku/>
        <w:wordWrap/>
        <w:overflowPunct/>
        <w:topLinePunct w:val="0"/>
        <w:autoSpaceDE w:val="0"/>
        <w:autoSpaceDN/>
        <w:bidi w:val="0"/>
        <w:adjustRightInd/>
        <w:snapToGrid/>
        <w:spacing w:before="0" w:beforeAutospacing="0" w:after="0" w:afterAutospacing="0" w:line="560" w:lineRule="exact"/>
        <w:ind w:left="0" w:firstLine="640" w:firstLineChars="200"/>
        <w:jc w:val="both"/>
        <w:textAlignment w:val="auto"/>
        <w:outlineLvl w:val="9"/>
        <w:rPr>
          <w:rFonts w:hint="default" w:ascii="方正仿宋_GBK" w:hAnsi="方正仿宋_GBK" w:eastAsia="方正仿宋_GBK" w:cs="方正仿宋_GBK"/>
          <w:b w:val="0"/>
          <w:bCs w:val="0"/>
          <w:color w:val="333333"/>
          <w:kern w:val="0"/>
          <w:sz w:val="32"/>
          <w:szCs w:val="32"/>
          <w:shd w:val="clear" w:fill="FFFFFF"/>
          <w:lang w:val="en-US" w:eastAsia="zh-CN" w:bidi="ar-SA"/>
        </w:rPr>
      </w:pPr>
      <w:r>
        <w:rPr>
          <w:rFonts w:hint="default" w:ascii="方正仿宋_GBK" w:hAnsi="方正仿宋_GBK" w:eastAsia="方正仿宋_GBK" w:cs="方正仿宋_GBK"/>
          <w:b w:val="0"/>
          <w:bCs w:val="0"/>
          <w:color w:val="333333"/>
          <w:kern w:val="0"/>
          <w:sz w:val="32"/>
          <w:szCs w:val="32"/>
          <w:shd w:val="clear" w:fill="FFFFFF"/>
          <w:lang w:val="en-US" w:eastAsia="zh-CN" w:bidi="ar-SA"/>
        </w:rPr>
        <w:t>按照部门决算列报口径，</w:t>
      </w:r>
      <w:r>
        <w:rPr>
          <w:rFonts w:hint="eastAsia" w:ascii="方正仿宋_GBK" w:hAnsi="方正仿宋_GBK" w:eastAsia="方正仿宋_GBK" w:cs="方正仿宋_GBK"/>
          <w:b w:val="0"/>
          <w:bCs w:val="0"/>
          <w:color w:val="333333"/>
          <w:kern w:val="0"/>
          <w:sz w:val="32"/>
          <w:szCs w:val="32"/>
          <w:shd w:val="clear" w:fill="FFFFFF"/>
          <w:lang w:val="en-US" w:eastAsia="zh-CN" w:bidi="ar-SA"/>
        </w:rPr>
        <w:t>本</w:t>
      </w:r>
      <w:r>
        <w:rPr>
          <w:rFonts w:hint="default" w:ascii="方正仿宋_GBK" w:hAnsi="方正仿宋_GBK" w:eastAsia="方正仿宋_GBK" w:cs="方正仿宋_GBK"/>
          <w:b w:val="0"/>
          <w:bCs w:val="0"/>
          <w:color w:val="333333"/>
          <w:kern w:val="0"/>
          <w:sz w:val="32"/>
          <w:szCs w:val="32"/>
          <w:shd w:val="clear" w:fill="FFFFFF"/>
          <w:lang w:val="en-US" w:eastAsia="zh-CN" w:bidi="ar-SA"/>
        </w:rPr>
        <w:t>单位为差额拨款事业单位不在机关运行经费统计范围之内。</w:t>
      </w:r>
    </w:p>
    <w:p>
      <w:pPr>
        <w:pStyle w:val="14"/>
        <w:keepNext w:val="0"/>
        <w:keepLines w:val="0"/>
        <w:pageBreakBefore w:val="0"/>
        <w:widowControl/>
        <w:kinsoku/>
        <w:wordWrap/>
        <w:overflowPunct/>
        <w:topLinePunct w:val="0"/>
        <w:autoSpaceDE w:val="0"/>
        <w:autoSpaceDN/>
        <w:bidi w:val="0"/>
        <w:adjustRightIn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（三）国有资产占用情况说明</w:t>
      </w:r>
    </w:p>
    <w:p>
      <w:pPr>
        <w:pStyle w:val="9"/>
        <w:keepNext w:val="0"/>
        <w:keepLines w:val="0"/>
        <w:pageBreakBefore w:val="0"/>
        <w:widowControl/>
        <w:kinsoku/>
        <w:wordWrap/>
        <w:overflowPunct/>
        <w:topLinePunct w:val="0"/>
        <w:autoSpaceDN/>
        <w:bidi w:val="0"/>
        <w:adjustRightInd/>
        <w:snapToGrid w:val="0"/>
        <w:spacing w:before="0" w:beforeAutospacing="0" w:after="0" w:afterAutospacing="0" w:line="560" w:lineRule="exact"/>
        <w:ind w:firstLine="640" w:firstLineChars="200"/>
        <w:jc w:val="both"/>
        <w:textAlignment w:val="auto"/>
        <w:rPr>
          <w:rFonts w:hint="default"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截至2024年12月31日，本单位共有车辆1辆，其中，副部（省）级及以上领导用车0辆、主要负责人用车0辆、机要通信用车0辆、应急保障用车0辆、执法执勤用车0辆，特种专业技术用车1辆，离退休干部用车0辆。单价100万元（含）以上专用设备0台（套）。</w:t>
      </w:r>
    </w:p>
    <w:p>
      <w:pPr>
        <w:pStyle w:val="14"/>
        <w:keepNext w:val="0"/>
        <w:keepLines w:val="0"/>
        <w:pageBreakBefore w:val="0"/>
        <w:widowControl/>
        <w:kinsoku/>
        <w:wordWrap/>
        <w:overflowPunct/>
        <w:topLinePunct w:val="0"/>
        <w:autoSpaceDE w:val="0"/>
        <w:autoSpaceDN/>
        <w:bidi w:val="0"/>
        <w:adjustRightInd/>
        <w:spacing w:afterAutospacing="0" w:line="560" w:lineRule="exact"/>
        <w:ind w:firstLine="640" w:firstLineChars="200"/>
        <w:jc w:val="both"/>
        <w:textAlignment w:val="auto"/>
        <w:rPr>
          <w:rFonts w:hint="eastAsia" w:ascii="Times New Roman" w:hAnsi="Times New Roman"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（四）政府采购支出情况说明</w:t>
      </w:r>
    </w:p>
    <w:p>
      <w:pPr>
        <w:pStyle w:val="14"/>
        <w:keepNext w:val="0"/>
        <w:keepLines w:val="0"/>
        <w:pageBreakBefore w:val="0"/>
        <w:widowControl/>
        <w:kinsoku/>
        <w:wordWrap/>
        <w:overflowPunct/>
        <w:topLinePunct w:val="0"/>
        <w:autoSpaceDE w:val="0"/>
        <w:autoSpaceDN/>
        <w:bidi w:val="0"/>
        <w:spacing w:afterAutospacing="0" w:line="560" w:lineRule="exact"/>
        <w:jc w:val="both"/>
        <w:textAlignment w:val="auto"/>
        <w:rPr>
          <w:rFonts w:hint="eastAsia" w:ascii="Times New Roman" w:hAnsi="Times New Roman" w:eastAsia="方正仿宋_GBK" w:cs="方正仿宋_GBK"/>
          <w:b w:val="0"/>
          <w:bCs w:val="0"/>
          <w:color w:val="333333"/>
          <w:kern w:val="0"/>
          <w:sz w:val="32"/>
          <w:szCs w:val="32"/>
          <w:shd w:val="clear" w:fill="FFFFFF"/>
          <w:lang w:val="en-US" w:eastAsia="zh-CN" w:bidi="ar-SA"/>
        </w:rPr>
      </w:pPr>
      <w:r>
        <w:rPr>
          <w:rFonts w:hint="default" w:ascii="Times New Roman" w:hAnsi="Times New Roman" w:eastAsia="方正仿宋_GBK" w:cs="方正仿宋_GBK"/>
          <w:b w:val="0"/>
          <w:bCs w:val="0"/>
          <w:color w:val="333333"/>
          <w:kern w:val="0"/>
          <w:sz w:val="32"/>
          <w:szCs w:val="32"/>
          <w:shd w:val="clear" w:fill="FFFFFF"/>
          <w:lang w:val="en-US" w:eastAsia="zh-CN" w:bidi="ar-SA"/>
        </w:rPr>
        <w:t>2024</w:t>
      </w:r>
      <w:r>
        <w:rPr>
          <w:rFonts w:hint="eastAsia" w:ascii="Times New Roman" w:hAnsi="Times New Roman" w:eastAsia="方正仿宋_GBK" w:cs="方正仿宋_GBK"/>
          <w:b w:val="0"/>
          <w:bCs w:val="0"/>
          <w:color w:val="333333"/>
          <w:kern w:val="0"/>
          <w:sz w:val="32"/>
          <w:szCs w:val="32"/>
          <w:shd w:val="clear" w:fill="FFFFFF"/>
          <w:lang w:val="en-US" w:eastAsia="zh-CN" w:bidi="ar-SA"/>
        </w:rPr>
        <w:t>年度本单位未发生政府采购事项，无相关经费支出。</w:t>
      </w:r>
    </w:p>
    <w:p>
      <w:pPr>
        <w:pStyle w:val="14"/>
        <w:keepNext w:val="0"/>
        <w:keepLines w:val="0"/>
        <w:pageBreakBefore w:val="0"/>
        <w:widowControl/>
        <w:kinsoku/>
        <w:wordWrap/>
        <w:overflowPunct/>
        <w:topLinePunct w:val="0"/>
        <w:autoSpaceDE w:val="0"/>
        <w:autoSpaceDN/>
        <w:bidi w:val="0"/>
        <w:spacing w:afterAutospacing="0" w:line="560" w:lineRule="exact"/>
        <w:ind w:left="0" w:leftChars="0" w:firstLine="640" w:firstLineChars="200"/>
        <w:jc w:val="both"/>
        <w:textAlignment w:val="auto"/>
        <w:rPr>
          <w:rStyle w:val="11"/>
          <w:rFonts w:hint="eastAsia" w:ascii="方正黑体_GBK" w:hAnsi="方正黑体_GBK" w:eastAsia="方正黑体_GBK" w:cs="方正黑体_GBK"/>
          <w:b w:val="0"/>
          <w:bCs/>
          <w:sz w:val="32"/>
          <w:szCs w:val="32"/>
          <w:shd w:val="clear" w:color="auto" w:fill="FFFFFF"/>
          <w:lang w:val="en-US" w:eastAsia="zh-CN" w:bidi="ar-SA"/>
        </w:rPr>
      </w:pPr>
      <w:r>
        <w:rPr>
          <w:rStyle w:val="11"/>
          <w:rFonts w:hint="eastAsia" w:ascii="方正黑体_GBK" w:hAnsi="方正黑体_GBK" w:eastAsia="方正黑体_GBK" w:cs="方正黑体_GBK"/>
          <w:b w:val="0"/>
          <w:bCs/>
          <w:sz w:val="32"/>
          <w:szCs w:val="32"/>
          <w:shd w:val="clear" w:color="auto" w:fill="FFFFFF"/>
          <w:lang w:val="en-US" w:eastAsia="zh-CN" w:bidi="ar-SA"/>
        </w:rPr>
        <w:t>五、预算绩效管理情况</w:t>
      </w:r>
      <w:bookmarkStart w:id="1" w:name="_GoBack"/>
      <w:bookmarkEnd w:id="1"/>
      <w:r>
        <w:rPr>
          <w:rStyle w:val="11"/>
          <w:rFonts w:hint="eastAsia" w:ascii="方正黑体_GBK" w:hAnsi="方正黑体_GBK" w:eastAsia="方正黑体_GBK" w:cs="方正黑体_GBK"/>
          <w:b w:val="0"/>
          <w:bCs/>
          <w:sz w:val="32"/>
          <w:szCs w:val="32"/>
          <w:shd w:val="clear" w:color="auto" w:fill="FFFFFF"/>
          <w:lang w:val="en-US" w:eastAsia="zh-CN" w:bidi="ar-SA"/>
        </w:rPr>
        <w:t>说明</w:t>
      </w:r>
    </w:p>
    <w:p>
      <w:pPr>
        <w:pStyle w:val="14"/>
        <w:keepNext w:val="0"/>
        <w:keepLines w:val="0"/>
        <w:pageBreakBefore w:val="0"/>
        <w:widowControl/>
        <w:kinsoku/>
        <w:wordWrap/>
        <w:overflowPunct/>
        <w:topLinePunct w:val="0"/>
        <w:autoSpaceDE w:val="0"/>
        <w:autoSpaceDN/>
        <w:bidi w:val="0"/>
        <w:adjustRightInd/>
        <w:spacing w:afterAutospacing="0" w:line="560" w:lineRule="exact"/>
        <w:ind w:firstLine="640" w:firstLineChars="200"/>
        <w:jc w:val="both"/>
        <w:textAlignment w:val="auto"/>
        <w:rPr>
          <w:rFonts w:hint="eastAsia" w:ascii="方正楷体_GBK" w:hAnsi="方正楷体_GBK" w:eastAsia="方正楷体_GBK" w:cs="方正楷体_GBK"/>
          <w:b w:val="0"/>
          <w:bCs w:val="0"/>
          <w:sz w:val="32"/>
          <w:szCs w:val="32"/>
          <w:shd w:val="clear" w:color="auto" w:fill="FFFFFF"/>
          <w:lang w:val="en-US" w:eastAsia="zh-CN" w:bidi="ar-SA"/>
        </w:rPr>
      </w:pPr>
      <w:r>
        <w:rPr>
          <w:rFonts w:hint="eastAsia" w:ascii="方正楷体_GBK" w:hAnsi="方正楷体_GBK" w:eastAsia="方正楷体_GBK" w:cs="方正楷体_GBK"/>
          <w:b w:val="0"/>
          <w:bCs w:val="0"/>
          <w:sz w:val="32"/>
          <w:szCs w:val="32"/>
          <w:shd w:val="clear" w:color="auto" w:fill="FFFFFF"/>
          <w:lang w:val="en-US" w:eastAsia="zh-CN" w:bidi="ar-SA"/>
        </w:rPr>
        <w:t>（一）单位自评情况</w:t>
      </w:r>
    </w:p>
    <w:p>
      <w:pPr>
        <w:pStyle w:val="9"/>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outlineLvl w:val="9"/>
        <w:rPr>
          <w:rFonts w:hint="eastAsia" w:ascii="Times New Roman" w:hAnsi="Times New Roman" w:eastAsia="方正仿宋_GBK" w:cs="方正仿宋_GBK"/>
          <w:b w:val="0"/>
          <w:bCs w:val="0"/>
          <w:sz w:val="32"/>
          <w:szCs w:val="32"/>
          <w:shd w:val="clear" w:color="auto" w:fill="FFFFFF"/>
          <w:lang w:eastAsia="zh-CN"/>
        </w:rPr>
      </w:pPr>
      <w:r>
        <w:rPr>
          <w:rFonts w:hint="eastAsia" w:ascii="Times New Roman" w:hAnsi="Times New Roman" w:eastAsia="方正仿宋_GBK" w:cs="方正仿宋_GBK"/>
          <w:b w:val="0"/>
          <w:bCs w:val="0"/>
          <w:sz w:val="32"/>
          <w:szCs w:val="32"/>
          <w:shd w:val="clear" w:color="auto" w:fill="FFFFFF"/>
          <w:lang w:eastAsia="zh-CN"/>
        </w:rPr>
        <w:t>本单位为秀山土家族苗族自治县卫生健康委员会二级预算单位，由主管部门统一开展项目支出绩效自评。</w:t>
      </w:r>
    </w:p>
    <w:p>
      <w:pPr>
        <w:pStyle w:val="15"/>
        <w:keepNext w:val="0"/>
        <w:keepLines w:val="0"/>
        <w:pageBreakBefore w:val="0"/>
        <w:widowControl/>
        <w:kinsoku/>
        <w:wordWrap/>
        <w:overflowPunct/>
        <w:topLinePunct w:val="0"/>
        <w:autoSpaceDN/>
        <w:bidi w:val="0"/>
        <w:spacing w:before="0" w:beforeAutospacing="0" w:afterAutospacing="0" w:line="560" w:lineRule="exact"/>
        <w:ind w:firstLine="560" w:firstLineChars="200"/>
        <w:jc w:val="both"/>
        <w:textAlignment w:val="auto"/>
        <w:rPr>
          <w:rFonts w:hint="eastAsia" w:ascii="方正仿宋_GBK" w:hAnsi="方正仿宋_GBK" w:eastAsia="方正仿宋_GBK" w:cs="方正仿宋_GBK"/>
          <w:sz w:val="28"/>
          <w:szCs w:val="28"/>
          <w:shd w:val="clear" w:color="auto" w:fill="FFFFFF"/>
        </w:rPr>
      </w:pPr>
    </w:p>
    <w:tbl>
      <w:tblPr>
        <w:tblStyle w:val="12"/>
        <w:tblpPr w:leftFromText="180" w:rightFromText="180" w:vertAnchor="text" w:horzAnchor="page" w:tblpX="1856" w:tblpY="150"/>
        <w:tblOverlap w:val="never"/>
        <w:tblW w:w="8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5"/>
        <w:gridCol w:w="611"/>
        <w:gridCol w:w="2112"/>
        <w:gridCol w:w="629"/>
        <w:gridCol w:w="554"/>
        <w:gridCol w:w="629"/>
        <w:gridCol w:w="630"/>
        <w:gridCol w:w="705"/>
        <w:gridCol w:w="686"/>
        <w:gridCol w:w="629"/>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trHeight w:val="1490" w:hRule="atLeast"/>
        </w:trPr>
        <w:tc>
          <w:tcPr>
            <w:tcW w:w="8400" w:type="dxa"/>
            <w:gridSpan w:val="11"/>
            <w:shd w:val="clear" w:color="auto" w:fill="auto"/>
            <w:vAlign w:val="center"/>
          </w:tcPr>
          <w:p>
            <w:pPr>
              <w:keepNext w:val="0"/>
              <w:keepLines w:val="0"/>
              <w:widowControl/>
              <w:suppressLineNumbers w:val="0"/>
              <w:ind w:firstLine="1285" w:firstLineChars="400"/>
              <w:jc w:val="both"/>
              <w:textAlignment w:val="center"/>
              <w:rPr>
                <w:rFonts w:hint="eastAsia" w:cs="宋体"/>
                <w:b/>
                <w:bCs w:val="0"/>
                <w:i w:val="0"/>
                <w:color w:val="auto"/>
                <w:kern w:val="0"/>
                <w:sz w:val="32"/>
                <w:szCs w:val="32"/>
                <w:highlight w:val="none"/>
                <w:u w:val="none"/>
                <w:lang w:val="en-US" w:eastAsia="zh-CN" w:bidi="ar"/>
              </w:rPr>
            </w:pPr>
            <w:r>
              <w:rPr>
                <w:rFonts w:hint="eastAsia" w:cs="宋体"/>
                <w:b/>
                <w:bCs w:val="0"/>
                <w:i w:val="0"/>
                <w:color w:val="auto"/>
                <w:kern w:val="0"/>
                <w:sz w:val="32"/>
                <w:szCs w:val="32"/>
                <w:highlight w:val="none"/>
                <w:u w:val="none"/>
                <w:lang w:val="en-US" w:eastAsia="zh-CN" w:bidi="ar"/>
              </w:rPr>
              <w:t>秀山土家族苗族自治县卫生健康委员会</w:t>
            </w:r>
          </w:p>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bCs w:val="0"/>
                <w:i w:val="0"/>
                <w:color w:val="auto"/>
                <w:kern w:val="0"/>
                <w:sz w:val="32"/>
                <w:szCs w:val="32"/>
                <w:highlight w:val="none"/>
                <w:u w:val="none"/>
                <w:lang w:val="en-US" w:eastAsia="zh-CN" w:bidi="ar"/>
              </w:rPr>
              <w:t>202</w:t>
            </w:r>
            <w:r>
              <w:rPr>
                <w:rFonts w:hint="eastAsia" w:cs="宋体"/>
                <w:b/>
                <w:bCs w:val="0"/>
                <w:i w:val="0"/>
                <w:color w:val="auto"/>
                <w:kern w:val="0"/>
                <w:sz w:val="32"/>
                <w:szCs w:val="32"/>
                <w:highlight w:val="none"/>
                <w:u w:val="none"/>
                <w:lang w:val="en-US" w:eastAsia="zh-CN" w:bidi="ar"/>
              </w:rPr>
              <w:t>4</w:t>
            </w:r>
            <w:r>
              <w:rPr>
                <w:rFonts w:hint="eastAsia" w:ascii="宋体" w:hAnsi="宋体" w:eastAsia="宋体" w:cs="宋体"/>
                <w:b/>
                <w:bCs w:val="0"/>
                <w:i w:val="0"/>
                <w:color w:val="auto"/>
                <w:kern w:val="0"/>
                <w:sz w:val="32"/>
                <w:szCs w:val="32"/>
                <w:highlight w:val="none"/>
                <w:u w:val="none"/>
                <w:lang w:val="en-US" w:eastAsia="zh-CN" w:bidi="ar"/>
              </w:rPr>
              <w:t>年度项目支出绩效自评情况表（</w:t>
            </w:r>
            <w:r>
              <w:rPr>
                <w:rFonts w:hint="eastAsia" w:cs="宋体"/>
                <w:b/>
                <w:bCs w:val="0"/>
                <w:i w:val="0"/>
                <w:color w:val="auto"/>
                <w:kern w:val="0"/>
                <w:sz w:val="32"/>
                <w:szCs w:val="32"/>
                <w:highlight w:val="none"/>
                <w:u w:val="none"/>
                <w:lang w:val="en-US" w:eastAsia="zh-CN" w:bidi="ar"/>
              </w:rPr>
              <w:t>二级项目</w:t>
            </w:r>
            <w:r>
              <w:rPr>
                <w:rFonts w:hint="eastAsia" w:ascii="宋体" w:hAnsi="宋体" w:eastAsia="宋体" w:cs="宋体"/>
                <w:b/>
                <w:bCs w:val="0"/>
                <w:i w:val="0"/>
                <w:color w:val="auto"/>
                <w:kern w:val="0"/>
                <w:sz w:val="32"/>
                <w:szCs w:val="3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81" w:hRule="atLeast"/>
        </w:trPr>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序号</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项目名称</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指标名称</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指标性质</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指标值</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计量单位</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指标权重</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全年完成值</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指标得分</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说明</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sz w:val="24"/>
                <w:szCs w:val="24"/>
                <w:highlight w:val="none"/>
                <w:u w:val="none"/>
              </w:rPr>
            </w:pPr>
            <w:r>
              <w:rPr>
                <w:rFonts w:hint="eastAsia" w:ascii="方正仿宋_GBK" w:hAnsi="方正仿宋_GBK" w:eastAsia="方正仿宋_GBK" w:cs="方正仿宋_GBK"/>
                <w:i w:val="0"/>
                <w:color w:val="auto"/>
                <w:kern w:val="0"/>
                <w:sz w:val="24"/>
                <w:szCs w:val="24"/>
                <w:highlight w:val="none"/>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05" w:hRule="atLeast"/>
        </w:trPr>
        <w:tc>
          <w:tcPr>
            <w:tcW w:w="5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1</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i w:val="0"/>
                <w:color w:val="auto"/>
                <w:kern w:val="0"/>
                <w:sz w:val="24"/>
                <w:szCs w:val="24"/>
                <w:highlight w:val="none"/>
                <w:u w:val="none"/>
                <w:lang w:val="en-US" w:eastAsia="zh-CN" w:bidi="ar"/>
              </w:rPr>
              <w:t>国家基本公共卫生服务补助资金</w:t>
            </w: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适龄儿童国家免疫规划疫苗接种</w:t>
            </w:r>
            <w:r>
              <w:rPr>
                <w:rFonts w:hint="eastAsia" w:ascii="方正仿宋_GBK" w:hAnsi="方正仿宋_GBK" w:eastAsia="方正仿宋_GBK" w:cs="方正仿宋_GBK"/>
                <w:sz w:val="24"/>
                <w:szCs w:val="24"/>
              </w:rPr>
              <w:t>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92</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41" w:hRule="atLeast"/>
        </w:trPr>
        <w:tc>
          <w:tcPr>
            <w:tcW w:w="5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p>
        </w:tc>
        <w:tc>
          <w:tcPr>
            <w:tcW w:w="21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eastAsia" w:ascii="方正仿宋_GBK" w:hAnsi="方正仿宋_GBK" w:eastAsia="方正仿宋_GBK" w:cs="方正仿宋_GBK"/>
                <w:i w:val="0"/>
                <w:color w:val="auto"/>
                <w:kern w:val="0"/>
                <w:sz w:val="24"/>
                <w:szCs w:val="24"/>
                <w:highlight w:val="none"/>
                <w:u w:val="none"/>
                <w:lang w:val="en-US" w:eastAsia="zh-CN" w:bidi="ar"/>
              </w:rPr>
            </w:pPr>
            <w:r>
              <w:rPr>
                <w:rFonts w:hint="eastAsia" w:ascii="方正仿宋_GBK" w:hAnsi="方正仿宋_GBK" w:eastAsia="方正仿宋_GBK" w:cs="方正仿宋_GBK"/>
                <w:sz w:val="24"/>
                <w:szCs w:val="24"/>
                <w:lang w:eastAsia="zh-CN"/>
              </w:rPr>
              <w:t>0-6岁儿童健康管理率</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sz w:val="24"/>
                <w:szCs w:val="24"/>
              </w:rPr>
              <w:t>≥</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91</w:t>
            </w:r>
          </w:p>
        </w:tc>
        <w:tc>
          <w:tcPr>
            <w:tcW w:w="6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30</w:t>
            </w:r>
          </w:p>
        </w:tc>
        <w:tc>
          <w:tcPr>
            <w:tcW w:w="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outlineLvl w:val="9"/>
              <w:rPr>
                <w:rFonts w:hint="default" w:ascii="Times New Roman" w:hAnsi="Times New Roman" w:eastAsia="方正仿宋_GBK" w:cs="Times New Roman"/>
                <w:i w:val="0"/>
                <w:color w:val="auto"/>
                <w:kern w:val="0"/>
                <w:sz w:val="24"/>
                <w:szCs w:val="24"/>
                <w:highlight w:val="none"/>
                <w:u w:val="none"/>
                <w:lang w:val="en-US" w:eastAsia="zh-CN" w:bidi="ar"/>
              </w:rPr>
            </w:pPr>
            <w:r>
              <w:rPr>
                <w:rFonts w:hint="default" w:ascii="Times New Roman" w:hAnsi="Times New Roman" w:eastAsia="方正仿宋_GBK" w:cs="Times New Roman"/>
                <w:i w:val="0"/>
                <w:color w:val="auto"/>
                <w:kern w:val="0"/>
                <w:sz w:val="24"/>
                <w:szCs w:val="24"/>
                <w:highlight w:val="none"/>
                <w:u w:val="none"/>
                <w:lang w:val="en-US" w:eastAsia="zh-CN" w:bidi="ar"/>
              </w:rPr>
              <w:t>90</w:t>
            </w:r>
          </w:p>
        </w:tc>
      </w:tr>
    </w:tbl>
    <w:p>
      <w:pPr>
        <w:pStyle w:val="15"/>
        <w:spacing w:before="0" w:beforeAutospacing="0"/>
        <w:jc w:val="center"/>
        <w:rPr>
          <w:rFonts w:hint="eastAsia" w:ascii="方正仿宋_GBK" w:hAnsi="方正仿宋_GBK" w:eastAsia="方正仿宋_GBK" w:cs="方正仿宋_GBK"/>
          <w:sz w:val="28"/>
          <w:szCs w:val="28"/>
          <w:shd w:val="clear" w:color="auto" w:fill="FFFFFF"/>
        </w:rPr>
      </w:pPr>
    </w:p>
    <w:p>
      <w:pPr>
        <w:pStyle w:val="14"/>
        <w:keepNext w:val="0"/>
        <w:keepLines w:val="0"/>
        <w:pageBreakBefore w:val="0"/>
        <w:widowControl/>
        <w:kinsoku/>
        <w:wordWrap/>
        <w:overflowPunct/>
        <w:topLinePunct w:val="0"/>
        <w:autoSpaceDE w:val="0"/>
        <w:autoSpaceDN/>
        <w:bidi w:val="0"/>
        <w:adjustRightInd/>
        <w:snapToGrid/>
        <w:spacing w:line="560" w:lineRule="exact"/>
        <w:textAlignment w:val="auto"/>
        <w:outlineLvl w:val="9"/>
        <w:rPr>
          <w:rFonts w:hint="eastAsia" w:ascii="方正楷体_GBK" w:hAnsi="方正楷体_GBK" w:eastAsia="方正楷体_GBK" w:cs="方正楷体_GBK"/>
          <w:b w:val="0"/>
          <w:bCs w:val="0"/>
          <w:sz w:val="32"/>
          <w:szCs w:val="32"/>
          <w:shd w:val="clear" w:color="auto" w:fill="FFFFFF"/>
        </w:rPr>
      </w:pPr>
      <w:r>
        <w:rPr>
          <w:rFonts w:hint="eastAsia" w:ascii="方正楷体_GBK" w:hAnsi="方正楷体_GBK" w:eastAsia="方正楷体_GBK" w:cs="方正楷体_GBK"/>
          <w:b w:val="0"/>
          <w:bCs w:val="0"/>
          <w:sz w:val="32"/>
          <w:szCs w:val="32"/>
          <w:shd w:val="clear" w:color="auto" w:fill="FFFFFF"/>
        </w:rPr>
        <w:t>（二）单位绩效评价情况</w:t>
      </w:r>
    </w:p>
    <w:p>
      <w:pPr>
        <w:pStyle w:val="14"/>
        <w:keepNext w:val="0"/>
        <w:keepLines w:val="0"/>
        <w:pageBreakBefore w:val="0"/>
        <w:widowControl/>
        <w:numPr>
          <w:ilvl w:val="0"/>
          <w:numId w:val="0"/>
        </w:numPr>
        <w:kinsoku/>
        <w:wordWrap/>
        <w:overflowPunct/>
        <w:topLinePunct w:val="0"/>
        <w:autoSpaceDE w:val="0"/>
        <w:autoSpaceDN/>
        <w:bidi w:val="0"/>
        <w:adjustRightInd w:val="0"/>
        <w:snapToGrid w:val="0"/>
        <w:spacing w:beforeAutospacing="0" w:afterAutospacing="0" w:line="560" w:lineRule="exact"/>
        <w:ind w:firstLine="640" w:firstLineChars="200"/>
        <w:jc w:val="both"/>
        <w:textAlignment w:val="auto"/>
        <w:outlineLvl w:val="9"/>
        <w:rPr>
          <w:rFonts w:hint="default" w:ascii="Times New Roman" w:hAnsi="Times New Roman" w:eastAsia="方正仿宋_GBK" w:cs="Times New Roman"/>
          <w:b w:val="0"/>
          <w:bCs w:val="0"/>
          <w:sz w:val="32"/>
          <w:szCs w:val="32"/>
          <w:highlight w:val="none"/>
          <w:shd w:val="clear" w:color="auto" w:fill="FFFFFF"/>
        </w:rPr>
      </w:pPr>
      <w:r>
        <w:rPr>
          <w:rFonts w:hint="eastAsia" w:ascii="Times New Roman" w:hAnsi="Times New Roman" w:eastAsia="方正仿宋_GBK" w:cs="Times New Roman"/>
          <w:b w:val="0"/>
          <w:bCs w:val="0"/>
          <w:kern w:val="0"/>
          <w:sz w:val="32"/>
          <w:szCs w:val="32"/>
          <w:lang w:val="en-US" w:eastAsia="zh-CN" w:bidi="ar-SA"/>
        </w:rPr>
        <w:t>本单位</w:t>
      </w:r>
      <w:r>
        <w:rPr>
          <w:rFonts w:hint="default" w:ascii="Times New Roman" w:hAnsi="Times New Roman" w:eastAsia="方正仿宋_GBK" w:cs="Times New Roman"/>
          <w:b w:val="0"/>
          <w:bCs w:val="0"/>
          <w:kern w:val="0"/>
          <w:sz w:val="32"/>
          <w:szCs w:val="32"/>
          <w:lang w:val="en-US" w:eastAsia="zh-CN" w:bidi="ar-SA"/>
        </w:rPr>
        <w:t>未组织开展绩效评价。</w:t>
      </w:r>
    </w:p>
    <w:p>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Style w:val="11"/>
          <w:rFonts w:hint="default" w:ascii="方正黑体_GBK" w:hAnsi="方正黑体_GBK" w:eastAsia="方正黑体_GBK" w:cs="方正黑体_GBK"/>
          <w:b w:val="0"/>
          <w:bCs/>
          <w:sz w:val="32"/>
          <w:szCs w:val="32"/>
          <w:shd w:val="clear" w:color="auto" w:fill="FFFFFF"/>
          <w:lang w:val="en-US" w:eastAsia="zh-CN" w:bidi="ar-SA"/>
        </w:rPr>
      </w:pPr>
      <w:r>
        <w:rPr>
          <w:rStyle w:val="11"/>
          <w:rFonts w:hint="eastAsia" w:ascii="方正黑体_GBK" w:hAnsi="方正黑体_GBK" w:eastAsia="方正黑体_GBK" w:cs="方正黑体_GBK"/>
          <w:b w:val="0"/>
          <w:bCs/>
          <w:sz w:val="32"/>
          <w:szCs w:val="32"/>
          <w:shd w:val="clear" w:color="auto" w:fill="FFFFFF"/>
          <w:lang w:val="en-US" w:eastAsia="zh-CN" w:bidi="ar-SA"/>
        </w:rPr>
        <w:t>六、专业名词解释</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（一）财政拨款收入：</w:t>
      </w:r>
      <w:r>
        <w:rPr>
          <w:rFonts w:ascii="方正仿宋_GBK" w:hAnsi="方正仿宋_GBK" w:eastAsia="方正仿宋_GBK" w:cs="方正仿宋_GBK"/>
          <w:sz w:val="32"/>
          <w:szCs w:val="32"/>
          <w:shd w:val="clear" w:color="auto" w:fill="FFFFFF"/>
        </w:rPr>
        <w:t>指本年度从本级财政部门取得的财政拨款。</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（二）事业收入：</w:t>
      </w:r>
      <w:r>
        <w:rPr>
          <w:rFonts w:ascii="方正仿宋_GBK" w:hAnsi="方正仿宋_GBK" w:eastAsia="方正仿宋_GBK" w:cs="方正仿宋_GBK"/>
          <w:sz w:val="32"/>
          <w:szCs w:val="32"/>
          <w:shd w:val="clear" w:color="auto" w:fill="FFFFFF"/>
        </w:rPr>
        <w:t>指事业单位开展专业业务活动及其辅助活动取得的收入。</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（三）经营收入：</w:t>
      </w:r>
      <w:r>
        <w:rPr>
          <w:rFonts w:ascii="方正仿宋_GBK" w:hAnsi="方正仿宋_GBK" w:eastAsia="方正仿宋_GBK" w:cs="方正仿宋_GBK"/>
          <w:sz w:val="32"/>
          <w:szCs w:val="32"/>
          <w:shd w:val="clear" w:color="auto" w:fill="FFFFFF"/>
        </w:rPr>
        <w:t>指事业单位在专业业务活动及其辅助活动之外开展非独立核算经营活动取得的收入。</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（四）其他收入：</w:t>
      </w:r>
      <w:r>
        <w:rPr>
          <w:rFonts w:ascii="方正仿宋_GBK" w:hAnsi="方正仿宋_GBK" w:eastAsia="方正仿宋_GBK" w:cs="方正仿宋_GBK"/>
          <w:sz w:val="32"/>
          <w:szCs w:val="32"/>
          <w:shd w:val="clear" w:color="auto" w:fill="FFFFFF"/>
        </w:rPr>
        <w:t>指单位取得的除“财政拨款收入”、“事业收入</w:t>
      </w:r>
      <w:r>
        <w:rPr>
          <w:rFonts w:hint="default" w:ascii="方正仿宋_GBK" w:hAnsi="方正仿宋_GBK" w:eastAsia="方正仿宋_GBK" w:cs="方正仿宋_GBK"/>
          <w:sz w:val="32"/>
          <w:szCs w:val="32"/>
          <w:shd w:val="clear" w:color="auto" w:fill="FFFFFF"/>
          <w:lang w:val="en-US" w:eastAsia="zh-CN"/>
        </w:rPr>
        <w:t>”</w:t>
      </w:r>
      <w:r>
        <w:rPr>
          <w:rFonts w:hint="eastAsia" w:ascii="方正仿宋_GBK" w:hAnsi="方正仿宋_GBK" w:eastAsia="方正仿宋_GBK" w:cs="方正仿宋_GBK"/>
          <w:sz w:val="32"/>
          <w:szCs w:val="32"/>
          <w:shd w:val="clear" w:color="auto" w:fill="FFFFFF"/>
          <w:lang w:val="en-US" w:eastAsia="zh-CN"/>
        </w:rPr>
        <w:t>、</w:t>
      </w:r>
      <w:r>
        <w:rPr>
          <w:rFonts w:ascii="方正仿宋_GBK" w:hAnsi="方正仿宋_GBK" w:eastAsia="方正仿宋_GBK" w:cs="方正仿宋_GBK"/>
          <w:sz w:val="32"/>
          <w:szCs w:val="32"/>
          <w:shd w:val="clear" w:color="auto" w:fill="FFFFFF"/>
        </w:rPr>
        <w:t>“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（五）使用非财政拨款结余（含专用结余）：</w:t>
      </w:r>
      <w:r>
        <w:rPr>
          <w:rFonts w:ascii="方正仿宋_GBK" w:hAnsi="方正仿宋_GBK" w:eastAsia="方正仿宋_GBK" w:cs="方正仿宋_GBK"/>
          <w:sz w:val="32"/>
          <w:szCs w:val="32"/>
          <w:shd w:val="clear" w:color="auto" w:fill="FFFFFF"/>
        </w:rPr>
        <w:t>指事业单位按照预算管理要求使用非财政拨款结余弥补收支差额的金额，以及使用专用结余安排支出的金额。</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（六）年初结转和结余：</w:t>
      </w:r>
      <w:r>
        <w:rPr>
          <w:rFonts w:ascii="方正仿宋_GBK" w:hAnsi="方正仿宋_GBK" w:eastAsia="方正仿宋_GBK" w:cs="方正仿宋_GBK"/>
          <w:sz w:val="32"/>
          <w:szCs w:val="32"/>
          <w:shd w:val="clear" w:color="auto" w:fill="FFFFFF"/>
        </w:rPr>
        <w:t>指单位上年结转本年使用的基本支出结转、项目支出结转和结余、经营结余。</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（七）结余分配：</w:t>
      </w:r>
      <w:r>
        <w:rPr>
          <w:rFonts w:ascii="方正仿宋_GBK" w:hAnsi="方正仿宋_GBK" w:eastAsia="方正仿宋_GBK" w:cs="方正仿宋_GBK"/>
          <w:sz w:val="32"/>
          <w:szCs w:val="32"/>
          <w:shd w:val="clear" w:color="auto" w:fill="FFFFFF"/>
        </w:rPr>
        <w:t>指单位按照国家有关规定，缴纳所得税、提取专用基金、转入非财政拨款结余等当年结余的分配情况。</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（八）年末结转和结余：</w:t>
      </w:r>
      <w:r>
        <w:rPr>
          <w:rFonts w:ascii="方正仿宋_GBK" w:hAnsi="方正仿宋_GBK" w:eastAsia="方正仿宋_GBK" w:cs="方正仿宋_GBK"/>
          <w:sz w:val="32"/>
          <w:szCs w:val="32"/>
          <w:shd w:val="clear" w:color="auto" w:fill="FFFFFF"/>
        </w:rPr>
        <w:t>指单位结转下年的基本支出结转、项目支出结转和结余、经营结余。</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（九）基本支出：</w:t>
      </w:r>
      <w:r>
        <w:rPr>
          <w:rFonts w:ascii="方正仿宋_GBK" w:hAnsi="方正仿宋_GBK" w:eastAsia="方正仿宋_GBK" w:cs="方正仿宋_GBK"/>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（十）项目支出：</w:t>
      </w:r>
      <w:r>
        <w:rPr>
          <w:rFonts w:ascii="方正仿宋_GBK" w:hAnsi="方正仿宋_GBK" w:eastAsia="方正仿宋_GBK" w:cs="方正仿宋_GBK"/>
          <w:sz w:val="32"/>
          <w:szCs w:val="32"/>
          <w:shd w:val="clear" w:color="auto" w:fill="FFFFFF"/>
        </w:rPr>
        <w:t>指在基本支出之外为完成特定行政任务和事业发展目标所发生的支出。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（十一）经营支出：</w:t>
      </w:r>
      <w:r>
        <w:rPr>
          <w:rFonts w:ascii="方正仿宋_GBK" w:hAnsi="方正仿宋_GBK" w:eastAsia="方正仿宋_GBK" w:cs="方正仿宋_GBK"/>
          <w:sz w:val="32"/>
          <w:szCs w:val="32"/>
          <w:shd w:val="clear" w:color="auto" w:fill="FFFFFF"/>
        </w:rPr>
        <w:t>指事业单位在专业业务活动及其辅助活动之外开展非独立核算经营活动发生的支出。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（十二）“三公”经费：</w:t>
      </w:r>
      <w:r>
        <w:rPr>
          <w:rFonts w:ascii="方正仿宋_GBK" w:hAnsi="方正仿宋_GBK" w:eastAsia="方正仿宋_GBK" w:cs="方正仿宋_GBK"/>
          <w:sz w:val="32"/>
          <w:szCs w:val="32"/>
          <w:shd w:val="clear" w:color="auto" w:fill="FFFFFF"/>
        </w:rPr>
        <w:t>指用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（十三）机关运行经费：</w:t>
      </w:r>
      <w:r>
        <w:rPr>
          <w:rFonts w:ascii="方正仿宋_GBK" w:hAnsi="方正仿宋_GBK" w:eastAsia="方正仿宋_GBK" w:cs="方正仿宋_GBK"/>
          <w:sz w:val="32"/>
          <w:szCs w:val="32"/>
          <w:shd w:val="clear" w:color="auto" w:fill="FFFFFF"/>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（十四）工资福利支出（支出经济分类科目类级）：</w:t>
      </w:r>
      <w:r>
        <w:rPr>
          <w:rFonts w:ascii="方正仿宋_GBK" w:hAnsi="方正仿宋_GBK" w:eastAsia="方正仿宋_GBK" w:cs="方正仿宋_GBK"/>
          <w:sz w:val="32"/>
          <w:szCs w:val="32"/>
          <w:shd w:val="clear" w:color="auto" w:fill="FFFFFF"/>
        </w:rPr>
        <w:t>反映单位开支的在职职工和编制外长期聘用人员的各类劳动报酬，以及为上述人员缴纳的各项社会保险费等。</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（十五）商品和服务支出（支出经济分类科目类级）：</w:t>
      </w:r>
      <w:r>
        <w:rPr>
          <w:rFonts w:ascii="方正仿宋_GBK" w:hAnsi="方正仿宋_GBK" w:eastAsia="方正仿宋_GBK" w:cs="方正仿宋_GBK"/>
          <w:sz w:val="32"/>
          <w:szCs w:val="32"/>
          <w:shd w:val="clear" w:color="auto" w:fill="FFFFFF"/>
        </w:rPr>
        <w:t>反映单位购买商品和服务的支出（不包括用于购置固定资产的支出、战略性和应急储备支出）。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eastAsia" w:ascii="方正楷体_GBK" w:hAnsi="方正楷体_GBK" w:eastAsia="方正楷体_GBK" w:cs="方正楷体_GBK"/>
          <w:b w:val="0"/>
          <w:bCs w:val="0"/>
          <w:sz w:val="32"/>
          <w:szCs w:val="32"/>
          <w:shd w:val="clear" w:color="auto" w:fill="FFFFFF"/>
          <w:lang w:val="en-US" w:eastAsia="zh-CN" w:bidi="ar-SA"/>
        </w:rPr>
        <w:t>（十六）对个人和家庭的补助（支出经济分类科目类级）：</w:t>
      </w:r>
      <w:r>
        <w:rPr>
          <w:rFonts w:ascii="方正仿宋_GBK" w:hAnsi="方正仿宋_GBK" w:eastAsia="方正仿宋_GBK" w:cs="方正仿宋_GBK"/>
          <w:sz w:val="32"/>
          <w:szCs w:val="32"/>
          <w:shd w:val="clear" w:color="auto" w:fill="FFFFFF"/>
        </w:rPr>
        <w:t>反映用于对个人和家庭的补助支出。</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shd w:val="clear" w:color="auto" w:fill="FFFFFF"/>
        </w:rPr>
      </w:pPr>
      <w:r>
        <w:rPr>
          <w:rFonts w:hint="eastAsia" w:ascii="方正楷体_GBK" w:hAnsi="方正楷体_GBK" w:eastAsia="方正楷体_GBK" w:cs="方正楷体_GBK"/>
          <w:b w:val="0"/>
          <w:bCs w:val="0"/>
          <w:sz w:val="32"/>
          <w:szCs w:val="32"/>
          <w:shd w:val="clear" w:color="auto" w:fill="FFFFFF"/>
          <w:lang w:val="en-US" w:eastAsia="zh-CN" w:bidi="ar-SA"/>
        </w:rPr>
        <w:t>（十七）其他资本性支出（支出经济分类科目类级）：</w:t>
      </w:r>
      <w:r>
        <w:rPr>
          <w:rFonts w:ascii="方正仿宋_GBK" w:hAnsi="方正仿宋_GBK" w:eastAsia="方正仿宋_GBK" w:cs="方正仿宋_GBK"/>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9"/>
        <w:snapToGrid w:val="0"/>
        <w:spacing w:before="0" w:beforeAutospacing="0" w:after="0" w:afterAutospacing="0" w:line="596" w:lineRule="exact"/>
        <w:ind w:firstLine="640" w:firstLineChars="200"/>
        <w:rPr>
          <w:rStyle w:val="11"/>
          <w:rFonts w:hint="eastAsia" w:ascii="方正黑体_GBK" w:hAnsi="方正黑体_GBK" w:eastAsia="方正黑体_GBK" w:cs="方正黑体_GBK"/>
          <w:b w:val="0"/>
          <w:bCs/>
          <w:sz w:val="32"/>
          <w:szCs w:val="32"/>
          <w:shd w:val="clear" w:color="auto" w:fill="FFFFFF"/>
        </w:rPr>
      </w:pPr>
      <w:r>
        <w:rPr>
          <w:rStyle w:val="11"/>
          <w:rFonts w:hint="eastAsia" w:ascii="方正黑体_GBK" w:hAnsi="方正黑体_GBK" w:eastAsia="方正黑体_GBK" w:cs="方正黑体_GBK"/>
          <w:b w:val="0"/>
          <w:bCs/>
          <w:sz w:val="32"/>
          <w:szCs w:val="32"/>
          <w:shd w:val="clear" w:color="auto" w:fill="FFFFFF"/>
        </w:rPr>
        <w:t>七、决算公开联系方式及信息反馈渠道</w:t>
      </w:r>
    </w:p>
    <w:p>
      <w:pPr>
        <w:pStyle w:val="9"/>
        <w:snapToGrid w:val="0"/>
        <w:spacing w:before="0" w:beforeAutospacing="0" w:after="0" w:afterAutospacing="0" w:line="596" w:lineRule="exact"/>
        <w:ind w:firstLine="640" w:firstLineChars="200"/>
        <w:jc w:val="both"/>
        <w:rPr>
          <w:rFonts w:ascii="方正仿宋_GBK" w:hAnsi="方正仿宋_GBK" w:eastAsia="方正仿宋_GBK" w:cs="方正仿宋_GBK"/>
          <w:sz w:val="32"/>
          <w:szCs w:val="32"/>
          <w:shd w:val="clear" w:color="auto" w:fill="FFFFFF"/>
        </w:rPr>
      </w:pPr>
      <w:r>
        <w:rPr>
          <w:rFonts w:ascii="方正仿宋_GBK" w:hAnsi="方正仿宋_GBK" w:eastAsia="方正仿宋_GBK" w:cs="方正仿宋_GBK"/>
          <w:sz w:val="32"/>
          <w:szCs w:val="32"/>
          <w:shd w:val="clear" w:color="auto" w:fill="FFFFFF"/>
        </w:rPr>
        <w:t>本单位决算公开信息反馈和联系方式：</w:t>
      </w:r>
    </w:p>
    <w:p>
      <w:pPr>
        <w:pStyle w:val="9"/>
        <w:snapToGrid w:val="0"/>
        <w:spacing w:before="0" w:beforeAutospacing="0" w:after="0" w:afterAutospacing="0" w:line="596" w:lineRule="exact"/>
        <w:ind w:firstLine="640" w:firstLineChars="200"/>
        <w:jc w:val="both"/>
        <w:rPr>
          <w:rFonts w:hint="default" w:ascii="方正仿宋_GBK" w:hAnsi="方正仿宋_GBK" w:eastAsia="方正仿宋_GBK" w:cs="方正仿宋_GBK"/>
          <w:sz w:val="32"/>
          <w:szCs w:val="32"/>
        </w:rPr>
      </w:pPr>
      <w:r>
        <w:rPr>
          <w:rFonts w:hint="default" w:ascii="Times New Roman" w:hAnsi="Times New Roman" w:eastAsia="方正仿宋_GBK" w:cs="Times New Roman"/>
          <w:b w:val="0"/>
          <w:bCs w:val="0"/>
          <w:sz w:val="32"/>
          <w:szCs w:val="32"/>
          <w:shd w:val="clear" w:color="auto" w:fill="FFFFFF"/>
          <w:lang w:eastAsia="zh-CN"/>
        </w:rPr>
        <w:t>田佳</w:t>
      </w:r>
      <w:r>
        <w:rPr>
          <w:rFonts w:hint="default" w:ascii="Times New Roman" w:hAnsi="Times New Roman" w:eastAsia="方正仿宋_GBK" w:cs="Times New Roman"/>
          <w:b w:val="0"/>
          <w:bCs w:val="0"/>
          <w:sz w:val="32"/>
          <w:szCs w:val="32"/>
          <w:shd w:val="clear" w:color="auto" w:fill="FFFFFF"/>
          <w:lang w:val="en-US" w:eastAsia="zh-CN"/>
        </w:rPr>
        <w:t xml:space="preserve">  023-76620191</w:t>
      </w:r>
    </w:p>
    <w:p>
      <w:pPr>
        <w:pStyle w:val="14"/>
        <w:autoSpaceDE w:val="0"/>
        <w:spacing w:line="596" w:lineRule="exact"/>
        <w:ind w:firstLine="640"/>
        <w:jc w:val="both"/>
        <w:rPr>
          <w:rStyle w:val="11"/>
          <w:rFonts w:ascii="方正仿宋_GBK" w:hAnsi="方正仿宋_GBK" w:eastAsia="方正仿宋_GBK" w:cs="方正仿宋_GBK"/>
          <w:sz w:val="32"/>
          <w:szCs w:val="32"/>
          <w:shd w:val="clear" w:color="auto" w:fill="FFFF00"/>
        </w:rPr>
        <w:sectPr>
          <w:footerReference r:id="rId3" w:type="default"/>
          <w:pgSz w:w="11915" w:h="16840"/>
          <w:pgMar w:top="1440" w:right="1800" w:bottom="1440" w:left="1800" w:header="851" w:footer="992" w:gutter="0"/>
          <w:pgNumType w:fmt="numberInDash"/>
          <w:cols w:space="720" w:num="1"/>
          <w:docGrid w:type="lines" w:linePitch="312" w:charSpace="0"/>
        </w:sectPr>
      </w:pPr>
    </w:p>
    <w:tbl>
      <w:tblPr>
        <w:tblStyle w:val="12"/>
        <w:tblpPr w:leftFromText="180" w:rightFromText="180" w:vertAnchor="text" w:horzAnchor="page" w:tblpX="1058" w:tblpY="22"/>
        <w:tblOverlap w:val="never"/>
        <w:tblW w:w="14737" w:type="dxa"/>
        <w:tblInd w:w="0" w:type="dxa"/>
        <w:tblLayout w:type="fixed"/>
        <w:tblCellMar>
          <w:top w:w="0" w:type="dxa"/>
          <w:left w:w="0" w:type="dxa"/>
          <w:bottom w:w="0" w:type="dxa"/>
          <w:right w:w="0" w:type="dxa"/>
        </w:tblCellMar>
      </w:tblPr>
      <w:tblGrid>
        <w:gridCol w:w="4294"/>
        <w:gridCol w:w="3558"/>
        <w:gridCol w:w="4044"/>
        <w:gridCol w:w="2841"/>
      </w:tblGrid>
      <w:tr>
        <w:tblPrEx>
          <w:tblLayout w:type="fixed"/>
          <w:tblCellMar>
            <w:top w:w="0" w:type="dxa"/>
            <w:left w:w="0" w:type="dxa"/>
            <w:bottom w:w="0" w:type="dxa"/>
            <w:right w:w="0" w:type="dxa"/>
          </w:tblCellMar>
        </w:tblPrEx>
        <w:trPr>
          <w:trHeight w:val="232" w:hRule="atLeast"/>
        </w:trPr>
        <w:tc>
          <w:tcPr>
            <w:tcW w:w="14737" w:type="dxa"/>
            <w:gridSpan w:val="4"/>
            <w:tcBorders>
              <w:top w:val="nil"/>
              <w:left w:val="nil"/>
              <w:bottom w:val="nil"/>
              <w:right w:val="nil"/>
            </w:tcBorders>
            <w:shd w:val="clear" w:color="auto" w:fill="auto"/>
            <w:tcMar>
              <w:top w:w="15" w:type="dxa"/>
              <w:left w:w="15" w:type="dxa"/>
              <w:right w:w="15" w:type="dxa"/>
            </w:tcMar>
            <w:vAlign w:val="bottom"/>
          </w:tcPr>
          <w:p>
            <w:pPr>
              <w:spacing w:line="400" w:lineRule="exact"/>
              <w:jc w:val="center"/>
              <w:textAlignment w:val="bottom"/>
              <w:rPr>
                <w:rFonts w:hint="default" w:cs="宋体"/>
                <w:b/>
                <w:color w:val="000000"/>
                <w:sz w:val="32"/>
                <w:szCs w:val="32"/>
              </w:rPr>
            </w:pPr>
            <w:r>
              <w:rPr>
                <w:rFonts w:cs="宋体"/>
                <w:b/>
                <w:color w:val="000000"/>
                <w:sz w:val="32"/>
                <w:szCs w:val="32"/>
              </w:rPr>
              <w:t>收入支出决算总表</w:t>
            </w:r>
          </w:p>
        </w:tc>
      </w:tr>
      <w:tr>
        <w:tblPrEx>
          <w:tblLayout w:type="fixed"/>
          <w:tblCellMar>
            <w:top w:w="0" w:type="dxa"/>
            <w:left w:w="0" w:type="dxa"/>
            <w:bottom w:w="0" w:type="dxa"/>
            <w:right w:w="0" w:type="dxa"/>
          </w:tblCellMar>
        </w:tblPrEx>
        <w:trPr>
          <w:trHeight w:val="232" w:hRule="atLeast"/>
        </w:trPr>
        <w:tc>
          <w:tcPr>
            <w:tcW w:w="42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3558" w:type="dxa"/>
            <w:tcBorders>
              <w:top w:val="nil"/>
              <w:left w:val="nil"/>
              <w:bottom w:val="nil"/>
              <w:right w:val="nil"/>
            </w:tcBorders>
            <w:shd w:val="clear" w:color="auto" w:fill="auto"/>
            <w:tcMar>
              <w:top w:w="15" w:type="dxa"/>
              <w:left w:w="15" w:type="dxa"/>
              <w:right w:w="15" w:type="dxa"/>
            </w:tcMar>
            <w:vAlign w:val="bottom"/>
          </w:tcPr>
          <w:p>
            <w:pPr>
              <w:spacing w:line="200" w:lineRule="exact"/>
              <w:jc w:val="right"/>
              <w:rPr>
                <w:rFonts w:hint="default" w:ascii="Arial" w:hAnsi="Arial" w:cs="Arial"/>
                <w:color w:val="000000"/>
                <w:sz w:val="20"/>
                <w:szCs w:val="20"/>
              </w:rPr>
            </w:pP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0"/>
                <w:szCs w:val="20"/>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01</w:t>
            </w:r>
            <w:r>
              <w:rPr>
                <w:rFonts w:cs="宋体"/>
                <w:color w:val="000000"/>
                <w:sz w:val="20"/>
                <w:szCs w:val="20"/>
              </w:rPr>
              <w:t>表</w:t>
            </w:r>
          </w:p>
        </w:tc>
      </w:tr>
      <w:tr>
        <w:tblPrEx>
          <w:tblLayout w:type="fixed"/>
          <w:tblCellMar>
            <w:top w:w="0" w:type="dxa"/>
            <w:left w:w="0" w:type="dxa"/>
            <w:bottom w:w="0" w:type="dxa"/>
            <w:right w:w="0" w:type="dxa"/>
          </w:tblCellMar>
        </w:tblPrEx>
        <w:trPr>
          <w:trHeight w:val="232" w:hRule="atLeast"/>
        </w:trPr>
        <w:tc>
          <w:tcPr>
            <w:tcW w:w="7852" w:type="dxa"/>
            <w:gridSpan w:val="2"/>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r>
              <w:rPr>
                <w:rFonts w:cs="宋体"/>
                <w:sz w:val="20"/>
                <w:szCs w:val="20"/>
              </w:rPr>
              <w:t>单位：</w:t>
            </w:r>
            <w:r>
              <w:rPr>
                <w:sz w:val="20"/>
              </w:rPr>
              <w:t>秀山土家族苗族自治县大溪镇卫生院</w:t>
            </w:r>
          </w:p>
        </w:tc>
        <w:tc>
          <w:tcPr>
            <w:tcW w:w="404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ascii="Arial" w:hAnsi="Arial" w:cs="Arial"/>
                <w:color w:val="000000"/>
                <w:sz w:val="22"/>
                <w:szCs w:val="22"/>
              </w:rPr>
            </w:pPr>
          </w:p>
        </w:tc>
        <w:tc>
          <w:tcPr>
            <w:tcW w:w="2841"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243" w:hRule="atLeast"/>
        </w:trPr>
        <w:tc>
          <w:tcPr>
            <w:tcW w:w="78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收入</w:t>
            </w:r>
          </w:p>
        </w:tc>
        <w:tc>
          <w:tcPr>
            <w:tcW w:w="6885"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支出</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项目</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功能分类科目</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决算数</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90.08</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一、一般公共服务支出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二、政府性基金预算财政拨款收入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二、外交支出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三、国有资本经营预算财政拨款收入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三、国防支出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四、上级补助收入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四、公共安全支出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五、事业收入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15.48</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五、教育支出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六、经营收入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六、科学技术支出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七、附属单位上缴收入</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七、文化旅游体育与传媒支出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八、其他收入</w:t>
            </w:r>
          </w:p>
        </w:tc>
        <w:tc>
          <w:tcPr>
            <w:tcW w:w="3558" w:type="dxa"/>
            <w:tcBorders>
              <w:top w:val="nil"/>
              <w:left w:val="nil"/>
              <w:bottom w:val="nil"/>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0.23</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八、社会保障和就业支出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14.67</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九、卫生健康支出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93.06</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十、节能环保支出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十一、城乡社区支出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十二、农林水支出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十三、交通运输支出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十四、资源勘探工业信息等支出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十五、商业服务业等支出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十六、金融支出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十七、援助其他地区支出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90"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十八、自然资源海洋气象等支出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十九、住房保障支出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二十、粮油物资储备支出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二十一、国有资本经营预算支出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二十二、灾害防治及应急管理支出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二十三、其他支出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二十四、债务还本支出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二十五、债务付息支出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rPr>
                <w:rFonts w:hint="default" w:cs="宋体"/>
                <w:b/>
                <w:bCs/>
                <w:color w:val="000000"/>
                <w:sz w:val="20"/>
                <w:szCs w:val="20"/>
              </w:rPr>
            </w:pP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二十六、抗疫特别国债安排的支出</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本年收入合计</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105.80</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bCs/>
                <w:color w:val="000000"/>
                <w:sz w:val="20"/>
                <w:szCs w:val="20"/>
              </w:rPr>
            </w:pPr>
            <w:r>
              <w:rPr>
                <w:rFonts w:cs="宋体"/>
                <w:b/>
                <w:bCs/>
                <w:color w:val="000000"/>
                <w:sz w:val="20"/>
                <w:szCs w:val="20"/>
              </w:rPr>
              <w:t>本年支出合计</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111.60</w:t>
            </w: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使用非财政拨款结余和专用结余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结余分配</w:t>
            </w:r>
          </w:p>
        </w:tc>
        <w:tc>
          <w:tcPr>
            <w:tcW w:w="284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4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年初结转和结余</w:t>
            </w:r>
          </w:p>
        </w:tc>
        <w:tc>
          <w:tcPr>
            <w:tcW w:w="355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5.80</w:t>
            </w:r>
          </w:p>
        </w:tc>
        <w:tc>
          <w:tcPr>
            <w:tcW w:w="404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40" w:lineRule="exact"/>
              <w:textAlignment w:val="center"/>
              <w:rPr>
                <w:rFonts w:hint="default" w:cs="宋体"/>
                <w:b/>
                <w:bCs/>
                <w:color w:val="000000"/>
                <w:sz w:val="20"/>
                <w:szCs w:val="20"/>
              </w:rPr>
            </w:pPr>
            <w:r>
              <w:rPr>
                <w:rFonts w:cs="宋体"/>
                <w:b/>
                <w:bCs/>
                <w:color w:val="000000"/>
                <w:sz w:val="20"/>
                <w:szCs w:val="20"/>
              </w:rPr>
              <w:t>年末结转和结余</w:t>
            </w:r>
          </w:p>
        </w:tc>
        <w:tc>
          <w:tcPr>
            <w:tcW w:w="2841" w:type="dxa"/>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p>
        </w:tc>
      </w:tr>
      <w:tr>
        <w:tblPrEx>
          <w:tblLayout w:type="fixed"/>
          <w:tblCellMar>
            <w:top w:w="0" w:type="dxa"/>
            <w:left w:w="0" w:type="dxa"/>
            <w:bottom w:w="0" w:type="dxa"/>
            <w:right w:w="0" w:type="dxa"/>
          </w:tblCellMar>
        </w:tblPrEx>
        <w:trPr>
          <w:trHeight w:val="253" w:hRule="atLeast"/>
        </w:trPr>
        <w:tc>
          <w:tcPr>
            <w:tcW w:w="429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3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111.60</w:t>
            </w:r>
          </w:p>
        </w:tc>
        <w:tc>
          <w:tcPr>
            <w:tcW w:w="4044" w:type="dxa"/>
            <w:tcBorders>
              <w:top w:val="nil"/>
              <w:left w:val="nil"/>
              <w:bottom w:val="single" w:color="000000" w:sz="4" w:space="0"/>
              <w:right w:val="single" w:color="auto" w:sz="4" w:space="0"/>
            </w:tcBorders>
            <w:shd w:val="clear" w:color="auto" w:fill="auto"/>
            <w:tcMar>
              <w:top w:w="15" w:type="dxa"/>
              <w:left w:w="15" w:type="dxa"/>
              <w:right w:w="15" w:type="dxa"/>
            </w:tcMar>
            <w:vAlign w:val="center"/>
          </w:tcPr>
          <w:p>
            <w:pPr>
              <w:spacing w:line="240" w:lineRule="exact"/>
              <w:jc w:val="center"/>
              <w:textAlignment w:val="center"/>
              <w:rPr>
                <w:rFonts w:hint="default" w:cs="宋体"/>
                <w:b/>
                <w:color w:val="000000"/>
                <w:sz w:val="20"/>
                <w:szCs w:val="20"/>
              </w:rPr>
            </w:pPr>
            <w:r>
              <w:rPr>
                <w:rFonts w:cs="宋体"/>
                <w:b/>
                <w:color w:val="000000"/>
                <w:sz w:val="20"/>
                <w:szCs w:val="20"/>
              </w:rPr>
              <w:t>总计</w:t>
            </w:r>
          </w:p>
        </w:tc>
        <w:tc>
          <w:tcPr>
            <w:tcW w:w="284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111.60</w:t>
            </w:r>
          </w:p>
        </w:tc>
      </w:tr>
    </w:tbl>
    <w:p>
      <w:pPr>
        <w:rPr>
          <w:rFonts w:hint="default" w:cs="宋体"/>
          <w:sz w:val="21"/>
          <w:szCs w:val="21"/>
        </w:rPr>
      </w:pPr>
    </w:p>
    <w:p>
      <w:pPr>
        <w:spacing w:line="240" w:lineRule="exact"/>
        <w:rPr>
          <w:rFonts w:hint="default" w:cs="宋体"/>
          <w:sz w:val="20"/>
          <w:szCs w:val="20"/>
        </w:rPr>
      </w:pPr>
      <w:r>
        <w:rPr>
          <w:rFonts w:cs="宋体"/>
          <w:sz w:val="20"/>
          <w:szCs w:val="20"/>
        </w:rPr>
        <w:t>备注：1.本表反映单位本年度的总收支和年末结转结余情况。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5503" w:type="dxa"/>
        <w:tblInd w:w="0" w:type="dxa"/>
        <w:tblLayout w:type="fixed"/>
        <w:tblCellMar>
          <w:top w:w="0" w:type="dxa"/>
          <w:left w:w="0" w:type="dxa"/>
          <w:bottom w:w="0" w:type="dxa"/>
          <w:right w:w="0" w:type="dxa"/>
        </w:tblCellMar>
      </w:tblPr>
      <w:tblGrid>
        <w:gridCol w:w="1637"/>
        <w:gridCol w:w="3075"/>
        <w:gridCol w:w="1308"/>
        <w:gridCol w:w="1367"/>
        <w:gridCol w:w="1257"/>
        <w:gridCol w:w="1257"/>
        <w:gridCol w:w="1320"/>
        <w:gridCol w:w="1259"/>
        <w:gridCol w:w="1392"/>
        <w:gridCol w:w="1631"/>
      </w:tblGrid>
      <w:tr>
        <w:tblPrEx>
          <w:tblLayout w:type="fixed"/>
          <w:tblCellMar>
            <w:top w:w="0" w:type="dxa"/>
            <w:left w:w="0" w:type="dxa"/>
            <w:bottom w:w="0" w:type="dxa"/>
            <w:right w:w="0" w:type="dxa"/>
          </w:tblCellMar>
        </w:tblPrEx>
        <w:trPr>
          <w:trHeight w:val="641" w:hRule="atLeast"/>
        </w:trPr>
        <w:tc>
          <w:tcPr>
            <w:tcW w:w="15503" w:type="dxa"/>
            <w:gridSpan w:val="10"/>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收入决算表</w:t>
            </w:r>
          </w:p>
        </w:tc>
      </w:tr>
      <w:tr>
        <w:tblPrEx>
          <w:tblLayout w:type="fixed"/>
          <w:tblCellMar>
            <w:top w:w="0" w:type="dxa"/>
            <w:left w:w="0" w:type="dxa"/>
            <w:bottom w:w="0" w:type="dxa"/>
            <w:right w:w="0" w:type="dxa"/>
          </w:tblCellMar>
        </w:tblPrEx>
        <w:trPr>
          <w:trHeight w:val="328" w:hRule="atLeast"/>
        </w:trPr>
        <w:tc>
          <w:tcPr>
            <w:tcW w:w="6020"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sz w:val="20"/>
              </w:rPr>
              <w:t>秀山土家族苗族自治县大溪镇卫生院</w:t>
            </w: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02</w:t>
            </w:r>
            <w:r>
              <w:rPr>
                <w:rFonts w:cs="宋体"/>
                <w:color w:val="000000"/>
                <w:sz w:val="20"/>
                <w:szCs w:val="20"/>
              </w:rPr>
              <w:t>表</w:t>
            </w:r>
          </w:p>
        </w:tc>
      </w:tr>
      <w:tr>
        <w:tblPrEx>
          <w:tblLayout w:type="fixed"/>
          <w:tblCellMar>
            <w:top w:w="0" w:type="dxa"/>
            <w:left w:w="0" w:type="dxa"/>
            <w:bottom w:w="0" w:type="dxa"/>
            <w:right w:w="0" w:type="dxa"/>
          </w:tblCellMar>
        </w:tblPrEx>
        <w:trPr>
          <w:trHeight w:val="328" w:hRule="atLeast"/>
        </w:trPr>
        <w:tc>
          <w:tcPr>
            <w:tcW w:w="6020"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6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2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2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392"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3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31" w:hRule="atLeast"/>
        </w:trPr>
        <w:tc>
          <w:tcPr>
            <w:tcW w:w="4712"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30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本年收入合计</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财政拨款收入</w:t>
            </w: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上级补助收入</w:t>
            </w:r>
          </w:p>
        </w:tc>
        <w:tc>
          <w:tcPr>
            <w:tcW w:w="257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事业收入</w:t>
            </w:r>
          </w:p>
        </w:tc>
        <w:tc>
          <w:tcPr>
            <w:tcW w:w="12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经营收入</w:t>
            </w:r>
          </w:p>
        </w:tc>
        <w:tc>
          <w:tcPr>
            <w:tcW w:w="13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附属单位上缴收入</w:t>
            </w:r>
          </w:p>
        </w:tc>
        <w:tc>
          <w:tcPr>
            <w:tcW w:w="163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其他收入</w:t>
            </w:r>
          </w:p>
        </w:tc>
      </w:tr>
      <w:tr>
        <w:tblPrEx>
          <w:tblLayout w:type="fixed"/>
          <w:tblCellMar>
            <w:top w:w="0" w:type="dxa"/>
            <w:left w:w="0" w:type="dxa"/>
            <w:bottom w:w="0" w:type="dxa"/>
            <w:right w:w="0" w:type="dxa"/>
          </w:tblCellMar>
        </w:tblPrEx>
        <w:trPr>
          <w:trHeight w:val="334"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075"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小计</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其中：教育收费</w:t>
            </w: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4"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075"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0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2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3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3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47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308"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105.80</w:t>
            </w:r>
          </w:p>
        </w:tc>
        <w:tc>
          <w:tcPr>
            <w:tcW w:w="136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90.08</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15.48</w:t>
            </w:r>
          </w:p>
        </w:tc>
        <w:tc>
          <w:tcPr>
            <w:tcW w:w="132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2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39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3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0.23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7.68</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7.68</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3.89</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3.89</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87.26</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71.55</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0.23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82.89</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67.17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15.48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0.23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80.73</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65.01</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15.48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0.23</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48"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07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w:t>
            </w:r>
          </w:p>
        </w:tc>
        <w:tc>
          <w:tcPr>
            <w:tcW w:w="13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3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ind w:left="600" w:hanging="600" w:hangingChars="300"/>
        <w:rPr>
          <w:rFonts w:hint="default" w:cs="宋体"/>
          <w:sz w:val="20"/>
          <w:szCs w:val="20"/>
        </w:rPr>
      </w:pPr>
      <w:r>
        <w:rPr>
          <w:rFonts w:cs="宋体"/>
          <w:sz w:val="20"/>
          <w:szCs w:val="20"/>
        </w:rPr>
        <w:t>备注：1.本表反映单位本年度取得的各项收入情况。</w:t>
      </w:r>
      <w:r>
        <w:rPr>
          <w:rFonts w:cs="宋体"/>
          <w:sz w:val="20"/>
          <w:szCs w:val="20"/>
        </w:rPr>
        <w:br w:type="textWrapping"/>
      </w:r>
      <w:r>
        <w:rPr>
          <w:rFonts w:cs="宋体"/>
          <w:sz w:val="20"/>
          <w:szCs w:val="20"/>
        </w:rPr>
        <w:t>2.本套报表金额单位转换时可能存在尾数误差。</w:t>
      </w:r>
      <w:r>
        <w:rPr>
          <w:rFonts w:cs="宋体"/>
          <w:sz w:val="20"/>
          <w:szCs w:val="20"/>
        </w:rPr>
        <w:br w:type="textWrapping"/>
      </w:r>
    </w:p>
    <w:p>
      <w:pPr>
        <w:rPr>
          <w:rFonts w:hint="default" w:cs="宋体"/>
          <w:sz w:val="20"/>
          <w:szCs w:val="20"/>
        </w:rPr>
      </w:pPr>
      <w:r>
        <w:rPr>
          <w:rFonts w:cs="宋体"/>
          <w:sz w:val="20"/>
          <w:szCs w:val="20"/>
        </w:rPr>
        <w:br w:type="page"/>
      </w:r>
    </w:p>
    <w:tbl>
      <w:tblPr>
        <w:tblStyle w:val="12"/>
        <w:tblW w:w="15322" w:type="dxa"/>
        <w:tblInd w:w="0" w:type="dxa"/>
        <w:tblLayout w:type="fixed"/>
        <w:tblCellMar>
          <w:top w:w="0" w:type="dxa"/>
          <w:left w:w="0" w:type="dxa"/>
          <w:bottom w:w="0" w:type="dxa"/>
          <w:right w:w="0" w:type="dxa"/>
        </w:tblCellMar>
      </w:tblPr>
      <w:tblGrid>
        <w:gridCol w:w="1637"/>
        <w:gridCol w:w="3530"/>
        <w:gridCol w:w="1645"/>
        <w:gridCol w:w="1694"/>
        <w:gridCol w:w="1627"/>
        <w:gridCol w:w="1559"/>
        <w:gridCol w:w="1694"/>
        <w:gridCol w:w="1936"/>
      </w:tblGrid>
      <w:tr>
        <w:tblPrEx>
          <w:tblLayout w:type="fixed"/>
          <w:tblCellMar>
            <w:top w:w="0" w:type="dxa"/>
            <w:left w:w="0" w:type="dxa"/>
            <w:bottom w:w="0" w:type="dxa"/>
            <w:right w:w="0" w:type="dxa"/>
          </w:tblCellMar>
        </w:tblPrEx>
        <w:trPr>
          <w:trHeight w:val="65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支出决算表</w:t>
            </w:r>
          </w:p>
        </w:tc>
      </w:tr>
      <w:tr>
        <w:tblPrEx>
          <w:tblLayout w:type="fixed"/>
          <w:tblCellMar>
            <w:top w:w="0" w:type="dxa"/>
            <w:left w:w="0" w:type="dxa"/>
            <w:bottom w:w="0" w:type="dxa"/>
            <w:right w:w="0" w:type="dxa"/>
          </w:tblCellMar>
        </w:tblPrEx>
        <w:trPr>
          <w:trHeight w:val="342" w:hRule="atLeast"/>
        </w:trPr>
        <w:tc>
          <w:tcPr>
            <w:tcW w:w="681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秀山土家族苗族自治县大溪镇卫生院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03</w:t>
            </w:r>
            <w:r>
              <w:rPr>
                <w:rFonts w:cs="宋体"/>
                <w:color w:val="000000"/>
                <w:sz w:val="20"/>
                <w:szCs w:val="20"/>
              </w:rPr>
              <w:t>表</w:t>
            </w:r>
          </w:p>
        </w:tc>
      </w:tr>
      <w:tr>
        <w:tblPrEx>
          <w:tblLayout w:type="fixed"/>
          <w:tblCellMar>
            <w:top w:w="0" w:type="dxa"/>
            <w:left w:w="0" w:type="dxa"/>
            <w:bottom w:w="0" w:type="dxa"/>
            <w:right w:w="0" w:type="dxa"/>
          </w:tblCellMar>
        </w:tblPrEx>
        <w:trPr>
          <w:trHeight w:val="342" w:hRule="atLeast"/>
        </w:trPr>
        <w:tc>
          <w:tcPr>
            <w:tcW w:w="681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27"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559"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694"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936"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本年支出合计</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5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上缴上级支出</w:t>
            </w:r>
          </w:p>
        </w:tc>
        <w:tc>
          <w:tcPr>
            <w:tcW w:w="169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经营支出</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对附属单位补助支出</w:t>
            </w:r>
          </w:p>
        </w:tc>
      </w:tr>
      <w:tr>
        <w:tblPrEx>
          <w:tblLayout w:type="fixed"/>
          <w:tblCellMar>
            <w:top w:w="0" w:type="dxa"/>
            <w:left w:w="0" w:type="dxa"/>
            <w:bottom w:w="0" w:type="dxa"/>
            <w:right w:w="0" w:type="dxa"/>
          </w:tblCellMar>
        </w:tblPrEx>
        <w:trPr>
          <w:trHeight w:val="338" w:hRule="atLeast"/>
        </w:trPr>
        <w:tc>
          <w:tcPr>
            <w:tcW w:w="163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530" w:type="dxa"/>
            <w:vMerge w:val="restart"/>
            <w:tcBorders>
              <w:top w:val="nil"/>
              <w:left w:val="nil"/>
              <w:bottom w:val="single" w:color="000000" w:sz="4" w:space="0"/>
              <w:right w:val="nil"/>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8" w:hRule="atLeast"/>
        </w:trPr>
        <w:tc>
          <w:tcPr>
            <w:tcW w:w="163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530" w:type="dxa"/>
            <w:vMerge w:val="continue"/>
            <w:tcBorders>
              <w:top w:val="nil"/>
              <w:left w:val="nil"/>
              <w:bottom w:val="single" w:color="000000" w:sz="4" w:space="0"/>
              <w:right w:val="nil"/>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6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62" w:hRule="atLeast"/>
        </w:trPr>
        <w:tc>
          <w:tcPr>
            <w:tcW w:w="516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64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111.60</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107.28</w:t>
            </w:r>
          </w:p>
        </w:tc>
        <w:tc>
          <w:tcPr>
            <w:tcW w:w="16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4.32</w:t>
            </w:r>
          </w:p>
        </w:tc>
        <w:tc>
          <w:tcPr>
            <w:tcW w:w="15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69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93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14.67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3.10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7.68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7.68</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3.89</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3.89</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93.06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88.74</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88.68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84.36</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4.32</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86.52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84.36</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2.16</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4.37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3.22</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1.15</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3.87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82" w:hRule="atLeast"/>
        </w:trPr>
        <w:tc>
          <w:tcPr>
            <w:tcW w:w="1637"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5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1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3.87</w:t>
            </w:r>
          </w:p>
        </w:tc>
        <w:tc>
          <w:tcPr>
            <w:tcW w:w="1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5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c>
          <w:tcPr>
            <w:tcW w:w="19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color w:val="000000"/>
                <w:sz w:val="20"/>
                <w:szCs w:val="20"/>
              </w:rPr>
            </w:pPr>
            <w:r>
              <w:rPr>
                <w:rFonts w:hint="default" w:ascii="Times New Roman" w:hAnsi="Times New Roman"/>
                <w:color w:val="000000"/>
                <w:sz w:val="20"/>
                <w:szCs w:val="20"/>
              </w:rPr>
              <w:t>0.00</w:t>
            </w:r>
          </w:p>
        </w:tc>
      </w:tr>
    </w:tbl>
    <w:p>
      <w:pPr>
        <w:rPr>
          <w:rFonts w:hint="default" w:cs="宋体"/>
          <w:sz w:val="20"/>
          <w:szCs w:val="20"/>
        </w:rPr>
      </w:pPr>
      <w:r>
        <w:rPr>
          <w:rFonts w:cs="宋体"/>
          <w:sz w:val="20"/>
          <w:szCs w:val="20"/>
        </w:rPr>
        <w:t>备注：1.本表反映单位本年度各项支出情况。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tbl>
      <w:tblPr>
        <w:tblStyle w:val="12"/>
        <w:tblW w:w="14678" w:type="dxa"/>
        <w:tblInd w:w="0" w:type="dxa"/>
        <w:tblLayout w:type="fixed"/>
        <w:tblCellMar>
          <w:top w:w="0" w:type="dxa"/>
          <w:left w:w="0" w:type="dxa"/>
          <w:bottom w:w="0" w:type="dxa"/>
          <w:right w:w="0" w:type="dxa"/>
        </w:tblCellMar>
      </w:tblPr>
      <w:tblGrid>
        <w:gridCol w:w="2967"/>
        <w:gridCol w:w="1521"/>
        <w:gridCol w:w="3179"/>
        <w:gridCol w:w="1694"/>
        <w:gridCol w:w="1694"/>
        <w:gridCol w:w="1694"/>
        <w:gridCol w:w="1929"/>
      </w:tblGrid>
      <w:tr>
        <w:tblPrEx>
          <w:tblLayout w:type="fixed"/>
          <w:tblCellMar>
            <w:top w:w="0" w:type="dxa"/>
            <w:left w:w="0" w:type="dxa"/>
            <w:bottom w:w="0" w:type="dxa"/>
            <w:right w:w="0" w:type="dxa"/>
          </w:tblCellMar>
        </w:tblPrEx>
        <w:trPr>
          <w:trHeight w:val="90" w:hRule="atLeast"/>
        </w:trPr>
        <w:tc>
          <w:tcPr>
            <w:tcW w:w="14678" w:type="dxa"/>
            <w:gridSpan w:val="7"/>
            <w:tcBorders>
              <w:top w:val="nil"/>
              <w:left w:val="nil"/>
              <w:bottom w:val="nil"/>
              <w:right w:val="nil"/>
            </w:tcBorders>
            <w:shd w:val="clear" w:color="auto" w:fill="auto"/>
            <w:tcMar>
              <w:top w:w="15" w:type="dxa"/>
              <w:left w:w="15" w:type="dxa"/>
              <w:right w:w="15" w:type="dxa"/>
            </w:tcMar>
            <w:vAlign w:val="bottom"/>
          </w:tcPr>
          <w:p>
            <w:pPr>
              <w:rPr>
                <w:rFonts w:hint="default" w:cs="宋体"/>
                <w:b/>
                <w:color w:val="000000"/>
                <w:sz w:val="32"/>
                <w:szCs w:val="32"/>
              </w:rPr>
            </w:pPr>
            <w:r>
              <w:rPr>
                <w:rFonts w:cs="宋体"/>
                <w:sz w:val="21"/>
                <w:szCs w:val="21"/>
              </w:rPr>
              <w:br w:type="page"/>
            </w:r>
            <w:r>
              <w:rPr>
                <w:rFonts w:cs="宋体"/>
                <w:b/>
                <w:color w:val="000000"/>
                <w:sz w:val="32"/>
                <w:szCs w:val="32"/>
              </w:rPr>
              <w:t>财政拨款收入支出决算总表</w:t>
            </w:r>
          </w:p>
        </w:tc>
      </w:tr>
      <w:tr>
        <w:tblPrEx>
          <w:tblLayout w:type="fixed"/>
          <w:tblCellMar>
            <w:top w:w="0" w:type="dxa"/>
            <w:left w:w="0" w:type="dxa"/>
            <w:bottom w:w="0" w:type="dxa"/>
            <w:right w:w="0" w:type="dxa"/>
          </w:tblCellMar>
        </w:tblPrEx>
        <w:trPr>
          <w:trHeight w:val="90" w:hRule="atLeast"/>
        </w:trPr>
        <w:tc>
          <w:tcPr>
            <w:tcW w:w="7667" w:type="dxa"/>
            <w:gridSpan w:val="3"/>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秀山土家族苗族自治县大溪镇卫生院</w:t>
            </w: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4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04</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667" w:type="dxa"/>
            <w:gridSpan w:val="3"/>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929"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48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收     入</w:t>
            </w:r>
          </w:p>
        </w:tc>
        <w:tc>
          <w:tcPr>
            <w:tcW w:w="101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支     出</w:t>
            </w:r>
          </w:p>
        </w:tc>
      </w:tr>
      <w:tr>
        <w:tblPrEx>
          <w:tblLayout w:type="fixed"/>
          <w:tblCellMar>
            <w:top w:w="0" w:type="dxa"/>
            <w:left w:w="0" w:type="dxa"/>
            <w:bottom w:w="0" w:type="dxa"/>
            <w:right w:w="0" w:type="dxa"/>
          </w:tblCellMar>
        </w:tblPrEx>
        <w:trPr>
          <w:trHeight w:val="90" w:hRule="atLeast"/>
        </w:trPr>
        <w:tc>
          <w:tcPr>
            <w:tcW w:w="2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项目</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c>
          <w:tcPr>
            <w:tcW w:w="317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功能分类科目</w:t>
            </w:r>
          </w:p>
        </w:tc>
        <w:tc>
          <w:tcPr>
            <w:tcW w:w="7011"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决算数</w:t>
            </w:r>
          </w:p>
        </w:tc>
      </w:tr>
      <w:tr>
        <w:tblPrEx>
          <w:tblLayout w:type="fixed"/>
          <w:tblCellMar>
            <w:top w:w="0" w:type="dxa"/>
            <w:left w:w="0" w:type="dxa"/>
            <w:bottom w:w="0" w:type="dxa"/>
            <w:right w:w="0" w:type="dxa"/>
          </w:tblCellMar>
        </w:tblPrEx>
        <w:trPr>
          <w:trHeight w:val="90" w:hRule="atLeast"/>
        </w:trPr>
        <w:tc>
          <w:tcPr>
            <w:tcW w:w="2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17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小计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一般公共预算财政拨款</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政府性基金预算财政拨款</w:t>
            </w: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国有资本经营预算财政拨款</w:t>
            </w: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90.08</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一、一般公共服务支出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二、外交支出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三、国防支出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四、公共安全支出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五、教育支出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六、科学技术支出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七、文化旅游体育与传媒支出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八、社会保障和就业支出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14.67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14.67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九、卫生健康支出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77.35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77.35</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十、节能环保支出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十一、城乡社区支出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十二、农林水支出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十三、交通运输支出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十四、资源勘探工业信息等支出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十五、商业服务业等支出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十六、金融支出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十七、援助其他地区支出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十八、自然资源海洋气象等支出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十九、住房保障支出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3.87</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二十、粮油物资储备支出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二十一、国有资本经营预算支出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二十二、灾害防治及应急管理支出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二十三、其他支出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二十四、债务还本支出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二十五、债务付息支出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b/>
                <w:bCs/>
                <w:color w:val="000000"/>
                <w:sz w:val="18"/>
                <w:szCs w:val="18"/>
              </w:rPr>
            </w:pP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二十六、抗疫特别国债安排的支出</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本年收入合计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90.08</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bCs/>
                <w:color w:val="000000"/>
                <w:sz w:val="18"/>
                <w:szCs w:val="18"/>
              </w:rPr>
            </w:pPr>
            <w:r>
              <w:rPr>
                <w:rFonts w:cs="宋体"/>
                <w:b/>
                <w:bCs/>
                <w:color w:val="000000"/>
                <w:sz w:val="18"/>
                <w:szCs w:val="18"/>
              </w:rPr>
              <w:t>本年支出合计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年初财政拨款结转和结余</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5.80</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年末财政拨款结转和结余</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一般公共预算财政拨款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5.80</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政府性基金预算财政拨款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 xml:space="preserve">  国有资本经营预算财政拨款</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29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95.88</w:t>
            </w:r>
          </w:p>
        </w:tc>
        <w:tc>
          <w:tcPr>
            <w:tcW w:w="317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总计</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95.88</w:t>
            </w:r>
          </w:p>
        </w:tc>
        <w:tc>
          <w:tcPr>
            <w:tcW w:w="16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192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bl>
    <w:p>
      <w:pPr>
        <w:spacing w:line="240" w:lineRule="exact"/>
        <w:rPr>
          <w:rFonts w:hint="default" w:cs="宋体"/>
          <w:sz w:val="20"/>
          <w:szCs w:val="20"/>
        </w:rPr>
      </w:pPr>
      <w:r>
        <w:rPr>
          <w:rFonts w:cs="宋体"/>
          <w:sz w:val="20"/>
          <w:szCs w:val="20"/>
        </w:rPr>
        <w:t>备注：1.本表反映单位本年度一般公共预算财政拨款、政府性基金预算财政拨款及国有资本经营预算财政拨款的总收支和年末结转结余情况。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486"/>
        <w:gridCol w:w="3895"/>
        <w:gridCol w:w="3306"/>
        <w:gridCol w:w="3300"/>
        <w:gridCol w:w="3335"/>
      </w:tblGrid>
      <w:tr>
        <w:tblPrEx>
          <w:tblLayout w:type="fixed"/>
          <w:tblCellMar>
            <w:top w:w="0" w:type="dxa"/>
            <w:left w:w="0" w:type="dxa"/>
            <w:bottom w:w="0" w:type="dxa"/>
            <w:right w:w="0" w:type="dxa"/>
          </w:tblCellMar>
        </w:tblPrEx>
        <w:trPr>
          <w:trHeight w:val="510" w:hRule="atLeast"/>
        </w:trPr>
        <w:tc>
          <w:tcPr>
            <w:tcW w:w="15322" w:type="dxa"/>
            <w:gridSpan w:val="5"/>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一般公共预算财政拨款支出决算表</w:t>
            </w:r>
          </w:p>
        </w:tc>
      </w:tr>
      <w:tr>
        <w:tblPrEx>
          <w:tblLayout w:type="fixed"/>
          <w:tblCellMar>
            <w:top w:w="0" w:type="dxa"/>
            <w:left w:w="0" w:type="dxa"/>
            <w:bottom w:w="0" w:type="dxa"/>
            <w:right w:w="0" w:type="dxa"/>
          </w:tblCellMar>
        </w:tblPrEx>
        <w:trPr>
          <w:trHeight w:val="255" w:hRule="atLeast"/>
        </w:trPr>
        <w:tc>
          <w:tcPr>
            <w:tcW w:w="8687"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秀山土家族苗族自治县大溪镇卫生院</w:t>
            </w: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05</w:t>
            </w:r>
            <w:r>
              <w:rPr>
                <w:rFonts w:cs="宋体"/>
                <w:color w:val="000000"/>
                <w:sz w:val="20"/>
                <w:szCs w:val="20"/>
              </w:rPr>
              <w:t>表</w:t>
            </w:r>
          </w:p>
        </w:tc>
      </w:tr>
      <w:tr>
        <w:tblPrEx>
          <w:tblLayout w:type="fixed"/>
          <w:tblCellMar>
            <w:top w:w="0" w:type="dxa"/>
            <w:left w:w="0" w:type="dxa"/>
            <w:bottom w:w="0" w:type="dxa"/>
            <w:right w:w="0" w:type="dxa"/>
          </w:tblCellMar>
        </w:tblPrEx>
        <w:trPr>
          <w:trHeight w:val="285" w:hRule="atLeast"/>
        </w:trPr>
        <w:tc>
          <w:tcPr>
            <w:tcW w:w="8687"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00"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335"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08" w:hRule="atLeast"/>
        </w:trPr>
        <w:tc>
          <w:tcPr>
            <w:tcW w:w="538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9941"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26" w:hRule="atLeast"/>
        </w:trPr>
        <w:tc>
          <w:tcPr>
            <w:tcW w:w="148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33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33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26"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5" w:hRule="atLeast"/>
        </w:trPr>
        <w:tc>
          <w:tcPr>
            <w:tcW w:w="148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33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08" w:hRule="atLeast"/>
        </w:trPr>
        <w:tc>
          <w:tcPr>
            <w:tcW w:w="5381"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95.88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91.56</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4.32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社会保障和就业支出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14.67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14.67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20805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行政事业单位养老支出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14.67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14.67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事业单位离退休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3.10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2080505</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机关事业单位基本养老保险缴费支出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7.68</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7.68</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2080506</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机关事业单位职业年金缴费支出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3.89</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3.89</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卫生健康支出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77.35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73.03</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21003</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基层医疗卫生机构</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72.97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68.65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4.32</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乡镇卫生院</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70.81</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68.65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2100399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其他基层医疗卫生机构支出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2.16</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21011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行政事业单位医疗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4.37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事业单位医疗</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3.22</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3.22</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2101199</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其他行政事业单位医疗支出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1.15</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1.15</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住房保障支出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22102</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b/>
                <w:color w:val="000000"/>
                <w:sz w:val="20"/>
                <w:szCs w:val="20"/>
              </w:rPr>
              <w:t>住房改革支出</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3.87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color w:val="000000"/>
                <w:sz w:val="20"/>
                <w:szCs w:val="20"/>
              </w:rPr>
              <w:t>0.00</w:t>
            </w:r>
          </w:p>
        </w:tc>
      </w:tr>
      <w:tr>
        <w:tblPrEx>
          <w:tblLayout w:type="fixed"/>
          <w:tblCellMar>
            <w:top w:w="0" w:type="dxa"/>
            <w:left w:w="0" w:type="dxa"/>
            <w:bottom w:w="0" w:type="dxa"/>
            <w:right w:w="0" w:type="dxa"/>
          </w:tblCellMar>
        </w:tblPrEx>
        <w:trPr>
          <w:trHeight w:val="308" w:hRule="atLeast"/>
        </w:trPr>
        <w:tc>
          <w:tcPr>
            <w:tcW w:w="148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2210201</w:t>
            </w:r>
          </w:p>
        </w:tc>
        <w:tc>
          <w:tcPr>
            <w:tcW w:w="38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r>
              <w:rPr>
                <w:rFonts w:cs="宋体"/>
                <w:color w:val="000000"/>
                <w:sz w:val="20"/>
                <w:szCs w:val="20"/>
              </w:rPr>
              <w:t>住房公积金</w:t>
            </w:r>
          </w:p>
        </w:tc>
        <w:tc>
          <w:tcPr>
            <w:tcW w:w="33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3.87</w:t>
            </w:r>
          </w:p>
        </w:tc>
        <w:tc>
          <w:tcPr>
            <w:tcW w:w="330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3.87</w:t>
            </w:r>
          </w:p>
        </w:tc>
        <w:tc>
          <w:tcPr>
            <w:tcW w:w="333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备注：1.本表反映单位本年度一般公共预算财政拨款支出情况。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p>
    <w:p>
      <w:pPr>
        <w:ind w:firstLine="630" w:firstLineChars="300"/>
        <w:rPr>
          <w:rFonts w:hint="default" w:cs="宋体"/>
          <w:sz w:val="21"/>
          <w:szCs w:val="21"/>
        </w:rPr>
      </w:pPr>
      <w:r>
        <w:rPr>
          <w:rFonts w:cs="宋体"/>
          <w:sz w:val="21"/>
          <w:szCs w:val="21"/>
        </w:rPr>
        <w:br w:type="page"/>
      </w:r>
    </w:p>
    <w:tbl>
      <w:tblPr>
        <w:tblStyle w:val="12"/>
        <w:tblW w:w="15304" w:type="dxa"/>
        <w:tblInd w:w="0" w:type="dxa"/>
        <w:tblLayout w:type="fixed"/>
        <w:tblCellMar>
          <w:top w:w="0" w:type="dxa"/>
          <w:left w:w="0" w:type="dxa"/>
          <w:bottom w:w="0" w:type="dxa"/>
          <w:right w:w="0" w:type="dxa"/>
        </w:tblCellMar>
      </w:tblPr>
      <w:tblGrid>
        <w:gridCol w:w="603"/>
        <w:gridCol w:w="2730"/>
        <w:gridCol w:w="1371"/>
        <w:gridCol w:w="833"/>
        <w:gridCol w:w="1916"/>
        <w:gridCol w:w="1650"/>
        <w:gridCol w:w="805"/>
        <w:gridCol w:w="3514"/>
        <w:gridCol w:w="1882"/>
      </w:tblGrid>
      <w:tr>
        <w:tblPrEx>
          <w:tblLayout w:type="fixed"/>
          <w:tblCellMar>
            <w:top w:w="0" w:type="dxa"/>
            <w:left w:w="0" w:type="dxa"/>
            <w:bottom w:w="0" w:type="dxa"/>
            <w:right w:w="0" w:type="dxa"/>
          </w:tblCellMar>
        </w:tblPrEx>
        <w:trPr>
          <w:trHeight w:val="90" w:hRule="atLeast"/>
        </w:trPr>
        <w:tc>
          <w:tcPr>
            <w:tcW w:w="15304" w:type="dxa"/>
            <w:gridSpan w:val="9"/>
            <w:tcBorders>
              <w:top w:val="nil"/>
              <w:left w:val="nil"/>
              <w:bottom w:val="nil"/>
              <w:right w:val="nil"/>
            </w:tcBorders>
            <w:shd w:val="clear" w:color="auto" w:fill="auto"/>
            <w:tcMar>
              <w:top w:w="15" w:type="dxa"/>
              <w:left w:w="15" w:type="dxa"/>
              <w:right w:w="15" w:type="dxa"/>
            </w:tcMar>
            <w:vAlign w:val="bottom"/>
          </w:tcPr>
          <w:p>
            <w:pPr>
              <w:spacing w:line="440" w:lineRule="exact"/>
              <w:jc w:val="center"/>
              <w:textAlignment w:val="bottom"/>
              <w:rPr>
                <w:rFonts w:hint="default" w:cs="宋体"/>
                <w:b/>
                <w:color w:val="000000"/>
                <w:sz w:val="32"/>
                <w:szCs w:val="32"/>
              </w:rPr>
            </w:pPr>
            <w:r>
              <w:rPr>
                <w:rFonts w:cs="宋体"/>
                <w:b/>
                <w:color w:val="000000"/>
                <w:sz w:val="32"/>
                <w:szCs w:val="32"/>
              </w:rPr>
              <w:t>一般公共预算财政拨款基本支出决算表</w:t>
            </w:r>
          </w:p>
        </w:tc>
      </w:tr>
      <w:tr>
        <w:tblPrEx>
          <w:tblLayout w:type="fixed"/>
          <w:tblCellMar>
            <w:top w:w="0" w:type="dxa"/>
            <w:left w:w="0" w:type="dxa"/>
            <w:bottom w:w="0" w:type="dxa"/>
            <w:right w:w="0" w:type="dxa"/>
          </w:tblCellMar>
        </w:tblPrEx>
        <w:trPr>
          <w:trHeight w:val="90" w:hRule="atLeast"/>
        </w:trPr>
        <w:tc>
          <w:tcPr>
            <w:tcW w:w="7453" w:type="dxa"/>
            <w:gridSpan w:val="5"/>
            <w:vMerge w:val="restart"/>
            <w:tcBorders>
              <w:top w:val="nil"/>
              <w:left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r>
              <w:rPr>
                <w:rFonts w:cs="宋体"/>
                <w:sz w:val="20"/>
                <w:szCs w:val="20"/>
              </w:rPr>
              <w:t>单位</w:t>
            </w:r>
            <w:r>
              <w:rPr>
                <w:rFonts w:cs="宋体"/>
                <w:color w:val="000000"/>
                <w:sz w:val="20"/>
                <w:szCs w:val="20"/>
              </w:rPr>
              <w:t>：</w:t>
            </w:r>
            <w:r>
              <w:rPr>
                <w:color w:val="000000"/>
                <w:sz w:val="20"/>
              </w:rPr>
              <w:t>秀山土家族苗族自治县大溪镇卫生院</w:t>
            </w: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06</w:t>
            </w:r>
            <w:r>
              <w:rPr>
                <w:rFonts w:cs="宋体"/>
                <w:color w:val="000000"/>
                <w:sz w:val="20"/>
                <w:szCs w:val="20"/>
              </w:rPr>
              <w:t>表</w:t>
            </w:r>
          </w:p>
        </w:tc>
      </w:tr>
      <w:tr>
        <w:tblPrEx>
          <w:tblLayout w:type="fixed"/>
          <w:tblCellMar>
            <w:top w:w="0" w:type="dxa"/>
            <w:left w:w="0" w:type="dxa"/>
            <w:bottom w:w="0" w:type="dxa"/>
            <w:right w:w="0" w:type="dxa"/>
          </w:tblCellMar>
        </w:tblPrEx>
        <w:trPr>
          <w:trHeight w:val="90" w:hRule="atLeast"/>
        </w:trPr>
        <w:tc>
          <w:tcPr>
            <w:tcW w:w="7453" w:type="dxa"/>
            <w:gridSpan w:val="5"/>
            <w:vMerge w:val="continue"/>
            <w:tcBorders>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650"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05"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3514" w:type="dxa"/>
            <w:tcBorders>
              <w:top w:val="nil"/>
              <w:left w:val="nil"/>
              <w:bottom w:val="nil"/>
              <w:right w:val="nil"/>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1882" w:type="dxa"/>
            <w:tcBorders>
              <w:top w:val="nil"/>
              <w:left w:val="nil"/>
              <w:bottom w:val="nil"/>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90" w:hRule="atLeast"/>
        </w:trPr>
        <w:tc>
          <w:tcPr>
            <w:tcW w:w="470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w:t>
            </w:r>
          </w:p>
        </w:tc>
        <w:tc>
          <w:tcPr>
            <w:tcW w:w="10600"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w:t>
            </w:r>
          </w:p>
        </w:tc>
      </w:tr>
      <w:tr>
        <w:tblPrEx>
          <w:tblLayout w:type="fixed"/>
          <w:tblCellMar>
            <w:top w:w="0" w:type="dxa"/>
            <w:left w:w="0" w:type="dxa"/>
            <w:bottom w:w="0" w:type="dxa"/>
            <w:right w:w="0" w:type="dxa"/>
          </w:tblCellMar>
        </w:tblPrEx>
        <w:trPr>
          <w:trHeight w:val="312" w:hRule="atLeast"/>
        </w:trPr>
        <w:tc>
          <w:tcPr>
            <w:tcW w:w="60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27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3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3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191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65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c>
          <w:tcPr>
            <w:tcW w:w="80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经济分类科目编码</w:t>
            </w:r>
          </w:p>
        </w:tc>
        <w:tc>
          <w:tcPr>
            <w:tcW w:w="351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经济分类科目（按“款”级功能分类科目）</w:t>
            </w:r>
          </w:p>
        </w:tc>
        <w:tc>
          <w:tcPr>
            <w:tcW w:w="188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金额</w:t>
            </w:r>
          </w:p>
        </w:tc>
      </w:tr>
      <w:tr>
        <w:tblPrEx>
          <w:tblLayout w:type="fixed"/>
          <w:tblCellMar>
            <w:top w:w="0" w:type="dxa"/>
            <w:left w:w="0" w:type="dxa"/>
            <w:bottom w:w="0" w:type="dxa"/>
            <w:right w:w="0" w:type="dxa"/>
          </w:tblCellMar>
        </w:tblPrEx>
        <w:trPr>
          <w:trHeight w:val="312" w:hRule="atLeast"/>
        </w:trPr>
        <w:tc>
          <w:tcPr>
            <w:tcW w:w="60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27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3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3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91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65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80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351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c>
          <w:tcPr>
            <w:tcW w:w="188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rPr>
                <w:rFonts w:hint="default" w:cs="宋体"/>
                <w:b/>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88.20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0.27</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基本工资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16.92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房屋建筑物购建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津贴补贴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5.36</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印刷费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办公设备购置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咨询费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专用设备购置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伙食补助费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手续费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基础设施建设</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绩效工资</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40.30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水费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0.12</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大型修缮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机关事业单位基本养老保险缴费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7.68</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0.15</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信息网络及软件购置更新</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职业年金缴费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9.69</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邮电费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物资储备</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职工基本医疗保险缴费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3.22</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取暖费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土地补偿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公务员医疗补助缴费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30209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物业管理费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安置补助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其他社会保障缴费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差旅费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地上附着物和青苗补偿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住房公积金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3.87</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因公出国（境）费用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拆迁补偿</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30114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1.15</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维修（护）费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30199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其他工资福利支出</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租赁费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31019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其他交通工具购置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3.10</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会议费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文物和陈列品购置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离休费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培训费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31022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无形资产购置</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30302</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退休费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公务接待费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31099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其他资本性支出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30303</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退职（役）费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30218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专用材料费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312</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30304</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抚恤金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被装购置费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31201</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资本金注入</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30305</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生活补助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2.76</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30225</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专用燃料费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31203</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政府投资基金股权投资</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30306</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救济费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30226</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劳务费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31204</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费用补贴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30307</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医疗费补助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0.34</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委托业务费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31205</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利息补贴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30308</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助学金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30228</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工会经费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31206</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ind w:firstLine="180" w:firstLineChars="100"/>
              <w:textAlignment w:val="center"/>
              <w:rPr>
                <w:rFonts w:hint="default" w:cs="宋体"/>
                <w:color w:val="000000"/>
                <w:sz w:val="18"/>
                <w:szCs w:val="18"/>
              </w:rPr>
            </w:pPr>
            <w:r>
              <w:rPr>
                <w:rFonts w:cs="宋体"/>
                <w:color w:val="000000"/>
                <w:sz w:val="18"/>
                <w:szCs w:val="18"/>
              </w:rPr>
              <w:t>其他资本性补助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30309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奖励金</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30229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福利费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31299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其他对企业补助</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30310</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个人农业生产补贴</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公务用车运行维护费</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30311</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代缴社会保险费</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30239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其他交通费用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39907</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国家赔偿费用支出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30399</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其他对个人和家庭的补助</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30240</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税金及附加费用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39908</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对民间非营利组织和群众性自治组织补贴</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30299</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其他商品和服务支出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39909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经常性赠与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307</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b/>
                <w:bCs/>
                <w:color w:val="000000"/>
                <w:sz w:val="18"/>
                <w:szCs w:val="18"/>
              </w:rPr>
            </w:pPr>
            <w:r>
              <w:rPr>
                <w:rFonts w:cs="宋体"/>
                <w:b/>
                <w:bCs/>
                <w:color w:val="000000"/>
                <w:sz w:val="18"/>
                <w:szCs w:val="18"/>
              </w:rPr>
              <w:t>债务利息及费用支出</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39910</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资本性赠与</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30701</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39999</w:t>
            </w: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其他支出</w:t>
            </w: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30702</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国外债务付息</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30703</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国内债务发行费用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155"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spacing w:line="200" w:lineRule="exact"/>
              <w:rPr>
                <w:rFonts w:hint="default" w:cs="宋体"/>
                <w:color w:val="000000"/>
                <w:sz w:val="18"/>
                <w:szCs w:val="18"/>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30704</w:t>
            </w:r>
          </w:p>
        </w:tc>
        <w:tc>
          <w:tcPr>
            <w:tcW w:w="19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textAlignment w:val="center"/>
              <w:rPr>
                <w:rFonts w:hint="default" w:cs="宋体"/>
                <w:color w:val="000000"/>
                <w:sz w:val="18"/>
                <w:szCs w:val="18"/>
              </w:rPr>
            </w:pPr>
            <w:r>
              <w:rPr>
                <w:rFonts w:cs="宋体"/>
                <w:color w:val="000000"/>
                <w:sz w:val="18"/>
                <w:szCs w:val="18"/>
              </w:rPr>
              <w:t xml:space="preserve">  国外债务发行费用</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35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rPr>
                <w:rFonts w:hint="default" w:cs="宋体"/>
                <w:color w:val="000000"/>
                <w:sz w:val="18"/>
                <w:szCs w:val="18"/>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right"/>
              <w:rPr>
                <w:rFonts w:hint="default" w:ascii="Times New Roman" w:hAnsi="Times New Roman"/>
                <w:color w:val="000000"/>
                <w:sz w:val="18"/>
                <w:szCs w:val="18"/>
              </w:rPr>
            </w:pPr>
          </w:p>
        </w:tc>
      </w:tr>
      <w:tr>
        <w:tblPrEx>
          <w:tblLayout w:type="fixed"/>
          <w:tblCellMar>
            <w:top w:w="0" w:type="dxa"/>
            <w:left w:w="0" w:type="dxa"/>
            <w:bottom w:w="0" w:type="dxa"/>
            <w:right w:w="0" w:type="dxa"/>
          </w:tblCellMar>
        </w:tblPrEx>
        <w:trPr>
          <w:trHeight w:val="310" w:hRule="atLeast"/>
        </w:trPr>
        <w:tc>
          <w:tcPr>
            <w:tcW w:w="3333"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人员经费合计</w:t>
            </w:r>
          </w:p>
        </w:tc>
        <w:tc>
          <w:tcPr>
            <w:tcW w:w="137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wordWrap w:val="0"/>
              <w:spacing w:line="200" w:lineRule="exact"/>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91.29</w:t>
            </w:r>
          </w:p>
        </w:tc>
        <w:tc>
          <w:tcPr>
            <w:tcW w:w="8718" w:type="dxa"/>
            <w:gridSpan w:val="5"/>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spacing w:line="200" w:lineRule="exact"/>
              <w:jc w:val="center"/>
              <w:textAlignment w:val="center"/>
              <w:rPr>
                <w:rFonts w:hint="default" w:cs="宋体"/>
                <w:b/>
                <w:color w:val="000000"/>
                <w:sz w:val="18"/>
                <w:szCs w:val="18"/>
              </w:rPr>
            </w:pPr>
            <w:r>
              <w:rPr>
                <w:rFonts w:cs="宋体"/>
                <w:b/>
                <w:color w:val="000000"/>
                <w:sz w:val="18"/>
                <w:szCs w:val="18"/>
              </w:rPr>
              <w:t>公用经费合计</w:t>
            </w:r>
          </w:p>
        </w:tc>
        <w:tc>
          <w:tcPr>
            <w:tcW w:w="18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spacing w:line="200" w:lineRule="exact"/>
              <w:jc w:val="right"/>
              <w:textAlignment w:val="center"/>
              <w:rPr>
                <w:rFonts w:hint="default" w:ascii="Times New Roman" w:hAnsi="Times New Roman"/>
                <w:color w:val="000000"/>
                <w:sz w:val="18"/>
                <w:szCs w:val="18"/>
              </w:rPr>
            </w:pPr>
            <w:r>
              <w:rPr>
                <w:rFonts w:hint="default" w:ascii="Times New Roman" w:hAnsi="Times New Roman"/>
                <w:color w:val="000000"/>
                <w:sz w:val="18"/>
                <w:szCs w:val="18"/>
              </w:rPr>
              <w:t>0.27</w:t>
            </w:r>
          </w:p>
        </w:tc>
      </w:tr>
    </w:tbl>
    <w:p>
      <w:pPr>
        <w:spacing w:line="280" w:lineRule="exact"/>
        <w:rPr>
          <w:rFonts w:hint="default" w:cs="宋体"/>
          <w:sz w:val="20"/>
          <w:szCs w:val="20"/>
        </w:rPr>
      </w:pPr>
      <w:r>
        <w:rPr>
          <w:rFonts w:cs="宋体"/>
          <w:sz w:val="20"/>
          <w:szCs w:val="20"/>
        </w:rPr>
        <w:t>备注：1.本表反映单位本年度一般公共预算财政拨款基本支出明细情况。</w:t>
      </w:r>
      <w:r>
        <w:rPr>
          <w:rFonts w:cs="宋体"/>
          <w:sz w:val="20"/>
          <w:szCs w:val="20"/>
        </w:rPr>
        <w:br w:type="textWrapping"/>
      </w:r>
      <w:r>
        <w:rPr>
          <w:rFonts w:cs="宋体"/>
          <w:sz w:val="20"/>
          <w:szCs w:val="20"/>
        </w:rPr>
        <w:t xml:space="preserve">      2.本套报表金额单位转换时可能存在尾数误差。</w:t>
      </w:r>
      <w:r>
        <w:rPr>
          <w:rFonts w:cs="宋体"/>
          <w:sz w:val="20"/>
          <w:szCs w:val="20"/>
        </w:rPr>
        <w:br w:type="textWrapping"/>
      </w:r>
      <w:r>
        <w:rPr>
          <w:rFonts w:cs="宋体"/>
          <w:sz w:val="20"/>
          <w:szCs w:val="20"/>
        </w:rPr>
        <w:br w:type="textWrapping"/>
      </w: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1635"/>
        <w:gridCol w:w="3285"/>
        <w:gridCol w:w="1701"/>
        <w:gridCol w:w="1701"/>
        <w:gridCol w:w="1701"/>
        <w:gridCol w:w="1701"/>
        <w:gridCol w:w="1765"/>
        <w:gridCol w:w="1833"/>
      </w:tblGrid>
      <w:tr>
        <w:tblPrEx>
          <w:tblLayout w:type="fixed"/>
          <w:tblCellMar>
            <w:top w:w="0" w:type="dxa"/>
            <w:left w:w="0" w:type="dxa"/>
            <w:bottom w:w="0" w:type="dxa"/>
            <w:right w:w="0" w:type="dxa"/>
          </w:tblCellMar>
        </w:tblPrEx>
        <w:trPr>
          <w:trHeight w:val="644" w:hRule="atLeast"/>
        </w:trPr>
        <w:tc>
          <w:tcPr>
            <w:tcW w:w="15322" w:type="dxa"/>
            <w:gridSpan w:val="8"/>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政府性基金预算财政拨款收入支出决算表</w:t>
            </w:r>
          </w:p>
        </w:tc>
      </w:tr>
      <w:tr>
        <w:tblPrEx>
          <w:tblLayout w:type="fixed"/>
          <w:tblCellMar>
            <w:top w:w="0" w:type="dxa"/>
            <w:left w:w="0" w:type="dxa"/>
            <w:bottom w:w="0" w:type="dxa"/>
            <w:right w:w="0" w:type="dxa"/>
          </w:tblCellMar>
        </w:tblPrEx>
        <w:trPr>
          <w:trHeight w:val="329" w:hRule="atLeast"/>
        </w:trPr>
        <w:tc>
          <w:tcPr>
            <w:tcW w:w="6621"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秀山土家族苗族自治县大溪镇卫生院</w:t>
            </w: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07</w:t>
            </w:r>
            <w:r>
              <w:rPr>
                <w:rFonts w:cs="宋体"/>
                <w:color w:val="000000"/>
                <w:sz w:val="20"/>
                <w:szCs w:val="20"/>
              </w:rPr>
              <w:t>表</w:t>
            </w:r>
          </w:p>
        </w:tc>
      </w:tr>
      <w:tr>
        <w:tblPrEx>
          <w:tblLayout w:type="fixed"/>
          <w:tblCellMar>
            <w:top w:w="0" w:type="dxa"/>
            <w:left w:w="0" w:type="dxa"/>
            <w:bottom w:w="0" w:type="dxa"/>
            <w:right w:w="0" w:type="dxa"/>
          </w:tblCellMar>
        </w:tblPrEx>
        <w:trPr>
          <w:trHeight w:val="329" w:hRule="atLeast"/>
        </w:trPr>
        <w:tc>
          <w:tcPr>
            <w:tcW w:w="6621"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01"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765" w:type="dxa"/>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1833"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339" w:hRule="atLeast"/>
        </w:trPr>
        <w:tc>
          <w:tcPr>
            <w:tcW w:w="49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w:t>
            </w:r>
          </w:p>
        </w:tc>
        <w:tc>
          <w:tcPr>
            <w:tcW w:w="1701"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年初结转和结余</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本年收入</w:t>
            </w:r>
          </w:p>
        </w:tc>
        <w:tc>
          <w:tcPr>
            <w:tcW w:w="5167"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本年支出</w:t>
            </w:r>
          </w:p>
        </w:tc>
        <w:tc>
          <w:tcPr>
            <w:tcW w:w="18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年末结转和结余</w:t>
            </w:r>
          </w:p>
        </w:tc>
      </w:tr>
      <w:tr>
        <w:tblPrEx>
          <w:tblLayout w:type="fixed"/>
          <w:tblCellMar>
            <w:top w:w="0" w:type="dxa"/>
            <w:left w:w="0" w:type="dxa"/>
            <w:bottom w:w="0" w:type="dxa"/>
            <w:right w:w="0" w:type="dxa"/>
          </w:tblCellMar>
        </w:tblPrEx>
        <w:trPr>
          <w:trHeight w:val="335" w:hRule="atLeast"/>
        </w:trPr>
        <w:tc>
          <w:tcPr>
            <w:tcW w:w="16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328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项目（按“项”级功能分类科目）</w:t>
            </w: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17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45" w:hRule="atLeast"/>
        </w:trPr>
        <w:tc>
          <w:tcPr>
            <w:tcW w:w="16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28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0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7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18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4920"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349" w:hRule="atLeast"/>
        </w:trPr>
        <w:tc>
          <w:tcPr>
            <w:tcW w:w="163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328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both"/>
              <w:textAlignment w:val="center"/>
              <w:rPr>
                <w:rFonts w:hint="default" w:cs="宋体"/>
                <w:color w:val="000000"/>
                <w:sz w:val="20"/>
                <w:szCs w:val="20"/>
              </w:rPr>
            </w:pP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7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183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备注：本表反映单位本年度政府性基金预算财政拨款收入支出及结转和结余情况。本单位无政府性基金收支，故本表无数据。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cs="宋体"/>
          <w:sz w:val="21"/>
          <w:szCs w:val="21"/>
        </w:rPr>
        <w:br w:type="page"/>
      </w:r>
    </w:p>
    <w:tbl>
      <w:tblPr>
        <w:tblStyle w:val="12"/>
        <w:tblW w:w="15322" w:type="dxa"/>
        <w:tblInd w:w="0" w:type="dxa"/>
        <w:tblLayout w:type="fixed"/>
        <w:tblCellMar>
          <w:top w:w="0" w:type="dxa"/>
          <w:left w:w="0" w:type="dxa"/>
          <w:bottom w:w="0" w:type="dxa"/>
          <w:right w:w="0" w:type="dxa"/>
        </w:tblCellMar>
      </w:tblPr>
      <w:tblGrid>
        <w:gridCol w:w="2001"/>
        <w:gridCol w:w="2917"/>
        <w:gridCol w:w="3264"/>
        <w:gridCol w:w="199"/>
        <w:gridCol w:w="3463"/>
        <w:gridCol w:w="77"/>
        <w:gridCol w:w="3401"/>
      </w:tblGrid>
      <w:tr>
        <w:tblPrEx>
          <w:tblLayout w:type="fixed"/>
          <w:tblCellMar>
            <w:top w:w="0" w:type="dxa"/>
            <w:left w:w="0" w:type="dxa"/>
            <w:bottom w:w="0" w:type="dxa"/>
            <w:right w:w="0" w:type="dxa"/>
          </w:tblCellMar>
        </w:tblPrEx>
        <w:trPr>
          <w:trHeight w:val="650" w:hRule="atLeast"/>
        </w:trPr>
        <w:tc>
          <w:tcPr>
            <w:tcW w:w="15322" w:type="dxa"/>
            <w:gridSpan w:val="7"/>
            <w:tcBorders>
              <w:top w:val="nil"/>
              <w:left w:val="nil"/>
              <w:bottom w:val="nil"/>
              <w:right w:val="nil"/>
            </w:tcBorders>
            <w:shd w:val="clear" w:color="auto" w:fill="auto"/>
            <w:tcMar>
              <w:top w:w="15" w:type="dxa"/>
              <w:left w:w="15" w:type="dxa"/>
              <w:right w:w="15" w:type="dxa"/>
            </w:tcMar>
            <w:vAlign w:val="bottom"/>
          </w:tcPr>
          <w:p>
            <w:pPr>
              <w:jc w:val="center"/>
              <w:textAlignment w:val="bottom"/>
              <w:rPr>
                <w:rFonts w:hint="default" w:cs="宋体"/>
                <w:b/>
                <w:color w:val="000000"/>
                <w:sz w:val="32"/>
                <w:szCs w:val="32"/>
              </w:rPr>
            </w:pPr>
            <w:r>
              <w:rPr>
                <w:rFonts w:cs="宋体"/>
                <w:b/>
                <w:color w:val="000000"/>
                <w:sz w:val="32"/>
                <w:szCs w:val="32"/>
              </w:rPr>
              <w:t>国有资本经营预算财政拨款支出决算表</w:t>
            </w:r>
          </w:p>
        </w:tc>
      </w:tr>
      <w:tr>
        <w:tblPrEx>
          <w:tblLayout w:type="fixed"/>
          <w:tblCellMar>
            <w:top w:w="0" w:type="dxa"/>
            <w:left w:w="0" w:type="dxa"/>
            <w:bottom w:w="0" w:type="dxa"/>
            <w:right w:w="0" w:type="dxa"/>
          </w:tblCellMar>
        </w:tblPrEx>
        <w:trPr>
          <w:trHeight w:val="332" w:hRule="atLeast"/>
        </w:trPr>
        <w:tc>
          <w:tcPr>
            <w:tcW w:w="8182" w:type="dxa"/>
            <w:gridSpan w:val="3"/>
            <w:vMerge w:val="restart"/>
            <w:tcBorders>
              <w:top w:val="nil"/>
              <w:left w:val="nil"/>
              <w:right w:val="nil"/>
            </w:tcBorders>
            <w:shd w:val="clear" w:color="auto" w:fill="auto"/>
            <w:tcMar>
              <w:top w:w="15" w:type="dxa"/>
              <w:left w:w="15" w:type="dxa"/>
              <w:right w:w="15" w:type="dxa"/>
            </w:tcMar>
            <w:vAlign w:val="bottom"/>
          </w:tcPr>
          <w:p>
            <w:pPr>
              <w:rPr>
                <w:rFonts w:hint="default" w:cs="宋体"/>
                <w:color w:val="000000"/>
                <w:sz w:val="20"/>
                <w:szCs w:val="20"/>
              </w:rPr>
            </w:pPr>
            <w:r>
              <w:rPr>
                <w:rFonts w:cs="宋体"/>
                <w:sz w:val="20"/>
                <w:szCs w:val="20"/>
              </w:rPr>
              <w:t>单位</w:t>
            </w:r>
            <w:r>
              <w:rPr>
                <w:rFonts w:cs="宋体"/>
                <w:color w:val="000000"/>
                <w:sz w:val="20"/>
                <w:szCs w:val="20"/>
              </w:rPr>
              <w:t>：</w:t>
            </w:r>
            <w:r>
              <w:rPr>
                <w:color w:val="000000"/>
                <w:sz w:val="20"/>
              </w:rPr>
              <w:t>秀山土家族苗族自治县大溪镇卫生院</w:t>
            </w: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公开</w:t>
            </w:r>
            <w:r>
              <w:rPr>
                <w:rFonts w:hint="default" w:ascii="Times New Roman" w:hAnsi="Times New Roman"/>
                <w:color w:val="000000"/>
                <w:sz w:val="20"/>
                <w:szCs w:val="20"/>
              </w:rPr>
              <w:t>08</w:t>
            </w:r>
            <w:r>
              <w:rPr>
                <w:rFonts w:cs="宋体"/>
                <w:color w:val="000000"/>
                <w:sz w:val="20"/>
                <w:szCs w:val="20"/>
              </w:rPr>
              <w:t>表</w:t>
            </w:r>
          </w:p>
        </w:tc>
      </w:tr>
      <w:tr>
        <w:tblPrEx>
          <w:tblLayout w:type="fixed"/>
          <w:tblCellMar>
            <w:top w:w="0" w:type="dxa"/>
            <w:left w:w="0" w:type="dxa"/>
            <w:bottom w:w="0" w:type="dxa"/>
            <w:right w:w="0" w:type="dxa"/>
          </w:tblCellMar>
        </w:tblPrEx>
        <w:trPr>
          <w:trHeight w:val="332" w:hRule="atLeast"/>
        </w:trPr>
        <w:tc>
          <w:tcPr>
            <w:tcW w:w="8182" w:type="dxa"/>
            <w:gridSpan w:val="3"/>
            <w:vMerge w:val="continue"/>
            <w:tcBorders>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739" w:type="dxa"/>
            <w:gridSpan w:val="3"/>
            <w:tcBorders>
              <w:top w:val="nil"/>
              <w:left w:val="nil"/>
              <w:bottom w:val="nil"/>
              <w:right w:val="nil"/>
            </w:tcBorders>
            <w:shd w:val="clear" w:color="auto" w:fill="auto"/>
            <w:tcMar>
              <w:top w:w="15" w:type="dxa"/>
              <w:left w:w="15" w:type="dxa"/>
              <w:right w:w="15" w:type="dxa"/>
            </w:tcMar>
            <w:vAlign w:val="bottom"/>
          </w:tcPr>
          <w:p>
            <w:pPr>
              <w:rPr>
                <w:rFonts w:hint="default" w:cs="宋体"/>
                <w:color w:val="000000"/>
                <w:sz w:val="20"/>
                <w:szCs w:val="20"/>
              </w:rPr>
            </w:pPr>
          </w:p>
        </w:tc>
        <w:tc>
          <w:tcPr>
            <w:tcW w:w="3401" w:type="dxa"/>
            <w:tcBorders>
              <w:top w:val="nil"/>
              <w:left w:val="nil"/>
              <w:bottom w:val="nil"/>
              <w:right w:val="nil"/>
            </w:tcBorders>
            <w:shd w:val="clear" w:color="auto" w:fill="auto"/>
            <w:tcMar>
              <w:top w:w="15" w:type="dxa"/>
              <w:left w:w="15" w:type="dxa"/>
              <w:right w:w="15" w:type="dxa"/>
            </w:tcMar>
            <w:vAlign w:val="bottom"/>
          </w:tcPr>
          <w:p>
            <w:pPr>
              <w:jc w:val="right"/>
              <w:textAlignment w:val="bottom"/>
              <w:rPr>
                <w:rFonts w:hint="default" w:cs="宋体"/>
                <w:color w:val="000000"/>
                <w:sz w:val="20"/>
                <w:szCs w:val="20"/>
              </w:rPr>
            </w:pPr>
            <w:r>
              <w:rPr>
                <w:rFonts w:cs="宋体"/>
                <w:color w:val="000000"/>
                <w:sz w:val="20"/>
                <w:szCs w:val="20"/>
              </w:rPr>
              <w:t>单位：</w:t>
            </w:r>
            <w:r>
              <w:rPr>
                <w:rFonts w:cs="宋体"/>
                <w:sz w:val="20"/>
                <w:szCs w:val="20"/>
              </w:rPr>
              <w:t>万元</w:t>
            </w:r>
          </w:p>
        </w:tc>
      </w:tr>
      <w:tr>
        <w:tblPrEx>
          <w:tblLayout w:type="fixed"/>
          <w:tblCellMar>
            <w:top w:w="0" w:type="dxa"/>
            <w:left w:w="0" w:type="dxa"/>
            <w:bottom w:w="0" w:type="dxa"/>
            <w:right w:w="0" w:type="dxa"/>
          </w:tblCellMar>
        </w:tblPrEx>
        <w:trPr>
          <w:trHeight w:val="422"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项目</w:t>
            </w:r>
          </w:p>
        </w:tc>
        <w:tc>
          <w:tcPr>
            <w:tcW w:w="10404"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center"/>
              <w:textAlignment w:val="bottom"/>
              <w:rPr>
                <w:rFonts w:hint="default" w:cs="宋体"/>
                <w:b/>
                <w:color w:val="000000"/>
                <w:sz w:val="20"/>
                <w:szCs w:val="20"/>
              </w:rPr>
            </w:pPr>
            <w:r>
              <w:rPr>
                <w:rFonts w:cs="宋体"/>
                <w:b/>
                <w:color w:val="000000"/>
                <w:sz w:val="20"/>
                <w:szCs w:val="20"/>
              </w:rPr>
              <w:t>本年支出</w:t>
            </w:r>
          </w:p>
        </w:tc>
      </w:tr>
      <w:tr>
        <w:tblPrEx>
          <w:tblLayout w:type="fixed"/>
          <w:tblCellMar>
            <w:top w:w="0" w:type="dxa"/>
            <w:left w:w="0" w:type="dxa"/>
            <w:bottom w:w="0" w:type="dxa"/>
            <w:right w:w="0" w:type="dxa"/>
          </w:tblCellMar>
        </w:tblPrEx>
        <w:trPr>
          <w:trHeight w:val="339" w:hRule="atLeast"/>
        </w:trPr>
        <w:tc>
          <w:tcPr>
            <w:tcW w:w="2001"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功能分类科目编码</w:t>
            </w:r>
          </w:p>
        </w:tc>
        <w:tc>
          <w:tcPr>
            <w:tcW w:w="291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科目名称</w:t>
            </w:r>
          </w:p>
        </w:tc>
        <w:tc>
          <w:tcPr>
            <w:tcW w:w="3463" w:type="dxa"/>
            <w:gridSpan w:val="2"/>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基本支出</w:t>
            </w:r>
          </w:p>
        </w:tc>
        <w:tc>
          <w:tcPr>
            <w:tcW w:w="347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项目支出</w:t>
            </w: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39"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326" w:hRule="atLeast"/>
        </w:trPr>
        <w:tc>
          <w:tcPr>
            <w:tcW w:w="2001"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291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gridSpan w:val="2"/>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c>
          <w:tcPr>
            <w:tcW w:w="347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cs="宋体"/>
                <w:b/>
                <w:color w:val="000000"/>
                <w:sz w:val="20"/>
                <w:szCs w:val="20"/>
              </w:rPr>
            </w:pPr>
          </w:p>
        </w:tc>
      </w:tr>
      <w:tr>
        <w:tblPrEx>
          <w:tblLayout w:type="fixed"/>
          <w:tblCellMar>
            <w:top w:w="0" w:type="dxa"/>
            <w:left w:w="0" w:type="dxa"/>
            <w:bottom w:w="0" w:type="dxa"/>
            <w:right w:w="0" w:type="dxa"/>
          </w:tblCellMar>
        </w:tblPrEx>
        <w:trPr>
          <w:trHeight w:val="611" w:hRule="atLeast"/>
        </w:trPr>
        <w:tc>
          <w:tcPr>
            <w:tcW w:w="4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default" w:cs="宋体"/>
                <w:b/>
                <w:color w:val="000000"/>
                <w:sz w:val="20"/>
                <w:szCs w:val="20"/>
              </w:rPr>
            </w:pPr>
            <w:r>
              <w:rPr>
                <w:rFonts w:cs="宋体"/>
                <w:b/>
                <w:color w:val="000000"/>
                <w:sz w:val="20"/>
                <w:szCs w:val="20"/>
              </w:rPr>
              <w:t>合计</w:t>
            </w: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b/>
                <w:bCs/>
                <w:color w:val="000000"/>
                <w:sz w:val="20"/>
                <w:szCs w:val="20"/>
              </w:rPr>
              <w:t>0.00</w:t>
            </w:r>
          </w:p>
        </w:tc>
      </w:tr>
      <w:tr>
        <w:tblPrEx>
          <w:tblLayout w:type="fixed"/>
          <w:tblCellMar>
            <w:top w:w="0" w:type="dxa"/>
            <w:left w:w="0" w:type="dxa"/>
            <w:bottom w:w="0" w:type="dxa"/>
            <w:right w:w="0" w:type="dxa"/>
          </w:tblCellMar>
        </w:tblPrEx>
        <w:trPr>
          <w:trHeight w:val="488" w:hRule="atLeast"/>
        </w:trPr>
        <w:tc>
          <w:tcPr>
            <w:tcW w:w="2001"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291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textAlignment w:val="center"/>
              <w:rPr>
                <w:rFonts w:hint="default" w:cs="宋体"/>
                <w:color w:val="000000"/>
                <w:sz w:val="20"/>
                <w:szCs w:val="20"/>
              </w:rPr>
            </w:pPr>
          </w:p>
        </w:tc>
        <w:tc>
          <w:tcPr>
            <w:tcW w:w="3463"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c>
          <w:tcPr>
            <w:tcW w:w="34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right"/>
              <w:rPr>
                <w:rFonts w:hint="default" w:ascii="Times New Roman" w:hAnsi="Times New Roman"/>
                <w:b/>
                <w:color w:val="000000"/>
                <w:sz w:val="20"/>
                <w:szCs w:val="20"/>
              </w:rPr>
            </w:pPr>
          </w:p>
        </w:tc>
        <w:tc>
          <w:tcPr>
            <w:tcW w:w="3478"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ordWrap w:val="0"/>
              <w:jc w:val="right"/>
              <w:textAlignment w:val="center"/>
              <w:rPr>
                <w:rFonts w:hint="default" w:ascii="Times New Roman" w:hAnsi="Times New Roman"/>
                <w:b/>
                <w:color w:val="000000"/>
                <w:sz w:val="20"/>
                <w:szCs w:val="20"/>
              </w:rPr>
            </w:pPr>
            <w:r>
              <w:rPr>
                <w:rFonts w:hint="default" w:ascii="Times New Roman" w:hAnsi="Times New Roman"/>
                <w:color w:val="000000"/>
                <w:sz w:val="20"/>
                <w:szCs w:val="20"/>
              </w:rPr>
              <w:t>0.00</w:t>
            </w:r>
          </w:p>
        </w:tc>
      </w:tr>
    </w:tbl>
    <w:p>
      <w:pPr>
        <w:rPr>
          <w:rFonts w:hint="default" w:cs="宋体"/>
          <w:sz w:val="21"/>
          <w:szCs w:val="21"/>
        </w:rPr>
      </w:pPr>
      <w:r>
        <w:rPr>
          <w:rFonts w:cs="宋体"/>
          <w:sz w:val="20"/>
          <w:szCs w:val="20"/>
        </w:rPr>
        <w:t>备注：本表反映单位本年度国有资本经营预算财政拨款支出情况。本单位无国有资本经营收支，故本表无数据。</w:t>
      </w:r>
      <w:r>
        <w:rPr>
          <w:rFonts w:cs="宋体"/>
          <w:sz w:val="20"/>
          <w:szCs w:val="20"/>
        </w:rPr>
        <w:br w:type="textWrapping"/>
      </w:r>
      <w:r>
        <w:rPr>
          <w:rFonts w:cs="宋体"/>
          <w:sz w:val="20"/>
          <w:szCs w:val="20"/>
        </w:rPr>
        <w:br w:type="textWrapping"/>
      </w:r>
    </w:p>
    <w:p>
      <w:pPr>
        <w:rPr>
          <w:rFonts w:hint="default" w:cs="宋体"/>
          <w:sz w:val="21"/>
          <w:szCs w:val="21"/>
        </w:rPr>
      </w:pPr>
      <w:r>
        <w:rPr>
          <w:rFonts w:hint="default" w:cs="宋体"/>
          <w:sz w:val="21"/>
          <w:szCs w:val="21"/>
        </w:rPr>
        <w:br w:type="page"/>
      </w:r>
    </w:p>
    <w:tbl>
      <w:tblPr>
        <w:tblStyle w:val="12"/>
        <w:tblW w:w="14131" w:type="dxa"/>
        <w:tblInd w:w="0" w:type="dxa"/>
        <w:tblLayout w:type="fixed"/>
        <w:tblCellMar>
          <w:top w:w="0" w:type="dxa"/>
          <w:left w:w="170" w:type="dxa"/>
          <w:bottom w:w="0" w:type="dxa"/>
          <w:right w:w="170" w:type="dxa"/>
        </w:tblCellMar>
      </w:tblPr>
      <w:tblGrid>
        <w:gridCol w:w="3179"/>
        <w:gridCol w:w="2416"/>
        <w:gridCol w:w="2375"/>
        <w:gridCol w:w="3674"/>
        <w:gridCol w:w="2487"/>
      </w:tblGrid>
      <w:tr>
        <w:tblPrEx>
          <w:tblLayout w:type="fixed"/>
          <w:tblCellMar>
            <w:top w:w="0" w:type="dxa"/>
            <w:left w:w="170" w:type="dxa"/>
            <w:bottom w:w="0" w:type="dxa"/>
            <w:right w:w="170" w:type="dxa"/>
          </w:tblCellMar>
        </w:tblPrEx>
        <w:trPr>
          <w:trHeight w:val="343" w:hRule="atLeast"/>
        </w:trPr>
        <w:tc>
          <w:tcPr>
            <w:tcW w:w="14131" w:type="dxa"/>
            <w:gridSpan w:val="5"/>
            <w:shd w:val="clear" w:color="auto" w:fill="auto"/>
            <w:tcMar>
              <w:top w:w="15" w:type="dxa"/>
              <w:left w:w="15" w:type="dxa"/>
              <w:right w:w="15" w:type="dxa"/>
            </w:tcMar>
            <w:vAlign w:val="bottom"/>
          </w:tcPr>
          <w:p>
            <w:pPr>
              <w:spacing w:line="400" w:lineRule="exact"/>
              <w:jc w:val="center"/>
              <w:textAlignment w:val="bottom"/>
              <w:rPr>
                <w:rFonts w:hint="default" w:cs="宋体"/>
                <w:b/>
                <w:color w:val="000000"/>
                <w:kern w:val="2"/>
                <w:sz w:val="32"/>
                <w:szCs w:val="32"/>
              </w:rPr>
            </w:pPr>
            <w:r>
              <w:rPr>
                <w:rFonts w:cs="宋体"/>
                <w:b/>
                <w:color w:val="000000"/>
                <w:kern w:val="2"/>
                <w:sz w:val="32"/>
                <w:szCs w:val="32"/>
              </w:rPr>
              <w:t>机构运行信息表</w:t>
            </w:r>
          </w:p>
        </w:tc>
      </w:tr>
      <w:tr>
        <w:tblPrEx>
          <w:tblLayout w:type="fixed"/>
          <w:tblCellMar>
            <w:top w:w="0" w:type="dxa"/>
            <w:left w:w="170" w:type="dxa"/>
            <w:bottom w:w="0" w:type="dxa"/>
            <w:right w:w="170" w:type="dxa"/>
          </w:tblCellMar>
        </w:tblPrEx>
        <w:trPr>
          <w:trHeight w:val="244" w:hRule="atLeast"/>
        </w:trPr>
        <w:tc>
          <w:tcPr>
            <w:tcW w:w="3179"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16" w:type="dxa"/>
            <w:shd w:val="clear" w:color="auto" w:fill="auto"/>
            <w:tcMar>
              <w:top w:w="15" w:type="dxa"/>
              <w:left w:w="15" w:type="dxa"/>
              <w:right w:w="15" w:type="dxa"/>
            </w:tcMar>
            <w:vAlign w:val="bottom"/>
          </w:tcPr>
          <w:p>
            <w:pPr>
              <w:spacing w:line="280" w:lineRule="exact"/>
              <w:jc w:val="center"/>
              <w:rPr>
                <w:rFonts w:hint="default" w:cs="宋体"/>
                <w:color w:val="000000"/>
                <w:kern w:val="2"/>
                <w:sz w:val="20"/>
                <w:szCs w:val="20"/>
              </w:rPr>
            </w:pPr>
          </w:p>
        </w:tc>
        <w:tc>
          <w:tcPr>
            <w:tcW w:w="2375" w:type="dxa"/>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公开</w:t>
            </w:r>
            <w:r>
              <w:rPr>
                <w:rFonts w:hint="default" w:ascii="Times New Roman" w:hAnsi="Times New Roman"/>
                <w:color w:val="000000"/>
                <w:kern w:val="2"/>
                <w:sz w:val="20"/>
                <w:szCs w:val="20"/>
              </w:rPr>
              <w:t>09</w:t>
            </w:r>
            <w:r>
              <w:rPr>
                <w:rFonts w:cs="宋体"/>
                <w:color w:val="000000"/>
                <w:kern w:val="2"/>
                <w:sz w:val="20"/>
                <w:szCs w:val="20"/>
              </w:rPr>
              <w:t>表</w:t>
            </w:r>
          </w:p>
        </w:tc>
      </w:tr>
      <w:tr>
        <w:tblPrEx>
          <w:tblLayout w:type="fixed"/>
          <w:tblCellMar>
            <w:top w:w="0" w:type="dxa"/>
            <w:left w:w="170" w:type="dxa"/>
            <w:bottom w:w="0" w:type="dxa"/>
            <w:right w:w="170" w:type="dxa"/>
          </w:tblCellMar>
        </w:tblPrEx>
        <w:trPr>
          <w:trHeight w:val="244" w:hRule="atLeast"/>
        </w:trPr>
        <w:tc>
          <w:tcPr>
            <w:tcW w:w="5595" w:type="dxa"/>
            <w:gridSpan w:val="2"/>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r>
              <w:rPr>
                <w:rFonts w:cs="宋体"/>
                <w:kern w:val="2"/>
                <w:sz w:val="20"/>
                <w:szCs w:val="20"/>
              </w:rPr>
              <w:t>单位</w:t>
            </w:r>
            <w:r>
              <w:rPr>
                <w:rFonts w:cs="宋体"/>
                <w:color w:val="000000"/>
                <w:kern w:val="2"/>
                <w:sz w:val="20"/>
                <w:szCs w:val="20"/>
              </w:rPr>
              <w:t>：</w:t>
            </w:r>
            <w:r>
              <w:rPr>
                <w:color w:val="000000"/>
                <w:sz w:val="20"/>
              </w:rPr>
              <w:t>秀山土家族苗族自治县大溪镇卫生院</w:t>
            </w:r>
          </w:p>
        </w:tc>
        <w:tc>
          <w:tcPr>
            <w:tcW w:w="2375"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rPr>
                <w:rFonts w:hint="default" w:cs="宋体"/>
                <w:color w:val="000000"/>
                <w:kern w:val="2"/>
                <w:sz w:val="20"/>
                <w:szCs w:val="20"/>
              </w:rPr>
            </w:pPr>
          </w:p>
        </w:tc>
        <w:tc>
          <w:tcPr>
            <w:tcW w:w="3674"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rPr>
                <w:rFonts w:hint="default" w:cs="宋体"/>
                <w:color w:val="000000"/>
                <w:kern w:val="2"/>
                <w:sz w:val="20"/>
                <w:szCs w:val="20"/>
              </w:rPr>
            </w:pPr>
          </w:p>
        </w:tc>
        <w:tc>
          <w:tcPr>
            <w:tcW w:w="2487" w:type="dxa"/>
            <w:tcBorders>
              <w:top w:val="nil"/>
              <w:left w:val="nil"/>
              <w:bottom w:val="single" w:color="auto" w:sz="4" w:space="0"/>
              <w:right w:val="nil"/>
            </w:tcBorders>
            <w:shd w:val="clear" w:color="auto" w:fill="auto"/>
            <w:tcMar>
              <w:top w:w="15" w:type="dxa"/>
              <w:left w:w="15" w:type="dxa"/>
              <w:right w:w="15" w:type="dxa"/>
            </w:tcMar>
            <w:vAlign w:val="bottom"/>
          </w:tcPr>
          <w:p>
            <w:pPr>
              <w:spacing w:line="280" w:lineRule="exact"/>
              <w:jc w:val="right"/>
              <w:textAlignment w:val="bottom"/>
              <w:rPr>
                <w:rFonts w:hint="default" w:cs="宋体"/>
                <w:color w:val="000000"/>
                <w:kern w:val="2"/>
                <w:sz w:val="20"/>
                <w:szCs w:val="20"/>
              </w:rPr>
            </w:pPr>
            <w:r>
              <w:rPr>
                <w:rFonts w:cs="宋体"/>
                <w:color w:val="000000"/>
                <w:kern w:val="2"/>
                <w:sz w:val="20"/>
                <w:szCs w:val="20"/>
              </w:rPr>
              <w:t>单位：</w:t>
            </w:r>
            <w:r>
              <w:rPr>
                <w:rFonts w:cs="宋体"/>
                <w:kern w:val="2"/>
                <w:sz w:val="20"/>
                <w:szCs w:val="20"/>
              </w:rPr>
              <w:t>万元</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预算数</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项  目</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cs="宋体"/>
                <w:b/>
                <w:color w:val="000000"/>
                <w:kern w:val="2"/>
                <w:sz w:val="16"/>
                <w:szCs w:val="16"/>
              </w:rPr>
            </w:pPr>
            <w:r>
              <w:rPr>
                <w:rFonts w:cs="宋体"/>
                <w:b/>
                <w:color w:val="000000"/>
                <w:kern w:val="2"/>
                <w:sz w:val="16"/>
                <w:szCs w:val="16"/>
              </w:rPr>
              <w:t>决算数</w:t>
            </w:r>
          </w:p>
        </w:tc>
      </w:tr>
      <w:tr>
        <w:tblPrEx>
          <w:tblLayout w:type="fixed"/>
          <w:tblCellMar>
            <w:top w:w="0" w:type="dxa"/>
            <w:left w:w="170" w:type="dxa"/>
            <w:bottom w:w="0" w:type="dxa"/>
            <w:right w:w="170" w:type="dxa"/>
          </w:tblCellMar>
        </w:tblPrEx>
        <w:trPr>
          <w:trHeight w:val="28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一、“三公”经费支出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五、机关运行经费</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（一）支出合计</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（一）行政单位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（二）参照公务员法管理事业单位</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2．公务用车购置及运行维护费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六、资产信息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（1）公务用车购置费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（一）车辆数合计（辆）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（2）公务用车运行维护费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1．副部（省）级及以上领导用车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2．主要领导干部用车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（1）国内接待费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3．机要通信用车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4．应急保障用车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（2）国（境）外接待费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5．执法执勤用车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（二）相关统计数</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6．特种专业技术用车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r>
              <w:rPr>
                <w:rFonts w:hint="default" w:ascii="Times New Roman" w:hAnsi="Times New Roman"/>
                <w:color w:val="000000"/>
                <w:sz w:val="18"/>
                <w:szCs w:val="18"/>
              </w:rPr>
              <w:t>1</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1．因公出国（境）团组数（个）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7．离退休干部用车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2．因公出国（境）人次数（人）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8．其他用车</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3．公务用车购置数（辆）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（二）单价100万元（含）以上设备（不含车辆）</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4．公务用车保有量（辆）</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七、政府采购支出信息</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ind w:right="120" w:rightChars="50"/>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5．国内公务接待批次（个）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（一）政府采购支出合计</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1．政府采购货物支出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6．国内公务接待人次（人）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2．政府采购工程支出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其中：外事接待人次（人）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3．政府采购服务支出</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7．国（境）外公务接待批次（个）</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（二）政府采购授予中小企业合同金额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92"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8．国（境）外公务接待人次（人）</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kern w:val="2"/>
                <w:sz w:val="16"/>
                <w:szCs w:val="16"/>
              </w:rPr>
            </w:pPr>
            <w:r>
              <w:rPr>
                <w:rFonts w:cs="宋体"/>
                <w:b/>
                <w:bCs/>
                <w:color w:val="000000"/>
                <w:kern w:val="2"/>
                <w:sz w:val="16"/>
                <w:szCs w:val="16"/>
              </w:rPr>
              <w:t xml:space="preserve">        其中：授予小微企业合同金额</w:t>
            </w: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r>
      <w:tr>
        <w:tblPrEx>
          <w:tblLayout w:type="fixed"/>
          <w:tblCellMar>
            <w:top w:w="0" w:type="dxa"/>
            <w:left w:w="170" w:type="dxa"/>
            <w:bottom w:w="0" w:type="dxa"/>
            <w:right w:w="170" w:type="dxa"/>
          </w:tblCellMar>
        </w:tblPrEx>
        <w:trPr>
          <w:trHeight w:val="286"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二、会议费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color w:val="000000"/>
                <w:kern w:val="2"/>
                <w:sz w:val="16"/>
                <w:szCs w:val="16"/>
              </w:rPr>
            </w:pPr>
            <w:r>
              <w:rPr>
                <w:rFonts w:cs="宋体"/>
                <w:b/>
                <w:color w:val="000000"/>
                <w:kern w:val="2"/>
                <w:sz w:val="16"/>
                <w:szCs w:val="16"/>
              </w:rPr>
              <w:t>三、培训费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kern w:val="2"/>
                <w:sz w:val="18"/>
                <w:szCs w:val="18"/>
              </w:rPr>
            </w:pPr>
            <w:r>
              <w:rPr>
                <w:rFonts w:hint="default" w:ascii="Times New Roman" w:hAnsi="Times New Roman"/>
                <w:color w:val="000000"/>
                <w:kern w:val="2"/>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kern w:val="2"/>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kern w:val="2"/>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kern w:val="2"/>
                <w:sz w:val="16"/>
                <w:szCs w:val="16"/>
              </w:rPr>
            </w:pPr>
          </w:p>
        </w:tc>
      </w:tr>
      <w:tr>
        <w:tblPrEx>
          <w:tblLayout w:type="fixed"/>
          <w:tblCellMar>
            <w:top w:w="0" w:type="dxa"/>
            <w:left w:w="170" w:type="dxa"/>
            <w:bottom w:w="0" w:type="dxa"/>
            <w:right w:w="170" w:type="dxa"/>
          </w:tblCellMar>
        </w:tblPrEx>
        <w:trPr>
          <w:trHeight w:val="389" w:hRule="atLeast"/>
        </w:trPr>
        <w:tc>
          <w:tcPr>
            <w:tcW w:w="317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textAlignment w:val="center"/>
              <w:rPr>
                <w:rFonts w:hint="default" w:cs="宋体"/>
                <w:b/>
                <w:bCs/>
                <w:color w:val="000000"/>
                <w:sz w:val="16"/>
                <w:szCs w:val="16"/>
              </w:rPr>
            </w:pPr>
            <w:r>
              <w:rPr>
                <w:rFonts w:cs="宋体"/>
                <w:b/>
                <w:bCs/>
                <w:color w:val="000000"/>
                <w:sz w:val="16"/>
                <w:szCs w:val="16"/>
              </w:rPr>
              <w:t>四、差旅费</w:t>
            </w:r>
          </w:p>
        </w:tc>
        <w:tc>
          <w:tcPr>
            <w:tcW w:w="241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jc w:val="center"/>
              <w:textAlignment w:val="center"/>
              <w:rPr>
                <w:rFonts w:hint="default" w:ascii="Times New Roman" w:hAnsi="Times New Roman"/>
                <w:color w:val="000000"/>
                <w:sz w:val="18"/>
                <w:szCs w:val="18"/>
              </w:rPr>
            </w:pPr>
            <w:r>
              <w:rPr>
                <w:rFonts w:hint="default" w:ascii="Times New Roman" w:hAnsi="Times New Roman"/>
                <w:color w:val="000000"/>
                <w:sz w:val="18"/>
                <w:szCs w:val="18"/>
              </w:rPr>
              <w:t>—</w:t>
            </w:r>
          </w:p>
        </w:tc>
        <w:tc>
          <w:tcPr>
            <w:tcW w:w="23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ind w:right="120" w:rightChars="50"/>
              <w:jc w:val="right"/>
              <w:textAlignment w:val="bottom"/>
              <w:rPr>
                <w:rFonts w:hint="default" w:ascii="Times New Roman" w:hAnsi="Times New Roman"/>
                <w:color w:val="000000"/>
                <w:sz w:val="18"/>
                <w:szCs w:val="18"/>
              </w:rPr>
            </w:pPr>
          </w:p>
        </w:tc>
        <w:tc>
          <w:tcPr>
            <w:tcW w:w="367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line="280" w:lineRule="exact"/>
              <w:rPr>
                <w:rFonts w:hint="default" w:cs="宋体"/>
                <w:color w:val="000000"/>
                <w:sz w:val="16"/>
                <w:szCs w:val="16"/>
              </w:rPr>
            </w:pPr>
          </w:p>
        </w:tc>
        <w:tc>
          <w:tcPr>
            <w:tcW w:w="248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spacing w:line="280" w:lineRule="exact"/>
              <w:jc w:val="right"/>
              <w:rPr>
                <w:rFonts w:hint="default" w:cs="宋体"/>
                <w:color w:val="000000"/>
                <w:sz w:val="16"/>
                <w:szCs w:val="16"/>
              </w:rPr>
            </w:pPr>
          </w:p>
        </w:tc>
      </w:tr>
    </w:tbl>
    <w:p>
      <w:pPr>
        <w:rPr>
          <w:rFonts w:hint="default"/>
          <w:sz w:val="18"/>
          <w:szCs w:val="18"/>
        </w:rPr>
      </w:pPr>
      <w:r>
        <w:rPr>
          <w:rFonts w:cs="宋体"/>
          <w:sz w:val="18"/>
          <w:szCs w:val="18"/>
        </w:rPr>
        <w:t>备注：1.本表反映单位本年度财政拨款“三公”经费支出预决算情况。其中，预算数为“三公”经费全年预算数，反映按规定程序调整后的预算数；决算数为包括本年度财政拨款和以前年度结转资金安排的实际支出。</w:t>
      </w:r>
      <w:r>
        <w:rPr>
          <w:rFonts w:cs="宋体"/>
          <w:sz w:val="18"/>
          <w:szCs w:val="18"/>
        </w:rPr>
        <w:br w:type="textWrapping"/>
      </w:r>
      <w:r>
        <w:rPr>
          <w:rFonts w:cs="宋体"/>
          <w:sz w:val="18"/>
          <w:szCs w:val="18"/>
        </w:rPr>
        <w:t xml:space="preserve">      2.本套报表金额单位转换时可能存在尾数误差。</w:t>
      </w:r>
      <w:r>
        <w:rPr>
          <w:rFonts w:cs="宋体"/>
          <w:sz w:val="18"/>
          <w:szCs w:val="18"/>
        </w:rPr>
        <w:br w:type="textWrapping"/>
      </w:r>
      <w:r>
        <w:rPr>
          <w:rFonts w:cs="宋体"/>
          <w:sz w:val="18"/>
          <w:szCs w:val="18"/>
        </w:rPr>
        <w:br w:type="textWrapping"/>
      </w:r>
    </w:p>
    <w:sectPr>
      <w:headerReference r:id="rId4" w:type="default"/>
      <w:footerReference r:id="rId5" w:type="default"/>
      <w:pgSz w:w="16783" w:h="11850" w:orient="landscape"/>
      <w:pgMar w:top="567" w:right="454" w:bottom="567" w:left="1037" w:header="0" w:footer="283"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default"/>
      </w:rPr>
    </w:pP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default"/>
                            </w:rPr>
                          </w:pPr>
                          <w:r>
                            <w:fldChar w:fldCharType="begin"/>
                          </w:r>
                          <w:r>
                            <w:instrText xml:space="preserve"> PAGE  \* MERGEFORMAT </w:instrText>
                          </w:r>
                          <w:r>
                            <w:fldChar w:fldCharType="separate"/>
                          </w:r>
                          <w:r>
                            <w:rPr>
                              <w:rFonts w:hint="default"/>
                            </w:rPr>
                            <w:t>- 2 -</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D039W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yvIMERvKeoiUl8Y3Ycypkx/JmVmPGlz+Eh9G&#10;cRL6dBVXjYnJ/Gi9Wq9rCkmKzRfCqZ6eR8D0VgXHstFyoOkVUcXxPaZL6pySq/lwb6wlv2isZ0PL&#10;b16+qsuDa4TAracamcSl2WylcTdODHahOxGxgTag5Z5WlDP7zpPAeVlmA2ZjNxuHCGbfU4/LUg/j&#10;60OibkqTucIFdipMoys0pzXLu/H7vWQ9/Qz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AA&#10;9N/VtgEAAFQDAAAOAAAAAAAAAAEAIAAAAB8BAABkcnMvZTJvRG9jLnhtbFBLBQYAAAAABgAGAFkB&#10;AABHBQ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 PAGE  \* MERGEFORMAT </w:instrText>
                    </w:r>
                    <w:r>
                      <w:fldChar w:fldCharType="separate"/>
                    </w:r>
                    <w:r>
                      <w:rPr>
                        <w:rFonts w:hint="default"/>
                      </w:rP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rPr>
    </w:pPr>
    <w:r>
      <w:rPr>
        <w:rFonts w:hint="default"/>
      </w:rPr>
      <mc:AlternateContent>
        <mc:Choice Requires="wps">
          <w:drawing>
            <wp:anchor distT="0" distB="0" distL="114300" distR="114300" simplePos="0" relativeHeight="251661312" behindDoc="0" locked="0" layoutInCell="1" allowOverlap="0">
              <wp:simplePos x="0" y="0"/>
              <wp:positionH relativeFrom="margin">
                <wp:align>center</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6"/>
                            <w:rPr>
                              <w:rFonts w:hint="default"/>
                            </w:rPr>
                          </w:pPr>
                          <w:r>
                            <w:fldChar w:fldCharType="begin"/>
                          </w:r>
                          <w:r>
                            <w:instrText xml:space="preserve">PAGE   \* MERGEFORMAT</w:instrText>
                          </w:r>
                          <w:r>
                            <w:fldChar w:fldCharType="separate"/>
                          </w:r>
                          <w:r>
                            <w:rPr>
                              <w:rFonts w:hint="default"/>
                              <w:lang w:val="zh-CN"/>
                            </w:rPr>
                            <w:t>-</w:t>
                          </w:r>
                          <w:r>
                            <w:rPr>
                              <w:rFonts w:hint="default"/>
                            </w:rPr>
                            <w:t xml:space="preserve"> 17 -</w:t>
                          </w:r>
                          <w:r>
                            <w:fldChar w:fldCharType="end"/>
                          </w: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1312;mso-width-relative:page;mso-height-relative:page;" filled="f" stroked="f" coordsize="21600,21600" o:allowoverlap="f"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NrLyhi4AQAAVAMAAA4AAAAAAAAAAQAgAAAAHwEAAGRycy9lMm9Eb2MueG1sUEsFBgAAAAAGAAYA&#10;WQEAAEkFAAAAAA==&#10;">
              <v:fill on="f" focussize="0,0"/>
              <v:stroke on="f" weight="0.5pt"/>
              <v:imagedata o:title=""/>
              <o:lock v:ext="edit" aspectratio="f"/>
              <v:textbox inset="0mm,0mm,0mm,0mm" style="mso-fit-shape-to-text:t;">
                <w:txbxContent>
                  <w:p>
                    <w:pPr>
                      <w:pStyle w:val="6"/>
                      <w:rPr>
                        <w:rFonts w:hint="default"/>
                      </w:rPr>
                    </w:pPr>
                    <w:r>
                      <w:fldChar w:fldCharType="begin"/>
                    </w:r>
                    <w:r>
                      <w:instrText xml:space="preserve">PAGE   \* MERGEFORMAT</w:instrText>
                    </w:r>
                    <w:r>
                      <w:fldChar w:fldCharType="separate"/>
                    </w:r>
                    <w:r>
                      <w:rPr>
                        <w:rFonts w:hint="default"/>
                        <w:lang w:val="zh-CN"/>
                      </w:rPr>
                      <w:t>-</w:t>
                    </w:r>
                    <w:r>
                      <w:rPr>
                        <w:rFonts w:hint="default"/>
                      </w:rPr>
                      <w:t xml:space="preserve"> 17 -</w:t>
                    </w:r>
                    <w:r>
                      <w:fldChar w:fldCharType="end"/>
                    </w:r>
                  </w:p>
                </w:txbxContent>
              </v:textbox>
            </v:shape>
          </w:pict>
        </mc:Fallback>
      </mc:AlternateContent>
    </w:r>
    <w:r>
      <w:rPr>
        <w:rFonts w:hint="default"/>
      </w:rPr>
      <mc:AlternateContent>
        <mc:Choice Requires="wps">
          <w:drawing>
            <wp:anchor distT="0" distB="0" distL="114300" distR="114300" simplePos="0" relativeHeight="251660288" behindDoc="0" locked="0" layoutInCell="1" allowOverlap="0">
              <wp:simplePos x="0" y="0"/>
              <wp:positionH relativeFrom="margin">
                <wp:align>center</wp:align>
              </wp:positionH>
              <wp:positionV relativeFrom="page">
                <wp:posOffset>14737080</wp:posOffset>
              </wp:positionV>
              <wp:extent cx="1828800" cy="22098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220980"/>
                      </a:xfrm>
                      <a:prstGeom prst="rect">
                        <a:avLst/>
                      </a:prstGeom>
                      <a:noFill/>
                      <a:ln w="6350">
                        <a:noFill/>
                      </a:ln>
                    </wps:spPr>
                    <wps:txbx>
                      <w:txbxContent>
                        <w:p>
                          <w:pPr>
                            <w:pStyle w:val="6"/>
                            <w:jc w:val="both"/>
                            <w:rPr>
                              <w:rFonts w:hint="default" w:cs="宋体"/>
                            </w:rPr>
                          </w:pPr>
                          <w:r>
                            <w:rPr>
                              <w:rFonts w:cs="宋体"/>
                            </w:rPr>
                            <w:t>— 27.1 —</w:t>
                          </w:r>
                        </w:p>
                      </w:txbxContent>
                    </wps:txbx>
                    <wps:bodyPr wrap="none" lIns="0" tIns="0" rIns="0" bIns="0" upright="1"/>
                  </wps:wsp>
                </a:graphicData>
              </a:graphic>
            </wp:anchor>
          </w:drawing>
        </mc:Choice>
        <mc:Fallback>
          <w:pict>
            <v:shape id="文本框 3" o:spid="_x0000_s1026" o:spt="202" type="#_x0000_t202" style="position:absolute;left:0pt;margin-top:1160.4pt;height:17.4pt;width:144pt;mso-position-horizontal:center;mso-position-horizontal-relative:margin;mso-position-vertical-relative:page;mso-wrap-style:none;z-index:251660288;mso-width-relative:page;mso-height-relative:page;" filled="f" stroked="f" coordsize="21600,21600" o:allowoverlap="f" o:gfxdata="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4DVRU&#10;2AAAAAoBAAAPAAAAAAAAAAEAIAAAACIAAABkcnMvZG93bnJldi54bWxQSwECFAAUAAAACACHTuJA&#10;04EAjK8BAAA5AwAADgAAAAAAAAABACAAAAAnAQAAZHJzL2Uyb0RvYy54bWxQSwUGAAAAAAYABgBZ&#10;AQAASAUAAAAA&#10;">
              <v:fill on="f" focussize="0,0"/>
              <v:stroke on="f" weight="0.5pt"/>
              <v:imagedata o:title=""/>
              <o:lock v:ext="edit" aspectratio="f"/>
              <v:textbox inset="0mm,0mm,0mm,0mm">
                <w:txbxContent>
                  <w:p>
                    <w:pPr>
                      <w:pStyle w:val="6"/>
                      <w:jc w:val="both"/>
                      <w:rPr>
                        <w:rFonts w:hint="default" w:cs="宋体"/>
                      </w:rPr>
                    </w:pPr>
                    <w:r>
                      <w:rPr>
                        <w:rFonts w:cs="宋体"/>
                      </w:rPr>
                      <w:t>— 27.1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1758"/>
        <w:tab w:val="clear" w:pos="4153"/>
        <w:tab w:val="clear" w:pos="8306"/>
      </w:tabs>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HorizontalSpacing w:val="120"/>
  <w:drawingGridVerticalSpacing w:val="16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YWQ1YTE0ZDA0NjgxYzlhMjZlMDExNTFmMWI3MmEifQ=="/>
  </w:docVars>
  <w:rsids>
    <w:rsidRoot w:val="00B03CCD"/>
    <w:rsid w:val="000239C6"/>
    <w:rsid w:val="001D3BB7"/>
    <w:rsid w:val="002B254B"/>
    <w:rsid w:val="0034050A"/>
    <w:rsid w:val="0044504F"/>
    <w:rsid w:val="00466C9B"/>
    <w:rsid w:val="00471C57"/>
    <w:rsid w:val="00486CFC"/>
    <w:rsid w:val="00491DDD"/>
    <w:rsid w:val="00550ABE"/>
    <w:rsid w:val="005B1480"/>
    <w:rsid w:val="00623A85"/>
    <w:rsid w:val="00770383"/>
    <w:rsid w:val="007819D4"/>
    <w:rsid w:val="007B419D"/>
    <w:rsid w:val="007B7C4B"/>
    <w:rsid w:val="007D3D39"/>
    <w:rsid w:val="00984C6A"/>
    <w:rsid w:val="00994AF7"/>
    <w:rsid w:val="009B67B8"/>
    <w:rsid w:val="009C14C9"/>
    <w:rsid w:val="009D2B67"/>
    <w:rsid w:val="009E1452"/>
    <w:rsid w:val="00A566F9"/>
    <w:rsid w:val="00AF2751"/>
    <w:rsid w:val="00B03CCD"/>
    <w:rsid w:val="00BE2B89"/>
    <w:rsid w:val="00BF0D89"/>
    <w:rsid w:val="00C10E9E"/>
    <w:rsid w:val="00C20C3E"/>
    <w:rsid w:val="00C5163E"/>
    <w:rsid w:val="00CA48D5"/>
    <w:rsid w:val="00CF2ACF"/>
    <w:rsid w:val="00D03AAF"/>
    <w:rsid w:val="00DD0539"/>
    <w:rsid w:val="00E07662"/>
    <w:rsid w:val="00E368E9"/>
    <w:rsid w:val="00EE1E33"/>
    <w:rsid w:val="00F73F90"/>
    <w:rsid w:val="00FB4B3B"/>
    <w:rsid w:val="01470EF1"/>
    <w:rsid w:val="01474EBF"/>
    <w:rsid w:val="01F3521E"/>
    <w:rsid w:val="021F2344"/>
    <w:rsid w:val="036E2DA9"/>
    <w:rsid w:val="03B87EA0"/>
    <w:rsid w:val="03E3214F"/>
    <w:rsid w:val="044C50BA"/>
    <w:rsid w:val="05BC6D49"/>
    <w:rsid w:val="06194FF1"/>
    <w:rsid w:val="061A2B5E"/>
    <w:rsid w:val="069C6C5A"/>
    <w:rsid w:val="06A2550B"/>
    <w:rsid w:val="06BE7483"/>
    <w:rsid w:val="06F80EE2"/>
    <w:rsid w:val="07001CCA"/>
    <w:rsid w:val="075678DB"/>
    <w:rsid w:val="076C3427"/>
    <w:rsid w:val="079D7CC7"/>
    <w:rsid w:val="08051BCA"/>
    <w:rsid w:val="086C12F4"/>
    <w:rsid w:val="08705944"/>
    <w:rsid w:val="08BA052C"/>
    <w:rsid w:val="08DB07BA"/>
    <w:rsid w:val="08F16230"/>
    <w:rsid w:val="0969353F"/>
    <w:rsid w:val="098305D0"/>
    <w:rsid w:val="09B1218B"/>
    <w:rsid w:val="0A3317EA"/>
    <w:rsid w:val="0A5C4B69"/>
    <w:rsid w:val="0A86124A"/>
    <w:rsid w:val="0AB54CC0"/>
    <w:rsid w:val="0AB92D32"/>
    <w:rsid w:val="0B9335CE"/>
    <w:rsid w:val="0BB23CA1"/>
    <w:rsid w:val="0BF2311A"/>
    <w:rsid w:val="0C72087A"/>
    <w:rsid w:val="0C7927C4"/>
    <w:rsid w:val="0C9B098C"/>
    <w:rsid w:val="0D673E11"/>
    <w:rsid w:val="0D7302C6"/>
    <w:rsid w:val="0DB60FA0"/>
    <w:rsid w:val="0DDA54E4"/>
    <w:rsid w:val="0E3A5F83"/>
    <w:rsid w:val="0F836721"/>
    <w:rsid w:val="0FA25D96"/>
    <w:rsid w:val="0FBD3C60"/>
    <w:rsid w:val="0FEA5598"/>
    <w:rsid w:val="107B59E5"/>
    <w:rsid w:val="10EC0126"/>
    <w:rsid w:val="10F70B9A"/>
    <w:rsid w:val="111445C7"/>
    <w:rsid w:val="114278C6"/>
    <w:rsid w:val="1158083A"/>
    <w:rsid w:val="11643A4B"/>
    <w:rsid w:val="11A91F46"/>
    <w:rsid w:val="11ED0F98"/>
    <w:rsid w:val="11F03528"/>
    <w:rsid w:val="12083452"/>
    <w:rsid w:val="12B621F8"/>
    <w:rsid w:val="12C921C4"/>
    <w:rsid w:val="134C78E8"/>
    <w:rsid w:val="1366079B"/>
    <w:rsid w:val="13871C70"/>
    <w:rsid w:val="13A71CB4"/>
    <w:rsid w:val="13AF1D43"/>
    <w:rsid w:val="13CE1647"/>
    <w:rsid w:val="13FD55AB"/>
    <w:rsid w:val="14200702"/>
    <w:rsid w:val="14370EA1"/>
    <w:rsid w:val="145D6F41"/>
    <w:rsid w:val="1472679E"/>
    <w:rsid w:val="14885C9A"/>
    <w:rsid w:val="1629179F"/>
    <w:rsid w:val="163A6CEE"/>
    <w:rsid w:val="163D0F57"/>
    <w:rsid w:val="16656D11"/>
    <w:rsid w:val="16865F70"/>
    <w:rsid w:val="16CE13C3"/>
    <w:rsid w:val="170A51D0"/>
    <w:rsid w:val="173708E3"/>
    <w:rsid w:val="176C53FF"/>
    <w:rsid w:val="17C374FC"/>
    <w:rsid w:val="182E4AB6"/>
    <w:rsid w:val="189079DC"/>
    <w:rsid w:val="189B0D0B"/>
    <w:rsid w:val="18B43F7C"/>
    <w:rsid w:val="191C433B"/>
    <w:rsid w:val="194A1770"/>
    <w:rsid w:val="194E49CE"/>
    <w:rsid w:val="19B906A4"/>
    <w:rsid w:val="19CB1676"/>
    <w:rsid w:val="1B6F15B6"/>
    <w:rsid w:val="1BAA2EDC"/>
    <w:rsid w:val="1C6B7E34"/>
    <w:rsid w:val="1CA55E64"/>
    <w:rsid w:val="1D014A01"/>
    <w:rsid w:val="1D022362"/>
    <w:rsid w:val="1D1B04B0"/>
    <w:rsid w:val="1DA52501"/>
    <w:rsid w:val="1DBD6767"/>
    <w:rsid w:val="1DC52125"/>
    <w:rsid w:val="1DD26311"/>
    <w:rsid w:val="1E374ACB"/>
    <w:rsid w:val="1ECF0A66"/>
    <w:rsid w:val="1EF67CA4"/>
    <w:rsid w:val="1F020D3A"/>
    <w:rsid w:val="1F2C5189"/>
    <w:rsid w:val="1F4B0B02"/>
    <w:rsid w:val="1FBB35CD"/>
    <w:rsid w:val="1FCD26AF"/>
    <w:rsid w:val="1FD97762"/>
    <w:rsid w:val="1FEB7556"/>
    <w:rsid w:val="200C59D1"/>
    <w:rsid w:val="20642787"/>
    <w:rsid w:val="20F828AB"/>
    <w:rsid w:val="20FB4028"/>
    <w:rsid w:val="21556F04"/>
    <w:rsid w:val="22160D89"/>
    <w:rsid w:val="22403BD3"/>
    <w:rsid w:val="229776C5"/>
    <w:rsid w:val="22D33E77"/>
    <w:rsid w:val="23015E4A"/>
    <w:rsid w:val="235417B6"/>
    <w:rsid w:val="24B92327"/>
    <w:rsid w:val="24C14514"/>
    <w:rsid w:val="24D84830"/>
    <w:rsid w:val="24F85D39"/>
    <w:rsid w:val="2533755C"/>
    <w:rsid w:val="256A07BB"/>
    <w:rsid w:val="25791755"/>
    <w:rsid w:val="259436B4"/>
    <w:rsid w:val="26396DF4"/>
    <w:rsid w:val="27167136"/>
    <w:rsid w:val="271B442C"/>
    <w:rsid w:val="27B23302"/>
    <w:rsid w:val="282267A3"/>
    <w:rsid w:val="2922118C"/>
    <w:rsid w:val="29310A5F"/>
    <w:rsid w:val="29BA606F"/>
    <w:rsid w:val="29C37A35"/>
    <w:rsid w:val="2A076083"/>
    <w:rsid w:val="2A73162E"/>
    <w:rsid w:val="2B167953"/>
    <w:rsid w:val="2B200583"/>
    <w:rsid w:val="2B8209DE"/>
    <w:rsid w:val="2B821C91"/>
    <w:rsid w:val="2B8F19D2"/>
    <w:rsid w:val="2BF81A22"/>
    <w:rsid w:val="2C2E55ED"/>
    <w:rsid w:val="2C636760"/>
    <w:rsid w:val="2C6762A3"/>
    <w:rsid w:val="2CF600AE"/>
    <w:rsid w:val="2DD0080D"/>
    <w:rsid w:val="2DF41D09"/>
    <w:rsid w:val="2E330BED"/>
    <w:rsid w:val="2E6E7793"/>
    <w:rsid w:val="2F994E68"/>
    <w:rsid w:val="2FCA4B37"/>
    <w:rsid w:val="2FE029D7"/>
    <w:rsid w:val="2FF06E00"/>
    <w:rsid w:val="30586FEC"/>
    <w:rsid w:val="307D1C5C"/>
    <w:rsid w:val="30E80E12"/>
    <w:rsid w:val="315F0B22"/>
    <w:rsid w:val="31D84415"/>
    <w:rsid w:val="32285F6F"/>
    <w:rsid w:val="32770556"/>
    <w:rsid w:val="327B2271"/>
    <w:rsid w:val="329C0913"/>
    <w:rsid w:val="32AA0460"/>
    <w:rsid w:val="3337290D"/>
    <w:rsid w:val="33696807"/>
    <w:rsid w:val="33E31118"/>
    <w:rsid w:val="33EF7674"/>
    <w:rsid w:val="342D7BC6"/>
    <w:rsid w:val="34724DAA"/>
    <w:rsid w:val="34C05B27"/>
    <w:rsid w:val="352930DB"/>
    <w:rsid w:val="353458F1"/>
    <w:rsid w:val="35573069"/>
    <w:rsid w:val="355F6038"/>
    <w:rsid w:val="358C217E"/>
    <w:rsid w:val="35C661CB"/>
    <w:rsid w:val="36233DC8"/>
    <w:rsid w:val="36C9128A"/>
    <w:rsid w:val="37732287"/>
    <w:rsid w:val="37841E99"/>
    <w:rsid w:val="37BF1123"/>
    <w:rsid w:val="37DE2B48"/>
    <w:rsid w:val="383A0CD4"/>
    <w:rsid w:val="383C3F15"/>
    <w:rsid w:val="38AD1B3A"/>
    <w:rsid w:val="38BE4696"/>
    <w:rsid w:val="3939115E"/>
    <w:rsid w:val="39AB7AFE"/>
    <w:rsid w:val="39B82A39"/>
    <w:rsid w:val="39C42CA8"/>
    <w:rsid w:val="39DC4FD6"/>
    <w:rsid w:val="39F03D7A"/>
    <w:rsid w:val="39F33306"/>
    <w:rsid w:val="3A2C1C67"/>
    <w:rsid w:val="3A2C6DA1"/>
    <w:rsid w:val="3A6A77C9"/>
    <w:rsid w:val="3A943E4A"/>
    <w:rsid w:val="3ADD7F09"/>
    <w:rsid w:val="3B1705E5"/>
    <w:rsid w:val="3B18334B"/>
    <w:rsid w:val="3B36794F"/>
    <w:rsid w:val="3B557AFC"/>
    <w:rsid w:val="3B6F6EE0"/>
    <w:rsid w:val="3C566AD6"/>
    <w:rsid w:val="3C594871"/>
    <w:rsid w:val="3C6A5B02"/>
    <w:rsid w:val="3D2757A1"/>
    <w:rsid w:val="3D3D4FC4"/>
    <w:rsid w:val="3DDF3AB1"/>
    <w:rsid w:val="3E117CFC"/>
    <w:rsid w:val="3E1D0952"/>
    <w:rsid w:val="3E42660A"/>
    <w:rsid w:val="3E7555B1"/>
    <w:rsid w:val="3E787ED9"/>
    <w:rsid w:val="3E7E2026"/>
    <w:rsid w:val="3EEF77D2"/>
    <w:rsid w:val="3F032E93"/>
    <w:rsid w:val="3F0527E5"/>
    <w:rsid w:val="3F4240DE"/>
    <w:rsid w:val="3F4C52C6"/>
    <w:rsid w:val="3F694D83"/>
    <w:rsid w:val="3F885DCC"/>
    <w:rsid w:val="3FCD675E"/>
    <w:rsid w:val="4004000C"/>
    <w:rsid w:val="40BD5482"/>
    <w:rsid w:val="411B6CE5"/>
    <w:rsid w:val="412070D7"/>
    <w:rsid w:val="41314E40"/>
    <w:rsid w:val="41D927AC"/>
    <w:rsid w:val="41E0734B"/>
    <w:rsid w:val="421F00BF"/>
    <w:rsid w:val="422B2C05"/>
    <w:rsid w:val="426C1EA8"/>
    <w:rsid w:val="42736402"/>
    <w:rsid w:val="42747FEA"/>
    <w:rsid w:val="42E86A87"/>
    <w:rsid w:val="43307B09"/>
    <w:rsid w:val="436D44AF"/>
    <w:rsid w:val="439A3EB9"/>
    <w:rsid w:val="43A2191B"/>
    <w:rsid w:val="43BB152F"/>
    <w:rsid w:val="43E51F12"/>
    <w:rsid w:val="445E4857"/>
    <w:rsid w:val="44C37687"/>
    <w:rsid w:val="44C74DE9"/>
    <w:rsid w:val="458B5494"/>
    <w:rsid w:val="45CB699A"/>
    <w:rsid w:val="46203103"/>
    <w:rsid w:val="46423C66"/>
    <w:rsid w:val="465B470D"/>
    <w:rsid w:val="469D6AD4"/>
    <w:rsid w:val="471E6C84"/>
    <w:rsid w:val="4748792B"/>
    <w:rsid w:val="475D719D"/>
    <w:rsid w:val="47674801"/>
    <w:rsid w:val="47695088"/>
    <w:rsid w:val="48225EF7"/>
    <w:rsid w:val="488F422B"/>
    <w:rsid w:val="48E36915"/>
    <w:rsid w:val="48EA6D9E"/>
    <w:rsid w:val="48EB6572"/>
    <w:rsid w:val="495C4A24"/>
    <w:rsid w:val="497135DF"/>
    <w:rsid w:val="4A263DF2"/>
    <w:rsid w:val="4A2F278B"/>
    <w:rsid w:val="4A6F6675"/>
    <w:rsid w:val="4AE0785C"/>
    <w:rsid w:val="4B135857"/>
    <w:rsid w:val="4B7951CB"/>
    <w:rsid w:val="4B7C315C"/>
    <w:rsid w:val="4C9316A8"/>
    <w:rsid w:val="4CD50A8C"/>
    <w:rsid w:val="4D1F53CA"/>
    <w:rsid w:val="4DAC4ACA"/>
    <w:rsid w:val="4DBE01D2"/>
    <w:rsid w:val="4EA56E6D"/>
    <w:rsid w:val="4F0C6BA3"/>
    <w:rsid w:val="4F186D58"/>
    <w:rsid w:val="50F06B6E"/>
    <w:rsid w:val="51380530"/>
    <w:rsid w:val="51D21804"/>
    <w:rsid w:val="52234D33"/>
    <w:rsid w:val="522F6E0C"/>
    <w:rsid w:val="52463BA1"/>
    <w:rsid w:val="5259504E"/>
    <w:rsid w:val="52F163D4"/>
    <w:rsid w:val="531A2DB4"/>
    <w:rsid w:val="53936217"/>
    <w:rsid w:val="53C0244D"/>
    <w:rsid w:val="53DD4D4E"/>
    <w:rsid w:val="53E578CE"/>
    <w:rsid w:val="541330F0"/>
    <w:rsid w:val="542052AB"/>
    <w:rsid w:val="54272666"/>
    <w:rsid w:val="543B029D"/>
    <w:rsid w:val="54861779"/>
    <w:rsid w:val="54F45BB2"/>
    <w:rsid w:val="552256E1"/>
    <w:rsid w:val="554E5773"/>
    <w:rsid w:val="555829E0"/>
    <w:rsid w:val="555A3CBC"/>
    <w:rsid w:val="5582012B"/>
    <w:rsid w:val="558E4E05"/>
    <w:rsid w:val="55BE2E85"/>
    <w:rsid w:val="56300BF0"/>
    <w:rsid w:val="56530F5D"/>
    <w:rsid w:val="567700D3"/>
    <w:rsid w:val="569E5A73"/>
    <w:rsid w:val="56AE5AD6"/>
    <w:rsid w:val="56C1637B"/>
    <w:rsid w:val="56FF7E9E"/>
    <w:rsid w:val="57535434"/>
    <w:rsid w:val="578352AE"/>
    <w:rsid w:val="578867FC"/>
    <w:rsid w:val="5842572D"/>
    <w:rsid w:val="58E10AA2"/>
    <w:rsid w:val="59DE54FE"/>
    <w:rsid w:val="5A3B59D6"/>
    <w:rsid w:val="5AD134D8"/>
    <w:rsid w:val="5B1E4BBF"/>
    <w:rsid w:val="5BF41F67"/>
    <w:rsid w:val="5C163BC3"/>
    <w:rsid w:val="5C263CE4"/>
    <w:rsid w:val="5C5D2777"/>
    <w:rsid w:val="5CF435CF"/>
    <w:rsid w:val="5CF66BF3"/>
    <w:rsid w:val="5D290C69"/>
    <w:rsid w:val="5D504448"/>
    <w:rsid w:val="5DA80C2C"/>
    <w:rsid w:val="5F2D4A41"/>
    <w:rsid w:val="60685C4D"/>
    <w:rsid w:val="60C74F6C"/>
    <w:rsid w:val="61015958"/>
    <w:rsid w:val="61025A59"/>
    <w:rsid w:val="613D5BBC"/>
    <w:rsid w:val="61536C39"/>
    <w:rsid w:val="61894431"/>
    <w:rsid w:val="61B6538F"/>
    <w:rsid w:val="61E000BC"/>
    <w:rsid w:val="62944DD7"/>
    <w:rsid w:val="6319381F"/>
    <w:rsid w:val="63C25DC5"/>
    <w:rsid w:val="63C62057"/>
    <w:rsid w:val="64571EF5"/>
    <w:rsid w:val="64A000E2"/>
    <w:rsid w:val="64FB113D"/>
    <w:rsid w:val="656152C6"/>
    <w:rsid w:val="6587477F"/>
    <w:rsid w:val="658C3A08"/>
    <w:rsid w:val="65C031CA"/>
    <w:rsid w:val="65CE6852"/>
    <w:rsid w:val="661321BC"/>
    <w:rsid w:val="66267C04"/>
    <w:rsid w:val="663F505A"/>
    <w:rsid w:val="66AF5D7C"/>
    <w:rsid w:val="66EE5541"/>
    <w:rsid w:val="67461D20"/>
    <w:rsid w:val="67924660"/>
    <w:rsid w:val="68407834"/>
    <w:rsid w:val="6883293E"/>
    <w:rsid w:val="688412AD"/>
    <w:rsid w:val="68AE0069"/>
    <w:rsid w:val="68EB1B71"/>
    <w:rsid w:val="696C0310"/>
    <w:rsid w:val="6A6C7940"/>
    <w:rsid w:val="6A9F1565"/>
    <w:rsid w:val="6AAD2300"/>
    <w:rsid w:val="6B474EF5"/>
    <w:rsid w:val="6C0A5AC5"/>
    <w:rsid w:val="6C2638C7"/>
    <w:rsid w:val="6C560CAE"/>
    <w:rsid w:val="6C576495"/>
    <w:rsid w:val="6CDF4466"/>
    <w:rsid w:val="6D903FF5"/>
    <w:rsid w:val="6DA955B8"/>
    <w:rsid w:val="6DE346AB"/>
    <w:rsid w:val="6DE5391A"/>
    <w:rsid w:val="6EFD1324"/>
    <w:rsid w:val="6F5A53AC"/>
    <w:rsid w:val="6FAC003D"/>
    <w:rsid w:val="6FD926BF"/>
    <w:rsid w:val="6FDF143A"/>
    <w:rsid w:val="6FE55E12"/>
    <w:rsid w:val="6FFB0243"/>
    <w:rsid w:val="6FFB2E76"/>
    <w:rsid w:val="700630B6"/>
    <w:rsid w:val="708F6F7F"/>
    <w:rsid w:val="70D94BD3"/>
    <w:rsid w:val="71101A4C"/>
    <w:rsid w:val="71574775"/>
    <w:rsid w:val="71C34D91"/>
    <w:rsid w:val="727B6D24"/>
    <w:rsid w:val="72DB435C"/>
    <w:rsid w:val="72E2613A"/>
    <w:rsid w:val="72F771F4"/>
    <w:rsid w:val="732F3E4D"/>
    <w:rsid w:val="737D611A"/>
    <w:rsid w:val="73934AD2"/>
    <w:rsid w:val="73AB7E32"/>
    <w:rsid w:val="74AA375B"/>
    <w:rsid w:val="74F25010"/>
    <w:rsid w:val="750837F0"/>
    <w:rsid w:val="754758CF"/>
    <w:rsid w:val="75595ECD"/>
    <w:rsid w:val="763C5499"/>
    <w:rsid w:val="764F62AB"/>
    <w:rsid w:val="765C45EC"/>
    <w:rsid w:val="768A7619"/>
    <w:rsid w:val="772E1EBA"/>
    <w:rsid w:val="77420C2B"/>
    <w:rsid w:val="77871D99"/>
    <w:rsid w:val="77876CA4"/>
    <w:rsid w:val="781926BC"/>
    <w:rsid w:val="78784426"/>
    <w:rsid w:val="78D41F79"/>
    <w:rsid w:val="796D60A4"/>
    <w:rsid w:val="797A664A"/>
    <w:rsid w:val="798B5E91"/>
    <w:rsid w:val="79A031D5"/>
    <w:rsid w:val="79B47FDF"/>
    <w:rsid w:val="79CC1F10"/>
    <w:rsid w:val="79E569A9"/>
    <w:rsid w:val="7A06141E"/>
    <w:rsid w:val="7A1525F7"/>
    <w:rsid w:val="7A685B03"/>
    <w:rsid w:val="7B420052"/>
    <w:rsid w:val="7BD06A28"/>
    <w:rsid w:val="7C3A7C0B"/>
    <w:rsid w:val="7C5248E4"/>
    <w:rsid w:val="7C566698"/>
    <w:rsid w:val="7C5866A3"/>
    <w:rsid w:val="7CC359B0"/>
    <w:rsid w:val="7D7406BB"/>
    <w:rsid w:val="7DE94331"/>
    <w:rsid w:val="7E8A3750"/>
    <w:rsid w:val="7F446A19"/>
    <w:rsid w:val="7F7452B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rPr>
      <w:rFonts w:hint="eastAsia" w:ascii="宋体" w:hAnsi="宋体" w:eastAsia="宋体" w:cs="Times New Roman"/>
      <w:sz w:val="24"/>
      <w:szCs w:val="24"/>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eastAsia="仿宋_GB2312"/>
      <w:sz w:val="32"/>
    </w:rPr>
  </w:style>
  <w:style w:type="paragraph" w:styleId="3">
    <w:name w:val="Date"/>
    <w:basedOn w:val="1"/>
    <w:next w:val="1"/>
    <w:qFormat/>
    <w:uiPriority w:val="0"/>
    <w:pPr>
      <w:ind w:left="100" w:leftChars="2500"/>
    </w:pPr>
  </w:style>
  <w:style w:type="paragraph" w:styleId="4">
    <w:name w:val="Body Text First Indent"/>
    <w:basedOn w:val="2"/>
    <w:qFormat/>
    <w:uiPriority w:val="0"/>
    <w:pPr>
      <w:ind w:firstLine="420" w:firstLineChars="1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paragraph" w:styleId="9">
    <w:name w:val="Normal (Web)"/>
    <w:basedOn w:val="1"/>
    <w:unhideWhenUsed/>
    <w:qFormat/>
    <w:uiPriority w:val="0"/>
    <w:pPr>
      <w:spacing w:before="100" w:beforeAutospacing="1" w:after="100" w:afterAutospacing="1"/>
    </w:pPr>
  </w:style>
  <w:style w:type="character" w:styleId="11">
    <w:name w:val="Strong"/>
    <w:qFormat/>
    <w:uiPriority w:val="0"/>
    <w:rPr>
      <w:b/>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列出段落1"/>
    <w:basedOn w:val="1"/>
    <w:qFormat/>
    <w:uiPriority w:val="99"/>
    <w:pPr>
      <w:ind w:firstLine="420" w:firstLineChars="200"/>
    </w:pPr>
    <w:rPr>
      <w:rFonts w:hint="default"/>
    </w:rPr>
  </w:style>
  <w:style w:type="paragraph" w:customStyle="1" w:styleId="15">
    <w:name w:val="普通(网站) Char"/>
    <w:qFormat/>
    <w:uiPriority w:val="0"/>
    <w:pPr>
      <w:spacing w:before="100" w:beforeAutospacing="1" w:after="100" w:afterAutospacing="1"/>
    </w:pPr>
    <w:rPr>
      <w:rFonts w:ascii="宋体" w:hAnsi="宋体" w:eastAsia="宋体" w:cs="Times New Roman"/>
      <w:sz w:val="24"/>
      <w:szCs w:val="24"/>
      <w:lang w:val="en-US" w:eastAsia="zh-CN" w:bidi="ar-SA"/>
    </w:rPr>
  </w:style>
  <w:style w:type="character" w:customStyle="1" w:styleId="16">
    <w:name w:val="21"/>
    <w:qFormat/>
    <w:uiPriority w:val="0"/>
    <w:rPr>
      <w:rFonts w:hint="default" w:ascii="Wingdings" w:hAnsi="Wingdings" w:cs="Wingdings"/>
      <w:b/>
      <w:bCs/>
    </w:rPr>
  </w:style>
  <w:style w:type="paragraph" w:customStyle="1" w:styleId="17">
    <w:name w:val="列出段落2"/>
    <w:qFormat/>
    <w:uiPriority w:val="99"/>
    <w:pPr>
      <w:ind w:firstLine="420" w:firstLineChars="200"/>
    </w:pPr>
    <w:rPr>
      <w:rFonts w:ascii="宋体" w:hAnsi="宋体" w:eastAsia="宋体" w:cs="Times New Roman"/>
      <w:sz w:val="24"/>
      <w:szCs w:val="24"/>
      <w:lang w:val="en-US" w:eastAsia="zh-CN" w:bidi="ar-SA"/>
    </w:rPr>
  </w:style>
  <w:style w:type="character" w:customStyle="1" w:styleId="18">
    <w:name w:val="批注框文本 Char"/>
    <w:basedOn w:val="10"/>
    <w:link w:val="5"/>
    <w:qFormat/>
    <w:uiPriority w:val="0"/>
    <w:rPr>
      <w:rFonts w:ascii="宋体" w:hAnsi="宋体"/>
      <w:sz w:val="18"/>
      <w:szCs w:val="18"/>
    </w:rPr>
  </w:style>
  <w:style w:type="paragraph" w:customStyle="1" w:styleId="19">
    <w:name w:val="列出段落3"/>
    <w:qFormat/>
    <w:uiPriority w:val="99"/>
    <w:pPr>
      <w:ind w:firstLine="420" w:firstLineChars="200"/>
    </w:pPr>
    <w:rPr>
      <w:rFonts w:ascii="宋体" w:hAnsi="宋体" w:eastAsia="宋体" w:cs="Times New Roman"/>
      <w:sz w:val="24"/>
      <w:szCs w:val="24"/>
      <w:lang w:val="en-US" w:eastAsia="zh-CN" w:bidi="ar-SA"/>
    </w:rPr>
  </w:style>
  <w:style w:type="character" w:customStyle="1" w:styleId="20">
    <w:name w:val="16"/>
    <w:basedOn w:val="10"/>
    <w:qFormat/>
    <w:uiPriority w:val="0"/>
    <w:rPr>
      <w:rFonts w:hint="default" w:ascii="Times New Roman" w:hAnsi="Times New Roman" w:cs="Times New Roman"/>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21</Pages>
  <Words>7930</Words>
  <Characters>9957</Characters>
  <Lines>74</Lines>
  <Paragraphs>20</Paragraphs>
  <TotalTime>6</TotalTime>
  <ScaleCrop>false</ScaleCrop>
  <LinksUpToDate>false</LinksUpToDate>
  <CharactersWithSpaces>10364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2025-09-26T00:53:00Z</dcterms:created>
  <dc:creator>Administrator</dc:creator>
  <cp:lastModifiedBy>龚盼</cp:lastModifiedBy>
  <dcterms:modified xsi:type="dcterms:W3CDTF">2025-10-14T08:59:36Z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75A15208725D4F6FA88EFB598BB67366_13</vt:lpwstr>
  </property>
  <property fmtid="{D5CDD505-2E9C-101B-9397-08002B2CF9AE}" pid="4" name="KSOTemplateDocerSaveRecord">
    <vt:lpwstr>eyJoZGlkIjoiODJjNTkyYTQzOTc4MzY0ZWVlZWY4NDUxNmFmZTYyZTUiLCJ1c2VySWQiOiIxMDUwMDQ5MjA2In0=</vt:lpwstr>
  </property>
</Properties>
</file>