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N/>
        <w:bidi w:val="0"/>
        <w:adjustRightInd/>
        <w:spacing w:before="0" w:beforeAutospacing="0" w:after="0" w:afterAutospacing="0" w:line="596" w:lineRule="exact"/>
        <w:jc w:val="both"/>
        <w:textAlignment w:val="auto"/>
        <w:rPr>
          <w:rFonts w:ascii="方正小标宋_GBK" w:hAnsi="方正小标宋_GBK" w:eastAsia="方正小标宋_GBK" w:cs="方正小标宋_GBK"/>
          <w:sz w:val="36"/>
          <w:szCs w:val="36"/>
        </w:rPr>
      </w:pPr>
    </w:p>
    <w:p>
      <w:pPr>
        <w:pStyle w:val="9"/>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秀山土家族苗族自治县宋农镇卫生院</w:t>
      </w:r>
    </w:p>
    <w:p>
      <w:pPr>
        <w:pStyle w:val="9"/>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eastAsia" w:ascii="方正小标宋_GBK" w:hAnsi="方正小标宋_GBK" w:eastAsia="方正小标宋_GBK" w:cs="方正小标宋_GBK"/>
          <w:b w:val="0"/>
          <w:bCs w:val="0"/>
          <w:sz w:val="44"/>
          <w:szCs w:val="44"/>
          <w:shd w:val="clear" w:color="auto" w:fill="FFFFFF"/>
        </w:rPr>
      </w:pPr>
      <w:r>
        <w:rPr>
          <w:rFonts w:hint="eastAsia" w:ascii="方正小标宋_GBK" w:hAnsi="方正小标宋_GBK" w:eastAsia="方正小标宋_GBK" w:cs="方正小标宋_GBK"/>
          <w:b w:val="0"/>
          <w:bCs w:val="0"/>
          <w:sz w:val="44"/>
          <w:szCs w:val="44"/>
          <w:shd w:val="clear" w:color="auto" w:fill="FFFFFF"/>
        </w:rPr>
        <w:t>2024年度决算公开说明</w:t>
      </w:r>
    </w:p>
    <w:p>
      <w:pPr>
        <w:pStyle w:val="9"/>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default" w:ascii="方正小标宋_GBK" w:hAnsi="方正小标宋_GBK" w:eastAsia="方正小标宋_GBK" w:cs="方正小标宋_GBK"/>
          <w:sz w:val="36"/>
          <w:szCs w:val="36"/>
          <w:shd w:val="clear" w:color="auto" w:fill="FFFFFF"/>
        </w:rPr>
      </w:pPr>
    </w:p>
    <w:p>
      <w:pPr>
        <w:keepNext w:val="0"/>
        <w:keepLines w:val="0"/>
        <w:pageBreakBefore w:val="0"/>
        <w:widowControl w:val="0"/>
        <w:kinsoku/>
        <w:wordWrap/>
        <w:overflowPunct/>
        <w:topLinePunct w:val="0"/>
        <w:autoSpaceDE w:val="0"/>
        <w:autoSpaceDN w:val="0"/>
        <w:bidi w:val="0"/>
        <w:adjustRightInd/>
        <w:snapToGrid/>
        <w:spacing w:after="0" w:afterAutospacing="0" w:line="560" w:lineRule="exact"/>
        <w:ind w:firstLine="640" w:firstLineChars="200"/>
        <w:jc w:val="both"/>
        <w:textAlignment w:val="auto"/>
        <w:outlineLvl w:val="9"/>
        <w:rPr>
          <w:rFonts w:hint="default" w:ascii="方正黑体_GBK" w:hAnsi="方正黑体_GBK" w:eastAsia="方正黑体_GBK" w:cs="方正黑体_GBK"/>
          <w:kern w:val="2"/>
          <w:sz w:val="32"/>
          <w:szCs w:val="32"/>
          <w:highlight w:val="none"/>
          <w:lang w:eastAsia="zh-CN"/>
        </w:rPr>
      </w:pPr>
      <w:r>
        <w:rPr>
          <w:rFonts w:hint="eastAsia" w:ascii="方正黑体_GBK" w:hAnsi="方正黑体_GBK" w:eastAsia="方正黑体_GBK" w:cs="方正黑体_GBK"/>
          <w:kern w:val="2"/>
          <w:sz w:val="32"/>
          <w:szCs w:val="32"/>
          <w:highlight w:val="none"/>
          <w:lang w:eastAsia="zh-CN"/>
        </w:rPr>
        <w:t>一、单位基本情况</w:t>
      </w:r>
    </w:p>
    <w:p>
      <w:pPr>
        <w:keepNext w:val="0"/>
        <w:keepLines w:val="0"/>
        <w:pageBreakBefore w:val="0"/>
        <w:widowControl w:val="0"/>
        <w:kinsoku/>
        <w:wordWrap/>
        <w:overflowPunct/>
        <w:topLinePunct w:val="0"/>
        <w:autoSpaceDE w:val="0"/>
        <w:autoSpaceDN w:val="0"/>
        <w:bidi w:val="0"/>
        <w:adjustRightInd/>
        <w:snapToGrid/>
        <w:spacing w:after="0" w:afterAutospacing="0" w:line="560" w:lineRule="exact"/>
        <w:ind w:firstLine="640" w:firstLineChars="200"/>
        <w:jc w:val="both"/>
        <w:textAlignment w:val="auto"/>
        <w:outlineLvl w:val="9"/>
        <w:rPr>
          <w:rFonts w:hint="eastAsia" w:ascii="方正楷体_GBK" w:hAnsi="方正楷体_GBK" w:eastAsia="方正楷体_GBK" w:cs="方正楷体_GBK"/>
          <w:kern w:val="2"/>
          <w:sz w:val="32"/>
          <w:szCs w:val="32"/>
          <w:highlight w:val="none"/>
          <w:lang w:eastAsia="zh-CN"/>
        </w:rPr>
      </w:pPr>
      <w:r>
        <w:rPr>
          <w:rFonts w:hint="eastAsia" w:ascii="方正楷体_GBK" w:hAnsi="方正楷体_GBK" w:eastAsia="方正楷体_GBK" w:cs="方正楷体_GBK"/>
          <w:kern w:val="2"/>
          <w:sz w:val="32"/>
          <w:szCs w:val="32"/>
          <w:highlight w:val="none"/>
          <w:lang w:eastAsia="zh-CN"/>
        </w:rPr>
        <w:t>（一）职能职责</w:t>
      </w:r>
    </w:p>
    <w:p>
      <w:pPr>
        <w:keepNext w:val="0"/>
        <w:keepLines w:val="0"/>
        <w:pageBreakBefore w:val="0"/>
        <w:widowControl w:val="0"/>
        <w:kinsoku/>
        <w:wordWrap/>
        <w:overflowPunct/>
        <w:topLinePunct w:val="0"/>
        <w:autoSpaceDE w:val="0"/>
        <w:autoSpaceDN w:val="0"/>
        <w:bidi w:val="0"/>
        <w:adjustRightInd/>
        <w:snapToGrid/>
        <w:spacing w:after="0" w:afterAutospacing="0" w:line="560" w:lineRule="exact"/>
        <w:ind w:firstLine="640" w:firstLineChars="200"/>
        <w:jc w:val="both"/>
        <w:textAlignment w:val="auto"/>
        <w:outlineLvl w:val="9"/>
        <w:rPr>
          <w:rFonts w:hint="default" w:ascii="Times New Roman" w:hAnsi="Times New Roman" w:eastAsia="方正仿宋_GBK" w:cs="方正仿宋_GBK"/>
          <w:kern w:val="2"/>
          <w:sz w:val="32"/>
          <w:szCs w:val="32"/>
          <w:highlight w:val="none"/>
          <w:lang w:eastAsia="zh-CN"/>
        </w:rPr>
      </w:pPr>
      <w:r>
        <w:rPr>
          <w:rFonts w:hint="eastAsia" w:ascii="Times New Roman" w:hAnsi="Times New Roman" w:eastAsia="方正仿宋_GBK" w:cs="方正仿宋_GBK"/>
          <w:kern w:val="2"/>
          <w:sz w:val="32"/>
          <w:szCs w:val="32"/>
          <w:highlight w:val="none"/>
          <w:lang w:eastAsia="zh-CN"/>
        </w:rPr>
        <w:t>本单位属基层医疗卫生机构，为非营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keepNext w:val="0"/>
        <w:keepLines w:val="0"/>
        <w:pageBreakBefore w:val="0"/>
        <w:widowControl w:val="0"/>
        <w:kinsoku/>
        <w:wordWrap/>
        <w:overflowPunct/>
        <w:topLinePunct w:val="0"/>
        <w:autoSpaceDE w:val="0"/>
        <w:autoSpaceDN w:val="0"/>
        <w:bidi w:val="0"/>
        <w:adjustRightInd/>
        <w:snapToGrid/>
        <w:spacing w:after="0" w:afterAutospacing="0" w:line="560" w:lineRule="exact"/>
        <w:ind w:firstLine="640" w:firstLineChars="200"/>
        <w:jc w:val="both"/>
        <w:textAlignment w:val="auto"/>
        <w:outlineLvl w:val="9"/>
        <w:rPr>
          <w:rFonts w:hint="eastAsia" w:ascii="Times New Roman" w:hAnsi="Times New Roman" w:eastAsia="方正仿宋_GBK" w:cs="方正仿宋_GBK"/>
          <w:kern w:val="2"/>
          <w:sz w:val="32"/>
          <w:szCs w:val="32"/>
          <w:highlight w:val="none"/>
          <w:lang w:eastAsia="zh-CN"/>
        </w:rPr>
      </w:pPr>
      <w:r>
        <w:rPr>
          <w:rFonts w:hint="eastAsia" w:ascii="Times New Roman" w:hAnsi="Times New Roman" w:eastAsia="方正仿宋_GBK" w:cs="方正仿宋_GBK"/>
          <w:kern w:val="2"/>
          <w:sz w:val="32"/>
          <w:szCs w:val="32"/>
          <w:highlight w:val="none"/>
          <w:lang w:eastAsia="zh-CN"/>
        </w:rPr>
        <w:t>1.根据国家和本市规定收集、报送辖区内卫生健康信息，建立和管理居民健康档案，提出改进辖区公共卫生状况的建议；</w:t>
      </w:r>
    </w:p>
    <w:p>
      <w:pPr>
        <w:keepNext w:val="0"/>
        <w:keepLines w:val="0"/>
        <w:pageBreakBefore w:val="0"/>
        <w:widowControl w:val="0"/>
        <w:kinsoku/>
        <w:wordWrap/>
        <w:overflowPunct/>
        <w:topLinePunct w:val="0"/>
        <w:autoSpaceDE w:val="0"/>
        <w:autoSpaceDN w:val="0"/>
        <w:bidi w:val="0"/>
        <w:adjustRightInd/>
        <w:snapToGrid/>
        <w:spacing w:after="0" w:afterAutospacing="0" w:line="560" w:lineRule="exact"/>
        <w:ind w:firstLine="640" w:firstLineChars="200"/>
        <w:jc w:val="both"/>
        <w:textAlignment w:val="auto"/>
        <w:outlineLvl w:val="9"/>
        <w:rPr>
          <w:rFonts w:hint="default" w:ascii="Times New Roman" w:hAnsi="Times New Roman" w:eastAsia="方正仿宋_GBK" w:cs="方正仿宋_GBK"/>
          <w:kern w:val="2"/>
          <w:sz w:val="32"/>
          <w:szCs w:val="32"/>
          <w:highlight w:val="none"/>
          <w:lang w:eastAsia="zh-CN"/>
        </w:rPr>
      </w:pPr>
      <w:r>
        <w:rPr>
          <w:rFonts w:hint="default" w:ascii="Times New Roman" w:hAnsi="Times New Roman" w:eastAsia="方正仿宋_GBK" w:cs="方正仿宋_GBK"/>
          <w:kern w:val="2"/>
          <w:sz w:val="32"/>
          <w:szCs w:val="32"/>
          <w:highlight w:val="none"/>
          <w:lang w:eastAsia="zh-CN"/>
        </w:rPr>
        <w:t>2</w:t>
      </w:r>
      <w:r>
        <w:rPr>
          <w:rFonts w:hint="eastAsia" w:ascii="Times New Roman" w:hAnsi="Times New Roman" w:eastAsia="方正仿宋_GBK" w:cs="方正仿宋_GBK"/>
          <w:kern w:val="2"/>
          <w:sz w:val="32"/>
          <w:szCs w:val="32"/>
          <w:highlight w:val="none"/>
          <w:lang w:eastAsia="zh-CN"/>
        </w:rPr>
        <w:t>.开展健康教育，普及健康知识；</w:t>
      </w:r>
    </w:p>
    <w:p>
      <w:pPr>
        <w:keepNext w:val="0"/>
        <w:keepLines w:val="0"/>
        <w:pageBreakBefore w:val="0"/>
        <w:widowControl w:val="0"/>
        <w:kinsoku/>
        <w:wordWrap/>
        <w:overflowPunct/>
        <w:topLinePunct w:val="0"/>
        <w:autoSpaceDE w:val="0"/>
        <w:autoSpaceDN w:val="0"/>
        <w:bidi w:val="0"/>
        <w:adjustRightInd/>
        <w:snapToGrid/>
        <w:spacing w:after="0" w:afterAutospacing="0" w:line="560" w:lineRule="exact"/>
        <w:ind w:firstLine="640" w:firstLineChars="200"/>
        <w:jc w:val="both"/>
        <w:textAlignment w:val="auto"/>
        <w:outlineLvl w:val="9"/>
        <w:rPr>
          <w:rFonts w:hint="default" w:ascii="Times New Roman" w:hAnsi="Times New Roman" w:eastAsia="方正仿宋_GBK" w:cs="方正仿宋_GBK"/>
          <w:kern w:val="2"/>
          <w:sz w:val="32"/>
          <w:szCs w:val="32"/>
          <w:highlight w:val="none"/>
          <w:lang w:eastAsia="zh-CN"/>
        </w:rPr>
      </w:pPr>
      <w:r>
        <w:rPr>
          <w:rFonts w:hint="default" w:ascii="Times New Roman" w:hAnsi="Times New Roman" w:eastAsia="方正仿宋_GBK" w:cs="方正仿宋_GBK"/>
          <w:kern w:val="2"/>
          <w:sz w:val="32"/>
          <w:szCs w:val="32"/>
          <w:highlight w:val="none"/>
          <w:lang w:eastAsia="zh-CN"/>
        </w:rPr>
        <w:t>3.</w:t>
      </w:r>
      <w:r>
        <w:rPr>
          <w:rFonts w:hint="eastAsia" w:ascii="Times New Roman" w:hAnsi="Times New Roman" w:eastAsia="方正仿宋_GBK" w:cs="方正仿宋_GBK"/>
          <w:kern w:val="2"/>
          <w:sz w:val="32"/>
          <w:szCs w:val="32"/>
          <w:highlight w:val="none"/>
          <w:lang w:eastAsia="zh-CN"/>
        </w:rPr>
        <w:t>协助开展传染病以及地方病、寄生虫病的预防控制， 配合开展爱国卫生工作；</w:t>
      </w:r>
    </w:p>
    <w:p>
      <w:pPr>
        <w:keepNext w:val="0"/>
        <w:keepLines w:val="0"/>
        <w:pageBreakBefore w:val="0"/>
        <w:widowControl w:val="0"/>
        <w:kinsoku/>
        <w:wordWrap/>
        <w:overflowPunct/>
        <w:topLinePunct w:val="0"/>
        <w:autoSpaceDE w:val="0"/>
        <w:autoSpaceDN w:val="0"/>
        <w:bidi w:val="0"/>
        <w:adjustRightInd/>
        <w:snapToGrid/>
        <w:spacing w:after="0" w:afterAutospacing="0" w:line="560" w:lineRule="exact"/>
        <w:ind w:firstLine="640" w:firstLineChars="200"/>
        <w:jc w:val="both"/>
        <w:textAlignment w:val="auto"/>
        <w:outlineLvl w:val="9"/>
        <w:rPr>
          <w:rFonts w:hint="default" w:ascii="Times New Roman" w:hAnsi="Times New Roman" w:eastAsia="方正仿宋_GBK" w:cs="方正仿宋_GBK"/>
          <w:kern w:val="2"/>
          <w:sz w:val="32"/>
          <w:szCs w:val="32"/>
          <w:highlight w:val="none"/>
          <w:lang w:eastAsia="zh-CN"/>
        </w:rPr>
      </w:pPr>
      <w:r>
        <w:rPr>
          <w:rFonts w:hint="default" w:ascii="Times New Roman" w:hAnsi="Times New Roman" w:eastAsia="方正仿宋_GBK" w:cs="方正仿宋_GBK"/>
          <w:kern w:val="2"/>
          <w:sz w:val="32"/>
          <w:szCs w:val="32"/>
          <w:highlight w:val="none"/>
          <w:lang w:eastAsia="zh-CN"/>
        </w:rPr>
        <w:t>4.</w:t>
      </w:r>
      <w:r>
        <w:rPr>
          <w:rFonts w:hint="eastAsia" w:ascii="Times New Roman" w:hAnsi="Times New Roman" w:eastAsia="方正仿宋_GBK" w:cs="方正仿宋_GBK"/>
          <w:kern w:val="2"/>
          <w:sz w:val="32"/>
          <w:szCs w:val="32"/>
          <w:highlight w:val="none"/>
          <w:lang w:eastAsia="zh-CN"/>
        </w:rPr>
        <w:t>做好高危人群、重点慢性病患者的筛查和病例管理；</w:t>
      </w:r>
    </w:p>
    <w:p>
      <w:pPr>
        <w:keepNext w:val="0"/>
        <w:keepLines w:val="0"/>
        <w:pageBreakBefore w:val="0"/>
        <w:widowControl w:val="0"/>
        <w:kinsoku/>
        <w:wordWrap/>
        <w:overflowPunct/>
        <w:topLinePunct w:val="0"/>
        <w:autoSpaceDE w:val="0"/>
        <w:autoSpaceDN w:val="0"/>
        <w:bidi w:val="0"/>
        <w:adjustRightInd/>
        <w:snapToGrid/>
        <w:spacing w:after="0" w:afterAutospacing="0" w:line="560" w:lineRule="exact"/>
        <w:ind w:firstLine="640" w:firstLineChars="200"/>
        <w:jc w:val="both"/>
        <w:textAlignment w:val="auto"/>
        <w:outlineLvl w:val="9"/>
        <w:rPr>
          <w:rFonts w:hint="default" w:ascii="Times New Roman" w:hAnsi="Times New Roman" w:eastAsia="方正仿宋_GBK" w:cs="方正仿宋_GBK"/>
          <w:kern w:val="2"/>
          <w:sz w:val="32"/>
          <w:szCs w:val="32"/>
          <w:highlight w:val="none"/>
          <w:lang w:eastAsia="zh-CN"/>
        </w:rPr>
      </w:pPr>
      <w:r>
        <w:rPr>
          <w:rFonts w:hint="default" w:ascii="Times New Roman" w:hAnsi="Times New Roman" w:eastAsia="方正仿宋_GBK" w:cs="方正仿宋_GBK"/>
          <w:kern w:val="2"/>
          <w:sz w:val="32"/>
          <w:szCs w:val="32"/>
          <w:highlight w:val="none"/>
          <w:lang w:eastAsia="zh-CN"/>
        </w:rPr>
        <w:t>5.</w:t>
      </w:r>
      <w:r>
        <w:rPr>
          <w:rFonts w:hint="eastAsia" w:ascii="Times New Roman" w:hAnsi="Times New Roman" w:eastAsia="方正仿宋_GBK" w:cs="方正仿宋_GBK"/>
          <w:kern w:val="2"/>
          <w:sz w:val="32"/>
          <w:szCs w:val="32"/>
          <w:highlight w:val="none"/>
          <w:lang w:eastAsia="zh-CN"/>
        </w:rPr>
        <w:t>提供心理健康指导服务，实施精神病社区管理；</w:t>
      </w:r>
    </w:p>
    <w:p>
      <w:pPr>
        <w:keepNext w:val="0"/>
        <w:keepLines w:val="0"/>
        <w:pageBreakBefore w:val="0"/>
        <w:widowControl w:val="0"/>
        <w:kinsoku/>
        <w:wordWrap/>
        <w:overflowPunct/>
        <w:topLinePunct w:val="0"/>
        <w:autoSpaceDE w:val="0"/>
        <w:autoSpaceDN w:val="0"/>
        <w:bidi w:val="0"/>
        <w:adjustRightInd/>
        <w:snapToGrid/>
        <w:spacing w:after="0" w:afterAutospacing="0" w:line="560" w:lineRule="exact"/>
        <w:ind w:firstLine="640" w:firstLineChars="200"/>
        <w:jc w:val="both"/>
        <w:textAlignment w:val="auto"/>
        <w:outlineLvl w:val="9"/>
        <w:rPr>
          <w:rFonts w:hint="default" w:ascii="Times New Roman" w:hAnsi="Times New Roman" w:eastAsia="方正仿宋_GBK" w:cs="方正仿宋_GBK"/>
          <w:kern w:val="2"/>
          <w:sz w:val="32"/>
          <w:szCs w:val="32"/>
          <w:highlight w:val="none"/>
          <w:lang w:eastAsia="zh-CN"/>
        </w:rPr>
      </w:pPr>
      <w:r>
        <w:rPr>
          <w:rFonts w:hint="default" w:ascii="Times New Roman" w:hAnsi="Times New Roman" w:eastAsia="方正仿宋_GBK" w:cs="方正仿宋_GBK"/>
          <w:kern w:val="2"/>
          <w:sz w:val="32"/>
          <w:szCs w:val="32"/>
          <w:highlight w:val="none"/>
          <w:lang w:eastAsia="zh-CN"/>
        </w:rPr>
        <w:t>6</w:t>
      </w:r>
      <w:r>
        <w:rPr>
          <w:rFonts w:hint="eastAsia" w:ascii="Times New Roman" w:hAnsi="Times New Roman" w:eastAsia="方正仿宋_GBK" w:cs="方正仿宋_GBK"/>
          <w:kern w:val="2"/>
          <w:sz w:val="32"/>
          <w:szCs w:val="32"/>
          <w:highlight w:val="none"/>
          <w:lang w:eastAsia="zh-CN"/>
        </w:rPr>
        <w:t>.为妇女、儿童、老年人、残疾人等重点人群提供保健和康复服务；</w:t>
      </w:r>
    </w:p>
    <w:p>
      <w:pPr>
        <w:keepNext w:val="0"/>
        <w:keepLines w:val="0"/>
        <w:pageBreakBefore w:val="0"/>
        <w:widowControl w:val="0"/>
        <w:kinsoku/>
        <w:wordWrap/>
        <w:overflowPunct/>
        <w:topLinePunct w:val="0"/>
        <w:autoSpaceDE w:val="0"/>
        <w:autoSpaceDN w:val="0"/>
        <w:bidi w:val="0"/>
        <w:adjustRightInd/>
        <w:snapToGrid/>
        <w:spacing w:after="0" w:afterAutospacing="0" w:line="560" w:lineRule="exact"/>
        <w:ind w:firstLine="640" w:firstLineChars="200"/>
        <w:jc w:val="both"/>
        <w:textAlignment w:val="auto"/>
        <w:outlineLvl w:val="9"/>
        <w:rPr>
          <w:rFonts w:hint="default" w:ascii="Times New Roman" w:hAnsi="Times New Roman" w:eastAsia="方正仿宋_GBK" w:cs="方正仿宋_GBK"/>
          <w:kern w:val="2"/>
          <w:sz w:val="32"/>
          <w:szCs w:val="32"/>
          <w:highlight w:val="none"/>
          <w:lang w:eastAsia="zh-CN"/>
        </w:rPr>
      </w:pPr>
      <w:r>
        <w:rPr>
          <w:rFonts w:hint="default" w:ascii="Times New Roman" w:hAnsi="Times New Roman" w:eastAsia="方正仿宋_GBK" w:cs="方正仿宋_GBK"/>
          <w:kern w:val="2"/>
          <w:sz w:val="32"/>
          <w:szCs w:val="32"/>
          <w:highlight w:val="none"/>
          <w:lang w:eastAsia="zh-CN"/>
        </w:rPr>
        <w:t>7.</w:t>
      </w:r>
      <w:r>
        <w:rPr>
          <w:rFonts w:hint="eastAsia" w:ascii="Times New Roman" w:hAnsi="Times New Roman" w:eastAsia="方正仿宋_GBK" w:cs="方正仿宋_GBK"/>
          <w:kern w:val="2"/>
          <w:sz w:val="32"/>
          <w:szCs w:val="32"/>
          <w:highlight w:val="none"/>
          <w:lang w:eastAsia="zh-CN"/>
        </w:rPr>
        <w:t>提供计划生育技术服务，协助处置辖区内突发公共卫生事件等；</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kern w:val="2"/>
          <w:sz w:val="32"/>
          <w:szCs w:val="32"/>
          <w:highlight w:val="none"/>
          <w:lang w:eastAsia="zh-CN"/>
        </w:rPr>
      </w:pPr>
      <w:r>
        <w:rPr>
          <w:rFonts w:hint="default" w:ascii="Times New Roman" w:hAnsi="Times New Roman" w:eastAsia="方正仿宋_GBK" w:cs="方正仿宋_GBK"/>
          <w:kern w:val="2"/>
          <w:sz w:val="32"/>
          <w:szCs w:val="32"/>
          <w:highlight w:val="none"/>
          <w:lang w:eastAsia="zh-CN"/>
        </w:rPr>
        <w:t>8.</w:t>
      </w:r>
      <w:r>
        <w:rPr>
          <w:rFonts w:hint="eastAsia" w:ascii="Times New Roman" w:hAnsi="Times New Roman" w:eastAsia="方正仿宋_GBK" w:cs="方正仿宋_GBK"/>
          <w:kern w:val="2"/>
          <w:sz w:val="32"/>
          <w:szCs w:val="32"/>
          <w:highlight w:val="none"/>
          <w:lang w:eastAsia="zh-CN"/>
        </w:rPr>
        <w:t>按要求提供其他公共卫生服务。</w:t>
      </w:r>
    </w:p>
    <w:p>
      <w:pPr>
        <w:keepNext w:val="0"/>
        <w:keepLines w:val="0"/>
        <w:pageBreakBefore w:val="0"/>
        <w:widowControl w:val="0"/>
        <w:kinsoku/>
        <w:wordWrap/>
        <w:overflowPunct/>
        <w:topLinePunct w:val="0"/>
        <w:autoSpaceDE w:val="0"/>
        <w:autoSpaceDN w:val="0"/>
        <w:bidi w:val="0"/>
        <w:adjustRightInd/>
        <w:snapToGrid/>
        <w:spacing w:after="0" w:afterAutospacing="0" w:line="560" w:lineRule="exact"/>
        <w:ind w:firstLine="640" w:firstLineChars="200"/>
        <w:jc w:val="both"/>
        <w:textAlignment w:val="auto"/>
        <w:outlineLvl w:val="9"/>
        <w:rPr>
          <w:rFonts w:hint="default" w:ascii="方正楷体_GBK" w:hAnsi="方正楷体_GBK" w:eastAsia="方正楷体_GBK" w:cs="方正楷体_GBK"/>
          <w:kern w:val="2"/>
          <w:sz w:val="32"/>
          <w:szCs w:val="32"/>
          <w:highlight w:val="none"/>
          <w:lang w:eastAsia="zh-CN"/>
        </w:rPr>
      </w:pPr>
      <w:r>
        <w:rPr>
          <w:rFonts w:hint="eastAsia" w:ascii="方正楷体_GBK" w:hAnsi="方正楷体_GBK" w:eastAsia="方正楷体_GBK" w:cs="方正楷体_GBK"/>
          <w:kern w:val="2"/>
          <w:sz w:val="32"/>
          <w:szCs w:val="32"/>
          <w:highlight w:val="none"/>
          <w:lang w:eastAsia="zh-CN"/>
        </w:rPr>
        <w:t>（二）机构设置</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方正仿宋_GBK" w:hAnsi="方正仿宋_GBK" w:eastAsia="方正仿宋_GBK" w:cs="方正仿宋_GBK"/>
          <w:kern w:val="2"/>
          <w:sz w:val="32"/>
          <w:szCs w:val="32"/>
          <w:highlight w:val="none"/>
        </w:rPr>
      </w:pPr>
      <w:r>
        <w:rPr>
          <w:rFonts w:hint="eastAsia" w:ascii="方正仿宋_GBK" w:hAnsi="方正仿宋_GBK" w:eastAsia="方正仿宋_GBK" w:cs="方正仿宋_GBK"/>
          <w:kern w:val="2"/>
          <w:sz w:val="32"/>
          <w:szCs w:val="32"/>
          <w:highlight w:val="none"/>
        </w:rPr>
        <w:t>本单位为秀山县卫生健康委员会二级预算单位，无下级预算单位。</w:t>
      </w:r>
      <w:r>
        <w:rPr>
          <w:rFonts w:hint="eastAsia" w:ascii="方正仿宋_GBK" w:hAnsi="方正仿宋_GBK" w:eastAsia="方正仿宋_GBK" w:cs="方正仿宋_GBK"/>
          <w:kern w:val="2"/>
          <w:sz w:val="32"/>
          <w:szCs w:val="32"/>
          <w:highlight w:val="none"/>
          <w:lang w:eastAsia="zh-CN"/>
        </w:rPr>
        <w:t>本单位</w:t>
      </w:r>
      <w:r>
        <w:rPr>
          <w:rFonts w:hint="eastAsia" w:ascii="方正仿宋_GBK" w:hAnsi="方正仿宋_GBK" w:eastAsia="方正仿宋_GBK" w:cs="方正仿宋_GBK"/>
          <w:kern w:val="2"/>
          <w:sz w:val="32"/>
          <w:szCs w:val="32"/>
          <w:highlight w:val="none"/>
        </w:rPr>
        <w:t>下设办公室、财务科、门诊部、中医科、医技科、库房、药房、收费室、综合住院部。</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二、</w:t>
      </w:r>
      <w:r>
        <w:rPr>
          <w:rStyle w:val="11"/>
          <w:rFonts w:hint="eastAsia" w:ascii="方正黑体_GBK" w:hAnsi="方正黑体_GBK" w:eastAsia="方正黑体_GBK" w:cs="方正黑体_GBK"/>
          <w:b w:val="0"/>
          <w:bCs/>
          <w:sz w:val="32"/>
          <w:szCs w:val="32"/>
          <w:shd w:val="clear" w:color="auto" w:fill="FFFFFF"/>
          <w:lang w:eastAsia="zh-CN"/>
        </w:rPr>
        <w:t>单位</w:t>
      </w:r>
      <w:r>
        <w:rPr>
          <w:rStyle w:val="11"/>
          <w:rFonts w:hint="eastAsia" w:ascii="方正黑体_GBK" w:hAnsi="方正黑体_GBK" w:eastAsia="方正黑体_GBK" w:cs="方正黑体_GBK"/>
          <w:b w:val="0"/>
          <w:bCs/>
          <w:sz w:val="32"/>
          <w:szCs w:val="32"/>
          <w:shd w:val="clear" w:color="auto" w:fill="FFFFFF"/>
        </w:rPr>
        <w:t>决算</w:t>
      </w:r>
      <w:r>
        <w:rPr>
          <w:rStyle w:val="11"/>
          <w:rFonts w:hint="eastAsia" w:ascii="方正黑体_GBK" w:hAnsi="方正黑体_GBK" w:eastAsia="方正黑体_GBK" w:cs="方正黑体_GBK"/>
          <w:b w:val="0"/>
          <w:bCs/>
          <w:sz w:val="32"/>
          <w:szCs w:val="32"/>
          <w:shd w:val="clear" w:color="auto" w:fill="FFFFFF"/>
          <w:lang w:eastAsia="zh-CN"/>
        </w:rPr>
        <w:t>收支</w:t>
      </w:r>
      <w:r>
        <w:rPr>
          <w:rStyle w:val="11"/>
          <w:rFonts w:hint="eastAsia" w:ascii="方正黑体_GBK" w:hAnsi="方正黑体_GBK" w:eastAsia="方正黑体_GBK" w:cs="方正黑体_GBK"/>
          <w:b w:val="0"/>
          <w:bCs/>
          <w:sz w:val="32"/>
          <w:szCs w:val="32"/>
          <w:shd w:val="clear" w:color="auto" w:fill="FFFFFF"/>
        </w:rPr>
        <w:t>情况说明</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（一）收入支出决算总体情况说明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auto"/>
          <w:sz w:val="32"/>
          <w:szCs w:val="32"/>
          <w:shd w:val="clear" w:color="auto" w:fill="FFFFFF"/>
        </w:rPr>
      </w:pPr>
      <w:r>
        <w:rPr>
          <w:rFonts w:hint="default" w:ascii="Times New Roman" w:hAnsi="Times New Roman" w:eastAsia="方正仿宋_GBK" w:cs="Times New Roman"/>
          <w:color w:val="auto"/>
          <w:sz w:val="32"/>
          <w:szCs w:val="32"/>
          <w:shd w:val="clear" w:color="auto" w:fill="FFFFFF"/>
        </w:rPr>
        <w:t>2024年度收</w:t>
      </w:r>
      <w:r>
        <w:rPr>
          <w:rFonts w:hint="eastAsia" w:ascii="Times New Roman" w:hAnsi="Times New Roman" w:eastAsia="方正仿宋_GBK" w:cs="Times New Roman"/>
          <w:color w:val="auto"/>
          <w:sz w:val="32"/>
          <w:szCs w:val="32"/>
          <w:shd w:val="clear" w:color="auto" w:fill="FFFFFF"/>
          <w:lang w:eastAsia="zh-CN"/>
        </w:rPr>
        <w:t>、支</w:t>
      </w:r>
      <w:r>
        <w:rPr>
          <w:rFonts w:hint="default" w:ascii="Times New Roman" w:hAnsi="Times New Roman" w:eastAsia="方正仿宋_GBK" w:cs="Times New Roman"/>
          <w:color w:val="auto"/>
          <w:sz w:val="32"/>
          <w:szCs w:val="32"/>
          <w:shd w:val="clear" w:color="auto" w:fill="FFFFFF"/>
        </w:rPr>
        <w:t>总计</w:t>
      </w:r>
      <w:r>
        <w:rPr>
          <w:rFonts w:hint="eastAsia" w:ascii="Times New Roman" w:hAnsi="Times New Roman" w:eastAsia="方正仿宋_GBK" w:cs="Times New Roman"/>
          <w:color w:val="auto"/>
          <w:sz w:val="32"/>
          <w:szCs w:val="32"/>
          <w:shd w:val="clear" w:color="auto" w:fill="FFFFFF"/>
          <w:lang w:eastAsia="zh-CN"/>
        </w:rPr>
        <w:t>均为</w:t>
      </w:r>
      <w:r>
        <w:rPr>
          <w:rFonts w:hint="default" w:ascii="Times New Roman" w:hAnsi="Times New Roman" w:eastAsia="方正仿宋_GBK" w:cs="Times New Roman"/>
          <w:color w:val="auto"/>
          <w:sz w:val="32"/>
          <w:szCs w:val="32"/>
          <w:shd w:val="clear" w:color="auto" w:fill="FFFFFF"/>
        </w:rPr>
        <w:t>362.46万元。收、支与2023年度相比，减少24.24万元，下降6.3%，主要原因是</w:t>
      </w:r>
      <w:r>
        <w:rPr>
          <w:rFonts w:hint="eastAsia" w:ascii="Times New Roman" w:hAnsi="Times New Roman" w:eastAsia="方正仿宋_GBK" w:cs="Times New Roman"/>
          <w:color w:val="auto"/>
          <w:sz w:val="32"/>
          <w:szCs w:val="32"/>
          <w:shd w:val="clear" w:color="auto" w:fill="FFFFFF"/>
          <w:lang w:eastAsia="zh-CN"/>
        </w:rPr>
        <w:t>财政拨款减少相应收入支出减少。</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auto"/>
          <w:sz w:val="32"/>
          <w:szCs w:val="32"/>
          <w:shd w:val="clear" w:color="auto" w:fill="FFFFFF"/>
        </w:rPr>
      </w:pPr>
      <w:r>
        <w:rPr>
          <w:rFonts w:hint="eastAsia" w:ascii="Times New Roman" w:hAnsi="Times New Roman" w:eastAsia="方正仿宋_GBK" w:cs="Times New Roman"/>
          <w:b w:val="0"/>
          <w:bCs w:val="0"/>
          <w:color w:val="auto"/>
          <w:sz w:val="32"/>
          <w:szCs w:val="32"/>
          <w:shd w:val="clear" w:color="auto" w:fill="FFFFFF"/>
          <w:lang w:val="en-US" w:eastAsia="zh-CN"/>
        </w:rPr>
        <w:t>1</w:t>
      </w:r>
      <w:r>
        <w:rPr>
          <w:rFonts w:hint="eastAsia" w:ascii="Times New Roman" w:hAnsi="Times New Roman" w:eastAsia="方正仿宋_GBK" w:cs="Times New Roman"/>
          <w:b w:val="0"/>
          <w:bCs w:val="0"/>
          <w:color w:val="auto"/>
          <w:sz w:val="32"/>
          <w:szCs w:val="32"/>
          <w:shd w:val="clear" w:color="auto" w:fill="FFFFFF"/>
        </w:rPr>
        <w:t>.</w:t>
      </w:r>
      <w:r>
        <w:rPr>
          <w:rFonts w:hint="eastAsia" w:ascii="方正楷体_GBK" w:hAnsi="方正楷体_GBK" w:eastAsia="方正楷体_GBK" w:cs="方正楷体_GBK"/>
          <w:b w:val="0"/>
          <w:bCs w:val="0"/>
          <w:color w:val="auto"/>
          <w:sz w:val="32"/>
          <w:szCs w:val="32"/>
          <w:shd w:val="clear" w:color="auto" w:fill="FFFFFF"/>
        </w:rPr>
        <w:t>收入情况</w:t>
      </w:r>
      <w:r>
        <w:rPr>
          <w:rFonts w:hint="eastAsia" w:ascii="Times New Roman" w:hAnsi="Times New Roman" w:eastAsia="方正仿宋_GBK" w:cs="Times New Roman"/>
          <w:color w:val="auto"/>
          <w:sz w:val="32"/>
          <w:szCs w:val="32"/>
          <w:shd w:val="clear" w:color="auto" w:fill="FFFFFF"/>
        </w:rPr>
        <w:t>。</w:t>
      </w:r>
      <w:r>
        <w:rPr>
          <w:rFonts w:hint="default" w:ascii="Times New Roman" w:hAnsi="Times New Roman" w:eastAsia="方正仿宋_GBK" w:cs="Times New Roman"/>
          <w:color w:val="auto"/>
          <w:sz w:val="32"/>
          <w:szCs w:val="32"/>
          <w:shd w:val="clear" w:color="auto" w:fill="FFFFFF"/>
        </w:rPr>
        <w:t>2024年度收入合计348.59万元，与2023年度相比，减少38.11万元，下降9.9%，主要原因是</w:t>
      </w:r>
      <w:r>
        <w:rPr>
          <w:rFonts w:hint="eastAsia" w:ascii="Times New Roman" w:hAnsi="Times New Roman" w:eastAsia="方正仿宋_GBK" w:cs="Times New Roman"/>
          <w:color w:val="auto"/>
          <w:sz w:val="32"/>
          <w:szCs w:val="32"/>
          <w:shd w:val="clear" w:color="auto" w:fill="FFFFFF"/>
          <w:lang w:val="en-US" w:eastAsia="zh-CN"/>
        </w:rPr>
        <w:t>2024年度</w:t>
      </w:r>
      <w:r>
        <w:rPr>
          <w:rFonts w:hint="eastAsia" w:ascii="Times New Roman" w:hAnsi="Times New Roman" w:eastAsia="方正仿宋_GBK" w:cs="Times New Roman"/>
          <w:color w:val="auto"/>
          <w:sz w:val="32"/>
          <w:szCs w:val="32"/>
          <w:shd w:val="clear" w:color="auto" w:fill="FFFFFF"/>
          <w:lang w:eastAsia="zh-CN"/>
        </w:rPr>
        <w:t>财政拨款收入减少</w:t>
      </w:r>
      <w:r>
        <w:rPr>
          <w:rFonts w:hint="default" w:ascii="Times New Roman" w:hAnsi="Times New Roman" w:eastAsia="方正仿宋_GBK" w:cs="Times New Roman"/>
          <w:color w:val="auto"/>
          <w:sz w:val="32"/>
          <w:szCs w:val="32"/>
          <w:shd w:val="clear" w:color="auto" w:fill="FFFFFF"/>
        </w:rPr>
        <w:t>。其中：财政拨款收入203.14万元，占58.3%；事业收入144.95万元，占41.6%；经营收入0.00万元，占0.0%；其他收入0.50万元，占0.1%。此外，</w:t>
      </w:r>
      <w:r>
        <w:rPr>
          <w:rFonts w:hint="eastAsia" w:ascii="Times New Roman" w:hAnsi="Times New Roman" w:eastAsia="方正仿宋_GBK" w:cs="Times New Roman"/>
          <w:color w:val="auto"/>
          <w:sz w:val="32"/>
          <w:szCs w:val="32"/>
          <w:shd w:val="clear" w:color="auto" w:fill="FFFFFF"/>
        </w:rPr>
        <w:t>使用非财政拨款结余（含专用结余）</w:t>
      </w:r>
      <w:r>
        <w:rPr>
          <w:rFonts w:hint="default" w:ascii="Times New Roman" w:hAnsi="Times New Roman" w:eastAsia="方正仿宋_GBK" w:cs="Times New Roman"/>
          <w:color w:val="auto"/>
          <w:sz w:val="32"/>
          <w:szCs w:val="32"/>
          <w:shd w:val="clear" w:color="auto" w:fill="FFFFFF"/>
        </w:rPr>
        <w:t>0.00万元，年初结转和结余13.87万元。</w:t>
      </w:r>
    </w:p>
    <w:p>
      <w:pPr>
        <w:pStyle w:val="9"/>
        <w:keepNext w:val="0"/>
        <w:keepLines w:val="0"/>
        <w:pageBreakBefore w:val="0"/>
        <w:kinsoku/>
        <w:wordWrap/>
        <w:overflowPunct/>
        <w:topLinePunct w:val="0"/>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Fonts w:hint="default" w:ascii="Times New Roman" w:hAnsi="Times New Roman" w:eastAsia="方正楷体_GBK" w:cs="Times New Roman"/>
          <w:color w:val="auto"/>
          <w:sz w:val="32"/>
          <w:szCs w:val="32"/>
          <w:shd w:val="clear" w:color="auto" w:fill="FFFFFF"/>
          <w:lang w:val="en-US" w:eastAsia="zh-CN"/>
        </w:rPr>
        <w:t>2.支出情况</w:t>
      </w:r>
      <w:r>
        <w:rPr>
          <w:rStyle w:val="11"/>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年度支出合计</w:t>
      </w:r>
      <w:r>
        <w:rPr>
          <w:rFonts w:hint="default" w:ascii="Times New Roman" w:hAnsi="Times New Roman" w:eastAsia="方正仿宋_GBK"/>
          <w:sz w:val="32"/>
          <w:szCs w:val="32"/>
          <w:shd w:val="clear" w:color="auto" w:fill="FFFFFF"/>
        </w:rPr>
        <w:t>361.11</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与2023年度相比，减少11.72万元，下降3.1%</w:t>
      </w:r>
      <w:r>
        <w:rPr>
          <w:rFonts w:ascii="方正仿宋_GBK" w:hAnsi="方正仿宋_GBK" w:eastAsia="方正仿宋_GBK" w:cs="方正仿宋_GBK"/>
          <w:sz w:val="32"/>
          <w:szCs w:val="32"/>
          <w:shd w:val="clear" w:color="auto" w:fill="FFFFFF"/>
        </w:rPr>
        <w:t>，主要原因是</w:t>
      </w:r>
      <w:r>
        <w:rPr>
          <w:rFonts w:hint="default" w:ascii="Times New Roman" w:hAnsi="Times New Roman" w:eastAsia="方正仿宋_GBK" w:cs="Times New Roman"/>
          <w:color w:val="auto"/>
          <w:sz w:val="32"/>
          <w:szCs w:val="32"/>
          <w:shd w:val="clear" w:color="auto" w:fill="FFFFFF"/>
          <w:lang w:val="en-US" w:eastAsia="zh-CN"/>
        </w:rPr>
        <w:t>2024</w:t>
      </w:r>
      <w:r>
        <w:rPr>
          <w:rFonts w:hint="eastAsia" w:ascii="方正仿宋_GBK" w:hAnsi="方正仿宋_GBK" w:eastAsia="方正仿宋_GBK" w:cs="方正仿宋_GBK"/>
          <w:color w:val="auto"/>
          <w:sz w:val="32"/>
          <w:szCs w:val="32"/>
          <w:shd w:val="clear" w:color="auto" w:fill="FFFFFF"/>
          <w:lang w:val="en-US" w:eastAsia="zh-CN"/>
        </w:rPr>
        <w:t>年度财拨项目资金减少</w:t>
      </w:r>
      <w:r>
        <w:rPr>
          <w:rFonts w:ascii="方正仿宋_GBK" w:hAnsi="方正仿宋_GBK" w:eastAsia="方正仿宋_GBK" w:cs="方正仿宋_GBK"/>
          <w:color w:val="auto"/>
          <w:sz w:val="32"/>
          <w:szCs w:val="32"/>
          <w:shd w:val="clear" w:color="auto" w:fill="FFFFFF"/>
        </w:rPr>
        <w:t>。其中：基本支出</w:t>
      </w:r>
      <w:r>
        <w:rPr>
          <w:rFonts w:hint="default" w:ascii="Times New Roman" w:hAnsi="Times New Roman" w:eastAsia="方正仿宋_GBK"/>
          <w:color w:val="auto"/>
          <w:sz w:val="32"/>
          <w:szCs w:val="32"/>
          <w:shd w:val="clear" w:color="auto" w:fill="FFFFFF"/>
        </w:rPr>
        <w:t>357.70</w:t>
      </w:r>
      <w:r>
        <w:rPr>
          <w:rFonts w:ascii="方正仿宋_GBK" w:hAnsi="方正仿宋_GBK" w:eastAsia="方正仿宋_GBK" w:cs="方正仿宋_GBK"/>
          <w:color w:val="auto"/>
          <w:sz w:val="32"/>
          <w:szCs w:val="32"/>
          <w:shd w:val="clear" w:color="auto" w:fill="FFFFFF"/>
        </w:rPr>
        <w:t>万元，占</w:t>
      </w:r>
      <w:r>
        <w:rPr>
          <w:rFonts w:hint="default" w:ascii="Times New Roman" w:hAnsi="Times New Roman" w:eastAsia="方正仿宋_GBK"/>
          <w:sz w:val="32"/>
          <w:szCs w:val="32"/>
          <w:shd w:val="clear" w:color="auto" w:fill="FFFFFF"/>
        </w:rPr>
        <w:t>99.1%</w:t>
      </w:r>
      <w:r>
        <w:rPr>
          <w:rFonts w:ascii="方正仿宋_GBK" w:hAnsi="方正仿宋_GBK" w:eastAsia="方正仿宋_GBK" w:cs="方正仿宋_GBK"/>
          <w:sz w:val="32"/>
          <w:szCs w:val="32"/>
          <w:shd w:val="clear" w:color="auto" w:fill="FFFFFF"/>
        </w:rPr>
        <w:t>；项目支出</w:t>
      </w:r>
      <w:r>
        <w:rPr>
          <w:rFonts w:hint="default" w:ascii="Times New Roman" w:hAnsi="Times New Roman" w:eastAsia="方正仿宋_GBK"/>
          <w:sz w:val="32"/>
          <w:szCs w:val="32"/>
          <w:shd w:val="clear" w:color="auto" w:fill="FFFFFF"/>
        </w:rPr>
        <w:t>3.41</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0.9%</w:t>
      </w:r>
      <w:r>
        <w:rPr>
          <w:rFonts w:ascii="方正仿宋_GBK" w:hAnsi="方正仿宋_GBK" w:eastAsia="方正仿宋_GBK" w:cs="方正仿宋_GBK"/>
          <w:sz w:val="32"/>
          <w:szCs w:val="32"/>
          <w:shd w:val="clear" w:color="auto" w:fill="FFFFFF"/>
        </w:rPr>
        <w:t>；经营支出</w:t>
      </w:r>
      <w:r>
        <w:rPr>
          <w:rFonts w:hint="default" w:ascii="Times New Roman" w:hAnsi="Times New Roman" w:eastAsia="方正仿宋_GBK"/>
          <w:sz w:val="32"/>
          <w:szCs w:val="32"/>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。此外，结余分配</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p>
    <w:p>
      <w:pPr>
        <w:pStyle w:val="9"/>
        <w:keepNext w:val="0"/>
        <w:keepLines w:val="0"/>
        <w:pageBreakBefore w:val="0"/>
        <w:kinsoku/>
        <w:wordWrap/>
        <w:overflowPunct/>
        <w:topLinePunct w:val="0"/>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lang w:val="en-US" w:eastAsia="zh-CN"/>
        </w:rPr>
      </w:pPr>
      <w:r>
        <w:rPr>
          <w:rFonts w:hint="default" w:ascii="Times New Roman" w:hAnsi="Times New Roman" w:eastAsia="方正仿宋_GBK" w:cs="Times New Roman"/>
          <w:color w:val="auto"/>
          <w:sz w:val="32"/>
          <w:szCs w:val="32"/>
          <w:shd w:val="clear" w:color="auto" w:fill="FFFFFF"/>
          <w:lang w:val="en-US" w:eastAsia="zh-CN"/>
        </w:rPr>
        <w:t>3</w:t>
      </w:r>
      <w:r>
        <w:rPr>
          <w:rFonts w:hint="default" w:ascii="Times New Roman" w:hAnsi="Times New Roman" w:eastAsia="方正楷体_GBK" w:cs="Times New Roman"/>
          <w:color w:val="auto"/>
          <w:sz w:val="32"/>
          <w:szCs w:val="32"/>
          <w:shd w:val="clear" w:color="auto" w:fill="FFFFFF"/>
          <w:lang w:val="en-US" w:eastAsia="zh-CN"/>
        </w:rPr>
        <w:t>.</w:t>
      </w:r>
      <w:r>
        <w:rPr>
          <w:rFonts w:hint="eastAsia" w:ascii="方正楷体_GBK" w:hAnsi="方正楷体_GBK" w:eastAsia="方正楷体_GBK" w:cs="方正楷体_GBK"/>
          <w:color w:val="auto"/>
          <w:sz w:val="32"/>
          <w:szCs w:val="32"/>
          <w:shd w:val="clear" w:color="auto" w:fill="FFFFFF"/>
          <w:lang w:val="en-US" w:eastAsia="zh-CN"/>
        </w:rPr>
        <w:t>结转结余情况</w:t>
      </w:r>
      <w:r>
        <w:rPr>
          <w:rStyle w:val="11"/>
          <w:rFonts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color w:val="auto"/>
          <w:sz w:val="32"/>
          <w:szCs w:val="32"/>
          <w:shd w:val="clear" w:color="auto" w:fill="FFFFFF"/>
          <w:lang w:eastAsia="zh-CN"/>
        </w:rPr>
        <w:t>2</w:t>
      </w:r>
      <w:r>
        <w:rPr>
          <w:rFonts w:hint="default" w:ascii="Times New Roman" w:hAnsi="Times New Roman" w:eastAsia="方正仿宋_GBK" w:cs="Times New Roman"/>
          <w:sz w:val="32"/>
          <w:szCs w:val="32"/>
          <w:shd w:val="clear" w:color="auto" w:fill="FFFFFF"/>
          <w:lang w:eastAsia="zh-CN"/>
        </w:rPr>
        <w:t>024年度年末结转和结余1.35万元，与2023年度相比，减少12.52万元，下降90.3%，主要原因</w:t>
      </w:r>
      <w:r>
        <w:rPr>
          <w:rFonts w:hint="default" w:ascii="Times New Roman" w:hAnsi="Times New Roman" w:eastAsia="方正仿宋_GBK" w:cs="Times New Roman"/>
          <w:sz w:val="32"/>
          <w:szCs w:val="32"/>
          <w:lang w:val="en-US" w:eastAsia="zh-CN" w:bidi="ar-SA"/>
        </w:rPr>
        <w:t>是</w:t>
      </w:r>
      <w:r>
        <w:rPr>
          <w:rFonts w:hint="eastAsia" w:ascii="Times New Roman" w:hAnsi="Times New Roman" w:eastAsia="方正仿宋_GBK" w:cs="Times New Roman"/>
          <w:sz w:val="32"/>
          <w:szCs w:val="32"/>
          <w:lang w:val="en-US" w:eastAsia="zh-CN" w:bidi="ar-SA"/>
        </w:rPr>
        <w:t>2023年结转结余是2022年绩效清算拨款未发放，本年度不存在此情况</w:t>
      </w:r>
      <w:r>
        <w:rPr>
          <w:rFonts w:hint="default" w:ascii="Times New Roman" w:hAnsi="Times New Roman" w:eastAsia="方正仿宋_GBK" w:cs="Times New Roman"/>
          <w:sz w:val="32"/>
          <w:szCs w:val="32"/>
          <w:shd w:val="clear" w:color="auto" w:fill="FFFFFF"/>
          <w:lang w:val="en-US" w:eastAsia="zh-CN"/>
        </w:rPr>
        <w:t>。</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（二）财政拨款收入支出决算总体情况说明</w:t>
      </w:r>
    </w:p>
    <w:p>
      <w:pPr>
        <w:pStyle w:val="9"/>
        <w:keepNext w:val="0"/>
        <w:keepLines w:val="0"/>
        <w:pageBreakBefore w:val="0"/>
        <w:kinsoku/>
        <w:wordWrap/>
        <w:overflowPunct/>
        <w:topLinePunct w:val="0"/>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lang w:val="en-US"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年度财政拨款收、支总计均为</w:t>
      </w:r>
      <w:r>
        <w:rPr>
          <w:rFonts w:hint="default" w:ascii="Times New Roman" w:hAnsi="Times New Roman" w:eastAsia="方正仿宋_GBK"/>
          <w:sz w:val="32"/>
          <w:szCs w:val="32"/>
          <w:shd w:val="clear" w:color="auto" w:fill="FFFFFF"/>
        </w:rPr>
        <w:t>212.90</w:t>
      </w:r>
      <w:r>
        <w:rPr>
          <w:rFonts w:ascii="方正仿宋_GBK" w:hAnsi="方正仿宋_GBK" w:eastAsia="方正仿宋_GBK" w:cs="方正仿宋_GBK"/>
          <w:sz w:val="32"/>
          <w:szCs w:val="32"/>
          <w:shd w:val="clear" w:color="auto" w:fill="FFFFFF"/>
        </w:rPr>
        <w:t>万元。与</w:t>
      </w:r>
      <w:r>
        <w:rPr>
          <w:rFonts w:hint="default" w:ascii="Times New Roman" w:hAnsi="Times New Roman" w:eastAsia="方正仿宋_GBK"/>
          <w:sz w:val="32"/>
          <w:szCs w:val="32"/>
          <w:shd w:val="clear" w:color="auto" w:fill="FFFFFF"/>
        </w:rPr>
        <w:t>2023</w:t>
      </w:r>
      <w:r>
        <w:rPr>
          <w:rFonts w:ascii="方正仿宋_GBK" w:hAnsi="方正仿宋_GBK" w:eastAsia="方正仿宋_GBK" w:cs="方正仿宋_GBK"/>
          <w:sz w:val="32"/>
          <w:szCs w:val="32"/>
          <w:shd w:val="clear" w:color="auto" w:fill="FFFFFF"/>
        </w:rPr>
        <w:t>年</w:t>
      </w:r>
      <w:r>
        <w:rPr>
          <w:rFonts w:hint="eastAsia" w:ascii="方正仿宋_GBK" w:hAnsi="方正仿宋_GBK" w:eastAsia="方正仿宋_GBK" w:cs="方正仿宋_GBK"/>
          <w:sz w:val="32"/>
          <w:szCs w:val="32"/>
          <w:shd w:val="clear" w:color="auto" w:fill="FFFFFF"/>
          <w:lang w:eastAsia="zh-CN"/>
        </w:rPr>
        <w:t>度</w:t>
      </w:r>
      <w:r>
        <w:rPr>
          <w:rFonts w:ascii="方正仿宋_GBK" w:hAnsi="方正仿宋_GBK" w:eastAsia="方正仿宋_GBK" w:cs="方正仿宋_GBK"/>
          <w:sz w:val="32"/>
          <w:szCs w:val="32"/>
          <w:shd w:val="clear" w:color="auto" w:fill="FFFFFF"/>
        </w:rPr>
        <w:t>相比，</w:t>
      </w:r>
      <w:r>
        <w:rPr>
          <w:rFonts w:hint="default" w:ascii="Times New Roman" w:hAnsi="Times New Roman" w:eastAsia="方正仿宋_GBK"/>
          <w:sz w:val="32"/>
          <w:szCs w:val="32"/>
          <w:shd w:val="clear" w:color="auto" w:fill="FFFFFF"/>
        </w:rPr>
        <w:t>财政拨款收、支总计各减少33.14万元，下降13.5%</w:t>
      </w:r>
      <w:r>
        <w:rPr>
          <w:rFonts w:ascii="方正仿宋_GBK" w:hAnsi="方正仿宋_GBK" w:eastAsia="方正仿宋_GBK" w:cs="方正仿宋_GBK"/>
          <w:sz w:val="32"/>
          <w:szCs w:val="32"/>
          <w:shd w:val="clear" w:color="auto" w:fill="FFFFFF"/>
        </w:rPr>
        <w:t>。主要原因</w:t>
      </w:r>
      <w:r>
        <w:rPr>
          <w:rFonts w:hint="default" w:ascii="Times New Roman" w:hAnsi="Times New Roman" w:eastAsia="方正仿宋_GBK" w:cs="Times New Roman"/>
          <w:sz w:val="32"/>
          <w:szCs w:val="32"/>
          <w:shd w:val="clear" w:color="auto" w:fill="FFFFFF"/>
        </w:rPr>
        <w:t>是</w:t>
      </w:r>
      <w:r>
        <w:rPr>
          <w:rFonts w:hint="default" w:ascii="Times New Roman" w:hAnsi="Times New Roman" w:eastAsia="方正楷体_GBK" w:cs="Times New Roman"/>
          <w:sz w:val="32"/>
          <w:szCs w:val="32"/>
          <w:shd w:val="clear" w:color="auto" w:fill="FFFFFF"/>
          <w:lang w:val="en-US" w:eastAsia="zh-CN"/>
        </w:rPr>
        <w:t>2024</w:t>
      </w:r>
      <w:r>
        <w:rPr>
          <w:rFonts w:hint="eastAsia" w:ascii="方正仿宋_GBK" w:hAnsi="方正仿宋_GBK" w:eastAsia="方正仿宋_GBK" w:cs="方正仿宋_GBK"/>
          <w:sz w:val="32"/>
          <w:szCs w:val="32"/>
          <w:shd w:val="clear" w:color="auto" w:fill="FFFFFF"/>
          <w:lang w:val="en-US" w:eastAsia="zh-CN"/>
        </w:rPr>
        <w:t>年财拨项目资金减少相应支出减少。</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（三）一般公共预算财政拨款收入支出决算情况说明</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1"/>
          <w:rFonts w:hint="default" w:ascii="Times New Roman" w:hAnsi="Times New Roman" w:eastAsia="方正楷体_GBK" w:cs="Times New Roman"/>
          <w:b w:val="0"/>
          <w:bCs/>
          <w:sz w:val="32"/>
          <w:szCs w:val="32"/>
          <w:shd w:val="clear" w:color="auto" w:fill="FFFFFF"/>
        </w:rPr>
        <w:t>1.</w:t>
      </w:r>
      <w:r>
        <w:rPr>
          <w:rStyle w:val="11"/>
          <w:rFonts w:hint="eastAsia" w:ascii="方正楷体_GBK" w:hAnsi="方正楷体_GBK" w:eastAsia="方正楷体_GBK" w:cs="方正楷体_GBK"/>
          <w:b w:val="0"/>
          <w:bCs/>
          <w:sz w:val="32"/>
          <w:szCs w:val="32"/>
          <w:shd w:val="clear" w:color="auto" w:fill="FFFFFF"/>
        </w:rPr>
        <w:t>收入情况</w:t>
      </w:r>
      <w:r>
        <w:rPr>
          <w:rStyle w:val="11"/>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年度一般公共预算财政拨款收入</w:t>
      </w:r>
      <w:r>
        <w:rPr>
          <w:rFonts w:hint="default" w:ascii="Times New Roman" w:hAnsi="Times New Roman" w:eastAsia="方正仿宋_GBK"/>
          <w:sz w:val="32"/>
          <w:szCs w:val="32"/>
          <w:shd w:val="clear" w:color="auto" w:fill="FFFFFF"/>
        </w:rPr>
        <w:t>203.14</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与2023年度相比，减少42.90万元，下降17.4%</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项目资金减少</w:t>
      </w:r>
      <w:r>
        <w:rPr>
          <w:rFonts w:ascii="方正仿宋_GBK" w:hAnsi="方正仿宋_GBK" w:eastAsia="方正仿宋_GBK" w:cs="方正仿宋_GBK"/>
          <w:color w:val="auto"/>
          <w:sz w:val="32"/>
          <w:szCs w:val="32"/>
          <w:shd w:val="clear" w:color="auto" w:fill="FFFFFF"/>
        </w:rPr>
        <w:t>。</w:t>
      </w:r>
      <w:r>
        <w:rPr>
          <w:rFonts w:hint="default" w:ascii="Times New Roman" w:hAnsi="Times New Roman" w:eastAsia="方正仿宋_GBK"/>
          <w:sz w:val="32"/>
          <w:szCs w:val="32"/>
          <w:shd w:val="clear" w:color="auto" w:fill="FFFFFF"/>
        </w:rPr>
        <w:t>较年初预算数增加88.84万元，增长77.7%</w:t>
      </w:r>
      <w:r>
        <w:rPr>
          <w:rFonts w:ascii="方正仿宋_GBK" w:hAnsi="方正仿宋_GBK" w:eastAsia="方正仿宋_GBK" w:cs="方正仿宋_GBK"/>
          <w:sz w:val="32"/>
          <w:szCs w:val="32"/>
          <w:shd w:val="clear" w:color="auto" w:fill="FFFFFF"/>
        </w:rPr>
        <w:t>。主要原因是</w:t>
      </w:r>
      <w:r>
        <w:rPr>
          <w:rFonts w:ascii="方正仿宋_GBK" w:hAnsi="方正仿宋_GBK" w:eastAsia="方正仿宋_GBK" w:cs="方正仿宋_GBK"/>
          <w:sz w:val="32"/>
          <w:szCs w:val="32"/>
        </w:rPr>
        <w:t>根据单位情况预估核算，实际财政拨款收入由财政根据资金分配情况统一安排拨款</w:t>
      </w:r>
      <w:r>
        <w:rPr>
          <w:rFonts w:ascii="方正仿宋_GBK" w:hAnsi="方正仿宋_GBK" w:eastAsia="方正仿宋_GBK" w:cs="方正仿宋_GBK"/>
          <w:sz w:val="32"/>
          <w:szCs w:val="32"/>
          <w:shd w:val="clear" w:color="auto" w:fill="FFFFFF"/>
        </w:rPr>
        <w:t>。此外，年初财政拨款结转和结余</w:t>
      </w:r>
      <w:r>
        <w:rPr>
          <w:rFonts w:hint="default" w:ascii="Times New Roman" w:hAnsi="Times New Roman" w:eastAsia="方正仿宋_GBK"/>
          <w:sz w:val="32"/>
          <w:szCs w:val="32"/>
          <w:shd w:val="clear" w:color="auto" w:fill="FFFFFF"/>
        </w:rPr>
        <w:t>9.76</w:t>
      </w:r>
      <w:r>
        <w:rPr>
          <w:rFonts w:ascii="方正仿宋_GBK" w:hAnsi="方正仿宋_GBK" w:eastAsia="方正仿宋_GBK" w:cs="方正仿宋_GBK"/>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color w:val="FF0000"/>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2.</w:t>
      </w:r>
      <w:r>
        <w:rPr>
          <w:rStyle w:val="11"/>
          <w:rFonts w:hint="eastAsia" w:ascii="方正楷体_GBK" w:hAnsi="方正楷体_GBK" w:eastAsia="方正楷体_GBK" w:cs="方正楷体_GBK"/>
          <w:b w:val="0"/>
          <w:bCs/>
          <w:sz w:val="32"/>
          <w:szCs w:val="32"/>
          <w:shd w:val="clear" w:color="auto" w:fill="FFFFFF"/>
        </w:rPr>
        <w:t>支出情况。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年度一般公共预算财政拨款支出</w:t>
      </w:r>
      <w:r>
        <w:rPr>
          <w:rFonts w:hint="default" w:ascii="Times New Roman" w:hAnsi="Times New Roman" w:eastAsia="方正仿宋_GBK"/>
          <w:sz w:val="32"/>
          <w:szCs w:val="32"/>
          <w:shd w:val="clear" w:color="auto" w:fill="FFFFFF"/>
        </w:rPr>
        <w:t>212.90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与2023年度相比，减少23.38万元，下降9.9%</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color w:val="auto"/>
          <w:sz w:val="32"/>
          <w:szCs w:val="32"/>
          <w:shd w:val="clear" w:color="auto" w:fill="FFFFFF"/>
          <w:lang w:eastAsia="zh-CN"/>
        </w:rPr>
        <w:t>项目资金减少</w:t>
      </w:r>
      <w:r>
        <w:rPr>
          <w:rFonts w:ascii="方正仿宋_GBK" w:hAnsi="方正仿宋_GBK" w:eastAsia="方正仿宋_GBK" w:cs="方正仿宋_GBK"/>
          <w:color w:val="auto"/>
          <w:sz w:val="32"/>
          <w:szCs w:val="32"/>
          <w:shd w:val="clear" w:color="auto" w:fill="FFFFFF"/>
        </w:rPr>
        <w:t>。</w:t>
      </w:r>
      <w:r>
        <w:rPr>
          <w:rFonts w:hint="default" w:ascii="Times New Roman" w:hAnsi="Times New Roman" w:eastAsia="方正仿宋_GBK"/>
          <w:sz w:val="32"/>
          <w:szCs w:val="32"/>
          <w:shd w:val="clear" w:color="auto" w:fill="FFFFFF"/>
        </w:rPr>
        <w:t>较年初预算数增加98.60万元，增长86.3%</w:t>
      </w:r>
      <w:r>
        <w:rPr>
          <w:rFonts w:ascii="方正仿宋_GBK" w:hAnsi="方正仿宋_GBK" w:eastAsia="方正仿宋_GBK" w:cs="方正仿宋_GBK"/>
          <w:sz w:val="32"/>
          <w:szCs w:val="32"/>
          <w:shd w:val="clear" w:color="auto" w:fill="FFFFFF"/>
        </w:rPr>
        <w:t>。主要原因</w:t>
      </w:r>
      <w:r>
        <w:rPr>
          <w:rStyle w:val="20"/>
          <w:rFonts w:hint="eastAsia" w:ascii="方正仿宋_GBK" w:hAnsi="方正仿宋_GBK" w:eastAsia="方正仿宋_GBK" w:cs="方正仿宋_GBK"/>
          <w:b w:val="0"/>
          <w:bCs/>
          <w:sz w:val="32"/>
          <w:szCs w:val="32"/>
          <w:shd w:val="clear" w:color="auto" w:fill="FFFFFF"/>
        </w:rPr>
        <w:t>是</w:t>
      </w:r>
      <w:r>
        <w:rPr>
          <w:rFonts w:ascii="方正仿宋_GBK" w:hAnsi="方正仿宋_GBK" w:eastAsia="方正仿宋_GBK" w:cs="方正仿宋_GBK"/>
          <w:sz w:val="32"/>
          <w:szCs w:val="32"/>
        </w:rPr>
        <w:t>年初预算主要是根据单位情况预估核算，实际财政拨款收入由财政根据资金分配情况统一安排拨款，因此财政拨款支出与年初预算有相应差异</w:t>
      </w:r>
      <w:r>
        <w:rPr>
          <w:rStyle w:val="20"/>
          <w:rFonts w:hint="eastAsia" w:ascii="方正仿宋_GBK" w:hAnsi="方正仿宋_GBK" w:eastAsia="方正仿宋_GBK" w:cs="方正仿宋_GBK"/>
          <w:b w:val="0"/>
          <w:bCs/>
          <w:sz w:val="32"/>
          <w:szCs w:val="32"/>
          <w:shd w:val="clear" w:color="auto" w:fill="FFFFFF"/>
        </w:rPr>
        <w:t>。</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highlight w:val="none"/>
          <w:shd w:val="clear" w:color="auto" w:fill="FFFFFF"/>
        </w:rPr>
      </w:pPr>
      <w:r>
        <w:rPr>
          <w:rStyle w:val="11"/>
          <w:rFonts w:hint="eastAsia" w:ascii="方正仿宋_GBK" w:hAnsi="方正仿宋_GBK" w:eastAsia="方正仿宋_GBK" w:cs="方正仿宋_GBK"/>
          <w:b w:val="0"/>
          <w:bCs/>
          <w:sz w:val="32"/>
          <w:szCs w:val="32"/>
          <w:shd w:val="clear" w:color="auto" w:fill="FFFFFF"/>
        </w:rPr>
        <w:t>一</w:t>
      </w:r>
      <w:r>
        <w:rPr>
          <w:rFonts w:hint="eastAsia" w:ascii="方正仿宋_GBK" w:hAnsi="方正仿宋_GBK" w:eastAsia="方正仿宋_GBK" w:cs="方正仿宋_GBK"/>
          <w:sz w:val="32"/>
          <w:szCs w:val="32"/>
          <w:highlight w:val="none"/>
          <w:shd w:val="clear" w:color="auto" w:fill="FFFFFF"/>
        </w:rPr>
        <w:t>般</w:t>
      </w:r>
      <w:r>
        <w:rPr>
          <w:rFonts w:ascii="方正仿宋_GBK" w:hAnsi="方正仿宋_GBK" w:eastAsia="方正仿宋_GBK" w:cs="方正仿宋_GBK"/>
          <w:sz w:val="32"/>
          <w:szCs w:val="32"/>
          <w:highlight w:val="none"/>
          <w:shd w:val="clear" w:color="auto" w:fill="FFFFFF"/>
        </w:rPr>
        <w:t>公共预算财政拨款支出主要</w:t>
      </w:r>
      <w:r>
        <w:rPr>
          <w:rFonts w:hint="eastAsia" w:ascii="方正仿宋_GBK" w:hAnsi="方正仿宋_GBK" w:eastAsia="方正仿宋_GBK" w:cs="方正仿宋_GBK"/>
          <w:sz w:val="32"/>
          <w:szCs w:val="32"/>
          <w:highlight w:val="none"/>
          <w:shd w:val="clear" w:color="auto" w:fill="FFFFFF"/>
          <w:lang w:eastAsia="zh-CN"/>
        </w:rPr>
        <w:t>用途如下</w:t>
      </w:r>
      <w:r>
        <w:rPr>
          <w:rFonts w:ascii="方正仿宋_GBK" w:hAnsi="方正仿宋_GBK" w:eastAsia="方正仿宋_GBK" w:cs="方正仿宋_GBK"/>
          <w:sz w:val="32"/>
          <w:szCs w:val="32"/>
          <w:highlight w:val="none"/>
          <w:shd w:val="clear" w:color="auto" w:fill="FFFFFF"/>
        </w:rPr>
        <w:t>：</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sz w:val="32"/>
          <w:szCs w:val="32"/>
          <w:shd w:val="clear" w:color="auto" w:fill="FFFFFF"/>
        </w:rPr>
      </w:pPr>
      <w:r>
        <w:rPr>
          <w:rFonts w:hint="default" w:ascii="Times New Roman" w:hAnsi="Times New Roman" w:eastAsia="方正仿宋_GBK" w:cs="Times New Roman"/>
          <w:sz w:val="32"/>
          <w:szCs w:val="32"/>
          <w:shd w:val="clear" w:color="auto" w:fill="FFFFFF"/>
          <w:lang w:eastAsia="zh-CN"/>
        </w:rPr>
        <w:t>（</w:t>
      </w:r>
      <w:r>
        <w:rPr>
          <w:rFonts w:hint="eastAsia" w:ascii="Times New Roman" w:hAnsi="Times New Roman" w:eastAsia="方正仿宋_GBK" w:cs="Times New Roman"/>
          <w:sz w:val="32"/>
          <w:szCs w:val="32"/>
          <w:shd w:val="clear" w:color="auto" w:fill="FFFFFF"/>
          <w:lang w:val="en-US" w:eastAsia="zh-CN"/>
        </w:rPr>
        <w:t>1</w:t>
      </w:r>
      <w:r>
        <w:rPr>
          <w:rFonts w:hint="default" w:ascii="Times New Roman" w:hAnsi="Times New Roman" w:eastAsia="方正仿宋_GBK" w:cs="Times New Roman"/>
          <w:sz w:val="32"/>
          <w:szCs w:val="32"/>
          <w:shd w:val="clear" w:color="auto" w:fill="FFFFFF"/>
          <w:lang w:eastAsia="zh-CN"/>
        </w:rPr>
        <w:t>）</w:t>
      </w:r>
      <w:r>
        <w:rPr>
          <w:rFonts w:ascii="方正仿宋_GBK" w:hAnsi="方正仿宋_GBK" w:eastAsia="方正仿宋_GBK" w:cs="方正仿宋_GBK"/>
          <w:sz w:val="32"/>
          <w:szCs w:val="32"/>
          <w:shd w:val="clear" w:color="auto" w:fill="FFFFFF"/>
        </w:rPr>
        <w:t>社会保障</w:t>
      </w:r>
      <w:r>
        <w:rPr>
          <w:rFonts w:hint="eastAsia" w:ascii="方正仿宋_GBK" w:hAnsi="方正仿宋_GBK" w:eastAsia="方正仿宋_GBK" w:cs="方正仿宋_GBK"/>
          <w:sz w:val="32"/>
          <w:szCs w:val="32"/>
          <w:shd w:val="clear" w:color="auto" w:fill="FFFFFF"/>
          <w:lang w:eastAsia="zh-CN"/>
        </w:rPr>
        <w:t>和</w:t>
      </w:r>
      <w:r>
        <w:rPr>
          <w:rFonts w:ascii="方正仿宋_GBK" w:hAnsi="方正仿宋_GBK" w:eastAsia="方正仿宋_GBK" w:cs="方正仿宋_GBK"/>
          <w:sz w:val="32"/>
          <w:szCs w:val="32"/>
          <w:shd w:val="clear" w:color="auto" w:fill="FFFFFF"/>
        </w:rPr>
        <w:t>就业支出</w:t>
      </w:r>
      <w:r>
        <w:rPr>
          <w:rFonts w:hint="default" w:ascii="Times New Roman" w:hAnsi="Times New Roman" w:eastAsia="方正仿宋_GBK"/>
          <w:sz w:val="32"/>
          <w:szCs w:val="32"/>
          <w:shd w:val="clear" w:color="auto" w:fill="FFFFFF"/>
        </w:rPr>
        <w:t>22.63</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10.6%</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较年初预算数增加5.69万元，增长33.6%</w:t>
      </w:r>
      <w:r>
        <w:rPr>
          <w:rFonts w:ascii="方正仿宋_GBK" w:hAnsi="方正仿宋_GBK" w:eastAsia="方正仿宋_GBK" w:cs="方正仿宋_GBK"/>
          <w:sz w:val="32"/>
          <w:szCs w:val="32"/>
          <w:shd w:val="clear" w:color="auto" w:fill="FFFFFF"/>
        </w:rPr>
        <w:t>，主要原因</w:t>
      </w:r>
      <w:r>
        <w:rPr>
          <w:rStyle w:val="20"/>
          <w:rFonts w:hint="eastAsia" w:ascii="方正仿宋_GBK" w:hAnsi="方正仿宋_GBK" w:eastAsia="方正仿宋_GBK" w:cs="方正仿宋_GBK"/>
          <w:b w:val="0"/>
          <w:bCs/>
          <w:sz w:val="32"/>
          <w:szCs w:val="32"/>
          <w:shd w:val="clear" w:color="auto" w:fill="FFFFFF"/>
        </w:rPr>
        <w:t>是</w:t>
      </w:r>
      <w:r>
        <w:rPr>
          <w:rStyle w:val="20"/>
          <w:rFonts w:hint="eastAsia" w:ascii="方正仿宋_GBK" w:hAnsi="方正仿宋_GBK" w:eastAsia="方正仿宋_GBK" w:cs="方正仿宋_GBK"/>
          <w:b w:val="0"/>
          <w:bCs/>
          <w:sz w:val="32"/>
          <w:szCs w:val="32"/>
          <w:shd w:val="clear" w:color="auto" w:fill="FFFFFF"/>
          <w:lang w:eastAsia="zh-CN"/>
        </w:rPr>
        <w:t>社保基数调整相应支出增加</w:t>
      </w:r>
      <w:r>
        <w:rPr>
          <w:rStyle w:val="20"/>
          <w:rFonts w:hint="eastAsia" w:ascii="方正仿宋_GBK" w:hAnsi="方正仿宋_GBK" w:eastAsia="方正仿宋_GBK" w:cs="方正仿宋_GBK"/>
          <w:b w:val="0"/>
          <w:bCs/>
          <w:sz w:val="32"/>
          <w:szCs w:val="32"/>
          <w:shd w:val="clear" w:color="auto" w:fill="FFFFFF"/>
        </w:rPr>
        <w:t>。</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Style w:val="20"/>
          <w:rFonts w:hint="eastAsia" w:ascii="方正仿宋_GBK" w:hAnsi="方正仿宋_GBK" w:eastAsia="方正仿宋_GBK" w:cs="方正仿宋_GBK"/>
          <w:b w:val="0"/>
          <w:bCs/>
          <w:sz w:val="32"/>
          <w:szCs w:val="32"/>
          <w:shd w:val="clear" w:color="auto" w:fill="FFFFFF"/>
        </w:rPr>
      </w:pPr>
      <w:r>
        <w:rPr>
          <w:rFonts w:hint="default" w:ascii="Times New Roman" w:hAnsi="Times New Roman" w:eastAsia="方正仿宋_GBK" w:cs="Times New Roman"/>
          <w:sz w:val="32"/>
          <w:szCs w:val="32"/>
          <w:shd w:val="clear" w:color="auto" w:fill="FFFFFF"/>
          <w:lang w:eastAsia="zh-CN"/>
        </w:rPr>
        <w:t>（</w:t>
      </w:r>
      <w:r>
        <w:rPr>
          <w:rFonts w:hint="eastAsia" w:ascii="Times New Roman" w:hAnsi="Times New Roman" w:eastAsia="方正仿宋_GBK" w:cs="Times New Roman"/>
          <w:sz w:val="32"/>
          <w:szCs w:val="32"/>
          <w:shd w:val="clear" w:color="auto" w:fill="FFFFFF"/>
          <w:lang w:val="en-US" w:eastAsia="zh-CN"/>
        </w:rPr>
        <w:t>2</w:t>
      </w:r>
      <w:r>
        <w:rPr>
          <w:rFonts w:hint="default" w:ascii="Times New Roman" w:hAnsi="Times New Roman" w:eastAsia="方正仿宋_GBK" w:cs="Times New Roman"/>
          <w:sz w:val="32"/>
          <w:szCs w:val="32"/>
          <w:shd w:val="clear" w:color="auto" w:fill="FFFFFF"/>
          <w:lang w:eastAsia="zh-CN"/>
        </w:rPr>
        <w:t>）</w:t>
      </w:r>
      <w:r>
        <w:rPr>
          <w:rFonts w:ascii="方正仿宋_GBK" w:hAnsi="方正仿宋_GBK" w:eastAsia="方正仿宋_GBK" w:cs="方正仿宋_GBK"/>
          <w:sz w:val="32"/>
          <w:szCs w:val="32"/>
          <w:shd w:val="clear" w:color="auto" w:fill="FFFFFF"/>
        </w:rPr>
        <w:t>卫生健康支出</w:t>
      </w:r>
      <w:r>
        <w:rPr>
          <w:rFonts w:hint="default" w:ascii="Times New Roman" w:hAnsi="Times New Roman" w:eastAsia="方正仿宋_GBK"/>
          <w:sz w:val="32"/>
          <w:szCs w:val="32"/>
          <w:shd w:val="clear" w:color="auto" w:fill="FFFFFF"/>
        </w:rPr>
        <w:t>184.12</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86.5%</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较年初预算数增加92.90万元，增长101.8%</w:t>
      </w:r>
      <w:r>
        <w:rPr>
          <w:rFonts w:ascii="方正仿宋_GBK" w:hAnsi="方正仿宋_GBK" w:eastAsia="方正仿宋_GBK" w:cs="方正仿宋_GBK"/>
          <w:sz w:val="32"/>
          <w:szCs w:val="32"/>
          <w:shd w:val="clear" w:color="auto" w:fill="FFFFFF"/>
        </w:rPr>
        <w:t>，主要原因是</w:t>
      </w:r>
      <w:r>
        <w:rPr>
          <w:rFonts w:ascii="方正仿宋_GBK" w:hAnsi="方正仿宋_GBK" w:eastAsia="方正仿宋_GBK" w:cs="方正仿宋_GBK"/>
          <w:sz w:val="32"/>
          <w:szCs w:val="32"/>
        </w:rPr>
        <w:t>年初预算主要是根据单位情况预估核算，实际财政拨款收入由财政根据资金分配情况统一安排拨款，因此财政拨款支出与年初预算有相应差异</w:t>
      </w:r>
      <w:r>
        <w:rPr>
          <w:rStyle w:val="20"/>
          <w:rFonts w:hint="eastAsia" w:ascii="方正仿宋_GBK" w:hAnsi="方正仿宋_GBK" w:eastAsia="方正仿宋_GBK" w:cs="方正仿宋_GBK"/>
          <w:b w:val="0"/>
          <w:bCs/>
          <w:sz w:val="32"/>
          <w:szCs w:val="32"/>
          <w:shd w:val="clear" w:color="auto" w:fill="FFFFFF"/>
        </w:rPr>
        <w:t>。</w:t>
      </w:r>
    </w:p>
    <w:p>
      <w:pPr>
        <w:keepNext w:val="0"/>
        <w:keepLines w:val="0"/>
        <w:pageBreakBefore w:val="0"/>
        <w:kinsoku/>
        <w:wordWrap/>
        <w:overflowPunct/>
        <w:topLinePunct w:val="0"/>
        <w:bidi w:val="0"/>
        <w:spacing w:afterAutospacing="0" w:line="560" w:lineRule="exact"/>
        <w:ind w:firstLine="640" w:firstLineChars="200"/>
        <w:jc w:val="both"/>
        <w:textAlignment w:val="auto"/>
        <w:rPr>
          <w:rFonts w:hint="eastAsia" w:ascii="方正仿宋_GBK" w:hAnsi="方正仿宋_GBK" w:eastAsia="方正仿宋_GBK" w:cs="方正仿宋_GBK"/>
          <w:sz w:val="32"/>
          <w:szCs w:val="32"/>
          <w:shd w:val="clear" w:color="auto" w:fill="FFFFFF"/>
          <w:lang w:eastAsia="zh-CN"/>
        </w:rPr>
      </w:pPr>
      <w:r>
        <w:rPr>
          <w:rFonts w:ascii="方正仿宋_GBK" w:hAnsi="方正仿宋_GBK" w:eastAsia="方正仿宋_GBK" w:cs="方正仿宋_GBK"/>
          <w:sz w:val="32"/>
          <w:szCs w:val="32"/>
          <w:shd w:val="clear" w:color="auto" w:fill="FFFFFF"/>
        </w:rPr>
        <w:t>（</w:t>
      </w:r>
      <w:r>
        <w:rPr>
          <w:rFonts w:hint="eastAsia" w:ascii="Times New Roman" w:hAnsi="Times New Roman" w:eastAsia="方正仿宋_GBK"/>
          <w:sz w:val="32"/>
          <w:szCs w:val="32"/>
          <w:shd w:val="clear" w:color="auto" w:fill="FFFFFF"/>
          <w:lang w:val="en-US" w:eastAsia="zh-CN"/>
        </w:rPr>
        <w:t>3</w:t>
      </w:r>
      <w:r>
        <w:rPr>
          <w:rFonts w:ascii="方正仿宋_GBK" w:hAnsi="方正仿宋_GBK" w:eastAsia="方正仿宋_GBK" w:cs="方正仿宋_GBK"/>
          <w:sz w:val="32"/>
          <w:szCs w:val="32"/>
          <w:shd w:val="clear" w:color="auto" w:fill="FFFFFF"/>
        </w:rPr>
        <w:t>）</w:t>
      </w:r>
      <w:r>
        <w:rPr>
          <w:rFonts w:ascii="方正仿宋_GBK" w:hAnsi="方正仿宋_GBK" w:eastAsia="方正仿宋_GBK" w:cs="方正仿宋_GBK"/>
          <w:sz w:val="32"/>
          <w:szCs w:val="32"/>
        </w:rPr>
        <w:t>住房保障支出</w:t>
      </w:r>
      <w:r>
        <w:rPr>
          <w:rFonts w:hint="default" w:ascii="Times New Roman" w:hAnsi="Times New Roman" w:eastAsia="方正仿宋_GBK"/>
          <w:sz w:val="32"/>
          <w:szCs w:val="32"/>
          <w:shd w:val="clear" w:color="auto" w:fill="FFFFFF"/>
        </w:rPr>
        <w:t>6.15</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2.9%</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较年初预算数无增减</w:t>
      </w:r>
      <w:r>
        <w:rPr>
          <w:rFonts w:ascii="方正仿宋_GBK" w:hAnsi="方正仿宋_GBK" w:eastAsia="方正仿宋_GBK" w:cs="方正仿宋_GBK"/>
          <w:sz w:val="32"/>
          <w:szCs w:val="32"/>
          <w:shd w:val="clear" w:color="auto" w:fill="FFFFFF"/>
        </w:rPr>
        <w:t>，</w:t>
      </w:r>
      <w:r>
        <w:rPr>
          <w:rFonts w:hint="eastAsia" w:ascii="方正仿宋_GBK" w:hAnsi="方正仿宋_GBK" w:eastAsia="方正仿宋_GBK" w:cs="方正仿宋_GBK"/>
          <w:sz w:val="32"/>
          <w:szCs w:val="32"/>
          <w:shd w:val="clear" w:color="auto" w:fill="FFFFFF"/>
          <w:lang w:eastAsia="zh-CN"/>
        </w:rPr>
        <w:t>与年初预算数一致。</w:t>
      </w:r>
    </w:p>
    <w:p>
      <w:pPr>
        <w:pStyle w:val="9"/>
        <w:keepNext w:val="0"/>
        <w:keepLines w:val="0"/>
        <w:pageBreakBefore w:val="0"/>
        <w:kinsoku/>
        <w:wordWrap/>
        <w:overflowPunct/>
        <w:topLinePunct w:val="0"/>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color w:val="auto"/>
          <w:sz w:val="32"/>
          <w:szCs w:val="32"/>
          <w:shd w:val="clear" w:color="auto" w:fill="FFFFFF"/>
          <w:lang w:val="en-US" w:eastAsia="zh-CN"/>
        </w:rPr>
      </w:pPr>
      <w:r>
        <w:rPr>
          <w:rStyle w:val="11"/>
          <w:rFonts w:hint="eastAsia" w:ascii="Times New Roman" w:hAnsi="Times New Roman" w:eastAsia="方正楷体_GBK" w:cs="Times New Roman"/>
          <w:b w:val="0"/>
          <w:bCs/>
          <w:sz w:val="32"/>
          <w:szCs w:val="32"/>
          <w:shd w:val="clear" w:color="auto" w:fill="FFFFFF"/>
          <w:lang w:val="en-US" w:eastAsia="zh-CN"/>
        </w:rPr>
        <w:t>3.</w:t>
      </w:r>
      <w:r>
        <w:rPr>
          <w:rStyle w:val="11"/>
          <w:rFonts w:hint="eastAsia" w:ascii="方正楷体_GBK" w:hAnsi="方正楷体_GBK" w:eastAsia="方正楷体_GBK" w:cs="方正楷体_GBK"/>
          <w:b w:val="0"/>
          <w:bCs/>
          <w:sz w:val="32"/>
          <w:szCs w:val="32"/>
          <w:shd w:val="clear" w:color="auto" w:fill="FFFFFF"/>
        </w:rPr>
        <w:t>结转结余情况</w:t>
      </w:r>
      <w:r>
        <w:rPr>
          <w:rStyle w:val="11"/>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年度年末一般公共预算财政拨款结转和结余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与2023年度相比，减少9.76万元，下降100.0%</w:t>
      </w:r>
      <w:r>
        <w:rPr>
          <w:rFonts w:ascii="方正仿宋_GBK" w:hAnsi="方正仿宋_GBK" w:eastAsia="方正仿宋_GBK" w:cs="方正仿宋_GBK"/>
          <w:sz w:val="32"/>
          <w:szCs w:val="32"/>
          <w:shd w:val="clear" w:color="auto" w:fill="FFFFFF"/>
        </w:rPr>
        <w:t>，</w:t>
      </w:r>
      <w:r>
        <w:rPr>
          <w:rFonts w:hint="eastAsia" w:ascii="方正仿宋_GBK" w:hAnsi="方正仿宋_GBK" w:eastAsia="方正仿宋_GBK" w:cs="方正仿宋_GBK"/>
          <w:sz w:val="32"/>
          <w:szCs w:val="32"/>
          <w:shd w:val="clear" w:color="auto" w:fill="FFFFFF"/>
          <w:lang w:eastAsia="zh-CN"/>
        </w:rPr>
        <w:t>主要原因</w:t>
      </w:r>
      <w:r>
        <w:rPr>
          <w:rFonts w:hint="default" w:ascii="Times New Roman" w:hAnsi="Times New Roman" w:eastAsia="方正仿宋_GBK" w:cs="Times New Roman"/>
          <w:sz w:val="32"/>
          <w:szCs w:val="32"/>
          <w:lang w:val="en-US" w:eastAsia="zh-CN" w:bidi="ar-SA"/>
        </w:rPr>
        <w:t>是</w:t>
      </w:r>
      <w:r>
        <w:rPr>
          <w:rFonts w:hint="eastAsia" w:ascii="Times New Roman" w:hAnsi="Times New Roman" w:eastAsia="方正仿宋_GBK" w:cs="Times New Roman"/>
          <w:sz w:val="32"/>
          <w:szCs w:val="32"/>
          <w:lang w:val="en-US" w:eastAsia="zh-CN" w:bidi="ar-SA"/>
        </w:rPr>
        <w:t>2023年结转结余是2022年绩效清算拨款未发放，本年度不存在此情况</w:t>
      </w:r>
      <w:r>
        <w:rPr>
          <w:rFonts w:hint="eastAsia" w:ascii="方正仿宋_GBK" w:hAnsi="方正仿宋_GBK" w:eastAsia="方正仿宋_GBK" w:cs="方正仿宋_GBK"/>
          <w:color w:val="auto"/>
          <w:sz w:val="32"/>
          <w:szCs w:val="32"/>
          <w:shd w:val="clear" w:color="auto" w:fill="FFFFFF"/>
          <w:lang w:val="en-US" w:eastAsia="zh-CN"/>
        </w:rPr>
        <w:t>。</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（四）一般公共预算财政拨款基本支出决算情况说明</w:t>
      </w:r>
    </w:p>
    <w:p>
      <w:pPr>
        <w:pStyle w:val="9"/>
        <w:keepNext w:val="0"/>
        <w:keepLines w:val="0"/>
        <w:pageBreakBefore w:val="0"/>
        <w:kinsoku/>
        <w:wordWrap/>
        <w:overflowPunct/>
        <w:topLinePunct w:val="0"/>
        <w:bidi w:val="0"/>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shd w:val="clear" w:color="auto" w:fill="FFFFFF"/>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年度一般公共财政拨款基本支出</w:t>
      </w:r>
      <w:r>
        <w:rPr>
          <w:rFonts w:hint="default" w:ascii="Times New Roman" w:hAnsi="Times New Roman" w:eastAsia="方正仿宋_GBK"/>
          <w:sz w:val="32"/>
          <w:szCs w:val="32"/>
          <w:shd w:val="clear" w:color="auto" w:fill="FFFFFF"/>
        </w:rPr>
        <w:t>209.49</w:t>
      </w:r>
      <w:r>
        <w:rPr>
          <w:rFonts w:ascii="方正仿宋_GBK" w:hAnsi="方正仿宋_GBK" w:eastAsia="方正仿宋_GBK" w:cs="方正仿宋_GBK"/>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both"/>
        <w:textAlignment w:val="auto"/>
        <w:rPr>
          <w:rFonts w:ascii="方正仿宋_GBK" w:hAnsi="方正仿宋_GBK" w:eastAsia="方正仿宋_GBK" w:cs="方正仿宋_GBK"/>
          <w:sz w:val="32"/>
          <w:szCs w:val="32"/>
          <w:shd w:val="clear" w:color="auto" w:fill="FFFFFF"/>
        </w:rPr>
      </w:pPr>
      <w:bookmarkStart w:id="0" w:name="_GoBack"/>
      <w:bookmarkEnd w:id="0"/>
      <w:r>
        <w:rPr>
          <w:rFonts w:ascii="方正仿宋_GBK" w:hAnsi="方正仿宋_GBK" w:eastAsia="方正仿宋_GBK" w:cs="方正仿宋_GBK"/>
          <w:sz w:val="32"/>
          <w:szCs w:val="32"/>
          <w:shd w:val="clear" w:color="auto" w:fill="FFFFFF"/>
        </w:rPr>
        <w:t>其中：</w:t>
      </w:r>
    </w:p>
    <w:p>
      <w:pPr>
        <w:pStyle w:val="9"/>
        <w:keepNext w:val="0"/>
        <w:keepLines w:val="0"/>
        <w:pageBreakBefore w:val="0"/>
        <w:kinsoku/>
        <w:wordWrap/>
        <w:overflowPunct/>
        <w:topLinePunct w:val="0"/>
        <w:bidi w:val="0"/>
        <w:snapToGrid w:val="0"/>
        <w:spacing w:before="0" w:beforeAutospacing="0" w:after="0" w:afterAutospacing="0" w:line="560" w:lineRule="exact"/>
        <w:ind w:firstLine="640" w:firstLineChars="200"/>
        <w:jc w:val="both"/>
        <w:textAlignment w:val="auto"/>
        <w:rPr>
          <w:rFonts w:hint="eastAsia" w:ascii="方正仿宋_GBK" w:hAnsi="方正仿宋_GBK" w:eastAsia="方正仿宋_GBK" w:cs="方正仿宋_GBK"/>
          <w:color w:val="FF0000"/>
          <w:sz w:val="32"/>
          <w:szCs w:val="32"/>
          <w:shd w:val="clear" w:color="auto" w:fill="FFFFFF"/>
          <w:lang w:eastAsia="zh-CN"/>
        </w:rPr>
      </w:pPr>
      <w:r>
        <w:rPr>
          <w:rFonts w:ascii="方正仿宋_GBK" w:hAnsi="方正仿宋_GBK" w:eastAsia="方正仿宋_GBK" w:cs="方正仿宋_GBK"/>
          <w:sz w:val="32"/>
          <w:szCs w:val="32"/>
          <w:shd w:val="clear" w:color="auto" w:fill="FFFFFF"/>
        </w:rPr>
        <w:t>人员经费</w:t>
      </w:r>
      <w:r>
        <w:rPr>
          <w:rFonts w:hint="default" w:ascii="Times New Roman" w:hAnsi="Times New Roman" w:eastAsia="方正仿宋_GBK"/>
          <w:sz w:val="32"/>
          <w:szCs w:val="32"/>
          <w:shd w:val="clear" w:color="auto" w:fill="FFFFFF"/>
        </w:rPr>
        <w:t>208.25</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与2023年度相比，减少3.39万元，下降1.6%</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财政拨款收入减少，相应人员经费减少。</w:t>
      </w:r>
      <w:r>
        <w:rPr>
          <w:rFonts w:ascii="方正仿宋_GBK" w:hAnsi="方正仿宋_GBK" w:eastAsia="方正仿宋_GBK" w:cs="方正仿宋_GBK"/>
          <w:sz w:val="32"/>
          <w:szCs w:val="32"/>
          <w:shd w:val="clear" w:color="auto" w:fill="FFFFFF"/>
        </w:rPr>
        <w:t>人员经费用途主要包括</w:t>
      </w:r>
      <w:r>
        <w:rPr>
          <w:rFonts w:hint="default" w:ascii="Times New Roman" w:hAnsi="Times New Roman" w:eastAsia="方正仿宋_GBK" w:cs="Times New Roman"/>
          <w:sz w:val="32"/>
          <w:szCs w:val="32"/>
        </w:rPr>
        <w:t>人员社会保障、工资、绩效、津补贴支出等</w:t>
      </w:r>
      <w:r>
        <w:rPr>
          <w:rFonts w:hint="eastAsia" w:ascii="方正仿宋_GBK" w:hAnsi="方正仿宋_GBK" w:eastAsia="方正仿宋_GBK" w:cs="方正仿宋_GBK"/>
          <w:color w:val="auto"/>
          <w:sz w:val="32"/>
          <w:szCs w:val="32"/>
          <w:shd w:val="clear" w:color="auto" w:fill="FFFFFF"/>
          <w:lang w:eastAsia="zh-CN"/>
        </w:rPr>
        <w:t>。</w:t>
      </w:r>
    </w:p>
    <w:p>
      <w:pPr>
        <w:pStyle w:val="9"/>
        <w:keepNext w:val="0"/>
        <w:keepLines w:val="0"/>
        <w:pageBreakBefore w:val="0"/>
        <w:kinsoku/>
        <w:wordWrap/>
        <w:overflowPunct/>
        <w:topLinePunct w:val="0"/>
        <w:bidi w:val="0"/>
        <w:snapToGrid w:val="0"/>
        <w:spacing w:before="0" w:beforeAutospacing="0" w:after="0" w:afterAutospacing="0" w:line="560" w:lineRule="exact"/>
        <w:ind w:firstLine="640" w:firstLineChars="200"/>
        <w:jc w:val="both"/>
        <w:textAlignment w:val="auto"/>
        <w:rPr>
          <w:rFonts w:hint="eastAsia" w:ascii="方正仿宋_GBK" w:hAnsi="方正仿宋_GBK" w:eastAsia="方正仿宋_GBK" w:cs="方正仿宋_GBK"/>
          <w:sz w:val="32"/>
          <w:szCs w:val="32"/>
          <w:lang w:eastAsia="zh-CN"/>
        </w:rPr>
      </w:pPr>
      <w:r>
        <w:rPr>
          <w:rFonts w:ascii="方正仿宋_GBK" w:hAnsi="方正仿宋_GBK" w:eastAsia="方正仿宋_GBK" w:cs="方正仿宋_GBK"/>
          <w:sz w:val="32"/>
          <w:szCs w:val="32"/>
          <w:shd w:val="clear" w:color="auto" w:fill="FFFFFF"/>
        </w:rPr>
        <w:t>公用经费</w:t>
      </w:r>
      <w:r>
        <w:rPr>
          <w:rFonts w:hint="default" w:ascii="Times New Roman" w:hAnsi="Times New Roman" w:eastAsia="方正仿宋_GBK"/>
          <w:sz w:val="32"/>
          <w:szCs w:val="32"/>
          <w:shd w:val="clear" w:color="auto" w:fill="FFFFFF"/>
        </w:rPr>
        <w:t>1.24</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与2023年度相比，减少1.02万元，下降45.1%</w:t>
      </w:r>
      <w:r>
        <w:rPr>
          <w:rFonts w:ascii="方正仿宋_GBK" w:hAnsi="方正仿宋_GBK" w:eastAsia="方正仿宋_GBK" w:cs="方正仿宋_GBK"/>
          <w:sz w:val="32"/>
          <w:szCs w:val="32"/>
          <w:shd w:val="clear" w:color="auto" w:fill="FFFFFF"/>
        </w:rPr>
        <w:t>，主要原因是</w:t>
      </w:r>
      <w:r>
        <w:rPr>
          <w:rFonts w:ascii="方正仿宋_GBK" w:hAnsi="方正仿宋_GBK" w:eastAsia="方正仿宋_GBK" w:cs="方正仿宋_GBK"/>
          <w:sz w:val="32"/>
          <w:szCs w:val="32"/>
        </w:rPr>
        <w:t>培训次数及出差次数</w:t>
      </w:r>
      <w:r>
        <w:rPr>
          <w:rFonts w:hint="eastAsia" w:ascii="方正仿宋_GBK" w:hAnsi="方正仿宋_GBK" w:eastAsia="方正仿宋_GBK" w:cs="方正仿宋_GBK"/>
          <w:sz w:val="32"/>
          <w:szCs w:val="32"/>
          <w:lang w:eastAsia="zh-CN"/>
        </w:rPr>
        <w:t>减少</w:t>
      </w:r>
      <w:r>
        <w:rPr>
          <w:rFonts w:ascii="方正仿宋_GBK" w:hAnsi="方正仿宋_GBK" w:eastAsia="方正仿宋_GBK" w:cs="方正仿宋_GBK"/>
          <w:sz w:val="32"/>
          <w:szCs w:val="32"/>
        </w:rPr>
        <w:t>，相应支出</w:t>
      </w:r>
      <w:r>
        <w:rPr>
          <w:rFonts w:hint="eastAsia" w:ascii="方正仿宋_GBK" w:hAnsi="方正仿宋_GBK" w:eastAsia="方正仿宋_GBK" w:cs="方正仿宋_GBK"/>
          <w:sz w:val="32"/>
          <w:szCs w:val="32"/>
          <w:lang w:eastAsia="zh-CN"/>
        </w:rPr>
        <w:t>减少</w:t>
      </w:r>
      <w:r>
        <w:rPr>
          <w:rFonts w:ascii="方正仿宋_GBK" w:hAnsi="方正仿宋_GBK" w:eastAsia="方正仿宋_GBK" w:cs="方正仿宋_GBK"/>
          <w:sz w:val="32"/>
          <w:szCs w:val="32"/>
        </w:rPr>
        <w:t>，办公费</w:t>
      </w:r>
      <w:r>
        <w:rPr>
          <w:rFonts w:hint="eastAsia" w:ascii="方正仿宋_GBK" w:hAnsi="方正仿宋_GBK" w:eastAsia="方正仿宋_GBK" w:cs="方正仿宋_GBK"/>
          <w:sz w:val="32"/>
          <w:szCs w:val="32"/>
          <w:lang w:eastAsia="zh-CN"/>
        </w:rPr>
        <w:t>减少</w:t>
      </w:r>
      <w:r>
        <w:rPr>
          <w:rFonts w:ascii="方正仿宋_GBK" w:hAnsi="方正仿宋_GBK" w:eastAsia="方正仿宋_GBK" w:cs="方正仿宋_GBK"/>
          <w:sz w:val="32"/>
          <w:szCs w:val="32"/>
        </w:rPr>
        <w:t>。</w:t>
      </w:r>
      <w:r>
        <w:rPr>
          <w:rFonts w:ascii="方正仿宋_GBK" w:hAnsi="方正仿宋_GBK" w:eastAsia="方正仿宋_GBK" w:cs="方正仿宋_GBK"/>
          <w:color w:val="auto"/>
          <w:sz w:val="32"/>
          <w:szCs w:val="32"/>
        </w:rPr>
        <w:t>公用经费</w:t>
      </w:r>
      <w:r>
        <w:rPr>
          <w:rFonts w:ascii="Times New Roman" w:hAnsi="Times New Roman" w:eastAsia="方正仿宋_GBK"/>
          <w:sz w:val="32"/>
          <w:szCs w:val="32"/>
        </w:rPr>
        <w:t>用途主要包括差旅支出、水电支出、办公开支</w:t>
      </w:r>
      <w:r>
        <w:rPr>
          <w:rFonts w:ascii="方正仿宋_GBK" w:hAnsi="方正仿宋_GBK" w:eastAsia="方正仿宋_GBK" w:cs="方正仿宋_GBK"/>
          <w:sz w:val="32"/>
          <w:szCs w:val="32"/>
        </w:rPr>
        <w:t>等</w:t>
      </w:r>
      <w:r>
        <w:rPr>
          <w:rFonts w:hint="eastAsia" w:ascii="方正仿宋_GBK" w:hAnsi="方正仿宋_GBK" w:eastAsia="方正仿宋_GBK" w:cs="方正仿宋_GBK"/>
          <w:sz w:val="32"/>
          <w:szCs w:val="32"/>
          <w:lang w:eastAsia="zh-CN"/>
        </w:rPr>
        <w:t>。</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（五）政府性基金预算收支决算情况说明</w:t>
      </w:r>
    </w:p>
    <w:p>
      <w:pPr>
        <w:pStyle w:val="9"/>
        <w:keepNext w:val="0"/>
        <w:keepLines w:val="0"/>
        <w:pageBreakBefore w:val="0"/>
        <w:kinsoku/>
        <w:wordWrap/>
        <w:overflowPunct/>
        <w:topLinePunct w:val="0"/>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本单位</w:t>
      </w:r>
      <w:r>
        <w:rPr>
          <w:rFonts w:hint="default" w:ascii="Times New Roman" w:hAnsi="Times New Roman" w:eastAsia="方正仿宋_GBK" w:cs="Times New Roman"/>
          <w:sz w:val="32"/>
          <w:szCs w:val="32"/>
          <w:lang w:eastAsia="zh-CN"/>
        </w:rPr>
        <w:t>2024</w:t>
      </w:r>
      <w:r>
        <w:rPr>
          <w:rFonts w:hint="eastAsia" w:ascii="方正仿宋_GBK" w:hAnsi="方正仿宋_GBK" w:eastAsia="方正仿宋_GBK" w:cs="方正仿宋_GBK"/>
          <w:sz w:val="32"/>
          <w:szCs w:val="32"/>
          <w:lang w:eastAsia="zh-CN"/>
        </w:rPr>
        <w:t>年度无政府性基金预算财政拨款收支。</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（六）国有资本经营预算财政拨款支出决算情况说明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638" w:leftChars="266" w:firstLine="640" w:firstLineChars="200"/>
        <w:jc w:val="both"/>
        <w:textAlignment w:val="auto"/>
        <w:rPr>
          <w:rFonts w:hint="eastAsia" w:ascii="方正仿宋_GBK" w:hAnsi="方正仿宋_GBK" w:eastAsia="方正仿宋_GBK" w:cs="方正仿宋_GBK"/>
          <w:sz w:val="32"/>
          <w:szCs w:val="32"/>
          <w:lang w:val="en-US" w:eastAsia="zh-CN"/>
        </w:rPr>
      </w:pPr>
      <w:r>
        <w:rPr>
          <w:rFonts w:ascii="方正仿宋_GBK" w:hAnsi="方正仿宋_GBK" w:eastAsia="方正仿宋_GBK" w:cs="方正仿宋_GBK"/>
          <w:sz w:val="32"/>
          <w:szCs w:val="32"/>
        </w:rPr>
        <w:t>本单位</w:t>
      </w:r>
      <w:r>
        <w:rPr>
          <w:rFonts w:hint="default" w:ascii="Times New Roman" w:hAnsi="Times New Roman" w:eastAsia="方正仿宋_GBK"/>
          <w:sz w:val="32"/>
          <w:szCs w:val="32"/>
        </w:rPr>
        <w:t>202</w:t>
      </w:r>
      <w:r>
        <w:rPr>
          <w:rFonts w:hint="eastAsia" w:ascii="Times New Roman" w:hAnsi="Times New Roman" w:eastAsia="方正仿宋_GBK"/>
          <w:sz w:val="32"/>
          <w:szCs w:val="32"/>
          <w:lang w:val="en-US" w:eastAsia="zh-CN"/>
        </w:rPr>
        <w:t>4</w:t>
      </w:r>
      <w:r>
        <w:rPr>
          <w:rFonts w:ascii="方正仿宋_GBK" w:hAnsi="方正仿宋_GBK" w:eastAsia="方正仿宋_GBK" w:cs="方正仿宋_GBK"/>
          <w:sz w:val="32"/>
          <w:szCs w:val="32"/>
        </w:rPr>
        <w:t>年度无国有资本经营预算财政拨款支出</w:t>
      </w:r>
      <w:r>
        <w:rPr>
          <w:rFonts w:hint="eastAsia" w:ascii="方正仿宋_GBK" w:hAnsi="方正仿宋_GBK" w:eastAsia="方正仿宋_GBK" w:cs="方正仿宋_GBK"/>
          <w:sz w:val="32"/>
          <w:szCs w:val="32"/>
          <w:lang w:val="en-US" w:eastAsia="zh-CN"/>
        </w:rPr>
        <w:t>。</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default" w:ascii="黑体" w:hAnsi="黑体" w:eastAsia="黑体" w:cs="黑体"/>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三、</w:t>
      </w:r>
      <w:r>
        <w:rPr>
          <w:rStyle w:val="11"/>
          <w:rFonts w:hint="eastAsia" w:ascii="方正黑体_GBK" w:hAnsi="方正黑体_GBK" w:eastAsia="方正黑体_GBK" w:cs="方正黑体_GBK"/>
          <w:b w:val="0"/>
          <w:bCs/>
          <w:sz w:val="32"/>
          <w:szCs w:val="32"/>
          <w:shd w:val="clear" w:color="auto" w:fill="FFFFFF"/>
          <w:lang w:eastAsia="zh-CN"/>
        </w:rPr>
        <w:t>财政拨款</w:t>
      </w:r>
      <w:r>
        <w:rPr>
          <w:rStyle w:val="11"/>
          <w:rFonts w:hint="eastAsia" w:ascii="方正黑体_GBK" w:hAnsi="方正黑体_GBK" w:eastAsia="方正黑体_GBK" w:cs="方正黑体_GBK"/>
          <w:b w:val="0"/>
          <w:bCs/>
          <w:sz w:val="32"/>
          <w:szCs w:val="32"/>
          <w:shd w:val="clear" w:color="auto" w:fill="FFFFFF"/>
        </w:rPr>
        <w:t>“三公”经费情况说明</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（一）“三公”经费支出总体情况说明</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本单位为差额拨款事业单位，</w:t>
      </w:r>
      <w:r>
        <w:rPr>
          <w:rFonts w:hint="eastAsia" w:ascii="方正仿宋_GBK" w:hAnsi="方正仿宋_GBK" w:eastAsia="方正仿宋_GBK" w:cs="方正仿宋_GBK"/>
          <w:sz w:val="32"/>
          <w:szCs w:val="32"/>
          <w:lang w:eastAsia="zh-CN"/>
        </w:rPr>
        <w:t>未使用财政资金保障</w:t>
      </w:r>
      <w:r>
        <w:rPr>
          <w:rFonts w:ascii="方正仿宋_GBK" w:hAnsi="方正仿宋_GBK" w:eastAsia="方正仿宋_GBK" w:cs="方正仿宋_GBK"/>
          <w:sz w:val="32"/>
          <w:szCs w:val="32"/>
        </w:rPr>
        <w:t>“三公”经费。</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w:t>
      </w:r>
      <w:r>
        <w:rPr>
          <w:rFonts w:hint="eastAsia" w:ascii="Times New Roman" w:hAnsi="Times New Roman" w:eastAsia="方正仿宋_GBK" w:cs="方正仿宋_GBK"/>
          <w:sz w:val="32"/>
          <w:szCs w:val="32"/>
          <w:shd w:val="clear" w:color="auto" w:fill="FFFFFF"/>
          <w:lang w:val="en-US" w:eastAsia="zh-CN"/>
        </w:rPr>
        <w:t>4</w:t>
      </w:r>
      <w:r>
        <w:rPr>
          <w:rFonts w:ascii="Times New Roman" w:hAnsi="Times New Roman" w:eastAsia="方正仿宋_GBK" w:cs="方正仿宋_GBK"/>
          <w:sz w:val="32"/>
          <w:szCs w:val="32"/>
          <w:shd w:val="clear" w:color="auto" w:fill="FFFFFF"/>
        </w:rPr>
        <w:t>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w:t>
      </w:r>
      <w:r>
        <w:rPr>
          <w:rFonts w:hint="eastAsia" w:ascii="Times New Roman" w:hAnsi="Times New Roman" w:eastAsia="方正仿宋_GBK" w:cs="方正仿宋_GBK"/>
          <w:sz w:val="32"/>
          <w:szCs w:val="32"/>
          <w:shd w:val="clear" w:color="auto" w:fill="FFFFFF"/>
          <w:lang w:val="en-US" w:eastAsia="zh-CN"/>
        </w:rPr>
        <w:t>4</w:t>
      </w:r>
      <w:r>
        <w:rPr>
          <w:rFonts w:ascii="Times New Roman" w:hAnsi="Times New Roman" w:eastAsia="方正仿宋_GBK" w:cs="方正仿宋_GBK"/>
          <w:sz w:val="32"/>
          <w:szCs w:val="32"/>
          <w:shd w:val="clear" w:color="auto" w:fill="FFFFFF"/>
        </w:rPr>
        <w:t>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w:t>
      </w:r>
      <w:r>
        <w:rPr>
          <w:rFonts w:hint="eastAsia" w:ascii="Times New Roman" w:hAnsi="Times New Roman" w:eastAsia="方正仿宋_GBK" w:cs="方正仿宋_GBK"/>
          <w:sz w:val="32"/>
          <w:szCs w:val="32"/>
          <w:shd w:val="clear" w:color="auto" w:fill="FFFFFF"/>
          <w:lang w:val="en-US" w:eastAsia="zh-CN"/>
        </w:rPr>
        <w:t>4</w:t>
      </w:r>
      <w:r>
        <w:rPr>
          <w:rFonts w:ascii="Times New Roman" w:hAnsi="Times New Roman" w:eastAsia="方正仿宋_GBK" w:cs="方正仿宋_GBK"/>
          <w:sz w:val="32"/>
          <w:szCs w:val="32"/>
          <w:shd w:val="clear" w:color="auto" w:fill="FFFFFF"/>
        </w:rPr>
        <w:t>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4"/>
        <w:keepNext w:val="0"/>
        <w:keepLines w:val="0"/>
        <w:pageBreakBefore w:val="0"/>
        <w:kinsoku/>
        <w:wordWrap/>
        <w:overflowPunct/>
        <w:topLinePunct w:val="0"/>
        <w:autoSpaceDE/>
        <w:autoSpaceDN/>
        <w:bidi w:val="0"/>
        <w:adjustRightInd/>
        <w:spacing w:afterAutospacing="0" w:line="560" w:lineRule="exact"/>
        <w:ind w:left="0" w:firstLine="640" w:firstLineChars="200"/>
        <w:jc w:val="both"/>
        <w:textAlignment w:val="auto"/>
        <w:rPr>
          <w:rFonts w:hint="eastAsia" w:ascii="方正仿宋_GBK" w:hAnsi="方正仿宋_GBK" w:eastAsia="方正仿宋_GBK" w:cs="方正仿宋_GBK"/>
          <w:i w:val="0"/>
          <w:color w:val="auto"/>
          <w:kern w:val="0"/>
          <w:sz w:val="24"/>
          <w:szCs w:val="24"/>
          <w:highlight w:val="none"/>
          <w:u w:val="none"/>
          <w:lang w:val="en-US" w:eastAsia="zh-CN" w:bidi="ar"/>
        </w:rPr>
      </w:pPr>
      <w:r>
        <w:rPr>
          <w:rFonts w:ascii="Times New Roman" w:hAnsi="Times New Roman" w:eastAsia="方正仿宋_GBK" w:cs="方正仿宋_GBK"/>
          <w:sz w:val="32"/>
          <w:szCs w:val="32"/>
          <w:shd w:val="clear" w:color="auto" w:fill="FFFFFF"/>
        </w:rPr>
        <w:t>202</w:t>
      </w:r>
      <w:r>
        <w:rPr>
          <w:rFonts w:hint="eastAsia" w:ascii="Times New Roman" w:hAnsi="Times New Roman" w:eastAsia="方正仿宋_GBK" w:cs="方正仿宋_GBK"/>
          <w:sz w:val="32"/>
          <w:szCs w:val="32"/>
          <w:shd w:val="clear" w:color="auto" w:fill="FFFFFF"/>
          <w:lang w:val="en-US" w:eastAsia="zh-CN"/>
        </w:rPr>
        <w:t>4</w:t>
      </w:r>
      <w:r>
        <w:rPr>
          <w:rFonts w:ascii="Times New Roman" w:hAnsi="Times New Roman" w:eastAsia="方正仿宋_GBK" w:cs="方正仿宋_GBK"/>
          <w:sz w:val="32"/>
          <w:szCs w:val="32"/>
          <w:shd w:val="clear" w:color="auto" w:fill="FFFFFF"/>
        </w:rPr>
        <w:t>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（三）“三公”经费实物量情况</w:t>
      </w:r>
    </w:p>
    <w:p>
      <w:pPr>
        <w:pStyle w:val="9"/>
        <w:keepNext w:val="0"/>
        <w:keepLines w:val="0"/>
        <w:pageBreakBefore w:val="0"/>
        <w:kinsoku/>
        <w:wordWrap/>
        <w:overflowPunct/>
        <w:topLinePunct w:val="0"/>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因公出国（境）共计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个团组，</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人；公务用车购置</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辆，公务车保有量为</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辆；国内公务接待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人，其中：国内外事接待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人；国（境）外公务接待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人均接待费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元，车均购置费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万元，车均维护费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四、其他需要说明的事项</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（一）财政拨款会议费、培训费和差旅费情况说明</w:t>
      </w:r>
    </w:p>
    <w:p>
      <w:pPr>
        <w:pStyle w:val="9"/>
        <w:keepNext w:val="0"/>
        <w:keepLines w:val="0"/>
        <w:pageBreakBefore w:val="0"/>
        <w:kinsoku/>
        <w:wordWrap/>
        <w:overflowPunct/>
        <w:topLinePunct w:val="0"/>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本单位为差额拨款事业单位，</w:t>
      </w:r>
      <w:r>
        <w:rPr>
          <w:rFonts w:hint="eastAsia" w:ascii="方正仿宋_GBK" w:hAnsi="方正仿宋_GBK" w:eastAsia="方正仿宋_GBK" w:cs="方正仿宋_GBK"/>
          <w:sz w:val="32"/>
          <w:szCs w:val="32"/>
          <w:lang w:eastAsia="zh-CN"/>
        </w:rPr>
        <w:t>未使用财政资金保障财政资金保障</w:t>
      </w:r>
      <w:r>
        <w:rPr>
          <w:rFonts w:hint="default" w:ascii="方正仿宋_GBK" w:hAnsi="方正仿宋_GBK" w:eastAsia="方正仿宋_GBK" w:cs="方正仿宋_GBK"/>
          <w:sz w:val="32"/>
          <w:szCs w:val="32"/>
        </w:rPr>
        <w:t>会议费</w:t>
      </w:r>
      <w:r>
        <w:rPr>
          <w:rFonts w:ascii="方正仿宋_GBK" w:hAnsi="方正仿宋_GBK" w:eastAsia="方正仿宋_GBK" w:cs="方正仿宋_GBK"/>
          <w:sz w:val="32"/>
          <w:szCs w:val="32"/>
        </w:rPr>
        <w:t>、</w:t>
      </w:r>
      <w:r>
        <w:rPr>
          <w:rFonts w:hint="default" w:ascii="方正仿宋_GBK" w:hAnsi="方正仿宋_GBK" w:eastAsia="方正仿宋_GBK" w:cs="方正仿宋_GBK"/>
          <w:sz w:val="32"/>
          <w:szCs w:val="32"/>
        </w:rPr>
        <w:t>培训费</w:t>
      </w:r>
      <w:r>
        <w:rPr>
          <w:rFonts w:ascii="方正仿宋_GBK" w:hAnsi="方正仿宋_GBK" w:eastAsia="方正仿宋_GBK" w:cs="方正仿宋_GBK"/>
          <w:sz w:val="32"/>
          <w:szCs w:val="32"/>
        </w:rPr>
        <w:t>和差旅费</w:t>
      </w:r>
      <w:r>
        <w:rPr>
          <w:rFonts w:hint="default" w:ascii="方正仿宋_GBK" w:hAnsi="方正仿宋_GBK" w:eastAsia="方正仿宋_GBK" w:cs="方正仿宋_GBK"/>
          <w:sz w:val="32"/>
          <w:szCs w:val="32"/>
        </w:rPr>
        <w:t>。</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（二）机关运行经费情况说明</w:t>
      </w:r>
    </w:p>
    <w:p>
      <w:pPr>
        <w:pStyle w:val="9"/>
        <w:keepNext w:val="0"/>
        <w:keepLines w:val="0"/>
        <w:pageBreakBefore w:val="0"/>
        <w:kinsoku/>
        <w:wordWrap/>
        <w:overflowPunct/>
        <w:topLinePunct w:val="0"/>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本单位为差额拨款事业单位，</w:t>
      </w:r>
      <w:r>
        <w:rPr>
          <w:rFonts w:hint="eastAsia" w:ascii="方正仿宋_GBK" w:hAnsi="方正仿宋_GBK" w:eastAsia="方正仿宋_GBK" w:cs="方正仿宋_GBK"/>
          <w:sz w:val="32"/>
          <w:szCs w:val="32"/>
          <w:lang w:eastAsia="zh-CN"/>
        </w:rPr>
        <w:t>未使用财政资金保障</w:t>
      </w:r>
      <w:r>
        <w:rPr>
          <w:rFonts w:hint="default" w:ascii="方正仿宋_GBK" w:hAnsi="方正仿宋_GBK" w:eastAsia="方正仿宋_GBK" w:cs="方正仿宋_GBK"/>
          <w:sz w:val="32"/>
          <w:szCs w:val="32"/>
        </w:rPr>
        <w:t>机关运行经费。</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（三）国有资产占用情况说明</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shd w:val="clear" w:color="auto" w:fill="FFFFFF"/>
        </w:rPr>
        <w:t>截至</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w:t>
      </w:r>
      <w:r>
        <w:rPr>
          <w:rFonts w:hint="default" w:ascii="Times New Roman" w:hAnsi="Times New Roman" w:eastAsia="方正仿宋_GBK"/>
          <w:sz w:val="32"/>
          <w:szCs w:val="32"/>
          <w:shd w:val="clear" w:color="auto" w:fill="FFFFFF"/>
        </w:rPr>
        <w:t>12</w:t>
      </w:r>
      <w:r>
        <w:rPr>
          <w:rFonts w:ascii="方正仿宋_GBK" w:hAnsi="方正仿宋_GBK" w:eastAsia="方正仿宋_GBK" w:cs="方正仿宋_GBK"/>
          <w:sz w:val="32"/>
          <w:szCs w:val="32"/>
          <w:shd w:val="clear" w:color="auto" w:fill="FFFFFF"/>
        </w:rPr>
        <w:t>月</w:t>
      </w:r>
      <w:r>
        <w:rPr>
          <w:rFonts w:hint="default" w:ascii="Times New Roman" w:hAnsi="Times New Roman" w:eastAsia="方正仿宋_GBK"/>
          <w:sz w:val="32"/>
          <w:szCs w:val="32"/>
          <w:shd w:val="clear" w:color="auto" w:fill="FFFFFF"/>
        </w:rPr>
        <w:t>31</w:t>
      </w:r>
      <w:r>
        <w:rPr>
          <w:rFonts w:ascii="方正仿宋_GBK" w:hAnsi="方正仿宋_GBK" w:eastAsia="方正仿宋_GBK" w:cs="方正仿宋_GBK"/>
          <w:sz w:val="32"/>
          <w:szCs w:val="32"/>
          <w:shd w:val="clear" w:color="auto" w:fill="FFFFFF"/>
        </w:rPr>
        <w:t>日，本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共有车辆</w:t>
      </w:r>
      <w:r>
        <w:rPr>
          <w:rFonts w:hint="default" w:ascii="Times New Roman" w:hAnsi="Times New Roman" w:eastAsia="方正仿宋_GBK"/>
          <w:sz w:val="32"/>
          <w:szCs w:val="32"/>
          <w:shd w:val="clear" w:color="auto" w:fill="FFFFFF"/>
        </w:rPr>
        <w:t>2</w:t>
      </w:r>
      <w:r>
        <w:rPr>
          <w:rFonts w:ascii="方正仿宋_GBK" w:hAnsi="方正仿宋_GBK" w:eastAsia="方正仿宋_GBK" w:cs="方正仿宋_GBK"/>
          <w:sz w:val="32"/>
          <w:szCs w:val="32"/>
          <w:shd w:val="clear" w:color="auto" w:fill="FFFFFF"/>
        </w:rPr>
        <w:t>辆，其中，副部（省）级及以上领导用车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辆、主要负责人用车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辆、机要通信用车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辆、应急保障用车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辆、执法执勤用车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辆，特种专业技术用车</w:t>
      </w:r>
      <w:r>
        <w:rPr>
          <w:rFonts w:hint="default" w:ascii="Times New Roman" w:hAnsi="Times New Roman" w:eastAsia="方正仿宋_GBK"/>
          <w:sz w:val="32"/>
          <w:szCs w:val="32"/>
          <w:shd w:val="clear" w:color="auto" w:fill="FFFFFF"/>
        </w:rPr>
        <w:t>2</w:t>
      </w:r>
      <w:r>
        <w:rPr>
          <w:rFonts w:ascii="方正仿宋_GBK" w:hAnsi="方正仿宋_GBK" w:eastAsia="方正仿宋_GBK" w:cs="方正仿宋_GBK"/>
          <w:sz w:val="32"/>
          <w:szCs w:val="32"/>
          <w:shd w:val="clear" w:color="auto" w:fill="FFFFFF"/>
        </w:rPr>
        <w:t>辆，离退休干部用车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辆。单价</w:t>
      </w:r>
      <w:r>
        <w:rPr>
          <w:rFonts w:hint="default" w:ascii="Times New Roman" w:hAnsi="Times New Roman" w:eastAsia="方正仿宋_GBK"/>
          <w:sz w:val="32"/>
          <w:szCs w:val="32"/>
          <w:shd w:val="clear" w:color="auto" w:fill="FFFFFF"/>
        </w:rPr>
        <w:t>100</w:t>
      </w:r>
      <w:r>
        <w:rPr>
          <w:rFonts w:ascii="方正仿宋_GBK" w:hAnsi="方正仿宋_GBK" w:eastAsia="方正仿宋_GBK" w:cs="方正仿宋_GBK"/>
          <w:sz w:val="32"/>
          <w:szCs w:val="32"/>
          <w:shd w:val="clear" w:color="auto" w:fill="FFFFFF"/>
        </w:rPr>
        <w:t>万元（含）以上专用设备</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台（套）。</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（四）政府采购支出情况说明</w:t>
      </w:r>
    </w:p>
    <w:p>
      <w:pPr>
        <w:pStyle w:val="9"/>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eastAsia"/>
          <w:lang w:val="en-US"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政府采购支出总额</w:t>
      </w:r>
      <w:r>
        <w:rPr>
          <w:rFonts w:hint="default" w:ascii="Times New Roman" w:hAnsi="Times New Roman" w:eastAsia="方正仿宋_GBK"/>
          <w:sz w:val="32"/>
          <w:szCs w:val="32"/>
          <w:shd w:val="clear" w:color="auto" w:fill="FFFFFF"/>
        </w:rPr>
        <w:t>2.52</w:t>
      </w:r>
      <w:r>
        <w:rPr>
          <w:rFonts w:ascii="方正仿宋_GBK" w:hAnsi="方正仿宋_GBK" w:eastAsia="方正仿宋_GBK" w:cs="方正仿宋_GBK"/>
          <w:sz w:val="32"/>
          <w:szCs w:val="32"/>
          <w:shd w:val="clear" w:color="auto" w:fill="FFFFFF"/>
        </w:rPr>
        <w:t>万元，其中：政府采购货物支出</w:t>
      </w:r>
      <w:r>
        <w:rPr>
          <w:rFonts w:hint="default" w:ascii="Times New Roman" w:hAnsi="Times New Roman" w:eastAsia="方正仿宋_GBK"/>
          <w:sz w:val="32"/>
          <w:szCs w:val="32"/>
          <w:shd w:val="clear" w:color="auto" w:fill="FFFFFF"/>
        </w:rPr>
        <w:t>2.52</w:t>
      </w:r>
      <w:r>
        <w:rPr>
          <w:rFonts w:ascii="方正仿宋_GBK" w:hAnsi="方正仿宋_GBK" w:eastAsia="方正仿宋_GBK" w:cs="方正仿宋_GBK"/>
          <w:sz w:val="32"/>
          <w:szCs w:val="32"/>
          <w:shd w:val="clear" w:color="auto" w:fill="FFFFFF"/>
        </w:rPr>
        <w:t>万元、政府采购工程支出</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万元、政府采购服务支出</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万元。授予中小企业合同金额</w:t>
      </w:r>
      <w:r>
        <w:rPr>
          <w:rFonts w:hint="default" w:ascii="Times New Roman" w:hAnsi="Times New Roman" w:eastAsia="方正仿宋_GBK"/>
          <w:sz w:val="32"/>
          <w:szCs w:val="32"/>
          <w:shd w:val="clear" w:color="auto" w:fill="FFFFFF"/>
        </w:rPr>
        <w:t>2.52</w:t>
      </w:r>
      <w:r>
        <w:rPr>
          <w:rFonts w:ascii="方正仿宋_GBK" w:hAnsi="方正仿宋_GBK" w:eastAsia="方正仿宋_GBK" w:cs="方正仿宋_GBK"/>
          <w:sz w:val="32"/>
          <w:szCs w:val="32"/>
        </w:rPr>
        <w:t>万</w:t>
      </w:r>
      <w:r>
        <w:rPr>
          <w:rFonts w:ascii="方正仿宋_GBK" w:hAnsi="方正仿宋_GBK" w:eastAsia="方正仿宋_GBK" w:cs="方正仿宋_GBK"/>
          <w:sz w:val="32"/>
          <w:szCs w:val="32"/>
          <w:shd w:val="clear" w:color="auto" w:fill="FFFFFF"/>
        </w:rPr>
        <w:t>元，占政府采购支出总额的</w:t>
      </w:r>
      <w:r>
        <w:rPr>
          <w:rFonts w:hint="default" w:ascii="Times New Roman" w:hAnsi="Times New Roman" w:eastAsia="方正仿宋_GBK"/>
          <w:sz w:val="32"/>
          <w:szCs w:val="32"/>
          <w:shd w:val="clear" w:color="auto" w:fill="FFFFFF"/>
        </w:rPr>
        <w:t>100.0%</w:t>
      </w:r>
      <w:r>
        <w:rPr>
          <w:rFonts w:ascii="方正仿宋_GBK" w:hAnsi="方正仿宋_GBK" w:eastAsia="方正仿宋_GBK" w:cs="方正仿宋_GBK"/>
          <w:sz w:val="32"/>
          <w:szCs w:val="32"/>
          <w:shd w:val="clear" w:color="auto" w:fill="FFFFFF"/>
        </w:rPr>
        <w:t>，其中：授予小微企业合同金额</w:t>
      </w:r>
      <w:r>
        <w:rPr>
          <w:rFonts w:hint="default" w:ascii="Times New Roman" w:hAnsi="Times New Roman" w:eastAsia="方正仿宋_GBK"/>
          <w:sz w:val="32"/>
          <w:szCs w:val="32"/>
          <w:shd w:val="clear" w:color="auto" w:fill="FFFFFF"/>
        </w:rPr>
        <w:t>2.52</w:t>
      </w:r>
      <w:r>
        <w:rPr>
          <w:rFonts w:ascii="方正仿宋_GBK" w:hAnsi="方正仿宋_GBK" w:eastAsia="方正仿宋_GBK" w:cs="方正仿宋_GBK"/>
          <w:sz w:val="32"/>
          <w:szCs w:val="32"/>
          <w:shd w:val="clear" w:color="auto" w:fill="FFFFFF"/>
        </w:rPr>
        <w:t>万元，占政府采购支出总额的</w:t>
      </w:r>
      <w:r>
        <w:rPr>
          <w:rFonts w:hint="default" w:ascii="Times New Roman" w:hAnsi="Times New Roman" w:eastAsia="方正仿宋_GBK"/>
          <w:sz w:val="32"/>
          <w:szCs w:val="32"/>
          <w:shd w:val="clear" w:color="auto" w:fill="FFFFFF"/>
        </w:rPr>
        <w:t>100.0 %</w:t>
      </w:r>
      <w:r>
        <w:rPr>
          <w:rFonts w:ascii="方正仿宋_GBK" w:hAnsi="方正仿宋_GBK" w:eastAsia="方正仿宋_GBK" w:cs="方正仿宋_GBK"/>
          <w:sz w:val="32"/>
          <w:szCs w:val="32"/>
          <w:shd w:val="clear" w:color="auto" w:fill="FFFFFF"/>
        </w:rPr>
        <w:t>。主要用于采购</w:t>
      </w:r>
      <w:r>
        <w:rPr>
          <w:rFonts w:hint="default" w:ascii="Times New Roman" w:hAnsi="Times New Roman" w:eastAsia="方正仿宋_GBK" w:cs="Times New Roman"/>
          <w:sz w:val="32"/>
          <w:szCs w:val="32"/>
          <w:lang w:val="en-US" w:eastAsia="zh-CN" w:bidi="ar-SA"/>
        </w:rPr>
        <w:t>办公类用品</w:t>
      </w:r>
      <w:r>
        <w:rPr>
          <w:rFonts w:hint="eastAsia" w:ascii="Times New Roman" w:hAnsi="Times New Roman" w:eastAsia="方正仿宋_GBK" w:cs="Times New Roman"/>
          <w:sz w:val="32"/>
          <w:szCs w:val="32"/>
          <w:lang w:val="en-US" w:eastAsia="zh-CN" w:bidi="ar-SA"/>
        </w:rPr>
        <w:t>。</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left="0" w:leftChars="0" w:firstLine="640" w:firstLineChars="200"/>
        <w:jc w:val="both"/>
        <w:textAlignment w:val="auto"/>
        <w:rPr>
          <w:rStyle w:val="11"/>
          <w:rFonts w:hint="eastAsia" w:ascii="方正黑体_GBK" w:hAnsi="方正黑体_GBK" w:eastAsia="方正黑体_GBK" w:cs="方正黑体_GBK"/>
          <w:b w:val="0"/>
          <w:bCs/>
          <w:sz w:val="32"/>
          <w:szCs w:val="32"/>
          <w:shd w:val="clear" w:color="auto" w:fill="FFFFFF"/>
          <w:lang w:val="en-US" w:eastAsia="zh-CN" w:bidi="ar-SA"/>
        </w:rPr>
      </w:pPr>
      <w:r>
        <w:rPr>
          <w:rStyle w:val="11"/>
          <w:rFonts w:hint="eastAsia" w:ascii="方正黑体_GBK" w:hAnsi="方正黑体_GBK" w:eastAsia="方正黑体_GBK" w:cs="方正黑体_GBK"/>
          <w:b w:val="0"/>
          <w:bCs/>
          <w:sz w:val="32"/>
          <w:szCs w:val="32"/>
          <w:shd w:val="clear" w:color="auto" w:fill="FFFFFF"/>
        </w:rPr>
        <w:t>五、</w:t>
      </w:r>
      <w:r>
        <w:rPr>
          <w:rStyle w:val="11"/>
          <w:rFonts w:hint="eastAsia" w:ascii="方正黑体_GBK" w:hAnsi="方正黑体_GBK" w:eastAsia="方正黑体_GBK" w:cs="方正黑体_GBK"/>
          <w:b w:val="0"/>
          <w:bCs/>
          <w:sz w:val="32"/>
          <w:szCs w:val="32"/>
          <w:shd w:val="clear" w:color="auto" w:fill="FFFFFF"/>
          <w:lang w:eastAsia="zh-CN"/>
        </w:rPr>
        <w:t>预算</w:t>
      </w:r>
      <w:r>
        <w:rPr>
          <w:rStyle w:val="11"/>
          <w:rFonts w:hint="eastAsia" w:ascii="方正黑体_GBK" w:hAnsi="方正黑体_GBK" w:eastAsia="方正黑体_GBK" w:cs="方正黑体_GBK"/>
          <w:b w:val="0"/>
          <w:bCs/>
          <w:sz w:val="32"/>
          <w:szCs w:val="32"/>
          <w:shd w:val="clear" w:color="auto" w:fill="FFFFFF"/>
          <w:lang w:val="en-US" w:eastAsia="zh-CN" w:bidi="ar-SA"/>
        </w:rPr>
        <w:t>绩效管理情况说明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p>
      <w:pPr>
        <w:pStyle w:val="15"/>
        <w:keepNext w:val="0"/>
        <w:keepLines w:val="0"/>
        <w:pageBreakBefore w:val="0"/>
        <w:widowControl/>
        <w:kinsoku/>
        <w:wordWrap/>
        <w:overflowPunct/>
        <w:topLinePunct w:val="0"/>
        <w:autoSpaceDE w:val="0"/>
        <w:autoSpaceDN/>
        <w:bidi w:val="0"/>
        <w:spacing w:before="0" w:beforeAutospacing="0" w:afterAutospacing="0" w:line="560" w:lineRule="exact"/>
        <w:ind w:firstLine="640" w:firstLineChars="200"/>
        <w:jc w:val="both"/>
        <w:textAlignment w:val="auto"/>
        <w:rPr>
          <w:rFonts w:hint="eastAsia" w:ascii="方正仿宋_GBK" w:hAnsi="方正仿宋_GBK" w:eastAsia="方正仿宋_GBK" w:cs="方正仿宋_GBK"/>
          <w:sz w:val="32"/>
          <w:szCs w:val="32"/>
          <w:highlight w:val="yellow"/>
          <w:shd w:val="clear" w:color="auto" w:fill="FFFFFF"/>
          <w:lang w:bidi="ar"/>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keepNext w:val="0"/>
        <w:keepLines w:val="0"/>
        <w:pageBreakBefore w:val="0"/>
        <w:widowControl/>
        <w:tabs>
          <w:tab w:val="left" w:pos="880"/>
        </w:tabs>
        <w:kinsoku/>
        <w:wordWrap/>
        <w:overflowPunct/>
        <w:topLinePunct w:val="0"/>
        <w:autoSpaceDN/>
        <w:bidi w:val="0"/>
        <w:spacing w:line="560" w:lineRule="exact"/>
        <w:ind w:firstLine="480" w:firstLineChars="200"/>
        <w:jc w:val="both"/>
        <w:textAlignment w:val="auto"/>
        <w:rPr>
          <w:rFonts w:hint="eastAsia"/>
          <w:lang w:val="en-US" w:eastAsia="zh-CN"/>
        </w:rPr>
        <w:sectPr>
          <w:footerReference r:id="rId3" w:type="default"/>
          <w:pgSz w:w="11915" w:h="16840"/>
          <w:pgMar w:top="1440" w:right="1800" w:bottom="1440" w:left="1800"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tbl>
      <w:tblPr>
        <w:tblStyle w:val="12"/>
        <w:tblpPr w:leftFromText="180" w:rightFromText="180" w:vertAnchor="text" w:horzAnchor="page" w:tblpX="1708" w:tblpY="309"/>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753"/>
        <w:gridCol w:w="1970"/>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w:t>
            </w:r>
            <w:r>
              <w:rPr>
                <w:rFonts w:hint="eastAsia" w:cs="宋体"/>
                <w:b/>
                <w:bCs w:val="0"/>
                <w:i w:val="0"/>
                <w:color w:val="auto"/>
                <w:kern w:val="0"/>
                <w:sz w:val="32"/>
                <w:szCs w:val="32"/>
                <w:highlight w:val="none"/>
                <w:u w:val="none"/>
                <w:lang w:val="en-US" w:eastAsia="zh-CN" w:bidi="ar"/>
              </w:rPr>
              <w:t>4</w:t>
            </w:r>
            <w:r>
              <w:rPr>
                <w:rFonts w:hint="eastAsia" w:ascii="宋体" w:hAnsi="宋体" w:eastAsia="宋体" w:cs="宋体"/>
                <w:b/>
                <w:bCs w:val="0"/>
                <w:i w:val="0"/>
                <w:color w:val="auto"/>
                <w:kern w:val="0"/>
                <w:sz w:val="32"/>
                <w:szCs w:val="32"/>
                <w:highlight w:val="none"/>
                <w:u w:val="none"/>
                <w:lang w:val="en-US" w:eastAsia="zh-CN" w:bidi="ar"/>
              </w:rPr>
              <w:t>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753"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197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6" w:hRule="atLeast"/>
        </w:trPr>
        <w:tc>
          <w:tcPr>
            <w:tcW w:w="50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75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sz w:val="24"/>
                <w:szCs w:val="24"/>
                <w:lang w:val="en-US" w:eastAsia="zh-CN"/>
              </w:rPr>
            </w:pPr>
            <w:r>
              <w:rPr>
                <w:rFonts w:hint="eastAsia" w:ascii="方正仿宋_GBK" w:hAnsi="方正仿宋_GBK" w:eastAsia="方正仿宋_GBK" w:cs="方正仿宋_GBK"/>
                <w:i w:val="0"/>
                <w:color w:val="auto"/>
                <w:kern w:val="0"/>
                <w:sz w:val="24"/>
                <w:szCs w:val="24"/>
                <w:highlight w:val="none"/>
                <w:u w:val="none"/>
                <w:lang w:val="en-US" w:eastAsia="zh-CN" w:bidi="ar"/>
              </w:rPr>
              <w:t>国家基本公共卫生服务补助资金</w:t>
            </w:r>
          </w:p>
        </w:tc>
        <w:tc>
          <w:tcPr>
            <w:tcW w:w="19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lang w:eastAsia="zh-CN"/>
              </w:rPr>
              <w:t>适龄儿童国家免疫规划疫苗接种</w:t>
            </w:r>
            <w:r>
              <w:rPr>
                <w:rFonts w:hint="eastAsia" w:ascii="方正仿宋_GBK" w:hAnsi="方正仿宋_GBK" w:eastAsia="方正仿宋_GBK" w:cs="方正仿宋_GBK"/>
                <w:sz w:val="24"/>
                <w:szCs w:val="24"/>
              </w:rPr>
              <w:t>率</w:t>
            </w:r>
          </w:p>
        </w:tc>
        <w:tc>
          <w:tcPr>
            <w:tcW w:w="6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sz w:val="24"/>
                <w:szCs w:val="24"/>
                <w:lang w:val="en-US" w:eastAsia="zh-CN"/>
              </w:rPr>
            </w:pPr>
            <w:r>
              <w:rPr>
                <w:rFonts w:hint="default" w:ascii="Times New Roman" w:hAnsi="Times New Roman" w:eastAsia="方正仿宋_GBK" w:cs="Times New Roman"/>
                <w:sz w:val="24"/>
                <w:szCs w:val="24"/>
              </w:rPr>
              <w:t>≥</w:t>
            </w:r>
          </w:p>
        </w:tc>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i w:val="0"/>
                <w:color w:val="auto"/>
                <w:kern w:val="0"/>
                <w:sz w:val="24"/>
                <w:szCs w:val="24"/>
                <w:highlight w:val="none"/>
                <w:u w:val="none"/>
                <w:lang w:val="en-US" w:eastAsia="zh-CN" w:bidi="ar"/>
              </w:rPr>
              <w:t>92</w:t>
            </w:r>
          </w:p>
        </w:tc>
        <w:tc>
          <w:tcPr>
            <w:tcW w:w="6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sz w:val="24"/>
                <w:szCs w:val="24"/>
                <w:lang w:val="en-US" w:eastAsia="zh-CN"/>
              </w:rPr>
            </w:pP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6" w:hRule="atLeast"/>
        </w:trPr>
        <w:tc>
          <w:tcPr>
            <w:tcW w:w="50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5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sz w:val="24"/>
                <w:szCs w:val="24"/>
                <w:lang w:val="en-US" w:eastAsia="zh-CN"/>
              </w:rPr>
            </w:pPr>
          </w:p>
        </w:tc>
        <w:tc>
          <w:tcPr>
            <w:tcW w:w="197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lang w:eastAsia="zh-CN"/>
              </w:rPr>
              <w:t>0-6岁儿童健康管理率</w:t>
            </w:r>
          </w:p>
        </w:tc>
        <w:tc>
          <w:tcPr>
            <w:tcW w:w="6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sz w:val="24"/>
                <w:szCs w:val="24"/>
                <w:lang w:val="en-US" w:eastAsia="zh-CN"/>
              </w:rPr>
            </w:pPr>
            <w:r>
              <w:rPr>
                <w:rFonts w:hint="default" w:ascii="Times New Roman" w:hAnsi="Times New Roman" w:eastAsia="方正仿宋_GBK" w:cs="Times New Roman"/>
                <w:sz w:val="24"/>
                <w:szCs w:val="24"/>
              </w:rPr>
              <w:t>≥</w:t>
            </w:r>
          </w:p>
        </w:tc>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6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sz w:val="24"/>
                <w:szCs w:val="24"/>
                <w:lang w:val="en-US" w:eastAsia="zh-CN"/>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sz w:val="24"/>
                <w:szCs w:val="24"/>
                <w:lang w:val="en-US" w:eastAsia="zh-CN"/>
              </w:rPr>
            </w:pPr>
          </w:p>
        </w:tc>
        <w:tc>
          <w:tcPr>
            <w:tcW w:w="7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14"/>
        <w:keepNext w:val="0"/>
        <w:keepLines w:val="0"/>
        <w:pageBreakBefore w:val="0"/>
        <w:kinsoku/>
        <w:wordWrap/>
        <w:overflowPunct/>
        <w:topLinePunct w:val="0"/>
        <w:autoSpaceDE w:val="0"/>
        <w:autoSpaceDN/>
        <w:bidi w:val="0"/>
        <w:spacing w:line="560" w:lineRule="exact"/>
        <w:ind w:left="0" w:leftChars="0" w:firstLine="640" w:firstLineChars="200"/>
        <w:jc w:val="both"/>
        <w:textAlignment w:val="auto"/>
        <w:rPr>
          <w:rFonts w:hint="eastAsia" w:ascii="方正楷体_GBK" w:hAnsi="方正楷体_GBK" w:eastAsia="方正楷体_GBK" w:cs="方正楷体_GBK"/>
          <w:b w:val="0"/>
          <w:bCs w:val="0"/>
          <w:sz w:val="32"/>
          <w:szCs w:val="32"/>
          <w:shd w:val="clear" w:color="auto" w:fill="FFFFFF"/>
          <w:lang w:bidi="ar"/>
        </w:rPr>
      </w:pPr>
      <w:r>
        <w:rPr>
          <w:rFonts w:hint="eastAsia" w:ascii="方正楷体_GBK" w:hAnsi="方正楷体_GBK" w:eastAsia="方正楷体_GBK" w:cs="方正楷体_GBK"/>
          <w:b w:val="0"/>
          <w:bCs w:val="0"/>
          <w:sz w:val="32"/>
          <w:szCs w:val="32"/>
          <w:shd w:val="clear" w:color="auto" w:fill="FFFFFF"/>
          <w:lang w:bidi="ar"/>
        </w:rPr>
        <w:t>（二）</w:t>
      </w:r>
      <w:r>
        <w:rPr>
          <w:rFonts w:hint="eastAsia" w:ascii="方正楷体_GBK" w:hAnsi="方正楷体_GBK" w:eastAsia="方正楷体_GBK" w:cs="方正楷体_GBK"/>
          <w:b w:val="0"/>
          <w:bCs w:val="0"/>
          <w:sz w:val="32"/>
          <w:szCs w:val="32"/>
          <w:shd w:val="clear" w:color="auto" w:fill="FFFFFF"/>
          <w:lang w:val="en-US" w:eastAsia="zh-CN" w:bidi="ar"/>
        </w:rPr>
        <w:t>单位</w:t>
      </w:r>
      <w:r>
        <w:rPr>
          <w:rFonts w:hint="eastAsia" w:ascii="方正楷体_GBK" w:hAnsi="方正楷体_GBK" w:eastAsia="方正楷体_GBK" w:cs="方正楷体_GBK"/>
          <w:b w:val="0"/>
          <w:bCs w:val="0"/>
          <w:sz w:val="32"/>
          <w:szCs w:val="32"/>
          <w:shd w:val="clear" w:color="auto" w:fill="FFFFFF"/>
          <w:lang w:bidi="ar"/>
        </w:rPr>
        <w:t>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r>
        <w:rPr>
          <w:rFonts w:hint="eastAsia" w:ascii="Times New Roman" w:hAnsi="Times New Roman" w:eastAsia="方正仿宋_GBK" w:cs="Times New Roman"/>
          <w:b w:val="0"/>
          <w:bCs w:val="0"/>
          <w:kern w:val="0"/>
          <w:sz w:val="32"/>
          <w:szCs w:val="32"/>
          <w:lang w:val="en-US" w:eastAsia="zh-CN" w:bidi="ar-SA"/>
        </w:rPr>
        <w:t>。</w:t>
      </w:r>
    </w:p>
    <w:p>
      <w:pPr>
        <w:pStyle w:val="9"/>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lang w:eastAsia="zh-CN"/>
        </w:rPr>
        <w:t>六</w:t>
      </w:r>
      <w:r>
        <w:rPr>
          <w:rStyle w:val="11"/>
          <w:rFonts w:hint="eastAsia" w:ascii="方正黑体_GBK" w:hAnsi="方正黑体_GBK" w:eastAsia="方正黑体_GBK" w:cs="方正黑体_GBK"/>
          <w:b w:val="0"/>
          <w:bCs/>
          <w:sz w:val="32"/>
          <w:szCs w:val="32"/>
          <w:shd w:val="clear" w:color="auto" w:fill="FFFFFF"/>
        </w:rPr>
        <w:t>、专业名词解释</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（一）财政拨款收入：</w:t>
      </w:r>
      <w:r>
        <w:rPr>
          <w:rFonts w:ascii="方正仿宋_GBK" w:hAnsi="方正仿宋_GBK" w:eastAsia="方正仿宋_GBK" w:cs="方正仿宋_GBK"/>
          <w:sz w:val="32"/>
          <w:szCs w:val="32"/>
          <w:shd w:val="clear" w:color="auto" w:fill="FFFFFF"/>
        </w:rPr>
        <w:t>指本年度从本级财政部门取得的财政拨款。</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（二）事业收入：</w:t>
      </w:r>
      <w:r>
        <w:rPr>
          <w:rFonts w:ascii="方正仿宋_GBK" w:hAnsi="方正仿宋_GBK" w:eastAsia="方正仿宋_GBK" w:cs="方正仿宋_GBK"/>
          <w:sz w:val="32"/>
          <w:szCs w:val="32"/>
          <w:shd w:val="clear" w:color="auto" w:fill="FFFFFF"/>
        </w:rPr>
        <w:t>指事业单位开展专业业务活动及其辅助活动取得的</w:t>
      </w:r>
      <w:r>
        <w:rPr>
          <w:rFonts w:hint="eastAsia" w:ascii="方正仿宋_GBK" w:hAnsi="方正仿宋_GBK" w:eastAsia="方正仿宋_GBK" w:cs="方正仿宋_GBK"/>
          <w:sz w:val="32"/>
          <w:szCs w:val="32"/>
          <w:shd w:val="clear" w:color="auto" w:fill="FFFFFF"/>
          <w:lang w:eastAsia="zh-CN"/>
        </w:rPr>
        <w:t>收入</w:t>
      </w:r>
      <w:r>
        <w:rPr>
          <w:rFonts w:ascii="方正仿宋_GBK" w:hAnsi="方正仿宋_GBK" w:eastAsia="方正仿宋_GBK" w:cs="方正仿宋_GBK"/>
          <w:sz w:val="32"/>
          <w:szCs w:val="32"/>
          <w:shd w:val="clear" w:color="auto" w:fill="FFFFFF"/>
        </w:rPr>
        <w:t>。</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（三）经营收入：</w:t>
      </w:r>
      <w:r>
        <w:rPr>
          <w:rFonts w:ascii="方正仿宋_GBK" w:hAnsi="方正仿宋_GBK" w:eastAsia="方正仿宋_GBK" w:cs="方正仿宋_GBK"/>
          <w:sz w:val="32"/>
          <w:szCs w:val="32"/>
          <w:shd w:val="clear" w:color="auto" w:fill="FFFFFF"/>
        </w:rPr>
        <w:t>指事业单位在专业业务活动及其辅助活动之外开展非独立核算经营活动取得的</w:t>
      </w:r>
      <w:r>
        <w:rPr>
          <w:rFonts w:hint="eastAsia" w:ascii="方正仿宋_GBK" w:hAnsi="方正仿宋_GBK" w:eastAsia="方正仿宋_GBK" w:cs="方正仿宋_GBK"/>
          <w:sz w:val="32"/>
          <w:szCs w:val="32"/>
          <w:shd w:val="clear" w:color="auto" w:fill="FFFFFF"/>
          <w:lang w:eastAsia="zh-CN"/>
        </w:rPr>
        <w:t>收入</w:t>
      </w:r>
      <w:r>
        <w:rPr>
          <w:rFonts w:ascii="方正仿宋_GBK" w:hAnsi="方正仿宋_GBK" w:eastAsia="方正仿宋_GBK" w:cs="方正仿宋_GBK"/>
          <w:sz w:val="32"/>
          <w:szCs w:val="32"/>
          <w:shd w:val="clear" w:color="auto" w:fill="FFFFFF"/>
        </w:rPr>
        <w:t>。</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（四）其他收入：</w:t>
      </w:r>
      <w:r>
        <w:rPr>
          <w:rFonts w:ascii="方正仿宋_GBK" w:hAnsi="方正仿宋_GBK" w:eastAsia="方正仿宋_GBK" w:cs="方正仿宋_GBK"/>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（五）使用非财政拨款结余</w:t>
      </w:r>
      <w:r>
        <w:rPr>
          <w:rFonts w:hint="eastAsia" w:ascii="方正楷体_GBK" w:hAnsi="方正楷体_GBK" w:eastAsia="方正楷体_GBK" w:cs="方正楷体_GBK"/>
          <w:b w:val="0"/>
          <w:bCs w:val="0"/>
          <w:sz w:val="32"/>
          <w:szCs w:val="32"/>
          <w:shd w:val="clear" w:color="auto" w:fill="FFFFFF"/>
          <w:lang w:eastAsia="zh-CN"/>
        </w:rPr>
        <w:t>（含专用结余）</w:t>
      </w:r>
      <w:r>
        <w:rPr>
          <w:rFonts w:hint="eastAsia" w:ascii="方正楷体_GBK" w:hAnsi="方正楷体_GBK" w:eastAsia="方正楷体_GBK" w:cs="方正楷体_GBK"/>
          <w:b w:val="0"/>
          <w:bCs w:val="0"/>
          <w:sz w:val="32"/>
          <w:szCs w:val="32"/>
          <w:shd w:val="clear" w:color="auto" w:fill="FFFFFF"/>
        </w:rPr>
        <w:t>：</w:t>
      </w:r>
      <w:r>
        <w:rPr>
          <w:rFonts w:ascii="方正仿宋_GBK" w:hAnsi="方正仿宋_GBK" w:eastAsia="方正仿宋_GBK" w:cs="方正仿宋_GBK"/>
          <w:sz w:val="32"/>
          <w:szCs w:val="32"/>
          <w:shd w:val="clear" w:color="auto" w:fill="FFFFFF"/>
        </w:rPr>
        <w:t>指</w:t>
      </w:r>
      <w:r>
        <w:rPr>
          <w:rFonts w:hint="eastAsia" w:ascii="方正仿宋_GBK" w:hAnsi="方正仿宋_GBK" w:eastAsia="方正仿宋_GBK" w:cs="方正仿宋_GBK"/>
          <w:sz w:val="32"/>
          <w:szCs w:val="32"/>
          <w:shd w:val="clear" w:color="auto" w:fill="FFFFFF"/>
          <w:lang w:eastAsia="zh-CN"/>
        </w:rPr>
        <w:t>事业单位按照预算管理要求使用非财政拨款结余弥补收支差额的金额，以及使用专用结余安排支出的金额。</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（六）年初结转和结余：</w:t>
      </w:r>
      <w:r>
        <w:rPr>
          <w:rFonts w:ascii="方正仿宋_GBK" w:hAnsi="方正仿宋_GBK" w:eastAsia="方正仿宋_GBK" w:cs="方正仿宋_GBK"/>
          <w:sz w:val="32"/>
          <w:szCs w:val="32"/>
          <w:shd w:val="clear" w:color="auto" w:fill="FFFFFF"/>
        </w:rPr>
        <w:t>指单位上年结转本年使用的基本支出结转、项目支出结转和结余、经营结余。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（七）结余分配：</w:t>
      </w:r>
      <w:r>
        <w:rPr>
          <w:rFonts w:ascii="方正仿宋_GBK" w:hAnsi="方正仿宋_GBK" w:eastAsia="方正仿宋_GBK" w:cs="方正仿宋_GBK"/>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（八）年末结转和结余：</w:t>
      </w:r>
      <w:r>
        <w:rPr>
          <w:rFonts w:ascii="方正仿宋_GBK" w:hAnsi="方正仿宋_GBK" w:eastAsia="方正仿宋_GBK" w:cs="方正仿宋_GBK"/>
          <w:sz w:val="32"/>
          <w:szCs w:val="32"/>
          <w:shd w:val="clear" w:color="auto" w:fill="FFFFFF"/>
        </w:rPr>
        <w:t>指单位结转下年的基本支出结转、项目支出结转和结余、经营结余。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（九）基本支出：</w:t>
      </w:r>
      <w:r>
        <w:rPr>
          <w:rFonts w:ascii="方正仿宋_GBK" w:hAnsi="方正仿宋_GBK" w:eastAsia="方正仿宋_GBK" w:cs="方正仿宋_GBK"/>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（十）项目支出：</w:t>
      </w:r>
      <w:r>
        <w:rPr>
          <w:rFonts w:ascii="方正仿宋_GBK" w:hAnsi="方正仿宋_GBK" w:eastAsia="方正仿宋_GBK" w:cs="方正仿宋_GBK"/>
          <w:sz w:val="32"/>
          <w:szCs w:val="32"/>
          <w:shd w:val="clear" w:color="auto" w:fill="FFFFFF"/>
        </w:rPr>
        <w:t>指在基本支出之外为完成特定行政任务和事业发展目标所发生的支出。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（十一）经营支出：</w:t>
      </w:r>
      <w:r>
        <w:rPr>
          <w:rFonts w:ascii="方正仿宋_GBK" w:hAnsi="方正仿宋_GBK" w:eastAsia="方正仿宋_GBK" w:cs="方正仿宋_GBK"/>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（十二）“三公”经费：</w:t>
      </w:r>
      <w:r>
        <w:rPr>
          <w:rFonts w:ascii="方正仿宋_GBK" w:hAnsi="方正仿宋_GBK" w:eastAsia="方正仿宋_GBK" w:cs="方正仿宋_GBK"/>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（十三）机关运行经费：</w:t>
      </w:r>
      <w:r>
        <w:rPr>
          <w:rFonts w:ascii="方正仿宋_GBK" w:hAnsi="方正仿宋_GBK" w:eastAsia="方正仿宋_GBK" w:cs="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（十四）工资福利支出（支出经济分类科目类级）：</w:t>
      </w:r>
      <w:r>
        <w:rPr>
          <w:rFonts w:ascii="方正仿宋_GBK" w:hAnsi="方正仿宋_GBK" w:eastAsia="方正仿宋_GBK" w:cs="方正仿宋_GBK"/>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（十五）商品和服务支出（支出经济分类科目类级）</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1"/>
          <w:rFonts w:hint="eastAsia" w:ascii="方正楷体_GBK" w:hAnsi="方正楷体_GBK" w:eastAsia="方正楷体_GBK" w:cs="方正楷体_GBK"/>
          <w:b w:val="0"/>
          <w:bCs/>
          <w:sz w:val="32"/>
          <w:szCs w:val="32"/>
          <w:shd w:val="clear" w:color="auto" w:fill="FFFFFF"/>
        </w:rPr>
        <w:t>（十六）对个人和家庭的补助（支出经济分类科目类级）：</w:t>
      </w:r>
      <w:r>
        <w:rPr>
          <w:rFonts w:ascii="方正仿宋_GBK" w:hAnsi="方正仿宋_GBK" w:eastAsia="方正仿宋_GBK" w:cs="方正仿宋_GBK"/>
          <w:sz w:val="32"/>
          <w:szCs w:val="32"/>
          <w:shd w:val="clear" w:color="auto" w:fill="FFFFFF"/>
        </w:rPr>
        <w:t>反映用于对个人和家庭的补助支出。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Style w:val="11"/>
          <w:rFonts w:hint="eastAsia" w:ascii="方正楷体_GBK" w:hAnsi="方正楷体_GBK" w:eastAsia="方正楷体_GBK" w:cs="方正楷体_GBK"/>
          <w:b w:val="0"/>
          <w:bCs/>
          <w:sz w:val="32"/>
          <w:szCs w:val="32"/>
          <w:shd w:val="clear" w:color="auto" w:fill="FFFFFF"/>
        </w:rPr>
        <w:t>（十七）其他资本性支出（支出经济分类科目类级）：</w:t>
      </w:r>
      <w:r>
        <w:rPr>
          <w:rFonts w:ascii="方正仿宋_GBK" w:hAnsi="方正仿宋_GBK" w:eastAsia="方正仿宋_GBK" w:cs="方正仿宋_GBK"/>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val="0"/>
          <w:color w:val="auto"/>
          <w:sz w:val="32"/>
          <w:szCs w:val="32"/>
          <w:shd w:val="clear" w:color="auto" w:fill="FFFFFF"/>
        </w:rPr>
      </w:pPr>
      <w:r>
        <w:rPr>
          <w:rStyle w:val="11"/>
          <w:rFonts w:hint="eastAsia" w:ascii="方正黑体_GBK" w:hAnsi="方正黑体_GBK" w:eastAsia="方正黑体_GBK" w:cs="方正黑体_GBK"/>
          <w:b w:val="0"/>
          <w:bCs w:val="0"/>
          <w:color w:val="auto"/>
          <w:sz w:val="32"/>
          <w:szCs w:val="32"/>
          <w:shd w:val="clear" w:color="auto" w:fill="FFFFFF"/>
        </w:rPr>
        <w:t>七、决算公开联系方式及信息反馈渠道</w:t>
      </w:r>
    </w:p>
    <w:p>
      <w:pPr>
        <w:pStyle w:val="9"/>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仿宋_GBK" w:hAnsi="方正仿宋_GBK" w:eastAsia="方正仿宋_GBK" w:cs="方正仿宋_GBK"/>
          <w:b w:val="0"/>
          <w:bCs w:val="0"/>
          <w:color w:val="auto"/>
          <w:sz w:val="32"/>
          <w:szCs w:val="32"/>
          <w:shd w:val="clear" w:color="auto" w:fill="FFFFFF"/>
        </w:rPr>
      </w:pPr>
      <w:r>
        <w:rPr>
          <w:rStyle w:val="11"/>
          <w:rFonts w:hint="eastAsia" w:ascii="方正仿宋_GBK" w:hAnsi="方正仿宋_GBK" w:eastAsia="方正仿宋_GBK" w:cs="方正仿宋_GBK"/>
          <w:b w:val="0"/>
          <w:bCs w:val="0"/>
          <w:color w:val="auto"/>
          <w:sz w:val="32"/>
          <w:szCs w:val="32"/>
          <w:shd w:val="clear" w:color="auto" w:fill="FFFFFF"/>
        </w:rPr>
        <w:t>本单位决算公开信息反馈和联系方式：</w:t>
      </w:r>
    </w:p>
    <w:p>
      <w:pPr>
        <w:pStyle w:val="9"/>
        <w:keepNext w:val="0"/>
        <w:keepLines w:val="0"/>
        <w:pageBreakBefore w:val="0"/>
        <w:widowControl w:val="0"/>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color w:val="auto"/>
          <w:sz w:val="32"/>
          <w:szCs w:val="32"/>
          <w:shd w:val="clear" w:color="auto" w:fill="FFFFFF"/>
        </w:rPr>
      </w:pPr>
      <w:r>
        <w:rPr>
          <w:rStyle w:val="11"/>
          <w:rFonts w:hint="eastAsia" w:ascii="方正仿宋_GBK" w:hAnsi="方正仿宋_GBK" w:eastAsia="方正仿宋_GBK" w:cs="方正仿宋_GBK"/>
          <w:b w:val="0"/>
          <w:bCs w:val="0"/>
          <w:color w:val="auto"/>
          <w:sz w:val="32"/>
          <w:szCs w:val="32"/>
          <w:shd w:val="clear" w:color="auto" w:fill="FFFFFF"/>
          <w:lang w:eastAsia="zh-CN"/>
        </w:rPr>
        <w:t>刘雅佳</w:t>
      </w:r>
      <w:r>
        <w:rPr>
          <w:rStyle w:val="11"/>
          <w:rFonts w:hint="eastAsia" w:ascii="方正仿宋_GBK" w:hAnsi="方正仿宋_GBK" w:eastAsia="方正仿宋_GBK" w:cs="方正仿宋_GBK"/>
          <w:b w:val="0"/>
          <w:bCs w:val="0"/>
          <w:color w:val="auto"/>
          <w:sz w:val="32"/>
          <w:szCs w:val="32"/>
          <w:shd w:val="clear" w:color="auto" w:fill="FFFFFF"/>
          <w:lang w:val="en-US" w:eastAsia="zh-CN"/>
        </w:rPr>
        <w:t xml:space="preserve">  </w:t>
      </w:r>
      <w:r>
        <w:rPr>
          <w:rStyle w:val="11"/>
          <w:rFonts w:hint="default" w:ascii="Times New Roman" w:hAnsi="Times New Roman" w:eastAsia="方正仿宋_GBK" w:cs="Times New Roman"/>
          <w:b w:val="0"/>
          <w:bCs w:val="0"/>
          <w:color w:val="auto"/>
          <w:sz w:val="32"/>
          <w:szCs w:val="32"/>
          <w:shd w:val="clear" w:color="auto" w:fill="FFFFFF"/>
          <w:lang w:val="en-US" w:eastAsia="zh-CN"/>
        </w:rPr>
        <w:t xml:space="preserve"> </w:t>
      </w:r>
      <w:r>
        <w:rPr>
          <w:rStyle w:val="11"/>
          <w:rFonts w:hint="default" w:ascii="Times New Roman" w:hAnsi="Times New Roman" w:eastAsia="方正仿宋_GBK" w:cs="Times New Roman"/>
          <w:b w:val="0"/>
          <w:bCs w:val="0"/>
          <w:color w:val="auto"/>
          <w:sz w:val="32"/>
          <w:szCs w:val="32"/>
          <w:shd w:val="clear" w:color="auto" w:fill="FFFFFF"/>
        </w:rPr>
        <w:t>023-76623966</w:t>
      </w:r>
    </w:p>
    <w:p>
      <w:pPr>
        <w:pStyle w:val="14"/>
        <w:keepNext w:val="0"/>
        <w:keepLines w:val="0"/>
        <w:pageBreakBefore w:val="0"/>
        <w:kinsoku/>
        <w:wordWrap/>
        <w:overflowPunct/>
        <w:topLinePunct w:val="0"/>
        <w:autoSpaceDE w:val="0"/>
        <w:autoSpaceDN/>
        <w:bidi w:val="0"/>
        <w:adjustRightInd/>
        <w:spacing w:line="560" w:lineRule="exact"/>
        <w:ind w:firstLine="643" w:firstLineChars="200"/>
        <w:jc w:val="both"/>
        <w:textAlignment w:val="auto"/>
        <w:rPr>
          <w:rStyle w:val="11"/>
          <w:rFonts w:ascii="方正仿宋_GBK" w:hAnsi="方正仿宋_GBK" w:eastAsia="方正仿宋_GBK" w:cs="方正仿宋_GBK"/>
          <w:sz w:val="32"/>
          <w:szCs w:val="32"/>
          <w:shd w:val="clear" w:color="auto" w:fill="FFFFFF"/>
        </w:rPr>
        <w:sectPr>
          <w:footerReference r:id="rId4" w:type="default"/>
          <w:pgSz w:w="11915" w:h="16840"/>
          <w:pgMar w:top="1440" w:right="1800" w:bottom="1440" w:left="1800"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tbl>
      <w:tblPr>
        <w:tblStyle w:val="12"/>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u w:color="auto"/>
              </w:rPr>
              <w:t>秀山土家族苗族自治县宋农镇卫生院</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203.14</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144.95</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0.50</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22.63</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332.33</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6.15</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348.59</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361.11</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13.87</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1.35</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362.46</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362.46</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2"/>
        <w:tblW w:w="15000" w:type="dxa"/>
        <w:tblInd w:w="0" w:type="dxa"/>
        <w:tblLayout w:type="fixed"/>
        <w:tblCellMar>
          <w:top w:w="0" w:type="dxa"/>
          <w:left w:w="0" w:type="dxa"/>
          <w:bottom w:w="0" w:type="dxa"/>
          <w:right w:w="0" w:type="dxa"/>
        </w:tblCellMar>
      </w:tblPr>
      <w:tblGrid>
        <w:gridCol w:w="1389"/>
        <w:gridCol w:w="3599"/>
        <w:gridCol w:w="836"/>
        <w:gridCol w:w="1321"/>
        <w:gridCol w:w="1215"/>
        <w:gridCol w:w="1215"/>
        <w:gridCol w:w="1276"/>
        <w:gridCol w:w="1217"/>
        <w:gridCol w:w="1346"/>
        <w:gridCol w:w="1586"/>
      </w:tblGrid>
      <w:tr>
        <w:tblPrEx>
          <w:tblLayout w:type="fixed"/>
          <w:tblCellMar>
            <w:top w:w="0" w:type="dxa"/>
            <w:left w:w="0" w:type="dxa"/>
            <w:bottom w:w="0" w:type="dxa"/>
            <w:right w:w="0" w:type="dxa"/>
          </w:tblCellMar>
        </w:tblPrEx>
        <w:trPr>
          <w:trHeight w:val="90" w:hRule="atLeast"/>
        </w:trPr>
        <w:tc>
          <w:tcPr>
            <w:tcW w:w="15000" w:type="dxa"/>
            <w:gridSpan w:val="10"/>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90" w:hRule="atLeast"/>
        </w:trPr>
        <w:tc>
          <w:tcPr>
            <w:tcW w:w="5824" w:type="dxa"/>
            <w:gridSpan w:val="3"/>
            <w:vMerge w:val="restart"/>
            <w:tcBorders>
              <w:top w:val="nil"/>
              <w:left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r>
              <w:rPr>
                <w:rFonts w:cs="宋体"/>
                <w:sz w:val="20"/>
                <w:szCs w:val="20"/>
              </w:rPr>
              <w:t>单位：</w:t>
            </w:r>
            <w:r>
              <w:rPr>
                <w:sz w:val="20"/>
                <w:u w:color="auto"/>
              </w:rPr>
              <w:t>秀山土家族苗族自治县宋农镇卫生院</w:t>
            </w:r>
          </w:p>
        </w:tc>
        <w:tc>
          <w:tcPr>
            <w:tcW w:w="1321"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p>
        </w:tc>
        <w:tc>
          <w:tcPr>
            <w:tcW w:w="1215"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p>
        </w:tc>
        <w:tc>
          <w:tcPr>
            <w:tcW w:w="1215"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p>
        </w:tc>
        <w:tc>
          <w:tcPr>
            <w:tcW w:w="1276"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p>
        </w:tc>
        <w:tc>
          <w:tcPr>
            <w:tcW w:w="1217"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p>
        </w:tc>
        <w:tc>
          <w:tcPr>
            <w:tcW w:w="1346"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p>
        </w:tc>
        <w:tc>
          <w:tcPr>
            <w:tcW w:w="1586"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5824" w:type="dxa"/>
            <w:gridSpan w:val="3"/>
            <w:vMerge w:val="continue"/>
            <w:tcBorders>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p>
        </w:tc>
        <w:tc>
          <w:tcPr>
            <w:tcW w:w="1321"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p>
        </w:tc>
        <w:tc>
          <w:tcPr>
            <w:tcW w:w="1215"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p>
        </w:tc>
        <w:tc>
          <w:tcPr>
            <w:tcW w:w="1215"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p>
        </w:tc>
        <w:tc>
          <w:tcPr>
            <w:tcW w:w="1276"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p>
        </w:tc>
        <w:tc>
          <w:tcPr>
            <w:tcW w:w="1217"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p>
        </w:tc>
        <w:tc>
          <w:tcPr>
            <w:tcW w:w="1346"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p>
        </w:tc>
        <w:tc>
          <w:tcPr>
            <w:tcW w:w="1586"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988"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jc w:val="center"/>
              <w:textAlignment w:val="bottom"/>
              <w:rPr>
                <w:rFonts w:hint="default" w:cs="宋体"/>
                <w:b/>
                <w:color w:val="000000"/>
                <w:sz w:val="20"/>
                <w:szCs w:val="20"/>
              </w:rPr>
            </w:pPr>
            <w:r>
              <w:rPr>
                <w:rFonts w:cs="宋体"/>
                <w:b/>
                <w:color w:val="000000"/>
                <w:sz w:val="20"/>
                <w:szCs w:val="20"/>
              </w:rPr>
              <w:t>项目</w:t>
            </w:r>
          </w:p>
        </w:tc>
        <w:tc>
          <w:tcPr>
            <w:tcW w:w="8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textAlignment w:val="center"/>
              <w:rPr>
                <w:rFonts w:hint="default" w:cs="宋体"/>
                <w:b/>
                <w:color w:val="000000"/>
                <w:sz w:val="20"/>
                <w:szCs w:val="20"/>
              </w:rPr>
            </w:pPr>
            <w:r>
              <w:rPr>
                <w:rFonts w:cs="宋体"/>
                <w:b/>
                <w:color w:val="000000"/>
                <w:sz w:val="20"/>
                <w:szCs w:val="20"/>
              </w:rPr>
              <w:t>本年收入合计</w:t>
            </w:r>
          </w:p>
        </w:tc>
        <w:tc>
          <w:tcPr>
            <w:tcW w:w="13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textAlignment w:val="center"/>
              <w:rPr>
                <w:rFonts w:hint="default" w:cs="宋体"/>
                <w:b/>
                <w:color w:val="000000"/>
                <w:sz w:val="20"/>
                <w:szCs w:val="20"/>
              </w:rPr>
            </w:pPr>
            <w:r>
              <w:rPr>
                <w:rFonts w:cs="宋体"/>
                <w:b/>
                <w:color w:val="000000"/>
                <w:sz w:val="20"/>
                <w:szCs w:val="20"/>
              </w:rPr>
              <w:t>财政拨款收入</w:t>
            </w:r>
          </w:p>
        </w:tc>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textAlignment w:val="center"/>
              <w:rPr>
                <w:rFonts w:hint="default" w:cs="宋体"/>
                <w:b/>
                <w:color w:val="000000"/>
                <w:sz w:val="20"/>
                <w:szCs w:val="20"/>
              </w:rPr>
            </w:pPr>
            <w:r>
              <w:rPr>
                <w:rFonts w:cs="宋体"/>
                <w:b/>
                <w:color w:val="000000"/>
                <w:sz w:val="20"/>
                <w:szCs w:val="20"/>
              </w:rPr>
              <w:t>上级补助收入</w:t>
            </w:r>
          </w:p>
        </w:tc>
        <w:tc>
          <w:tcPr>
            <w:tcW w:w="24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jc w:val="center"/>
              <w:textAlignment w:val="bottom"/>
              <w:rPr>
                <w:rFonts w:hint="default" w:cs="宋体"/>
                <w:b/>
                <w:color w:val="000000"/>
                <w:sz w:val="20"/>
                <w:szCs w:val="20"/>
              </w:rPr>
            </w:pPr>
            <w:r>
              <w:rPr>
                <w:rFonts w:cs="宋体"/>
                <w:b/>
                <w:color w:val="000000"/>
                <w:sz w:val="20"/>
                <w:szCs w:val="20"/>
              </w:rPr>
              <w:t>事业收入</w:t>
            </w:r>
          </w:p>
        </w:tc>
        <w:tc>
          <w:tcPr>
            <w:tcW w:w="12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textAlignment w:val="center"/>
              <w:rPr>
                <w:rFonts w:hint="default" w:cs="宋体"/>
                <w:b/>
                <w:color w:val="000000"/>
                <w:sz w:val="20"/>
                <w:szCs w:val="20"/>
              </w:rPr>
            </w:pPr>
            <w:r>
              <w:rPr>
                <w:rFonts w:cs="宋体"/>
                <w:b/>
                <w:color w:val="000000"/>
                <w:sz w:val="20"/>
                <w:szCs w:val="20"/>
              </w:rPr>
              <w:t>经营收入</w:t>
            </w:r>
          </w:p>
        </w:tc>
        <w:tc>
          <w:tcPr>
            <w:tcW w:w="13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textAlignment w:val="center"/>
              <w:rPr>
                <w:rFonts w:hint="default" w:cs="宋体"/>
                <w:b/>
                <w:color w:val="000000"/>
                <w:sz w:val="20"/>
                <w:szCs w:val="20"/>
              </w:rPr>
            </w:pPr>
            <w:r>
              <w:rPr>
                <w:rFonts w:cs="宋体"/>
                <w:b/>
                <w:color w:val="000000"/>
                <w:sz w:val="20"/>
                <w:szCs w:val="20"/>
              </w:rPr>
              <w:t>附属单位上缴收入</w:t>
            </w:r>
          </w:p>
        </w:tc>
        <w:tc>
          <w:tcPr>
            <w:tcW w:w="15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12" w:hRule="atLeast"/>
        </w:trPr>
        <w:tc>
          <w:tcPr>
            <w:tcW w:w="138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textAlignment w:val="center"/>
              <w:rPr>
                <w:rFonts w:hint="default" w:cs="宋体"/>
                <w:b/>
                <w:color w:val="000000"/>
                <w:sz w:val="20"/>
                <w:szCs w:val="20"/>
              </w:rPr>
            </w:pPr>
            <w:r>
              <w:rPr>
                <w:rFonts w:cs="宋体"/>
                <w:b/>
                <w:color w:val="000000"/>
                <w:sz w:val="20"/>
                <w:szCs w:val="20"/>
              </w:rPr>
              <w:t>功能分类科目编码</w:t>
            </w:r>
          </w:p>
        </w:tc>
        <w:tc>
          <w:tcPr>
            <w:tcW w:w="3599"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textAlignment w:val="center"/>
              <w:rPr>
                <w:rFonts w:hint="default" w:cs="宋体"/>
                <w:b/>
                <w:color w:val="000000"/>
                <w:sz w:val="20"/>
                <w:szCs w:val="20"/>
              </w:rPr>
            </w:pPr>
            <w:r>
              <w:rPr>
                <w:rFonts w:cs="宋体"/>
                <w:b/>
                <w:color w:val="000000"/>
                <w:sz w:val="20"/>
                <w:szCs w:val="20"/>
              </w:rPr>
              <w:t>项目（按“项”级功能分类科目）</w:t>
            </w: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textAlignment w:val="center"/>
              <w:rPr>
                <w:rFonts w:hint="default" w:cs="宋体"/>
                <w:b/>
                <w:color w:val="000000"/>
                <w:sz w:val="20"/>
                <w:szCs w:val="20"/>
              </w:rPr>
            </w:pPr>
            <w:r>
              <w:rPr>
                <w:rFonts w:cs="宋体"/>
                <w:b/>
                <w:color w:val="000000"/>
                <w:sz w:val="20"/>
                <w:szCs w:val="20"/>
              </w:rPr>
              <w:t>小计</w:t>
            </w:r>
          </w:p>
        </w:tc>
        <w:tc>
          <w:tcPr>
            <w:tcW w:w="127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textAlignment w:val="center"/>
              <w:rPr>
                <w:rFonts w:hint="default" w:cs="宋体"/>
                <w:b/>
                <w:color w:val="000000"/>
                <w:sz w:val="20"/>
                <w:szCs w:val="20"/>
              </w:rPr>
            </w:pPr>
            <w:r>
              <w:rPr>
                <w:rFonts w:cs="宋体"/>
                <w:b/>
                <w:color w:val="000000"/>
                <w:sz w:val="20"/>
                <w:szCs w:val="20"/>
              </w:rPr>
              <w:t>其中：教育收费</w:t>
            </w: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3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5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38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3599"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3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5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38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3599"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3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5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38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3599"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3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c>
          <w:tcPr>
            <w:tcW w:w="15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90" w:hRule="atLeast"/>
        </w:trPr>
        <w:tc>
          <w:tcPr>
            <w:tcW w:w="49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textAlignment w:val="center"/>
              <w:rPr>
                <w:rFonts w:hint="default" w:cs="宋体"/>
                <w:b/>
                <w:color w:val="000000"/>
                <w:sz w:val="20"/>
                <w:szCs w:val="20"/>
              </w:rPr>
            </w:pPr>
            <w:r>
              <w:rPr>
                <w:rFonts w:cs="宋体"/>
                <w:b/>
                <w:color w:val="000000"/>
                <w:sz w:val="20"/>
                <w:szCs w:val="20"/>
              </w:rPr>
              <w:t>合计</w:t>
            </w:r>
          </w:p>
        </w:tc>
        <w:tc>
          <w:tcPr>
            <w:tcW w:w="8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348.59</w:t>
            </w:r>
            <w:r>
              <w:rPr>
                <w:rFonts w:ascii="Times New Roman" w:hAnsi="Times New Roman"/>
                <w:b/>
                <w:color w:val="000000"/>
                <w:sz w:val="20"/>
                <w:u w:color="auto"/>
              </w:rPr>
              <w:t xml:space="preserve"> </w:t>
            </w:r>
          </w:p>
        </w:tc>
        <w:tc>
          <w:tcPr>
            <w:tcW w:w="132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203.14</w:t>
            </w:r>
            <w:r>
              <w:rPr>
                <w:rFonts w:ascii="Times New Roman" w:hAnsi="Times New Roman"/>
                <w:b/>
                <w:color w:val="000000"/>
                <w:sz w:val="20"/>
                <w:u w:color="auto"/>
              </w:rPr>
              <w:t xml:space="preserve"> </w:t>
            </w:r>
          </w:p>
        </w:tc>
        <w:tc>
          <w:tcPr>
            <w:tcW w:w="12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144.95</w:t>
            </w:r>
            <w:r>
              <w:rPr>
                <w:rFonts w:ascii="Times New Roman" w:hAnsi="Times New Roman"/>
                <w:b/>
                <w:color w:val="000000"/>
                <w:sz w:val="20"/>
                <w:u w:color="auto"/>
              </w:rPr>
              <w:t xml:space="preserve"> </w:t>
            </w:r>
          </w:p>
        </w:tc>
        <w:tc>
          <w:tcPr>
            <w:tcW w:w="127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4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58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0.50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38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b/>
                <w:color w:val="000000"/>
                <w:sz w:val="20"/>
                <w:szCs w:val="20"/>
              </w:rPr>
              <w:t>208</w:t>
            </w:r>
          </w:p>
        </w:tc>
        <w:tc>
          <w:tcPr>
            <w:tcW w:w="35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b/>
                <w:color w:val="000000"/>
                <w:sz w:val="20"/>
                <w:szCs w:val="20"/>
              </w:rPr>
              <w:t>社会保障和就业支出</w:t>
            </w:r>
          </w:p>
        </w:tc>
        <w:tc>
          <w:tcPr>
            <w:tcW w:w="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22.63</w:t>
            </w:r>
            <w:r>
              <w:rPr>
                <w:rFonts w:ascii="Times New Roman" w:hAnsi="Times New Roman"/>
                <w:b/>
                <w:color w:val="000000"/>
                <w:sz w:val="20"/>
                <w:u w:color="auto"/>
              </w:rPr>
              <w:t xml:space="preserve"> </w:t>
            </w:r>
          </w:p>
        </w:tc>
        <w:tc>
          <w:tcPr>
            <w:tcW w:w="1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22.63</w:t>
            </w:r>
            <w:r>
              <w:rPr>
                <w:rFonts w:ascii="Times New Roman" w:hAnsi="Times New Roman"/>
                <w:b/>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38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b/>
                <w:color w:val="000000"/>
                <w:sz w:val="20"/>
                <w:szCs w:val="20"/>
              </w:rPr>
              <w:t>20805</w:t>
            </w:r>
          </w:p>
        </w:tc>
        <w:tc>
          <w:tcPr>
            <w:tcW w:w="35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b/>
                <w:color w:val="000000"/>
                <w:sz w:val="20"/>
                <w:szCs w:val="20"/>
              </w:rPr>
              <w:t>行政事业单位养老支出</w:t>
            </w:r>
          </w:p>
        </w:tc>
        <w:tc>
          <w:tcPr>
            <w:tcW w:w="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22.63</w:t>
            </w:r>
            <w:r>
              <w:rPr>
                <w:rFonts w:ascii="Times New Roman" w:hAnsi="Times New Roman"/>
                <w:b/>
                <w:color w:val="000000"/>
                <w:sz w:val="20"/>
                <w:u w:color="auto"/>
              </w:rPr>
              <w:t xml:space="preserve"> </w:t>
            </w:r>
          </w:p>
        </w:tc>
        <w:tc>
          <w:tcPr>
            <w:tcW w:w="1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22.63</w:t>
            </w:r>
            <w:r>
              <w:rPr>
                <w:rFonts w:ascii="Times New Roman" w:hAnsi="Times New Roman"/>
                <w:b/>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38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color w:val="000000"/>
                <w:sz w:val="20"/>
                <w:szCs w:val="20"/>
              </w:rPr>
              <w:t>2080502</w:t>
            </w:r>
          </w:p>
        </w:tc>
        <w:tc>
          <w:tcPr>
            <w:tcW w:w="35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color w:val="000000"/>
                <w:sz w:val="20"/>
                <w:szCs w:val="20"/>
              </w:rPr>
              <w:t>事业单位离退休</w:t>
            </w:r>
          </w:p>
        </w:tc>
        <w:tc>
          <w:tcPr>
            <w:tcW w:w="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4.64</w:t>
            </w:r>
            <w:r>
              <w:rPr>
                <w:rFonts w:ascii="Times New Roman" w:hAnsi="Times New Roman"/>
                <w:color w:val="000000"/>
                <w:sz w:val="20"/>
                <w:u w:color="auto"/>
              </w:rPr>
              <w:t xml:space="preserve"> </w:t>
            </w:r>
          </w:p>
        </w:tc>
        <w:tc>
          <w:tcPr>
            <w:tcW w:w="1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4.64</w:t>
            </w:r>
            <w:r>
              <w:rPr>
                <w:rFonts w:ascii="Times New Roman" w:hAnsi="Times New Roman"/>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38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color w:val="000000"/>
                <w:sz w:val="20"/>
                <w:szCs w:val="20"/>
              </w:rPr>
              <w:t>2080505</w:t>
            </w:r>
          </w:p>
        </w:tc>
        <w:tc>
          <w:tcPr>
            <w:tcW w:w="35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color w:val="000000"/>
                <w:sz w:val="20"/>
                <w:szCs w:val="20"/>
              </w:rPr>
              <w:t>机关事业单位基本养老保险缴费支出</w:t>
            </w:r>
          </w:p>
        </w:tc>
        <w:tc>
          <w:tcPr>
            <w:tcW w:w="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11.94</w:t>
            </w:r>
            <w:r>
              <w:rPr>
                <w:rFonts w:ascii="Times New Roman" w:hAnsi="Times New Roman"/>
                <w:color w:val="000000"/>
                <w:sz w:val="20"/>
                <w:u w:color="auto"/>
              </w:rPr>
              <w:t xml:space="preserve"> </w:t>
            </w:r>
          </w:p>
        </w:tc>
        <w:tc>
          <w:tcPr>
            <w:tcW w:w="1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11.94</w:t>
            </w:r>
            <w:r>
              <w:rPr>
                <w:rFonts w:ascii="Times New Roman" w:hAnsi="Times New Roman"/>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38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color w:val="000000"/>
                <w:sz w:val="20"/>
                <w:szCs w:val="20"/>
              </w:rPr>
              <w:t>2080506</w:t>
            </w:r>
          </w:p>
        </w:tc>
        <w:tc>
          <w:tcPr>
            <w:tcW w:w="35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color w:val="000000"/>
                <w:sz w:val="20"/>
                <w:szCs w:val="20"/>
              </w:rPr>
              <w:t>机关事业单位职业年金缴费支出</w:t>
            </w:r>
          </w:p>
        </w:tc>
        <w:tc>
          <w:tcPr>
            <w:tcW w:w="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6.05</w:t>
            </w:r>
            <w:r>
              <w:rPr>
                <w:rFonts w:ascii="Times New Roman" w:hAnsi="Times New Roman"/>
                <w:color w:val="000000"/>
                <w:sz w:val="20"/>
                <w:u w:color="auto"/>
              </w:rPr>
              <w:t xml:space="preserve"> </w:t>
            </w:r>
          </w:p>
        </w:tc>
        <w:tc>
          <w:tcPr>
            <w:tcW w:w="1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6.05</w:t>
            </w:r>
            <w:r>
              <w:rPr>
                <w:rFonts w:ascii="Times New Roman" w:hAnsi="Times New Roman"/>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38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b/>
                <w:color w:val="000000"/>
                <w:sz w:val="20"/>
                <w:szCs w:val="20"/>
              </w:rPr>
              <w:t>210</w:t>
            </w:r>
          </w:p>
        </w:tc>
        <w:tc>
          <w:tcPr>
            <w:tcW w:w="35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b/>
                <w:color w:val="000000"/>
                <w:sz w:val="20"/>
                <w:szCs w:val="20"/>
              </w:rPr>
              <w:t>卫生健康支出</w:t>
            </w:r>
          </w:p>
        </w:tc>
        <w:tc>
          <w:tcPr>
            <w:tcW w:w="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319.81</w:t>
            </w:r>
            <w:r>
              <w:rPr>
                <w:rFonts w:ascii="Times New Roman" w:hAnsi="Times New Roman"/>
                <w:b/>
                <w:color w:val="000000"/>
                <w:sz w:val="20"/>
                <w:u w:color="auto"/>
              </w:rPr>
              <w:t xml:space="preserve"> </w:t>
            </w:r>
          </w:p>
        </w:tc>
        <w:tc>
          <w:tcPr>
            <w:tcW w:w="1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174.36</w:t>
            </w:r>
            <w:r>
              <w:rPr>
                <w:rFonts w:ascii="Times New Roman" w:hAnsi="Times New Roman"/>
                <w:b/>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144.95</w:t>
            </w:r>
            <w:r>
              <w:rPr>
                <w:rFonts w:ascii="Times New Roman" w:hAnsi="Times New Roman"/>
                <w:b/>
                <w:color w:val="000000"/>
                <w:sz w:val="20"/>
                <w:u w:color="auto"/>
              </w:rPr>
              <w:t xml:space="preserve"> </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0.50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38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b/>
                <w:color w:val="000000"/>
                <w:sz w:val="20"/>
                <w:szCs w:val="20"/>
              </w:rPr>
              <w:t>21003</w:t>
            </w:r>
          </w:p>
        </w:tc>
        <w:tc>
          <w:tcPr>
            <w:tcW w:w="35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b/>
                <w:color w:val="000000"/>
                <w:sz w:val="20"/>
                <w:szCs w:val="20"/>
              </w:rPr>
              <w:t>基层医疗卫生机构</w:t>
            </w:r>
          </w:p>
        </w:tc>
        <w:tc>
          <w:tcPr>
            <w:tcW w:w="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257.51</w:t>
            </w:r>
            <w:r>
              <w:rPr>
                <w:rFonts w:ascii="Times New Roman" w:hAnsi="Times New Roman"/>
                <w:b/>
                <w:color w:val="000000"/>
                <w:sz w:val="20"/>
                <w:u w:color="auto"/>
              </w:rPr>
              <w:t xml:space="preserve"> </w:t>
            </w:r>
          </w:p>
        </w:tc>
        <w:tc>
          <w:tcPr>
            <w:tcW w:w="1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112.07</w:t>
            </w:r>
            <w:r>
              <w:rPr>
                <w:rFonts w:ascii="Times New Roman" w:hAnsi="Times New Roman"/>
                <w:b/>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144.95</w:t>
            </w:r>
            <w:r>
              <w:rPr>
                <w:rFonts w:ascii="Times New Roman" w:hAnsi="Times New Roman"/>
                <w:b/>
                <w:color w:val="000000"/>
                <w:sz w:val="20"/>
                <w:u w:color="auto"/>
              </w:rPr>
              <w:t xml:space="preserve"> </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0.50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38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color w:val="000000"/>
                <w:sz w:val="20"/>
                <w:szCs w:val="20"/>
              </w:rPr>
              <w:t>2100302</w:t>
            </w:r>
          </w:p>
        </w:tc>
        <w:tc>
          <w:tcPr>
            <w:tcW w:w="35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color w:val="000000"/>
                <w:sz w:val="20"/>
                <w:szCs w:val="20"/>
              </w:rPr>
              <w:t>乡镇卫生院</w:t>
            </w:r>
          </w:p>
        </w:tc>
        <w:tc>
          <w:tcPr>
            <w:tcW w:w="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256.07</w:t>
            </w:r>
            <w:r>
              <w:rPr>
                <w:rFonts w:ascii="Times New Roman" w:hAnsi="Times New Roman"/>
                <w:color w:val="000000"/>
                <w:sz w:val="20"/>
                <w:u w:color="auto"/>
              </w:rPr>
              <w:t xml:space="preserve"> </w:t>
            </w:r>
          </w:p>
        </w:tc>
        <w:tc>
          <w:tcPr>
            <w:tcW w:w="1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110.63</w:t>
            </w:r>
            <w:r>
              <w:rPr>
                <w:rFonts w:ascii="Times New Roman" w:hAnsi="Times New Roman"/>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144.95</w:t>
            </w:r>
            <w:r>
              <w:rPr>
                <w:rFonts w:ascii="Times New Roman" w:hAnsi="Times New Roman"/>
                <w:color w:val="000000"/>
                <w:sz w:val="20"/>
                <w:u w:color="auto"/>
              </w:rPr>
              <w:t xml:space="preserve"> </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38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color w:val="000000"/>
                <w:sz w:val="20"/>
                <w:szCs w:val="20"/>
              </w:rPr>
              <w:t>2100399</w:t>
            </w:r>
          </w:p>
        </w:tc>
        <w:tc>
          <w:tcPr>
            <w:tcW w:w="35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color w:val="000000"/>
                <w:sz w:val="20"/>
                <w:szCs w:val="20"/>
              </w:rPr>
              <w:t>其他基层医疗卫生机构支出</w:t>
            </w:r>
          </w:p>
        </w:tc>
        <w:tc>
          <w:tcPr>
            <w:tcW w:w="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c>
          <w:tcPr>
            <w:tcW w:w="1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38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b/>
                <w:color w:val="000000"/>
                <w:sz w:val="20"/>
                <w:szCs w:val="20"/>
              </w:rPr>
              <w:t>21004</w:t>
            </w:r>
          </w:p>
        </w:tc>
        <w:tc>
          <w:tcPr>
            <w:tcW w:w="35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b/>
                <w:color w:val="000000"/>
                <w:sz w:val="20"/>
                <w:szCs w:val="20"/>
              </w:rPr>
              <w:t>公共卫生</w:t>
            </w:r>
          </w:p>
        </w:tc>
        <w:tc>
          <w:tcPr>
            <w:tcW w:w="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55.44</w:t>
            </w:r>
            <w:r>
              <w:rPr>
                <w:rFonts w:ascii="Times New Roman" w:hAnsi="Times New Roman"/>
                <w:b/>
                <w:color w:val="000000"/>
                <w:sz w:val="20"/>
                <w:u w:color="auto"/>
              </w:rPr>
              <w:t xml:space="preserve"> </w:t>
            </w:r>
          </w:p>
        </w:tc>
        <w:tc>
          <w:tcPr>
            <w:tcW w:w="1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55.44</w:t>
            </w:r>
            <w:r>
              <w:rPr>
                <w:rFonts w:ascii="Times New Roman" w:hAnsi="Times New Roman"/>
                <w:b/>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38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color w:val="000000"/>
                <w:sz w:val="20"/>
                <w:szCs w:val="20"/>
              </w:rPr>
              <w:t>2100408</w:t>
            </w:r>
          </w:p>
        </w:tc>
        <w:tc>
          <w:tcPr>
            <w:tcW w:w="35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color w:val="000000"/>
                <w:sz w:val="20"/>
                <w:szCs w:val="20"/>
              </w:rPr>
              <w:t>基本公共卫生服务</w:t>
            </w:r>
          </w:p>
        </w:tc>
        <w:tc>
          <w:tcPr>
            <w:tcW w:w="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54.91</w:t>
            </w:r>
            <w:r>
              <w:rPr>
                <w:rFonts w:ascii="Times New Roman" w:hAnsi="Times New Roman"/>
                <w:color w:val="000000"/>
                <w:sz w:val="20"/>
                <w:u w:color="auto"/>
              </w:rPr>
              <w:t xml:space="preserve"> </w:t>
            </w:r>
          </w:p>
        </w:tc>
        <w:tc>
          <w:tcPr>
            <w:tcW w:w="1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54.91</w:t>
            </w:r>
            <w:r>
              <w:rPr>
                <w:rFonts w:ascii="Times New Roman" w:hAnsi="Times New Roman"/>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38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color w:val="000000"/>
                <w:sz w:val="20"/>
                <w:szCs w:val="20"/>
              </w:rPr>
              <w:t>2100410</w:t>
            </w:r>
          </w:p>
        </w:tc>
        <w:tc>
          <w:tcPr>
            <w:tcW w:w="35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color w:val="000000"/>
                <w:sz w:val="20"/>
                <w:szCs w:val="20"/>
              </w:rPr>
              <w:t>突发公共卫生事件应急处置</w:t>
            </w:r>
          </w:p>
        </w:tc>
        <w:tc>
          <w:tcPr>
            <w:tcW w:w="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38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b/>
                <w:color w:val="000000"/>
                <w:sz w:val="20"/>
                <w:szCs w:val="20"/>
              </w:rPr>
              <w:t>21011</w:t>
            </w:r>
          </w:p>
        </w:tc>
        <w:tc>
          <w:tcPr>
            <w:tcW w:w="35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b/>
                <w:color w:val="000000"/>
                <w:sz w:val="20"/>
                <w:szCs w:val="20"/>
              </w:rPr>
              <w:t>行政事业单位医疗</w:t>
            </w:r>
          </w:p>
        </w:tc>
        <w:tc>
          <w:tcPr>
            <w:tcW w:w="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6.85</w:t>
            </w:r>
            <w:r>
              <w:rPr>
                <w:rFonts w:ascii="Times New Roman" w:hAnsi="Times New Roman"/>
                <w:b/>
                <w:color w:val="000000"/>
                <w:sz w:val="20"/>
                <w:u w:color="auto"/>
              </w:rPr>
              <w:t xml:space="preserve"> </w:t>
            </w:r>
          </w:p>
        </w:tc>
        <w:tc>
          <w:tcPr>
            <w:tcW w:w="1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6.85</w:t>
            </w:r>
            <w:r>
              <w:rPr>
                <w:rFonts w:ascii="Times New Roman" w:hAnsi="Times New Roman"/>
                <w:b/>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38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color w:val="000000"/>
                <w:sz w:val="20"/>
                <w:szCs w:val="20"/>
              </w:rPr>
              <w:t>2101102</w:t>
            </w:r>
          </w:p>
        </w:tc>
        <w:tc>
          <w:tcPr>
            <w:tcW w:w="35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color w:val="000000"/>
                <w:sz w:val="20"/>
                <w:szCs w:val="20"/>
              </w:rPr>
              <w:t>事业单位医疗</w:t>
            </w:r>
          </w:p>
        </w:tc>
        <w:tc>
          <w:tcPr>
            <w:tcW w:w="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5.12</w:t>
            </w:r>
            <w:r>
              <w:rPr>
                <w:rFonts w:ascii="Times New Roman" w:hAnsi="Times New Roman"/>
                <w:color w:val="000000"/>
                <w:sz w:val="20"/>
                <w:u w:color="auto"/>
              </w:rPr>
              <w:t xml:space="preserve"> </w:t>
            </w:r>
          </w:p>
        </w:tc>
        <w:tc>
          <w:tcPr>
            <w:tcW w:w="1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5.12</w:t>
            </w:r>
            <w:r>
              <w:rPr>
                <w:rFonts w:ascii="Times New Roman" w:hAnsi="Times New Roman"/>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38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color w:val="000000"/>
                <w:sz w:val="20"/>
                <w:szCs w:val="20"/>
              </w:rPr>
              <w:t>2101199</w:t>
            </w:r>
          </w:p>
        </w:tc>
        <w:tc>
          <w:tcPr>
            <w:tcW w:w="35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color w:val="000000"/>
                <w:sz w:val="20"/>
                <w:szCs w:val="20"/>
              </w:rPr>
              <w:t>其他行政事业单位医疗支出</w:t>
            </w:r>
          </w:p>
        </w:tc>
        <w:tc>
          <w:tcPr>
            <w:tcW w:w="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1.73</w:t>
            </w:r>
            <w:r>
              <w:rPr>
                <w:rFonts w:ascii="Times New Roman" w:hAnsi="Times New Roman"/>
                <w:color w:val="000000"/>
                <w:sz w:val="20"/>
                <w:u w:color="auto"/>
              </w:rPr>
              <w:t xml:space="preserve"> </w:t>
            </w:r>
          </w:p>
        </w:tc>
        <w:tc>
          <w:tcPr>
            <w:tcW w:w="1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1.73</w:t>
            </w:r>
            <w:r>
              <w:rPr>
                <w:rFonts w:ascii="Times New Roman" w:hAnsi="Times New Roman"/>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38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b/>
                <w:color w:val="000000"/>
                <w:sz w:val="20"/>
                <w:szCs w:val="20"/>
              </w:rPr>
              <w:t>221</w:t>
            </w:r>
          </w:p>
        </w:tc>
        <w:tc>
          <w:tcPr>
            <w:tcW w:w="35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b/>
                <w:color w:val="000000"/>
                <w:sz w:val="20"/>
                <w:szCs w:val="20"/>
              </w:rPr>
              <w:t>住房保障支出</w:t>
            </w:r>
          </w:p>
        </w:tc>
        <w:tc>
          <w:tcPr>
            <w:tcW w:w="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6.15</w:t>
            </w:r>
            <w:r>
              <w:rPr>
                <w:rFonts w:ascii="Times New Roman" w:hAnsi="Times New Roman"/>
                <w:b/>
                <w:color w:val="000000"/>
                <w:sz w:val="20"/>
                <w:u w:color="auto"/>
              </w:rPr>
              <w:t xml:space="preserve"> </w:t>
            </w:r>
          </w:p>
        </w:tc>
        <w:tc>
          <w:tcPr>
            <w:tcW w:w="1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6.15</w:t>
            </w:r>
            <w:r>
              <w:rPr>
                <w:rFonts w:ascii="Times New Roman" w:hAnsi="Times New Roman"/>
                <w:b/>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38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b/>
                <w:color w:val="000000"/>
                <w:sz w:val="20"/>
                <w:szCs w:val="20"/>
              </w:rPr>
              <w:t>22102</w:t>
            </w:r>
          </w:p>
        </w:tc>
        <w:tc>
          <w:tcPr>
            <w:tcW w:w="35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b/>
                <w:color w:val="000000"/>
                <w:sz w:val="20"/>
                <w:szCs w:val="20"/>
              </w:rPr>
              <w:t>住房改革支出</w:t>
            </w:r>
          </w:p>
        </w:tc>
        <w:tc>
          <w:tcPr>
            <w:tcW w:w="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6.15</w:t>
            </w:r>
            <w:r>
              <w:rPr>
                <w:rFonts w:ascii="Times New Roman" w:hAnsi="Times New Roman"/>
                <w:b/>
                <w:color w:val="000000"/>
                <w:sz w:val="20"/>
                <w:u w:color="auto"/>
              </w:rPr>
              <w:t xml:space="preserve"> </w:t>
            </w:r>
          </w:p>
        </w:tc>
        <w:tc>
          <w:tcPr>
            <w:tcW w:w="1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6.15</w:t>
            </w:r>
            <w:r>
              <w:rPr>
                <w:rFonts w:ascii="Times New Roman" w:hAnsi="Times New Roman"/>
                <w:b/>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138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color w:val="000000"/>
                <w:sz w:val="20"/>
                <w:szCs w:val="20"/>
              </w:rPr>
              <w:t>2210201</w:t>
            </w:r>
          </w:p>
        </w:tc>
        <w:tc>
          <w:tcPr>
            <w:tcW w:w="35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20"/>
                <w:szCs w:val="20"/>
              </w:rPr>
            </w:pPr>
            <w:r>
              <w:rPr>
                <w:rFonts w:cs="宋体"/>
                <w:color w:val="000000"/>
                <w:sz w:val="20"/>
                <w:szCs w:val="20"/>
              </w:rPr>
              <w:t>住房公积金</w:t>
            </w:r>
          </w:p>
        </w:tc>
        <w:tc>
          <w:tcPr>
            <w:tcW w:w="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6.15</w:t>
            </w:r>
            <w:r>
              <w:rPr>
                <w:rFonts w:ascii="Times New Roman" w:hAnsi="Times New Roman"/>
                <w:color w:val="000000"/>
                <w:sz w:val="20"/>
                <w:u w:color="auto"/>
              </w:rPr>
              <w:t xml:space="preserve"> </w:t>
            </w:r>
          </w:p>
        </w:tc>
        <w:tc>
          <w:tcPr>
            <w:tcW w:w="13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6.15</w:t>
            </w:r>
            <w:r>
              <w:rPr>
                <w:rFonts w:ascii="Times New Roman" w:hAnsi="Times New Roman"/>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keepNext/>
        <w:keepLines w:val="0"/>
        <w:pageBreakBefore w:val="0"/>
        <w:widowControl w:val="0"/>
        <w:kinsoku/>
        <w:overflowPunct/>
        <w:topLinePunct w:val="0"/>
        <w:autoSpaceDE/>
        <w:autoSpaceDN/>
        <w:bidi w:val="0"/>
        <w:adjustRightInd/>
        <w:snapToGrid/>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tbl>
      <w:tblPr>
        <w:tblStyle w:val="12"/>
        <w:tblW w:w="14320" w:type="dxa"/>
        <w:tblInd w:w="0" w:type="dxa"/>
        <w:tblLayout w:type="fixed"/>
        <w:tblCellMar>
          <w:top w:w="0" w:type="dxa"/>
          <w:left w:w="0" w:type="dxa"/>
          <w:bottom w:w="0" w:type="dxa"/>
          <w:right w:w="0" w:type="dxa"/>
        </w:tblCellMar>
      </w:tblPr>
      <w:tblGrid>
        <w:gridCol w:w="1528"/>
        <w:gridCol w:w="3298"/>
        <w:gridCol w:w="1539"/>
        <w:gridCol w:w="1581"/>
        <w:gridCol w:w="1518"/>
        <w:gridCol w:w="1455"/>
        <w:gridCol w:w="1581"/>
        <w:gridCol w:w="1820"/>
      </w:tblGrid>
      <w:tr>
        <w:tblPrEx>
          <w:tblLayout w:type="fixed"/>
          <w:tblCellMar>
            <w:top w:w="0" w:type="dxa"/>
            <w:left w:w="0" w:type="dxa"/>
            <w:bottom w:w="0" w:type="dxa"/>
            <w:right w:w="0" w:type="dxa"/>
          </w:tblCellMar>
        </w:tblPrEx>
        <w:trPr>
          <w:trHeight w:val="90" w:hRule="atLeast"/>
        </w:trPr>
        <w:tc>
          <w:tcPr>
            <w:tcW w:w="14320" w:type="dxa"/>
            <w:gridSpan w:val="8"/>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90" w:hRule="atLeast"/>
        </w:trPr>
        <w:tc>
          <w:tcPr>
            <w:tcW w:w="6365" w:type="dxa"/>
            <w:gridSpan w:val="3"/>
            <w:vMerge w:val="restart"/>
            <w:tcBorders>
              <w:top w:val="nil"/>
              <w:left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 xml:space="preserve">秀山土家族苗族自治县宋农镇卫生院 </w:t>
            </w:r>
          </w:p>
        </w:tc>
        <w:tc>
          <w:tcPr>
            <w:tcW w:w="1581"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p>
        </w:tc>
        <w:tc>
          <w:tcPr>
            <w:tcW w:w="1518"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p>
        </w:tc>
        <w:tc>
          <w:tcPr>
            <w:tcW w:w="1455"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p>
        </w:tc>
        <w:tc>
          <w:tcPr>
            <w:tcW w:w="1581"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p>
        </w:tc>
        <w:tc>
          <w:tcPr>
            <w:tcW w:w="1820"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6365" w:type="dxa"/>
            <w:gridSpan w:val="3"/>
            <w:vMerge w:val="continue"/>
            <w:tcBorders>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p>
        </w:tc>
        <w:tc>
          <w:tcPr>
            <w:tcW w:w="1581"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p>
        </w:tc>
        <w:tc>
          <w:tcPr>
            <w:tcW w:w="1518"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p>
        </w:tc>
        <w:tc>
          <w:tcPr>
            <w:tcW w:w="1455"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p>
        </w:tc>
        <w:tc>
          <w:tcPr>
            <w:tcW w:w="1581"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rPr>
                <w:rFonts w:hint="default" w:cs="宋体"/>
                <w:color w:val="000000"/>
                <w:sz w:val="20"/>
                <w:szCs w:val="20"/>
              </w:rPr>
            </w:pPr>
          </w:p>
        </w:tc>
        <w:tc>
          <w:tcPr>
            <w:tcW w:w="1820" w:type="dxa"/>
            <w:tcBorders>
              <w:top w:val="nil"/>
              <w:left w:val="nil"/>
              <w:bottom w:val="nil"/>
              <w:right w:val="nil"/>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keepLines w:val="0"/>
              <w:pageBreakBefore w:val="0"/>
              <w:widowControl w:val="0"/>
              <w:kinsoku/>
              <w:overflowPunct/>
              <w:topLinePunct w:val="0"/>
              <w:autoSpaceDE/>
              <w:autoSpaceDN/>
              <w:bidi w:val="0"/>
              <w:adjustRightInd/>
              <w:snapToGrid/>
              <w:jc w:val="center"/>
              <w:textAlignment w:val="bottom"/>
              <w:rPr>
                <w:rFonts w:hint="default" w:cs="宋体"/>
                <w:b/>
                <w:color w:val="000000"/>
                <w:sz w:val="20"/>
                <w:szCs w:val="20"/>
              </w:rPr>
            </w:pPr>
            <w:r>
              <w:rPr>
                <w:rFonts w:cs="宋体"/>
                <w:b/>
                <w:color w:val="000000"/>
                <w:sz w:val="20"/>
                <w:szCs w:val="20"/>
              </w:rPr>
              <w:t>项目</w:t>
            </w:r>
          </w:p>
        </w:tc>
        <w:tc>
          <w:tcPr>
            <w:tcW w:w="15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textAlignment w:val="center"/>
              <w:rPr>
                <w:rFonts w:hint="default" w:cs="宋体"/>
                <w:b/>
                <w:color w:val="000000"/>
                <w:sz w:val="20"/>
                <w:szCs w:val="20"/>
              </w:rPr>
            </w:pPr>
            <w:r>
              <w:rPr>
                <w:rFonts w:cs="宋体"/>
                <w:b/>
                <w:color w:val="000000"/>
                <w:sz w:val="20"/>
                <w:szCs w:val="20"/>
              </w:rPr>
              <w:t>本年支出合计</w:t>
            </w:r>
          </w:p>
        </w:tc>
        <w:tc>
          <w:tcPr>
            <w:tcW w:w="158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textAlignment w:val="center"/>
              <w:rPr>
                <w:rFonts w:hint="default" w:cs="宋体"/>
                <w:b/>
                <w:color w:val="000000"/>
                <w:sz w:val="20"/>
                <w:szCs w:val="20"/>
              </w:rPr>
            </w:pPr>
            <w:r>
              <w:rPr>
                <w:rFonts w:cs="宋体"/>
                <w:b/>
                <w:color w:val="000000"/>
                <w:sz w:val="20"/>
                <w:szCs w:val="20"/>
              </w:rPr>
              <w:t>基本支出</w:t>
            </w:r>
          </w:p>
        </w:tc>
        <w:tc>
          <w:tcPr>
            <w:tcW w:w="151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textAlignment w:val="center"/>
              <w:rPr>
                <w:rFonts w:hint="default" w:cs="宋体"/>
                <w:b/>
                <w:color w:val="000000"/>
                <w:sz w:val="20"/>
                <w:szCs w:val="20"/>
              </w:rPr>
            </w:pPr>
            <w:r>
              <w:rPr>
                <w:rFonts w:cs="宋体"/>
                <w:b/>
                <w:color w:val="000000"/>
                <w:sz w:val="20"/>
                <w:szCs w:val="20"/>
              </w:rPr>
              <w:t>项目支出</w:t>
            </w: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textAlignment w:val="center"/>
              <w:rPr>
                <w:rFonts w:hint="default" w:cs="宋体"/>
                <w:b/>
                <w:color w:val="000000"/>
                <w:sz w:val="20"/>
                <w:szCs w:val="20"/>
              </w:rPr>
            </w:pPr>
            <w:r>
              <w:rPr>
                <w:rFonts w:cs="宋体"/>
                <w:b/>
                <w:color w:val="000000"/>
                <w:sz w:val="20"/>
                <w:szCs w:val="20"/>
              </w:rPr>
              <w:t>上缴上级支出</w:t>
            </w:r>
          </w:p>
        </w:tc>
        <w:tc>
          <w:tcPr>
            <w:tcW w:w="158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textAlignment w:val="center"/>
              <w:rPr>
                <w:rFonts w:hint="default" w:cs="宋体"/>
                <w:b/>
                <w:color w:val="000000"/>
                <w:sz w:val="20"/>
                <w:szCs w:val="20"/>
              </w:rPr>
            </w:pPr>
            <w:r>
              <w:rPr>
                <w:rFonts w:cs="宋体"/>
                <w:b/>
                <w:color w:val="000000"/>
                <w:sz w:val="20"/>
                <w:szCs w:val="20"/>
              </w:rPr>
              <w:t>经营支出</w:t>
            </w:r>
          </w:p>
        </w:tc>
        <w:tc>
          <w:tcPr>
            <w:tcW w:w="18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12" w:hRule="atLeast"/>
        </w:trPr>
        <w:tc>
          <w:tcPr>
            <w:tcW w:w="1528"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textAlignment w:val="center"/>
              <w:rPr>
                <w:rFonts w:hint="default" w:cs="宋体"/>
                <w:b/>
                <w:color w:val="000000"/>
                <w:sz w:val="18"/>
                <w:szCs w:val="18"/>
              </w:rPr>
            </w:pPr>
            <w:r>
              <w:rPr>
                <w:rFonts w:cs="宋体"/>
                <w:b/>
                <w:color w:val="000000"/>
                <w:sz w:val="18"/>
                <w:szCs w:val="18"/>
              </w:rPr>
              <w:t>功能分类科目编码</w:t>
            </w:r>
          </w:p>
        </w:tc>
        <w:tc>
          <w:tcPr>
            <w:tcW w:w="3298"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textAlignment w:val="center"/>
              <w:rPr>
                <w:rFonts w:hint="default" w:cs="宋体"/>
                <w:b/>
                <w:color w:val="000000"/>
                <w:sz w:val="18"/>
                <w:szCs w:val="18"/>
              </w:rPr>
            </w:pPr>
            <w:r>
              <w:rPr>
                <w:rFonts w:cs="宋体"/>
                <w:b/>
                <w:color w:val="000000"/>
                <w:sz w:val="18"/>
                <w:szCs w:val="18"/>
              </w:rPr>
              <w:t>项目（按“项”级功能分类科目）</w:t>
            </w:r>
          </w:p>
        </w:tc>
        <w:tc>
          <w:tcPr>
            <w:tcW w:w="15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5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8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312" w:hRule="atLeast"/>
        </w:trPr>
        <w:tc>
          <w:tcPr>
            <w:tcW w:w="1528"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3298"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5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5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8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312" w:hRule="atLeast"/>
        </w:trPr>
        <w:tc>
          <w:tcPr>
            <w:tcW w:w="1528"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3298"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5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5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8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312" w:hRule="atLeast"/>
        </w:trPr>
        <w:tc>
          <w:tcPr>
            <w:tcW w:w="1528"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3298"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5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5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c>
          <w:tcPr>
            <w:tcW w:w="18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482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jc w:val="center"/>
              <w:textAlignment w:val="center"/>
              <w:rPr>
                <w:rFonts w:hint="default" w:cs="宋体"/>
                <w:b/>
                <w:color w:val="000000"/>
                <w:sz w:val="18"/>
                <w:szCs w:val="18"/>
              </w:rPr>
            </w:pPr>
            <w:r>
              <w:rPr>
                <w:rFonts w:cs="宋体"/>
                <w:b/>
                <w:color w:val="000000"/>
                <w:sz w:val="18"/>
                <w:szCs w:val="18"/>
              </w:rPr>
              <w:t>合计</w:t>
            </w:r>
          </w:p>
        </w:tc>
        <w:tc>
          <w:tcPr>
            <w:tcW w:w="15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361.11</w:t>
            </w:r>
            <w:r>
              <w:rPr>
                <w:rFonts w:ascii="Times New Roman" w:hAnsi="Times New Roman"/>
                <w:b/>
                <w:color w:val="000000"/>
                <w:sz w:val="18"/>
                <w:szCs w:val="18"/>
                <w:u w:color="auto"/>
              </w:rPr>
              <w:t xml:space="preserve"> </w:t>
            </w:r>
          </w:p>
        </w:tc>
        <w:tc>
          <w:tcPr>
            <w:tcW w:w="15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357.70</w:t>
            </w:r>
            <w:r>
              <w:rPr>
                <w:rFonts w:ascii="Times New Roman" w:hAnsi="Times New Roman"/>
                <w:b/>
                <w:color w:val="000000"/>
                <w:sz w:val="18"/>
                <w:szCs w:val="18"/>
                <w:u w:color="auto"/>
              </w:rPr>
              <w:t xml:space="preserve"> </w:t>
            </w:r>
          </w:p>
        </w:tc>
        <w:tc>
          <w:tcPr>
            <w:tcW w:w="151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3.41</w:t>
            </w:r>
            <w:r>
              <w:rPr>
                <w:rFonts w:ascii="Times New Roman" w:hAnsi="Times New Roman"/>
                <w:b/>
                <w:color w:val="000000"/>
                <w:sz w:val="18"/>
                <w:szCs w:val="18"/>
                <w:u w:color="auto"/>
              </w:rPr>
              <w:t xml:space="preserve"> </w:t>
            </w:r>
          </w:p>
        </w:tc>
        <w:tc>
          <w:tcPr>
            <w:tcW w:w="145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0.00</w:t>
            </w:r>
            <w:r>
              <w:rPr>
                <w:rFonts w:ascii="Times New Roman" w:hAnsi="Times New Roman"/>
                <w:b/>
                <w:color w:val="000000"/>
                <w:sz w:val="18"/>
                <w:szCs w:val="18"/>
                <w:u w:color="auto"/>
              </w:rPr>
              <w:t xml:space="preserve"> </w:t>
            </w:r>
          </w:p>
        </w:tc>
        <w:tc>
          <w:tcPr>
            <w:tcW w:w="15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0.00</w:t>
            </w:r>
            <w:r>
              <w:rPr>
                <w:rFonts w:ascii="Times New Roman" w:hAnsi="Times New Roman"/>
                <w:b/>
                <w:color w:val="000000"/>
                <w:sz w:val="18"/>
                <w:szCs w:val="18"/>
                <w:u w:color="auto"/>
              </w:rPr>
              <w:t xml:space="preserve"> </w:t>
            </w:r>
          </w:p>
        </w:tc>
        <w:tc>
          <w:tcPr>
            <w:tcW w:w="18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2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208</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社会保障和就业支出</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22.63</w:t>
            </w:r>
            <w:r>
              <w:rPr>
                <w:rFonts w:ascii="Times New Roman" w:hAnsi="Times New Roman"/>
                <w:b/>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22.63</w:t>
            </w:r>
            <w:r>
              <w:rPr>
                <w:rFonts w:ascii="Times New Roman" w:hAnsi="Times New Roman"/>
                <w:b/>
                <w:color w:val="000000"/>
                <w:sz w:val="18"/>
                <w:szCs w:val="18"/>
                <w:u w:color="auto"/>
              </w:rPr>
              <w:t xml:space="preserve"> </w:t>
            </w:r>
          </w:p>
        </w:tc>
        <w:tc>
          <w:tcPr>
            <w:tcW w:w="1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2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20805</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行政事业单位养老支出</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22.63</w:t>
            </w:r>
            <w:r>
              <w:rPr>
                <w:rFonts w:ascii="Times New Roman" w:hAnsi="Times New Roman"/>
                <w:b/>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22.63</w:t>
            </w:r>
            <w:r>
              <w:rPr>
                <w:rFonts w:ascii="Times New Roman" w:hAnsi="Times New Roman"/>
                <w:b/>
                <w:color w:val="000000"/>
                <w:sz w:val="18"/>
                <w:szCs w:val="18"/>
                <w:u w:color="auto"/>
              </w:rPr>
              <w:t xml:space="preserve"> </w:t>
            </w:r>
          </w:p>
        </w:tc>
        <w:tc>
          <w:tcPr>
            <w:tcW w:w="1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2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2080502</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事业单位离退休</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4.64</w:t>
            </w:r>
            <w:r>
              <w:rPr>
                <w:rFonts w:ascii="Times New Roman" w:hAnsi="Times New Roman"/>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4.64</w:t>
            </w:r>
            <w:r>
              <w:rPr>
                <w:rFonts w:ascii="Times New Roman" w:hAnsi="Times New Roman"/>
                <w:color w:val="000000"/>
                <w:sz w:val="18"/>
                <w:szCs w:val="18"/>
                <w:u w:color="auto"/>
              </w:rPr>
              <w:t xml:space="preserve"> </w:t>
            </w:r>
          </w:p>
        </w:tc>
        <w:tc>
          <w:tcPr>
            <w:tcW w:w="1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2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2080505</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机关事业单位基本养老保险缴费支出</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11.94</w:t>
            </w:r>
            <w:r>
              <w:rPr>
                <w:rFonts w:ascii="Times New Roman" w:hAnsi="Times New Roman"/>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11.94</w:t>
            </w:r>
            <w:r>
              <w:rPr>
                <w:rFonts w:ascii="Times New Roman" w:hAnsi="Times New Roman"/>
                <w:color w:val="000000"/>
                <w:sz w:val="18"/>
                <w:szCs w:val="18"/>
                <w:u w:color="auto"/>
              </w:rPr>
              <w:t xml:space="preserve"> </w:t>
            </w:r>
          </w:p>
        </w:tc>
        <w:tc>
          <w:tcPr>
            <w:tcW w:w="1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2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2080506</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机关事业单位职业年金缴费支出</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6.05</w:t>
            </w:r>
            <w:r>
              <w:rPr>
                <w:rFonts w:ascii="Times New Roman" w:hAnsi="Times New Roman"/>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6.05</w:t>
            </w:r>
            <w:r>
              <w:rPr>
                <w:rFonts w:ascii="Times New Roman" w:hAnsi="Times New Roman"/>
                <w:color w:val="000000"/>
                <w:sz w:val="18"/>
                <w:szCs w:val="18"/>
                <w:u w:color="auto"/>
              </w:rPr>
              <w:t xml:space="preserve"> </w:t>
            </w:r>
          </w:p>
        </w:tc>
        <w:tc>
          <w:tcPr>
            <w:tcW w:w="1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2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210</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卫生健康支出</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332.33</w:t>
            </w:r>
            <w:r>
              <w:rPr>
                <w:rFonts w:ascii="Times New Roman" w:hAnsi="Times New Roman"/>
                <w:b/>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328.92</w:t>
            </w:r>
            <w:r>
              <w:rPr>
                <w:rFonts w:ascii="Times New Roman" w:hAnsi="Times New Roman"/>
                <w:b/>
                <w:color w:val="000000"/>
                <w:sz w:val="18"/>
                <w:szCs w:val="18"/>
                <w:u w:color="auto"/>
              </w:rPr>
              <w:t xml:space="preserve"> </w:t>
            </w:r>
          </w:p>
        </w:tc>
        <w:tc>
          <w:tcPr>
            <w:tcW w:w="1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3.41</w:t>
            </w:r>
            <w:r>
              <w:rPr>
                <w:rFonts w:ascii="Times New Roman" w:hAnsi="Times New Roman"/>
                <w:b/>
                <w:color w:val="000000"/>
                <w:sz w:val="18"/>
                <w:szCs w:val="18"/>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2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21003</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基层医疗卫生机构</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270.03</w:t>
            </w:r>
            <w:r>
              <w:rPr>
                <w:rFonts w:ascii="Times New Roman" w:hAnsi="Times New Roman"/>
                <w:b/>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267.15</w:t>
            </w:r>
            <w:r>
              <w:rPr>
                <w:rFonts w:ascii="Times New Roman" w:hAnsi="Times New Roman"/>
                <w:b/>
                <w:color w:val="000000"/>
                <w:sz w:val="18"/>
                <w:szCs w:val="18"/>
                <w:u w:color="auto"/>
              </w:rPr>
              <w:t xml:space="preserve"> </w:t>
            </w:r>
          </w:p>
        </w:tc>
        <w:tc>
          <w:tcPr>
            <w:tcW w:w="1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2.88</w:t>
            </w:r>
            <w:r>
              <w:rPr>
                <w:rFonts w:ascii="Times New Roman" w:hAnsi="Times New Roman"/>
                <w:b/>
                <w:color w:val="000000"/>
                <w:sz w:val="18"/>
                <w:szCs w:val="18"/>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2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2100302</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乡镇卫生院</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268.59</w:t>
            </w:r>
            <w:r>
              <w:rPr>
                <w:rFonts w:ascii="Times New Roman" w:hAnsi="Times New Roman"/>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267.15</w:t>
            </w:r>
            <w:r>
              <w:rPr>
                <w:rFonts w:ascii="Times New Roman" w:hAnsi="Times New Roman"/>
                <w:color w:val="000000"/>
                <w:sz w:val="18"/>
                <w:szCs w:val="18"/>
                <w:u w:color="auto"/>
              </w:rPr>
              <w:t xml:space="preserve"> </w:t>
            </w:r>
          </w:p>
        </w:tc>
        <w:tc>
          <w:tcPr>
            <w:tcW w:w="1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1.44</w:t>
            </w:r>
            <w:r>
              <w:rPr>
                <w:rFonts w:ascii="Times New Roman" w:hAnsi="Times New Roman"/>
                <w:color w:val="000000"/>
                <w:sz w:val="18"/>
                <w:szCs w:val="18"/>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2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2100399</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其他基层医疗卫生机构支出</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1.44</w:t>
            </w:r>
            <w:r>
              <w:rPr>
                <w:rFonts w:ascii="Times New Roman" w:hAnsi="Times New Roman"/>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1.44</w:t>
            </w:r>
            <w:r>
              <w:rPr>
                <w:rFonts w:ascii="Times New Roman" w:hAnsi="Times New Roman"/>
                <w:color w:val="000000"/>
                <w:sz w:val="18"/>
                <w:szCs w:val="18"/>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2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21004</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公共卫生</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55.44</w:t>
            </w:r>
            <w:r>
              <w:rPr>
                <w:rFonts w:ascii="Times New Roman" w:hAnsi="Times New Roman"/>
                <w:b/>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54.91</w:t>
            </w:r>
            <w:r>
              <w:rPr>
                <w:rFonts w:ascii="Times New Roman" w:hAnsi="Times New Roman"/>
                <w:b/>
                <w:color w:val="000000"/>
                <w:sz w:val="18"/>
                <w:szCs w:val="18"/>
                <w:u w:color="auto"/>
              </w:rPr>
              <w:t xml:space="preserve"> </w:t>
            </w:r>
          </w:p>
        </w:tc>
        <w:tc>
          <w:tcPr>
            <w:tcW w:w="1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0.53</w:t>
            </w:r>
            <w:r>
              <w:rPr>
                <w:rFonts w:ascii="Times New Roman" w:hAnsi="Times New Roman"/>
                <w:b/>
                <w:color w:val="000000"/>
                <w:sz w:val="18"/>
                <w:szCs w:val="18"/>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2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2100408</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基本公共卫生服务</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54.91</w:t>
            </w:r>
            <w:r>
              <w:rPr>
                <w:rFonts w:ascii="Times New Roman" w:hAnsi="Times New Roman"/>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54.91</w:t>
            </w:r>
            <w:r>
              <w:rPr>
                <w:rFonts w:ascii="Times New Roman" w:hAnsi="Times New Roman"/>
                <w:color w:val="000000"/>
                <w:sz w:val="18"/>
                <w:szCs w:val="18"/>
                <w:u w:color="auto"/>
              </w:rPr>
              <w:t xml:space="preserve"> </w:t>
            </w:r>
          </w:p>
        </w:tc>
        <w:tc>
          <w:tcPr>
            <w:tcW w:w="1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2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2100410</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突发公共卫生事件应急处置</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0.53</w:t>
            </w:r>
            <w:r>
              <w:rPr>
                <w:rFonts w:ascii="Times New Roman" w:hAnsi="Times New Roman"/>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0.53</w:t>
            </w:r>
            <w:r>
              <w:rPr>
                <w:rFonts w:ascii="Times New Roman" w:hAnsi="Times New Roman"/>
                <w:color w:val="000000"/>
                <w:sz w:val="18"/>
                <w:szCs w:val="18"/>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2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21011</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行政事业单位医疗</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6.85</w:t>
            </w:r>
            <w:r>
              <w:rPr>
                <w:rFonts w:ascii="Times New Roman" w:hAnsi="Times New Roman"/>
                <w:b/>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6.85</w:t>
            </w:r>
            <w:r>
              <w:rPr>
                <w:rFonts w:ascii="Times New Roman" w:hAnsi="Times New Roman"/>
                <w:b/>
                <w:color w:val="000000"/>
                <w:sz w:val="18"/>
                <w:szCs w:val="18"/>
                <w:u w:color="auto"/>
              </w:rPr>
              <w:t xml:space="preserve"> </w:t>
            </w:r>
          </w:p>
        </w:tc>
        <w:tc>
          <w:tcPr>
            <w:tcW w:w="1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2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2101102</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事业单位医疗</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5.12</w:t>
            </w:r>
            <w:r>
              <w:rPr>
                <w:rFonts w:ascii="Times New Roman" w:hAnsi="Times New Roman"/>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5.12</w:t>
            </w:r>
            <w:r>
              <w:rPr>
                <w:rFonts w:ascii="Times New Roman" w:hAnsi="Times New Roman"/>
                <w:color w:val="000000"/>
                <w:sz w:val="18"/>
                <w:szCs w:val="18"/>
                <w:u w:color="auto"/>
              </w:rPr>
              <w:t xml:space="preserve"> </w:t>
            </w:r>
          </w:p>
        </w:tc>
        <w:tc>
          <w:tcPr>
            <w:tcW w:w="1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2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2101199</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其他行政事业单位医疗支出</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1.73</w:t>
            </w:r>
            <w:r>
              <w:rPr>
                <w:rFonts w:ascii="Times New Roman" w:hAnsi="Times New Roman"/>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1.73</w:t>
            </w:r>
            <w:r>
              <w:rPr>
                <w:rFonts w:ascii="Times New Roman" w:hAnsi="Times New Roman"/>
                <w:color w:val="000000"/>
                <w:sz w:val="18"/>
                <w:szCs w:val="18"/>
                <w:u w:color="auto"/>
              </w:rPr>
              <w:t xml:space="preserve"> </w:t>
            </w:r>
          </w:p>
        </w:tc>
        <w:tc>
          <w:tcPr>
            <w:tcW w:w="1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2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221</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住房保障支出</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6.15</w:t>
            </w:r>
            <w:r>
              <w:rPr>
                <w:rFonts w:ascii="Times New Roman" w:hAnsi="Times New Roman"/>
                <w:b/>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6.15</w:t>
            </w:r>
            <w:r>
              <w:rPr>
                <w:rFonts w:ascii="Times New Roman" w:hAnsi="Times New Roman"/>
                <w:b/>
                <w:color w:val="000000"/>
                <w:sz w:val="18"/>
                <w:szCs w:val="18"/>
                <w:u w:color="auto"/>
              </w:rPr>
              <w:t xml:space="preserve"> </w:t>
            </w:r>
          </w:p>
        </w:tc>
        <w:tc>
          <w:tcPr>
            <w:tcW w:w="1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2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22102</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b/>
                <w:color w:val="000000"/>
                <w:sz w:val="18"/>
                <w:szCs w:val="18"/>
              </w:rPr>
              <w:t>住房改革支出</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6.15</w:t>
            </w:r>
            <w:r>
              <w:rPr>
                <w:rFonts w:ascii="Times New Roman" w:hAnsi="Times New Roman"/>
                <w:b/>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6.15</w:t>
            </w:r>
            <w:r>
              <w:rPr>
                <w:rFonts w:ascii="Times New Roman" w:hAnsi="Times New Roman"/>
                <w:b/>
                <w:color w:val="000000"/>
                <w:sz w:val="18"/>
                <w:szCs w:val="18"/>
                <w:u w:color="auto"/>
              </w:rPr>
              <w:t xml:space="preserve"> </w:t>
            </w:r>
          </w:p>
        </w:tc>
        <w:tc>
          <w:tcPr>
            <w:tcW w:w="1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2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2210201</w:t>
            </w:r>
          </w:p>
        </w:tc>
        <w:tc>
          <w:tcPr>
            <w:tcW w:w="32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overflowPunct/>
              <w:topLinePunct w:val="0"/>
              <w:autoSpaceDE/>
              <w:autoSpaceDN/>
              <w:bidi w:val="0"/>
              <w:adjustRightInd/>
              <w:snapToGrid/>
              <w:textAlignment w:val="center"/>
              <w:rPr>
                <w:rFonts w:hint="default" w:cs="宋体"/>
                <w:color w:val="000000"/>
                <w:sz w:val="18"/>
                <w:szCs w:val="18"/>
              </w:rPr>
            </w:pPr>
            <w:r>
              <w:rPr>
                <w:rFonts w:cs="宋体"/>
                <w:color w:val="000000"/>
                <w:sz w:val="18"/>
                <w:szCs w:val="18"/>
              </w:rPr>
              <w:t>住房公积金</w:t>
            </w:r>
          </w:p>
        </w:tc>
        <w:tc>
          <w:tcPr>
            <w:tcW w:w="15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6.15</w:t>
            </w:r>
            <w:r>
              <w:rPr>
                <w:rFonts w:ascii="Times New Roman" w:hAnsi="Times New Roman"/>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6.15</w:t>
            </w:r>
            <w:r>
              <w:rPr>
                <w:rFonts w:ascii="Times New Roman" w:hAnsi="Times New Roman"/>
                <w:color w:val="000000"/>
                <w:sz w:val="18"/>
                <w:szCs w:val="18"/>
                <w:u w:color="auto"/>
              </w:rPr>
              <w:t xml:space="preserve"> </w:t>
            </w:r>
          </w:p>
        </w:tc>
        <w:tc>
          <w:tcPr>
            <w:tcW w:w="15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8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keepLines w:val="0"/>
              <w:pageBreakBefore w:val="0"/>
              <w:widowControl w:val="0"/>
              <w:kinsoku/>
              <w:wordWrap w:val="0"/>
              <w:overflowPunct/>
              <w:topLinePunct w:val="0"/>
              <w:autoSpaceDE/>
              <w:autoSpaceDN/>
              <w:bidi w:val="0"/>
              <w:adjustRightInd/>
              <w:snapToGrid/>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bl>
    <w:p>
      <w:pPr>
        <w:keepNext/>
        <w:keepLines w:val="0"/>
        <w:pageBreakBefore w:val="0"/>
        <w:widowControl w:val="0"/>
        <w:kinsoku/>
        <w:overflowPunct/>
        <w:topLinePunct w:val="0"/>
        <w:autoSpaceDE/>
        <w:autoSpaceDN/>
        <w:bidi w:val="0"/>
        <w:adjustRightInd/>
        <w:snapToGrid/>
        <w:rPr>
          <w:rFonts w:hint="default" w:cs="宋体"/>
          <w:sz w:val="21"/>
          <w:szCs w:val="21"/>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p>
    <w:tbl>
      <w:tblPr>
        <w:tblStyle w:val="12"/>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秀山土家族苗族自治县宋农镇卫生院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203.14</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22.63</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22.63</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184.12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184.12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6.15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6.15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203.14</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212.90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212.90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9.76</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9.76</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212.90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212.90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212.90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秀山土家族苗族自治县宋农镇卫生院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212.90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209.49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3.41</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22.63</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22.63</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22.63</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22.63</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4.64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4.64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11.94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11.94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6.05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6.05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184.12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180.71</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3.41</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121.83</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118.95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2.88</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120.39</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118.95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55.44</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54.91</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0.53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54.91</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54.91</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6.85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6.85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5.12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5.12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1.73</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6.15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6.15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6.15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6.15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6.15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6.15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tbl>
      <w:tblPr>
        <w:tblStyle w:val="12"/>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秀山土家族苗族自治县宋农镇卫生院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197.18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1.24</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44.75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19.32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12.48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89.49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11.94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6.05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5.12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0.15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6.15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1.73</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11.07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1.24</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5.17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5.40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0.50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208.25</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1.24</w:t>
            </w:r>
            <w:r>
              <w:rPr>
                <w:rFonts w:ascii="Times New Roman" w:hAnsi="Times New Roman"/>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秀山土家族苗族自治县宋农镇卫生院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秀山土家族苗族自治县宋农镇卫生院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2"/>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hint="eastAsia" w:cs="宋体"/>
                <w:kern w:val="2"/>
                <w:sz w:val="20"/>
                <w:szCs w:val="20"/>
                <w:lang w:eastAsia="zh-CN"/>
              </w:rPr>
              <w:t>单位</w:t>
            </w:r>
            <w:r>
              <w:rPr>
                <w:rFonts w:cs="宋体"/>
                <w:color w:val="000000"/>
                <w:kern w:val="2"/>
                <w:sz w:val="20"/>
                <w:szCs w:val="20"/>
              </w:rPr>
              <w:t>：</w:t>
            </w:r>
            <w:r>
              <w:rPr>
                <w:color w:val="000000"/>
                <w:sz w:val="20"/>
                <w:u w:color="auto"/>
              </w:rPr>
              <w:t>秀山土家族苗族自治县宋农镇卫生院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2.52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2.52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2.52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2.52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5" w:type="default"/>
      <w:footerReference r:id="rId6" w:type="default"/>
      <w:pgSz w:w="16783" w:h="11850" w:orient="landscape"/>
      <w:pgMar w:top="567" w:right="454" w:bottom="567" w:left="1037" w:header="0" w:footer="283" w:gutter="0"/>
      <w:pgBorders>
        <w:top w:val="none" w:sz="0" w:space="0"/>
        <w:left w:val="none" w:sz="0" w:space="0"/>
        <w:bottom w:val="none" w:sz="0" w:space="0"/>
        <w:right w:val="none" w:sz="0" w:space="0"/>
      </w:pgBorders>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j8kMaAgAAIQQAAA4AAABkcnMvZTJvRG9jLnhtbK1TzY7TMBC+I/EO&#10;lu80aStW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Zvq6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aePyQxoCAAAhBAAADgAA&#10;AAAAAAABACAAAAAfAQAAZHJzL2Uyb0RvYy54bWxQSwUGAAAAAAYABgBZAQAAqwU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4384"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3360"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3360;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5B1480"/>
    <w:rsid w:val="00623A85"/>
    <w:rsid w:val="00770383"/>
    <w:rsid w:val="007819D4"/>
    <w:rsid w:val="007B419D"/>
    <w:rsid w:val="007B7C4B"/>
    <w:rsid w:val="007D3D39"/>
    <w:rsid w:val="008D71EE"/>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F3521E"/>
    <w:rsid w:val="029B040B"/>
    <w:rsid w:val="036E2DA9"/>
    <w:rsid w:val="03B87EA0"/>
    <w:rsid w:val="03BB2622"/>
    <w:rsid w:val="03E3214F"/>
    <w:rsid w:val="044C50BA"/>
    <w:rsid w:val="05BC6D49"/>
    <w:rsid w:val="06194FF1"/>
    <w:rsid w:val="06A2550B"/>
    <w:rsid w:val="06F80EE2"/>
    <w:rsid w:val="07001CCA"/>
    <w:rsid w:val="075678DB"/>
    <w:rsid w:val="079D7CC7"/>
    <w:rsid w:val="08051BCA"/>
    <w:rsid w:val="086C12F4"/>
    <w:rsid w:val="08705944"/>
    <w:rsid w:val="08BA052C"/>
    <w:rsid w:val="08DB07BA"/>
    <w:rsid w:val="0969353F"/>
    <w:rsid w:val="098305D0"/>
    <w:rsid w:val="09B1218B"/>
    <w:rsid w:val="0A3317EA"/>
    <w:rsid w:val="0A5C4B69"/>
    <w:rsid w:val="0A86124A"/>
    <w:rsid w:val="0AB54CC0"/>
    <w:rsid w:val="0B9335CE"/>
    <w:rsid w:val="0BF2311A"/>
    <w:rsid w:val="0C7927C4"/>
    <w:rsid w:val="0C9B098C"/>
    <w:rsid w:val="0D673E11"/>
    <w:rsid w:val="0DDA54E4"/>
    <w:rsid w:val="0E3A5F83"/>
    <w:rsid w:val="0F836721"/>
    <w:rsid w:val="0FA25D96"/>
    <w:rsid w:val="0FBD3C60"/>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4370EA1"/>
    <w:rsid w:val="145D6F41"/>
    <w:rsid w:val="14CB7A12"/>
    <w:rsid w:val="163A6CEE"/>
    <w:rsid w:val="164A3920"/>
    <w:rsid w:val="173708E3"/>
    <w:rsid w:val="176517DB"/>
    <w:rsid w:val="17C374FC"/>
    <w:rsid w:val="182E4AB6"/>
    <w:rsid w:val="18365D56"/>
    <w:rsid w:val="189079DC"/>
    <w:rsid w:val="189B0D0B"/>
    <w:rsid w:val="18B43F7C"/>
    <w:rsid w:val="191C433B"/>
    <w:rsid w:val="194A1770"/>
    <w:rsid w:val="19B906A4"/>
    <w:rsid w:val="1B6F15B6"/>
    <w:rsid w:val="1BAA2EDC"/>
    <w:rsid w:val="1BF97215"/>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35417B6"/>
    <w:rsid w:val="24B92327"/>
    <w:rsid w:val="24C14514"/>
    <w:rsid w:val="2533755C"/>
    <w:rsid w:val="25791755"/>
    <w:rsid w:val="26396DF4"/>
    <w:rsid w:val="27167136"/>
    <w:rsid w:val="271B442C"/>
    <w:rsid w:val="27B23302"/>
    <w:rsid w:val="27DA2710"/>
    <w:rsid w:val="29310A5F"/>
    <w:rsid w:val="29C37A35"/>
    <w:rsid w:val="2A076083"/>
    <w:rsid w:val="2A73162E"/>
    <w:rsid w:val="2B167953"/>
    <w:rsid w:val="2B200583"/>
    <w:rsid w:val="2B8209DE"/>
    <w:rsid w:val="2B821C91"/>
    <w:rsid w:val="2BF81A22"/>
    <w:rsid w:val="2C636760"/>
    <w:rsid w:val="2C6762A3"/>
    <w:rsid w:val="2C966EF6"/>
    <w:rsid w:val="2D501336"/>
    <w:rsid w:val="2D992338"/>
    <w:rsid w:val="2DF41D09"/>
    <w:rsid w:val="2FCA4B37"/>
    <w:rsid w:val="2FE029D7"/>
    <w:rsid w:val="2FF06E00"/>
    <w:rsid w:val="30586FEC"/>
    <w:rsid w:val="31442543"/>
    <w:rsid w:val="315F0B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841E99"/>
    <w:rsid w:val="37BF1123"/>
    <w:rsid w:val="383C3F15"/>
    <w:rsid w:val="38BE4696"/>
    <w:rsid w:val="3939115E"/>
    <w:rsid w:val="39AB7AFE"/>
    <w:rsid w:val="39B82A39"/>
    <w:rsid w:val="39C42CA8"/>
    <w:rsid w:val="39DC4FD6"/>
    <w:rsid w:val="39F03D7A"/>
    <w:rsid w:val="39F33306"/>
    <w:rsid w:val="3A2C1C67"/>
    <w:rsid w:val="3A2C6DA1"/>
    <w:rsid w:val="3A6A77C9"/>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4C52C6"/>
    <w:rsid w:val="3F694D83"/>
    <w:rsid w:val="3F885DCC"/>
    <w:rsid w:val="3FCD675E"/>
    <w:rsid w:val="4004000C"/>
    <w:rsid w:val="40BD5482"/>
    <w:rsid w:val="411B6CE5"/>
    <w:rsid w:val="412070D7"/>
    <w:rsid w:val="41314E40"/>
    <w:rsid w:val="41E0734B"/>
    <w:rsid w:val="426C1EA8"/>
    <w:rsid w:val="42736402"/>
    <w:rsid w:val="42E86A87"/>
    <w:rsid w:val="43307B09"/>
    <w:rsid w:val="436D44AF"/>
    <w:rsid w:val="439A3EB9"/>
    <w:rsid w:val="43A2191B"/>
    <w:rsid w:val="43BB152F"/>
    <w:rsid w:val="440B0ECF"/>
    <w:rsid w:val="44C37687"/>
    <w:rsid w:val="45CB699A"/>
    <w:rsid w:val="46423C66"/>
    <w:rsid w:val="465B470D"/>
    <w:rsid w:val="469D6AD4"/>
    <w:rsid w:val="471E6C84"/>
    <w:rsid w:val="4748792B"/>
    <w:rsid w:val="475D719D"/>
    <w:rsid w:val="47674801"/>
    <w:rsid w:val="48225EF7"/>
    <w:rsid w:val="488F422B"/>
    <w:rsid w:val="48E36915"/>
    <w:rsid w:val="48EB6572"/>
    <w:rsid w:val="495C4A24"/>
    <w:rsid w:val="497135DF"/>
    <w:rsid w:val="4A263DF2"/>
    <w:rsid w:val="4A2F278B"/>
    <w:rsid w:val="4A6F6675"/>
    <w:rsid w:val="4B135857"/>
    <w:rsid w:val="4B7951CB"/>
    <w:rsid w:val="4B7C315C"/>
    <w:rsid w:val="4C9316A8"/>
    <w:rsid w:val="4D1F53CA"/>
    <w:rsid w:val="4DAC4ACA"/>
    <w:rsid w:val="4DBE01D2"/>
    <w:rsid w:val="4F0C6BA3"/>
    <w:rsid w:val="4F186D58"/>
    <w:rsid w:val="50F06B6E"/>
    <w:rsid w:val="512772E7"/>
    <w:rsid w:val="51D21804"/>
    <w:rsid w:val="52234D33"/>
    <w:rsid w:val="522F6E0C"/>
    <w:rsid w:val="52463BA1"/>
    <w:rsid w:val="52F163D4"/>
    <w:rsid w:val="531A2DB4"/>
    <w:rsid w:val="53C0244D"/>
    <w:rsid w:val="53C426BC"/>
    <w:rsid w:val="53DD4D4E"/>
    <w:rsid w:val="53E578CE"/>
    <w:rsid w:val="540C550F"/>
    <w:rsid w:val="541330F0"/>
    <w:rsid w:val="54272666"/>
    <w:rsid w:val="543B029D"/>
    <w:rsid w:val="54861779"/>
    <w:rsid w:val="552256E1"/>
    <w:rsid w:val="554E5773"/>
    <w:rsid w:val="555829E0"/>
    <w:rsid w:val="555A3CBC"/>
    <w:rsid w:val="5582012B"/>
    <w:rsid w:val="558E4E05"/>
    <w:rsid w:val="55BE2E85"/>
    <w:rsid w:val="56530F5D"/>
    <w:rsid w:val="567700D3"/>
    <w:rsid w:val="569E5A73"/>
    <w:rsid w:val="56FF7E9E"/>
    <w:rsid w:val="578867FC"/>
    <w:rsid w:val="57BB6E92"/>
    <w:rsid w:val="5842572D"/>
    <w:rsid w:val="5A3B59D6"/>
    <w:rsid w:val="5AD134D8"/>
    <w:rsid w:val="5BF41F67"/>
    <w:rsid w:val="5C263CE4"/>
    <w:rsid w:val="5C5D2777"/>
    <w:rsid w:val="5CF66BF3"/>
    <w:rsid w:val="5D290C69"/>
    <w:rsid w:val="5DA80C2C"/>
    <w:rsid w:val="5F2D4A41"/>
    <w:rsid w:val="60C74F6C"/>
    <w:rsid w:val="61015958"/>
    <w:rsid w:val="61025A59"/>
    <w:rsid w:val="613D5BBC"/>
    <w:rsid w:val="61536C39"/>
    <w:rsid w:val="61894431"/>
    <w:rsid w:val="62944DD7"/>
    <w:rsid w:val="6319381F"/>
    <w:rsid w:val="63C25DC5"/>
    <w:rsid w:val="63C62057"/>
    <w:rsid w:val="64571EF5"/>
    <w:rsid w:val="64FB113D"/>
    <w:rsid w:val="65273D42"/>
    <w:rsid w:val="656152C6"/>
    <w:rsid w:val="6587477F"/>
    <w:rsid w:val="658C3A08"/>
    <w:rsid w:val="65C031CA"/>
    <w:rsid w:val="65CE6852"/>
    <w:rsid w:val="65F91372"/>
    <w:rsid w:val="66267C04"/>
    <w:rsid w:val="663F505A"/>
    <w:rsid w:val="66AF5D7C"/>
    <w:rsid w:val="66EE5541"/>
    <w:rsid w:val="67924660"/>
    <w:rsid w:val="68407834"/>
    <w:rsid w:val="6883293E"/>
    <w:rsid w:val="688412AD"/>
    <w:rsid w:val="68EB1B71"/>
    <w:rsid w:val="69474E30"/>
    <w:rsid w:val="696C0310"/>
    <w:rsid w:val="6A6C7940"/>
    <w:rsid w:val="6A9F1565"/>
    <w:rsid w:val="6AAD2300"/>
    <w:rsid w:val="6B474EF5"/>
    <w:rsid w:val="6C0A5AC5"/>
    <w:rsid w:val="6C560CAE"/>
    <w:rsid w:val="6C576495"/>
    <w:rsid w:val="6D903FF5"/>
    <w:rsid w:val="6DA955B8"/>
    <w:rsid w:val="6DE346AB"/>
    <w:rsid w:val="6DE5391A"/>
    <w:rsid w:val="6EFD1324"/>
    <w:rsid w:val="6F5A53AC"/>
    <w:rsid w:val="6FAC003D"/>
    <w:rsid w:val="6FD926BF"/>
    <w:rsid w:val="6FE55E12"/>
    <w:rsid w:val="6FFB2E76"/>
    <w:rsid w:val="708F6F7F"/>
    <w:rsid w:val="70D94BD3"/>
    <w:rsid w:val="71574775"/>
    <w:rsid w:val="71C34D91"/>
    <w:rsid w:val="72DB435C"/>
    <w:rsid w:val="72E2613A"/>
    <w:rsid w:val="72F771F4"/>
    <w:rsid w:val="73934AD2"/>
    <w:rsid w:val="750837F0"/>
    <w:rsid w:val="754758CF"/>
    <w:rsid w:val="75595ECD"/>
    <w:rsid w:val="764F62AB"/>
    <w:rsid w:val="765C45EC"/>
    <w:rsid w:val="768A7619"/>
    <w:rsid w:val="772E1EBA"/>
    <w:rsid w:val="781926BC"/>
    <w:rsid w:val="796D60A4"/>
    <w:rsid w:val="797A664A"/>
    <w:rsid w:val="79A031D5"/>
    <w:rsid w:val="79B47FDF"/>
    <w:rsid w:val="79E569A9"/>
    <w:rsid w:val="7A1525F7"/>
    <w:rsid w:val="7B420052"/>
    <w:rsid w:val="7BD06A28"/>
    <w:rsid w:val="7C3A7C0B"/>
    <w:rsid w:val="7C5248E4"/>
    <w:rsid w:val="7C566698"/>
    <w:rsid w:val="7C5866A3"/>
    <w:rsid w:val="7D7406BB"/>
    <w:rsid w:val="7DE94331"/>
    <w:rsid w:val="7F163C73"/>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semiHidden/>
    <w:unhideWhenUsed/>
    <w:qFormat/>
    <w:uiPriority w:val="99"/>
    <w:pPr>
      <w:widowControl w:val="0"/>
      <w:spacing w:after="0"/>
      <w:ind w:left="101" w:firstLine="679"/>
    </w:pPr>
    <w:rPr>
      <w:rFonts w:ascii="Arial" w:hAnsi="Arial" w:eastAsia="宋体" w:cs="Times New Roman"/>
      <w:sz w:val="34"/>
      <w:szCs w:val="34"/>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 w:type="paragraph" w:customStyle="1" w:styleId="19">
    <w:name w:val="List Paragraph"/>
    <w:qFormat/>
    <w:uiPriority w:val="99"/>
    <w:pPr>
      <w:ind w:firstLine="420" w:firstLineChars="200"/>
    </w:pPr>
    <w:rPr>
      <w:rFonts w:hint="default" w:ascii="宋体" w:hAnsi="宋体" w:eastAsia="宋体" w:cs="Times New Roman"/>
      <w:sz w:val="24"/>
      <w:szCs w:val="24"/>
      <w:lang w:val="en-US" w:eastAsia="zh-CN" w:bidi="ar-SA"/>
    </w:rPr>
  </w:style>
  <w:style w:type="character" w:customStyle="1" w:styleId="20">
    <w:name w:val="15"/>
    <w:basedOn w:val="10"/>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3935</Words>
  <Characters>22430</Characters>
  <Lines>186</Lines>
  <Paragraphs>52</Paragraphs>
  <TotalTime>4</TotalTime>
  <ScaleCrop>false</ScaleCrop>
  <LinksUpToDate>false</LinksUpToDate>
  <CharactersWithSpaces>26313</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核算中心 田淑琴</cp:lastModifiedBy>
  <dcterms:modified xsi:type="dcterms:W3CDTF">2025-10-02T05:24:49Z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