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秀山土家族苗族自治县妙泉镇卫生院</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Times New Roman" w:hAnsi="Times New Roman" w:eastAsia="方正小标宋_GBK" w:cs="Times New Roman"/>
          <w:b w:val="0"/>
          <w:bCs w:val="0"/>
          <w:sz w:val="44"/>
          <w:szCs w:val="44"/>
          <w:lang w:eastAsia="zh-CN"/>
        </w:rPr>
      </w:pPr>
      <w:r>
        <w:rPr>
          <w:rFonts w:hint="default" w:ascii="Times New Roman" w:hAnsi="Times New Roman" w:eastAsia="方正小标宋_GBK" w:cs="Times New Roman"/>
          <w:b w:val="0"/>
          <w:bCs w:val="0"/>
          <w:sz w:val="44"/>
          <w:szCs w:val="44"/>
        </w:rPr>
        <w:t>202</w:t>
      </w:r>
      <w:r>
        <w:rPr>
          <w:rFonts w:hint="default" w:ascii="Times New Roman" w:hAnsi="Times New Roman" w:eastAsia="方正小标宋_GBK" w:cs="Times New Roman"/>
          <w:b w:val="0"/>
          <w:bCs w:val="0"/>
          <w:sz w:val="44"/>
          <w:szCs w:val="44"/>
          <w:lang w:val="en-US" w:eastAsia="zh-CN"/>
        </w:rPr>
        <w:t>4</w:t>
      </w:r>
      <w:r>
        <w:rPr>
          <w:rFonts w:hint="default" w:ascii="Times New Roman" w:hAnsi="Times New Roman" w:eastAsia="方正小标宋_GBK" w:cs="Times New Roman"/>
          <w:b w:val="0"/>
          <w:bCs w:val="0"/>
          <w:sz w:val="44"/>
          <w:szCs w:val="44"/>
        </w:rPr>
        <w:t>年度决算公开说明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kern w:val="0"/>
          <w:sz w:val="32"/>
          <w:szCs w:val="32"/>
          <w:lang w:val="en-US" w:eastAsia="zh-CN" w:bidi="ar-SA"/>
        </w:rPr>
      </w:pP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kern w:val="0"/>
          <w:sz w:val="32"/>
          <w:szCs w:val="32"/>
          <w:lang w:val="en-US" w:eastAsia="zh-CN" w:bidi="ar-SA"/>
        </w:rPr>
      </w:pPr>
      <w:r>
        <w:rPr>
          <w:rFonts w:hint="eastAsia" w:ascii="方正黑体_GBK" w:hAnsi="方正黑体_GBK" w:eastAsia="方正黑体_GBK" w:cs="方正黑体_GBK"/>
          <w:kern w:val="0"/>
          <w:sz w:val="32"/>
          <w:szCs w:val="32"/>
          <w:lang w:val="en-US" w:eastAsia="zh-CN" w:bidi="ar-SA"/>
        </w:rPr>
        <w:t>一、单位基本情况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kern w:val="0"/>
          <w:sz w:val="32"/>
          <w:szCs w:val="32"/>
          <w:lang w:val="en-US" w:eastAsia="zh-CN" w:bidi="ar-SA"/>
        </w:rPr>
      </w:pPr>
      <w:r>
        <w:rPr>
          <w:rFonts w:hint="eastAsia" w:ascii="方正楷体_GBK" w:hAnsi="方正楷体_GBK" w:eastAsia="方正楷体_GBK" w:cs="方正楷体_GBK"/>
          <w:kern w:val="0"/>
          <w:sz w:val="32"/>
          <w:szCs w:val="32"/>
          <w:lang w:val="en-US" w:eastAsia="zh-CN" w:bidi="ar-SA"/>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1.根据国家和本市规定收集、报送辖区内卫生健康信息，建立和管理居民健康档案，提出改进辖区公共卫生状况的建议。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2.开展健康教育，普及健康知识。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3.协助开展传染病以及地方病、寄生虫病的预防控制，配合开展爱国卫生工作。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4.做好高危人群、重点慢性病患者的筛查和病例管理。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5.提供心理健康指导服务，实施精神病社区管理。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6.为妇女、儿童、老年人、残疾人等重点人群提供保健和康复服务。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7.提供计划生育技术服务，协助处置辖区内突发公共卫生事件等。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8.按要求提供其他公共卫生服务。</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w:t>
      </w:r>
      <w:r>
        <w:rPr>
          <w:rFonts w:hint="eastAsia" w:ascii="方正仿宋_GBK" w:hAnsi="方正仿宋_GBK" w:eastAsia="方正仿宋_GBK" w:cs="方正仿宋_GBK"/>
          <w:sz w:val="32"/>
          <w:szCs w:val="32"/>
          <w:shd w:val="clear" w:color="auto" w:fill="FFFFFF"/>
          <w:lang w:eastAsia="zh-CN"/>
        </w:rPr>
        <w:t>为秀山自治县卫生健康委员会二级预算单位，无下级预算单位，单位内设</w:t>
      </w:r>
      <w:r>
        <w:rPr>
          <w:rFonts w:hint="eastAsia" w:ascii="方正仿宋_GBK" w:hAnsi="方正仿宋_GBK" w:eastAsia="方正仿宋_GBK" w:cs="方正仿宋_GBK"/>
          <w:sz w:val="32"/>
          <w:szCs w:val="32"/>
          <w:shd w:val="clear" w:color="auto" w:fill="FFFFFF"/>
        </w:rPr>
        <w:t>办公室、门诊部、中医科、库房、药房、收费室、</w:t>
      </w:r>
      <w:r>
        <w:rPr>
          <w:rFonts w:hint="eastAsia" w:ascii="方正仿宋_GBK" w:hAnsi="方正仿宋_GBK" w:eastAsia="方正仿宋_GBK" w:cs="方正仿宋_GBK"/>
          <w:sz w:val="32"/>
          <w:szCs w:val="32"/>
          <w:shd w:val="clear" w:color="auto" w:fill="FFFFFF"/>
          <w:lang w:eastAsia="zh-CN"/>
        </w:rPr>
        <w:t>检验科、医务科、</w:t>
      </w:r>
      <w:r>
        <w:rPr>
          <w:rFonts w:hint="eastAsia" w:ascii="方正仿宋_GBK" w:hAnsi="方正仿宋_GBK" w:eastAsia="方正仿宋_GBK" w:cs="方正仿宋_GBK"/>
          <w:sz w:val="32"/>
          <w:szCs w:val="32"/>
          <w:shd w:val="clear" w:color="auto" w:fill="FFFFFF"/>
        </w:rPr>
        <w:t>综合住院部。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黑体_GBK" w:hAnsi="方正黑体_GBK" w:eastAsia="方正黑体_GBK" w:cs="方正黑体_GBK"/>
          <w:sz w:val="32"/>
          <w:szCs w:val="32"/>
          <w:shd w:val="clear" w:color="auto" w:fill="FFFFFF"/>
        </w:rPr>
      </w:pPr>
      <w:r>
        <w:rPr>
          <w:rFonts w:hint="eastAsia" w:ascii="方正黑体_GBK" w:hAnsi="方正黑体_GBK" w:eastAsia="方正黑体_GBK" w:cs="方正黑体_GBK"/>
          <w:sz w:val="32"/>
          <w:szCs w:val="32"/>
          <w:shd w:val="clear" w:color="auto" w:fill="FFFFFF"/>
        </w:rPr>
        <w:t>二、</w:t>
      </w:r>
      <w:r>
        <w:rPr>
          <w:rFonts w:hint="eastAsia" w:ascii="方正黑体_GBK" w:hAnsi="方正黑体_GBK" w:eastAsia="方正黑体_GBK" w:cs="方正黑体_GBK"/>
          <w:sz w:val="32"/>
          <w:szCs w:val="32"/>
          <w:shd w:val="clear" w:color="auto" w:fill="FFFFFF"/>
          <w:lang w:eastAsia="zh-CN"/>
        </w:rPr>
        <w:t>单位</w:t>
      </w:r>
      <w:r>
        <w:rPr>
          <w:rFonts w:hint="eastAsia" w:ascii="方正黑体_GBK" w:hAnsi="方正黑体_GBK" w:eastAsia="方正黑体_GBK" w:cs="方正黑体_GBK"/>
          <w:sz w:val="32"/>
          <w:szCs w:val="32"/>
          <w:shd w:val="clear" w:color="auto" w:fill="FFFFFF"/>
        </w:rPr>
        <w:t>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Cs/>
          <w:sz w:val="32"/>
          <w:szCs w:val="32"/>
          <w:lang w:eastAsia="zh-CN"/>
        </w:rPr>
      </w:pPr>
      <w:r>
        <w:rPr>
          <w:rFonts w:hint="eastAsia" w:ascii="方正楷体_GBK" w:hAnsi="方正楷体_GBK" w:eastAsia="方正楷体_GBK" w:cs="方正楷体_GBK"/>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318.35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收、支与2023年度相比，减少14.12万元，下降4.3%</w:t>
      </w:r>
      <w:r>
        <w:rPr>
          <w:rFonts w:ascii="方正仿宋_GBK" w:hAnsi="方正仿宋_GBK" w:eastAsia="方正仿宋_GBK" w:cs="方正仿宋_GBK"/>
          <w:sz w:val="32"/>
          <w:szCs w:val="32"/>
          <w:shd w:val="clear" w:color="auto" w:fill="FFFFFF"/>
        </w:rPr>
        <w:t>，主要原因是财政拨款收入</w:t>
      </w:r>
      <w:r>
        <w:rPr>
          <w:rFonts w:hint="eastAsia" w:ascii="方正仿宋_GBK" w:hAnsi="方正仿宋_GBK" w:eastAsia="方正仿宋_GBK" w:cs="方正仿宋_GBK"/>
          <w:sz w:val="32"/>
          <w:szCs w:val="32"/>
          <w:shd w:val="clear" w:color="auto" w:fill="FFFFFF"/>
          <w:lang w:eastAsia="zh-CN"/>
        </w:rPr>
        <w:t>减少，具体为</w:t>
      </w:r>
      <w:r>
        <w:rPr>
          <w:rFonts w:hint="eastAsia" w:ascii="Times New Roman" w:hAnsi="Times New Roman" w:eastAsia="方正仿宋_GBK"/>
          <w:sz w:val="32"/>
          <w:szCs w:val="32"/>
          <w:shd w:val="clear" w:color="auto" w:fill="FFFFFF"/>
          <w:lang w:val="en-US" w:eastAsia="zh-CN"/>
        </w:rPr>
        <w:t>公卫经费拨款，项目收入、医务人员临时性工作补助减少，</w:t>
      </w:r>
      <w:r>
        <w:rPr>
          <w:rFonts w:hint="default" w:ascii="Times New Roman" w:hAnsi="Times New Roman" w:eastAsia="方正仿宋_GBK" w:cs="Times New Roman"/>
          <w:sz w:val="32"/>
          <w:szCs w:val="32"/>
          <w:shd w:val="clear" w:color="auto" w:fill="FFFFFF"/>
        </w:rPr>
        <w:t>同时院内人员支出、医疗支出等相应</w:t>
      </w:r>
      <w:r>
        <w:rPr>
          <w:rFonts w:hint="eastAsia" w:ascii="Times New Roman" w:hAnsi="Times New Roman" w:eastAsia="方正仿宋_GBK" w:cs="Times New Roman"/>
          <w:sz w:val="32"/>
          <w:szCs w:val="32"/>
          <w:shd w:val="clear" w:color="auto" w:fill="FFFFFF"/>
          <w:lang w:eastAsia="zh-CN"/>
        </w:rPr>
        <w:t>减少</w:t>
      </w:r>
      <w:r>
        <w:rPr>
          <w:rFonts w:hint="default" w:ascii="Times New Roman" w:hAnsi="Times New Roman" w:eastAsia="方正仿宋_GBK" w:cs="Times New Roman"/>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eastAsia"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.收入情况。202</w:t>
      </w:r>
      <w:r>
        <w:rPr>
          <w:rFonts w:hint="default" w:ascii="Times New Roman" w:hAnsi="Times New Roman" w:eastAsia="方正仿宋_GBK"/>
          <w:sz w:val="32"/>
          <w:szCs w:val="32"/>
          <w:shd w:val="clear" w:color="auto" w:fill="FFFFFF"/>
        </w:rPr>
        <w:t>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311.47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与2023年度相比，减少21.00万元，下降6.3%</w:t>
      </w:r>
      <w:r>
        <w:rPr>
          <w:rFonts w:ascii="方正仿宋_GBK" w:hAnsi="方正仿宋_GBK" w:eastAsia="方正仿宋_GBK" w:cs="方正仿宋_GBK"/>
          <w:sz w:val="32"/>
          <w:szCs w:val="32"/>
          <w:shd w:val="clear" w:color="auto" w:fill="FFFFFF"/>
        </w:rPr>
        <w:t>，主要原因</w:t>
      </w:r>
      <w:r>
        <w:rPr>
          <w:rFonts w:hint="default" w:ascii="Times New Roman" w:hAnsi="Times New Roman" w:eastAsia="方正仿宋_GBK"/>
          <w:sz w:val="32"/>
          <w:szCs w:val="32"/>
          <w:shd w:val="clear" w:color="auto" w:fill="FFFFFF"/>
        </w:rPr>
        <w:t>是</w:t>
      </w:r>
      <w:r>
        <w:rPr>
          <w:rFonts w:ascii="方正仿宋_GBK" w:hAnsi="方正仿宋_GBK" w:eastAsia="方正仿宋_GBK" w:cs="方正仿宋_GBK"/>
          <w:sz w:val="32"/>
          <w:szCs w:val="32"/>
          <w:shd w:val="clear" w:color="auto" w:fill="FFFFFF"/>
        </w:rPr>
        <w:t>财政拨款收入</w:t>
      </w:r>
      <w:r>
        <w:rPr>
          <w:rFonts w:hint="eastAsia" w:ascii="方正仿宋_GBK" w:hAnsi="方正仿宋_GBK" w:eastAsia="方正仿宋_GBK" w:cs="方正仿宋_GBK"/>
          <w:sz w:val="32"/>
          <w:szCs w:val="32"/>
          <w:shd w:val="clear" w:color="auto" w:fill="FFFFFF"/>
          <w:lang w:eastAsia="zh-CN"/>
        </w:rPr>
        <w:t>减少，具体为</w:t>
      </w:r>
      <w:r>
        <w:rPr>
          <w:rFonts w:hint="eastAsia" w:ascii="Times New Roman" w:hAnsi="Times New Roman" w:eastAsia="方正仿宋_GBK"/>
          <w:sz w:val="32"/>
          <w:szCs w:val="32"/>
          <w:shd w:val="clear" w:color="auto" w:fill="FFFFFF"/>
          <w:lang w:val="en-US" w:eastAsia="zh-CN"/>
        </w:rPr>
        <w:t>公卫经费拨款，项目收入、医务人员临时性工作补助减少</w:t>
      </w:r>
      <w:r>
        <w:rPr>
          <w:rFonts w:hint="eastAsia" w:ascii="Times New Roman" w:hAnsi="Times New Roman" w:eastAsia="方正仿宋_GBK" w:cs="Times New Roman"/>
          <w:sz w:val="32"/>
          <w:szCs w:val="32"/>
          <w:shd w:val="clear" w:color="auto" w:fill="FFFFFF"/>
          <w:lang w:eastAsia="zh-CN"/>
        </w:rPr>
        <w:t>。</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132.22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42.5%</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178.33</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57.3%</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0.92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0.3%</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6.88</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hint="eastAsia"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.支出情况。2024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317.48</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与2023年度相比，减少8.11万元，下降2.5%</w:t>
      </w:r>
      <w:r>
        <w:rPr>
          <w:rFonts w:ascii="方正仿宋_GBK" w:hAnsi="方正仿宋_GBK" w:eastAsia="方正仿宋_GBK" w:cs="方正仿宋_GBK"/>
          <w:sz w:val="32"/>
          <w:szCs w:val="32"/>
          <w:shd w:val="clear" w:color="auto" w:fill="FFFFFF"/>
        </w:rPr>
        <w:t>，主要原因是财政拨款</w:t>
      </w:r>
      <w:r>
        <w:rPr>
          <w:rFonts w:hint="eastAsia" w:ascii="方正仿宋_GBK" w:hAnsi="方正仿宋_GBK" w:eastAsia="方正仿宋_GBK" w:cs="方正仿宋_GBK"/>
          <w:sz w:val="32"/>
          <w:szCs w:val="32"/>
          <w:shd w:val="clear" w:color="auto" w:fill="FFFFFF"/>
          <w:lang w:eastAsia="zh-CN"/>
        </w:rPr>
        <w:t>支出减少，</w:t>
      </w:r>
      <w:r>
        <w:rPr>
          <w:rFonts w:hint="default" w:ascii="Times New Roman" w:hAnsi="Times New Roman" w:eastAsia="方正仿宋_GBK" w:cs="Times New Roman"/>
          <w:sz w:val="32"/>
          <w:szCs w:val="32"/>
          <w:shd w:val="clear" w:color="auto" w:fill="FFFFFF"/>
        </w:rPr>
        <w:t>同时院内人员支出、医疗支出等相应</w:t>
      </w:r>
      <w:r>
        <w:rPr>
          <w:rFonts w:hint="eastAsia" w:ascii="Times New Roman" w:hAnsi="Times New Roman" w:eastAsia="方正仿宋_GBK" w:cs="Times New Roman"/>
          <w:sz w:val="32"/>
          <w:szCs w:val="32"/>
          <w:shd w:val="clear" w:color="auto" w:fill="FFFFFF"/>
          <w:lang w:eastAsia="zh-CN"/>
        </w:rPr>
        <w:t>减少</w:t>
      </w:r>
      <w:r>
        <w:rPr>
          <w:rFonts w:hint="default" w:ascii="Times New Roman" w:hAnsi="Times New Roman" w:eastAsia="方正仿宋_GBK" w:cs="Times New Roman"/>
          <w:sz w:val="32"/>
          <w:szCs w:val="32"/>
          <w:shd w:val="clear" w:color="auto" w:fill="FFFFFF"/>
        </w:rPr>
        <w:t>。</w:t>
      </w:r>
      <w:r>
        <w:rPr>
          <w:rFonts w:ascii="方正仿宋_GBK" w:hAnsi="方正仿宋_GBK" w:eastAsia="方正仿宋_GBK" w:cs="方正仿宋_GBK"/>
          <w:sz w:val="32"/>
          <w:szCs w:val="32"/>
          <w:shd w:val="clear" w:color="auto" w:fill="FFFFFF"/>
        </w:rPr>
        <w:t>其中：基本支出</w:t>
      </w:r>
    </w:p>
    <w:p>
      <w:pPr>
        <w:keepNext w:val="0"/>
        <w:keepLines w:val="0"/>
        <w:pageBreakBefore w:val="0"/>
        <w:widowControl/>
        <w:kinsoku/>
        <w:wordWrap/>
        <w:overflowPunct/>
        <w:topLinePunct w:val="0"/>
        <w:autoSpaceDE/>
        <w:autoSpaceDN/>
        <w:bidi w:val="0"/>
        <w:adjustRightInd/>
        <w:spacing w:line="560" w:lineRule="exact"/>
        <w:jc w:val="both"/>
        <w:textAlignment w:val="auto"/>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311.43万元，占98.1%；项目支出6.04万元，占1.9%；经营支</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出</w:t>
      </w:r>
      <w:r>
        <w:rPr>
          <w:rFonts w:hint="default" w:ascii="Times New Roman" w:hAnsi="Times New Roman" w:eastAsia="方正仿宋_GBK" w:cs="Times New Roman"/>
          <w:sz w:val="32"/>
          <w:szCs w:val="32"/>
          <w:shd w:val="clear" w:color="auto" w:fill="FFFFFF"/>
          <w:lang w:val="en-US" w:eastAsia="zh-CN" w:bidi="ar-SA"/>
        </w:rPr>
        <w:t>0.00</w:t>
      </w:r>
      <w:r>
        <w:rPr>
          <w:rFonts w:hint="eastAsia" w:ascii="Times New Roman" w:hAnsi="Times New Roman" w:eastAsia="方正仿宋_GBK" w:cs="Times New Roman"/>
          <w:sz w:val="32"/>
          <w:szCs w:val="32"/>
          <w:shd w:val="clear" w:color="auto" w:fill="FFFFFF"/>
          <w:lang w:val="en-US" w:eastAsia="zh-CN" w:bidi="ar-SA"/>
        </w:rPr>
        <w:t>万元，占</w:t>
      </w:r>
      <w:r>
        <w:rPr>
          <w:rFonts w:hint="default" w:ascii="Times New Roman" w:hAnsi="Times New Roman" w:eastAsia="方正仿宋_GBK" w:cs="Times New Roman"/>
          <w:sz w:val="32"/>
          <w:szCs w:val="32"/>
          <w:shd w:val="clear" w:color="auto" w:fill="FFFFFF"/>
          <w:lang w:val="en-US" w:eastAsia="zh-CN" w:bidi="ar-SA"/>
        </w:rPr>
        <w:t>0.0%</w:t>
      </w:r>
      <w:r>
        <w:rPr>
          <w:rFonts w:hint="eastAsia" w:ascii="Times New Roman" w:hAnsi="Times New Roman" w:eastAsia="方正仿宋_GBK" w:cs="Times New Roman"/>
          <w:sz w:val="32"/>
          <w:szCs w:val="32"/>
          <w:shd w:val="clear" w:color="auto" w:fill="FFFFFF"/>
          <w:lang w:val="en-US" w:eastAsia="zh-CN" w:bidi="ar-SA"/>
        </w:rPr>
        <w:t>。此外，结余分配</w:t>
      </w:r>
      <w:r>
        <w:rPr>
          <w:rFonts w:hint="default" w:ascii="Times New Roman" w:hAnsi="Times New Roman" w:eastAsia="方正仿宋_GBK" w:cs="Times New Roman"/>
          <w:sz w:val="32"/>
          <w:szCs w:val="32"/>
          <w:shd w:val="clear" w:color="auto" w:fill="FFFFFF"/>
          <w:lang w:val="en-US" w:eastAsia="zh-CN" w:bidi="ar-SA"/>
        </w:rPr>
        <w:t>0.00</w:t>
      </w:r>
      <w:r>
        <w:rPr>
          <w:rFonts w:hint="eastAsia" w:ascii="Times New Roman" w:hAnsi="Times New Roman" w:eastAsia="方正仿宋_GBK" w:cs="Times New Roman"/>
          <w:sz w:val="32"/>
          <w:szCs w:val="32"/>
          <w:shd w:val="clear" w:color="auto" w:fill="FFFFFF"/>
          <w:lang w:val="en-US" w:eastAsia="zh-CN" w:bidi="ar-SA"/>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lang w:val="en-US" w:eastAsia="zh-CN"/>
        </w:rPr>
      </w:pPr>
      <w:r>
        <w:rPr>
          <w:rFonts w:hint="eastAsia"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.结转结余情况。202</w:t>
      </w:r>
      <w:r>
        <w:rPr>
          <w:rFonts w:hint="default" w:ascii="Times New Roman" w:hAnsi="Times New Roman" w:eastAsia="方正仿宋_GBK"/>
          <w:sz w:val="32"/>
          <w:szCs w:val="32"/>
          <w:shd w:val="clear" w:color="auto" w:fill="FFFFFF"/>
        </w:rPr>
        <w:t>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0.87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2023年度相比，减少6.01万元，下降87.4%</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sz w:val="32"/>
          <w:szCs w:val="32"/>
          <w:shd w:val="clear" w:color="auto" w:fill="FFFFFF"/>
        </w:rPr>
        <w:t>2023年度</w:t>
      </w:r>
      <w:r>
        <w:rPr>
          <w:rFonts w:hint="eastAsia" w:ascii="Times New Roman" w:hAnsi="Times New Roman" w:eastAsia="方正仿宋_GBK"/>
          <w:sz w:val="32"/>
          <w:szCs w:val="32"/>
          <w:shd w:val="clear" w:color="auto" w:fill="FFFFFF"/>
          <w:lang w:eastAsia="zh-CN"/>
        </w:rPr>
        <w:t>有</w:t>
      </w:r>
      <w:r>
        <w:rPr>
          <w:rFonts w:ascii="Times New Roman" w:hAnsi="Times New Roman" w:eastAsia="方正仿宋_GBK"/>
          <w:sz w:val="32"/>
          <w:szCs w:val="32"/>
          <w:shd w:val="clear" w:color="auto" w:fill="FFFFFF"/>
        </w:rPr>
        <w:t>超额绩效清算结余</w:t>
      </w:r>
      <w:r>
        <w:rPr>
          <w:rFonts w:hint="eastAsia" w:ascii="Times New Roman" w:hAnsi="Times New Roman" w:eastAsia="方正仿宋_GBK"/>
          <w:sz w:val="32"/>
          <w:szCs w:val="32"/>
          <w:shd w:val="clear" w:color="auto" w:fill="FFFFFF"/>
          <w:lang w:val="en-US" w:eastAsia="zh-CN"/>
        </w:rPr>
        <w:t>4.7万元，</w:t>
      </w:r>
      <w:r>
        <w:rPr>
          <w:rFonts w:hint="eastAsia" w:ascii="方正仿宋_GBK" w:hAnsi="方正仿宋_GBK" w:eastAsia="方正仿宋_GBK" w:cs="方正仿宋_GBK"/>
          <w:sz w:val="32"/>
          <w:szCs w:val="32"/>
          <w:shd w:val="clear" w:color="auto" w:fill="FFFFFF"/>
          <w:lang w:eastAsia="zh-CN"/>
        </w:rPr>
        <w:t>本年度无</w:t>
      </w:r>
      <w:r>
        <w:rPr>
          <w:rFonts w:ascii="Times New Roman" w:hAnsi="Times New Roman" w:eastAsia="方正仿宋_GBK"/>
          <w:sz w:val="32"/>
          <w:szCs w:val="32"/>
          <w:shd w:val="clear" w:color="auto" w:fill="FFFFFF"/>
        </w:rPr>
        <w:t>超额绩效清算结余</w:t>
      </w:r>
      <w:r>
        <w:rPr>
          <w:rFonts w:hint="eastAsia" w:ascii="Times New Roman" w:hAnsi="Times New Roman" w:eastAsia="方正仿宋_GBK"/>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2"/>
        <w:keepNext w:val="0"/>
        <w:keepLines w:val="0"/>
        <w:pageBreakBefore w:val="0"/>
        <w:widowControl/>
        <w:kinsoku/>
        <w:wordWrap/>
        <w:overflowPunct/>
        <w:topLinePunct w:val="0"/>
        <w:autoSpaceDE/>
        <w:autoSpaceDN/>
        <w:bidi w:val="0"/>
        <w:adjustRightInd/>
        <w:snapToGrid w:val="0"/>
        <w:spacing w:line="560" w:lineRule="exact"/>
        <w:ind w:left="0"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136.92</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财政拨款收、支总计各减少56.81万元，下降29.3%</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主要原因</w:t>
      </w:r>
      <w:r>
        <w:rPr>
          <w:rFonts w:hint="eastAsia" w:ascii="Times New Roman" w:hAnsi="Times New Roman" w:eastAsia="方正仿宋_GBK"/>
          <w:sz w:val="32"/>
          <w:szCs w:val="32"/>
          <w:shd w:val="clear" w:color="auto" w:fill="FFFFFF"/>
          <w:lang w:eastAsia="zh-CN"/>
        </w:rPr>
        <w:t>是本单位</w:t>
      </w:r>
      <w:r>
        <w:rPr>
          <w:rFonts w:hint="eastAsia" w:ascii="Times New Roman" w:hAnsi="Times New Roman" w:eastAsia="方正仿宋_GBK"/>
          <w:sz w:val="32"/>
          <w:szCs w:val="32"/>
          <w:shd w:val="clear" w:color="auto" w:fill="FFFFFF"/>
          <w:lang w:val="en-US" w:eastAsia="zh-CN"/>
        </w:rPr>
        <w:t>2024年度公卫经费拨款未拨付完，项目收入、医务人员临时性工作补助减少，相应支出也减少</w:t>
      </w:r>
      <w:r>
        <w:rPr>
          <w:rFonts w:ascii="Times New Roman" w:hAnsi="Times New Roman" w:eastAsia="方正仿宋_GBK"/>
          <w:sz w:val="32"/>
          <w:szCs w:val="32"/>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1.收入情况。2024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132.22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与2023年度相比，减少61.51万元，下降31.8%</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sz w:val="32"/>
          <w:szCs w:val="32"/>
          <w:shd w:val="clear" w:color="auto" w:fill="FFFFFF"/>
          <w:lang w:val="en-US" w:eastAsia="zh-CN"/>
        </w:rPr>
        <w:t>2024年度公卫经费拨款、项目收入、医务人员临时性工作补助收入减少。</w:t>
      </w:r>
      <w:r>
        <w:rPr>
          <w:rFonts w:hint="default" w:ascii="Times New Roman" w:hAnsi="Times New Roman" w:eastAsia="方正仿宋_GBK"/>
          <w:sz w:val="32"/>
          <w:szCs w:val="32"/>
          <w:shd w:val="clear" w:color="auto" w:fill="FFFFFF"/>
        </w:rPr>
        <w:t>较年初预算数增加59.75万元，增长82.5%</w:t>
      </w:r>
      <w:r>
        <w:rPr>
          <w:rFonts w:ascii="方正仿宋_GBK" w:hAnsi="方正仿宋_GBK" w:eastAsia="方正仿宋_GBK" w:cs="方正仿宋_GBK"/>
          <w:sz w:val="32"/>
          <w:szCs w:val="32"/>
          <w:shd w:val="clear" w:color="auto" w:fill="FFFFFF"/>
        </w:rPr>
        <w:t>。主要原因是</w:t>
      </w:r>
      <w:r>
        <w:rPr>
          <w:rFonts w:ascii="Times New Roman" w:hAnsi="Times New Roman" w:eastAsia="方正仿宋_GBK"/>
          <w:sz w:val="32"/>
          <w:szCs w:val="32"/>
          <w:shd w:val="clear" w:color="auto" w:fill="FFFFFF"/>
        </w:rPr>
        <w:t>年初预算主要是根据单位情况预估核算，实际财政拨款收入由财政根据资金分配情况统一安排拨款，因此财政拨款</w:t>
      </w:r>
      <w:r>
        <w:rPr>
          <w:rFonts w:hint="eastAsia" w:ascii="Times New Roman" w:hAnsi="Times New Roman" w:eastAsia="方正仿宋_GBK"/>
          <w:sz w:val="32"/>
          <w:szCs w:val="32"/>
          <w:shd w:val="clear" w:color="auto" w:fill="FFFFFF"/>
          <w:lang w:eastAsia="zh-CN"/>
        </w:rPr>
        <w:t>收入</w:t>
      </w:r>
      <w:r>
        <w:rPr>
          <w:rFonts w:ascii="Times New Roman" w:hAnsi="Times New Roman" w:eastAsia="方正仿宋_GBK"/>
          <w:sz w:val="32"/>
          <w:szCs w:val="32"/>
          <w:shd w:val="clear" w:color="auto" w:fill="FFFFFF"/>
        </w:rPr>
        <w:t>与年初预算有相应差异</w:t>
      </w:r>
      <w:r>
        <w:rPr>
          <w:rFonts w:hint="eastAsia" w:ascii="Times New Roman" w:hAnsi="Times New Roman" w:eastAsia="方正仿宋_GBK"/>
          <w:sz w:val="32"/>
          <w:szCs w:val="32"/>
          <w:shd w:val="clear" w:color="auto" w:fill="FFFFFF"/>
          <w:lang w:eastAsia="zh-CN"/>
        </w:rPr>
        <w:t>。</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4.70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2.支出情况。2024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136.92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与2023年度相比，减少52.11万元，下降27.6%</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主要原因</w:t>
      </w:r>
      <w:r>
        <w:rPr>
          <w:rFonts w:hint="eastAsia" w:ascii="Times New Roman" w:hAnsi="Times New Roman" w:eastAsia="方正仿宋_GBK"/>
          <w:sz w:val="32"/>
          <w:szCs w:val="32"/>
          <w:shd w:val="clear" w:color="auto" w:fill="FFFFFF"/>
          <w:lang w:eastAsia="zh-CN"/>
        </w:rPr>
        <w:t>是本单位</w:t>
      </w:r>
      <w:r>
        <w:rPr>
          <w:rFonts w:hint="eastAsia" w:ascii="Times New Roman" w:hAnsi="Times New Roman" w:eastAsia="方正仿宋_GBK"/>
          <w:sz w:val="32"/>
          <w:szCs w:val="32"/>
          <w:shd w:val="clear" w:color="auto" w:fill="FFFFFF"/>
          <w:lang w:val="en-US" w:eastAsia="zh-CN"/>
        </w:rPr>
        <w:t>2024年度公卫经费拨款，项目收入、医务人员临时性工作补助减少，相应支出也减少</w:t>
      </w:r>
      <w:r>
        <w:rPr>
          <w:rFonts w:ascii="Times New Roman" w:hAnsi="Times New Roman" w:eastAsia="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较年初预算数增加64.45万元，增长88.9%</w:t>
      </w:r>
      <w:r>
        <w:rPr>
          <w:rFonts w:ascii="方正仿宋_GBK" w:hAnsi="方正仿宋_GBK" w:eastAsia="方正仿宋_GBK" w:cs="方正仿宋_GBK"/>
          <w:sz w:val="32"/>
          <w:szCs w:val="32"/>
          <w:shd w:val="clear" w:color="auto" w:fill="FFFFFF"/>
        </w:rPr>
        <w:t>。</w:t>
      </w:r>
      <w:r>
        <w:rPr>
          <w:rFonts w:ascii="Times New Roman" w:hAnsi="Times New Roman" w:eastAsia="方正仿宋_GBK" w:cs="Times New Roman"/>
          <w:kern w:val="0"/>
          <w:sz w:val="32"/>
          <w:szCs w:val="32"/>
          <w:shd w:val="clear" w:color="auto" w:fill="FFFFFF"/>
          <w:lang w:val="en-US" w:eastAsia="zh-CN" w:bidi="ar-SA"/>
        </w:rPr>
        <w:t>主要原因是年初预算主要是根据单位情况预</w:t>
      </w:r>
      <w:r>
        <w:rPr>
          <w:rFonts w:ascii="Times New Roman" w:hAnsi="Times New Roman" w:eastAsia="方正仿宋_GBK"/>
          <w:sz w:val="32"/>
          <w:szCs w:val="32"/>
          <w:shd w:val="clear" w:color="auto" w:fill="FFFFFF"/>
        </w:rPr>
        <w:t>估核算，实际财政拨款收入由财政根据资金分配情况统一安排拨款，因此财政拨款支出与年初预算有相应差异。</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ascii="Times New Roman" w:hAnsi="Times New Roman" w:eastAsia="方正仿宋_GBK"/>
          <w:sz w:val="32"/>
          <w:szCs w:val="32"/>
          <w:shd w:val="clear" w:color="auto" w:fill="FFFFFF"/>
        </w:rPr>
        <w:t>一般公共预算财政拨款支出主要</w:t>
      </w:r>
      <w:r>
        <w:rPr>
          <w:rFonts w:hint="eastAsia" w:ascii="Times New Roman" w:hAnsi="Times New Roman" w:eastAsia="方正仿宋_GBK"/>
          <w:sz w:val="32"/>
          <w:szCs w:val="32"/>
          <w:shd w:val="clear" w:color="auto" w:fill="FFFFFF"/>
          <w:lang w:eastAsia="zh-CN"/>
        </w:rPr>
        <w:t>用途如下</w:t>
      </w:r>
      <w:r>
        <w:rPr>
          <w:rFonts w:ascii="Times New Roman" w:hAnsi="Times New Roman" w:eastAsia="方正仿宋_GBK"/>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hint="default" w:ascii="Times New Roman" w:hAnsi="Times New Roman" w:eastAsia="方正仿宋_GBK"/>
          <w:sz w:val="32"/>
          <w:szCs w:val="32"/>
          <w:shd w:val="clear" w:color="auto" w:fill="FFFFFF"/>
          <w:lang w:val="en-US" w:eastAsia="zh-CN"/>
        </w:rPr>
        <w:t>1</w:t>
      </w:r>
      <w:r>
        <w:rPr>
          <w:rFonts w:hint="default" w:ascii="Times New Roman" w:hAnsi="Times New Roman" w:eastAsia="方正仿宋_GBK"/>
          <w:sz w:val="32"/>
          <w:szCs w:val="32"/>
          <w:shd w:val="clear" w:color="auto" w:fill="FFFFFF"/>
        </w:rPr>
        <w:t>）社会保障</w:t>
      </w:r>
      <w:r>
        <w:rPr>
          <w:rFonts w:hint="default" w:ascii="Times New Roman" w:hAnsi="Times New Roman" w:eastAsia="方正仿宋_GBK"/>
          <w:sz w:val="32"/>
          <w:szCs w:val="32"/>
          <w:shd w:val="clear" w:color="auto" w:fill="FFFFFF"/>
          <w:lang w:eastAsia="zh-CN"/>
        </w:rPr>
        <w:t>和</w:t>
      </w:r>
      <w:r>
        <w:rPr>
          <w:rFonts w:hint="default" w:ascii="Times New Roman" w:hAnsi="Times New Roman" w:eastAsia="方正仿宋_GBK"/>
          <w:sz w:val="32"/>
          <w:szCs w:val="32"/>
          <w:shd w:val="clear" w:color="auto" w:fill="FFFFFF"/>
        </w:rPr>
        <w:t>就业支出17.94万元，占13.1%，较年初预算数增加4.18万元，增长30.4%，</w:t>
      </w:r>
      <w:r>
        <w:rPr>
          <w:rFonts w:ascii="Times New Roman" w:hAnsi="Times New Roman" w:eastAsia="方正仿宋_GBK"/>
          <w:sz w:val="32"/>
          <w:szCs w:val="32"/>
          <w:shd w:val="clear" w:color="auto" w:fill="FFFFFF"/>
        </w:rPr>
        <w:t>主要原因是</w:t>
      </w:r>
      <w:r>
        <w:rPr>
          <w:rFonts w:hint="default" w:ascii="Times New Roman" w:hAnsi="Times New Roman" w:eastAsia="方正仿宋_GBK"/>
          <w:sz w:val="32"/>
          <w:szCs w:val="32"/>
          <w:shd w:val="clear" w:color="auto" w:fill="FFFFFF"/>
          <w:lang w:eastAsia="zh-CN"/>
        </w:rPr>
        <w:t>社保基数</w:t>
      </w:r>
      <w:r>
        <w:rPr>
          <w:rFonts w:ascii="Times New Roman" w:hAnsi="Times New Roman" w:eastAsia="方正仿宋_GBK"/>
          <w:sz w:val="32"/>
          <w:szCs w:val="32"/>
          <w:shd w:val="clear" w:color="auto" w:fill="FFFFFF"/>
        </w:rPr>
        <w:t>调整增加，支出相应增加。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sz w:val="32"/>
          <w:szCs w:val="32"/>
          <w:shd w:val="clear" w:color="auto" w:fill="FFFFFF"/>
        </w:rPr>
      </w:pPr>
      <w:r>
        <w:rPr>
          <w:rFonts w:hint="default" w:ascii="Times New Roman" w:hAnsi="Times New Roman" w:eastAsia="方正仿宋_GBK"/>
          <w:sz w:val="32"/>
          <w:szCs w:val="32"/>
          <w:shd w:val="clear" w:color="auto" w:fill="FFFFFF"/>
        </w:rPr>
        <w:t>（</w:t>
      </w:r>
      <w:r>
        <w:rPr>
          <w:rFonts w:hint="default" w:ascii="Times New Roman" w:hAnsi="Times New Roman" w:eastAsia="方正仿宋_GBK"/>
          <w:sz w:val="32"/>
          <w:szCs w:val="32"/>
          <w:shd w:val="clear" w:color="auto" w:fill="FFFFFF"/>
          <w:lang w:val="en-US" w:eastAsia="zh-CN"/>
        </w:rPr>
        <w:t>2</w:t>
      </w:r>
      <w:r>
        <w:rPr>
          <w:rFonts w:hint="default" w:ascii="Times New Roman" w:hAnsi="Times New Roman" w:eastAsia="方正仿宋_GBK"/>
          <w:sz w:val="32"/>
          <w:szCs w:val="32"/>
          <w:shd w:val="clear" w:color="auto" w:fill="FFFFFF"/>
        </w:rPr>
        <w:t>）卫生健康支出115.19万元，占84.1%，较年初预算数增加60.26万元，增长109.7%，</w:t>
      </w:r>
      <w:r>
        <w:rPr>
          <w:rFonts w:ascii="Times New Roman" w:hAnsi="Times New Roman" w:eastAsia="方正仿宋_GBK"/>
          <w:sz w:val="32"/>
          <w:szCs w:val="32"/>
          <w:shd w:val="clear" w:color="auto" w:fill="FFFFFF"/>
        </w:rPr>
        <w:t>主要原因是年初预算主要是根据单位情况预估核算，实际财政拨款收入由财政根据资金分配情况统一安排拨款，因此财政拨款支出与年初预算有相应差异。</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3.78万元，占2.8%，</w:t>
      </w:r>
      <w:r>
        <w:rPr>
          <w:rFonts w:hint="eastAsia" w:ascii="Times New Roman" w:hAnsi="Times New Roman" w:eastAsia="方正仿宋_GBK"/>
          <w:sz w:val="32"/>
          <w:szCs w:val="32"/>
          <w:shd w:val="clear" w:color="auto" w:fill="FFFFFF"/>
          <w:lang w:eastAsia="zh-CN"/>
        </w:rPr>
        <w:t>与</w:t>
      </w:r>
      <w:r>
        <w:rPr>
          <w:rFonts w:ascii="Times New Roman" w:hAnsi="Times New Roman" w:eastAsia="方正仿宋_GBK"/>
          <w:sz w:val="32"/>
          <w:szCs w:val="32"/>
          <w:shd w:val="clear" w:color="auto" w:fill="FFFFFF"/>
        </w:rPr>
        <w:t>年初预算数</w:t>
      </w:r>
      <w:r>
        <w:rPr>
          <w:rFonts w:hint="eastAsia" w:ascii="Times New Roman" w:hAnsi="Times New Roman" w:eastAsia="方正仿宋_GBK"/>
          <w:sz w:val="32"/>
          <w:szCs w:val="32"/>
          <w:shd w:val="clear" w:color="auto" w:fill="FFFFFF"/>
          <w:lang w:eastAsia="zh-CN"/>
        </w:rPr>
        <w:t>一致</w:t>
      </w:r>
      <w:r>
        <w:rPr>
          <w:rFonts w:ascii="Times New Roman" w:hAnsi="Times New Roman" w:eastAsia="方正仿宋_GBK"/>
          <w:sz w:val="32"/>
          <w:szCs w:val="32"/>
          <w:shd w:val="clear" w:color="auto" w:fill="FFFFFF"/>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Style w:val="12"/>
          <w:rFonts w:hint="default" w:ascii="Times New Roman" w:hAnsi="Times New Roman" w:eastAsia="方正仿宋_GBK" w:cs="Times New Roman"/>
          <w:b w:val="0"/>
          <w:bCs/>
          <w:sz w:val="32"/>
          <w:szCs w:val="32"/>
          <w:shd w:val="clear" w:color="auto" w:fill="FFFFFF"/>
        </w:rPr>
        <w:t>3.结转结余情况</w:t>
      </w:r>
      <w:r>
        <w:rPr>
          <w:rStyle w:val="12"/>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与2023年度相比，减少4.70万元，下降100.0%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本年度无</w:t>
      </w:r>
      <w:r>
        <w:rPr>
          <w:rFonts w:hint="eastAsia" w:ascii="Times New Roman" w:hAnsi="Times New Roman" w:eastAsia="方正仿宋_GBK"/>
          <w:sz w:val="32"/>
          <w:szCs w:val="32"/>
          <w:shd w:val="clear" w:color="auto" w:fill="FFFFFF"/>
          <w:lang w:val="en-US" w:eastAsia="zh-CN"/>
        </w:rPr>
        <w:t>超额绩效清算结余。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130.87</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130.87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与2023年度相比，减少36.69万元，下降21.9%</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sz w:val="32"/>
          <w:szCs w:val="32"/>
          <w:shd w:val="clear" w:color="auto" w:fill="FFFFFF"/>
          <w:lang w:val="en-US" w:eastAsia="zh-CN"/>
        </w:rPr>
        <w:t>2024年度公卫经费拨款、项目收入、医务人员临时性工作补助减少，相应支出也减少</w:t>
      </w:r>
      <w:r>
        <w:rPr>
          <w:rFonts w:ascii="Times New Roman" w:hAnsi="Times New Roman" w:eastAsia="方正仿宋_GBK"/>
          <w:sz w:val="32"/>
          <w:szCs w:val="32"/>
          <w:shd w:val="clear" w:color="auto" w:fill="FFFFFF"/>
        </w:rPr>
        <w:t>。</w:t>
      </w:r>
      <w:r>
        <w:rPr>
          <w:rFonts w:ascii="方正仿宋_GBK" w:hAnsi="方正仿宋_GBK" w:eastAsia="方正仿宋_GBK" w:cs="方正仿宋_GBK"/>
          <w:sz w:val="32"/>
          <w:szCs w:val="32"/>
          <w:shd w:val="clear" w:color="auto" w:fill="FFFFFF"/>
        </w:rPr>
        <w:t>人员经费用途主要</w:t>
      </w:r>
      <w:r>
        <w:rPr>
          <w:rFonts w:ascii="Times New Roman" w:hAnsi="Times New Roman" w:eastAsia="方正仿宋_GBK"/>
          <w:sz w:val="32"/>
          <w:szCs w:val="32"/>
          <w:shd w:val="clear" w:color="auto" w:fill="FFFFFF"/>
        </w:rPr>
        <w:t>包括</w:t>
      </w:r>
      <w:r>
        <w:rPr>
          <w:rFonts w:hint="default" w:ascii="Times New Roman" w:hAnsi="Times New Roman" w:eastAsia="方正仿宋_GBK" w:cs="Times New Roman"/>
          <w:sz w:val="32"/>
          <w:szCs w:val="32"/>
          <w:shd w:val="clear" w:color="auto" w:fill="FFFFFF"/>
          <w:lang w:eastAsia="zh-CN"/>
        </w:rPr>
        <w:t>基本工资、绩效工资、其他工资福利支出、医疗费补助、其他对个人和家庭的补助等。</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主要原因是</w:t>
      </w:r>
      <w:r>
        <w:rPr>
          <w:rFonts w:hint="eastAsia" w:ascii="Times New Roman" w:hAnsi="Times New Roman" w:eastAsia="方正仿宋_GBK"/>
          <w:sz w:val="32"/>
          <w:szCs w:val="32"/>
          <w:shd w:val="clear" w:color="auto" w:fill="FFFFFF"/>
          <w:lang w:eastAsia="zh-CN"/>
        </w:rPr>
        <w:t>本单位为差额拨款单位，</w:t>
      </w:r>
      <w:r>
        <w:rPr>
          <w:rFonts w:hint="eastAsia" w:ascii="Times New Roman" w:hAnsi="Times New Roman" w:eastAsia="方正仿宋_GBK"/>
          <w:sz w:val="32"/>
          <w:szCs w:val="32"/>
          <w:shd w:val="clear" w:color="auto" w:fill="FFFFFF"/>
        </w:rPr>
        <w:t>公用经费</w:t>
      </w:r>
      <w:r>
        <w:rPr>
          <w:rFonts w:hint="eastAsia" w:ascii="Times New Roman" w:hAnsi="Times New Roman" w:eastAsia="方正仿宋_GBK"/>
          <w:sz w:val="32"/>
          <w:szCs w:val="32"/>
          <w:shd w:val="clear" w:color="auto" w:fill="FFFFFF"/>
          <w:lang w:eastAsia="zh-CN"/>
        </w:rPr>
        <w:t>支出由单位自筹。</w:t>
      </w:r>
      <w:r>
        <w:rPr>
          <w:rFonts w:hint="default" w:ascii="Times New Roman" w:hAnsi="Times New Roman" w:eastAsia="方正仿宋_GBK" w:cs="Times New Roman"/>
          <w:sz w:val="32"/>
          <w:szCs w:val="32"/>
          <w:shd w:val="clear" w:color="auto" w:fill="FFFFFF"/>
          <w:lang w:eastAsia="zh-CN"/>
        </w:rPr>
        <w:t>公用经费用途主要包括办公费、水费、电费、差旅费、其他商品和服务支出等。</w:t>
      </w:r>
    </w:p>
    <w:p>
      <w:pPr>
        <w:pStyle w:val="13"/>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本</w:t>
      </w:r>
      <w:r>
        <w:rPr>
          <w:rFonts w:hint="eastAsia" w:ascii="Times New Roman" w:hAnsi="Times New Roman" w:eastAsia="方正仿宋_GBK"/>
          <w:sz w:val="32"/>
          <w:szCs w:val="32"/>
          <w:shd w:val="clear" w:color="auto" w:fill="FFFFFF"/>
          <w:lang w:eastAsia="zh-CN"/>
        </w:rPr>
        <w:t>单位</w:t>
      </w:r>
      <w:r>
        <w:rPr>
          <w:rFonts w:hint="default" w:ascii="Times New Roman" w:hAnsi="Times New Roman" w:eastAsia="方正仿宋_GBK"/>
          <w:sz w:val="32"/>
          <w:szCs w:val="32"/>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w:t>
      </w:r>
      <w:r>
        <w:rPr>
          <w:rFonts w:hint="eastAsia"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2024年度无国有资本经营预算财政拨款支出。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sz w:val="32"/>
          <w:szCs w:val="32"/>
          <w:shd w:val="clear" w:color="auto" w:fill="FFFFFF"/>
        </w:rPr>
      </w:pPr>
      <w:r>
        <w:rPr>
          <w:rFonts w:hint="eastAsia" w:ascii="方正黑体_GBK" w:hAnsi="方正黑体_GBK" w:eastAsia="方正黑体_GBK" w:cs="方正黑体_GBK"/>
          <w:sz w:val="32"/>
          <w:szCs w:val="32"/>
          <w:shd w:val="clear" w:color="auto" w:fill="FFFFFF"/>
        </w:rPr>
        <w:t>三、</w:t>
      </w:r>
      <w:r>
        <w:rPr>
          <w:rFonts w:hint="eastAsia" w:ascii="方正黑体_GBK" w:hAnsi="方正黑体_GBK" w:eastAsia="方正黑体_GBK" w:cs="方正黑体_GBK"/>
          <w:sz w:val="32"/>
          <w:szCs w:val="32"/>
          <w:shd w:val="clear" w:color="auto" w:fill="FFFFFF"/>
          <w:lang w:eastAsia="zh-CN"/>
        </w:rPr>
        <w:t>财政拨款</w:t>
      </w:r>
      <w:r>
        <w:rPr>
          <w:rFonts w:hint="eastAsia" w:ascii="方正黑体_GBK" w:hAnsi="方正黑体_GBK" w:eastAsia="方正黑体_GBK" w:cs="方正黑体_GBK"/>
          <w:sz w:val="32"/>
          <w:szCs w:val="32"/>
          <w:shd w:val="clear" w:color="auto" w:fill="FFFFFF"/>
        </w:rPr>
        <w:t>“三公”经费情况说明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（一）“三公”经费支出总体情况说明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w:t>
      </w:r>
      <w:r>
        <w:rPr>
          <w:rFonts w:hint="eastAsia" w:ascii="Times New Roman" w:hAnsi="Times New Roman" w:eastAsia="方正仿宋_GBK" w:cs="Times New Roman"/>
          <w:sz w:val="32"/>
          <w:szCs w:val="32"/>
          <w:shd w:val="clear" w:color="auto" w:fill="FFFFFF"/>
          <w:lang w:eastAsia="zh-CN"/>
        </w:rPr>
        <w:t>属于</w:t>
      </w:r>
      <w:r>
        <w:rPr>
          <w:rFonts w:hint="default" w:ascii="Times New Roman" w:hAnsi="Times New Roman" w:eastAsia="方正仿宋_GBK" w:cs="Times New Roman"/>
          <w:sz w:val="32"/>
          <w:szCs w:val="32"/>
          <w:shd w:val="clear" w:color="auto" w:fill="FFFFFF"/>
        </w:rPr>
        <w:t>差额拨款</w:t>
      </w:r>
      <w:r>
        <w:rPr>
          <w:rFonts w:hint="eastAsia" w:ascii="Times New Roman" w:hAnsi="Times New Roman" w:eastAsia="方正仿宋_GBK" w:cs="Times New Roman"/>
          <w:sz w:val="32"/>
          <w:szCs w:val="32"/>
          <w:shd w:val="clear" w:color="auto" w:fill="FFFFFF"/>
          <w:lang w:val="en-US" w:eastAsia="zh-CN"/>
        </w:rPr>
        <w:t>事业单位</w:t>
      </w: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eastAsia="zh-CN"/>
        </w:rPr>
        <w:t>未使用财政资金保障</w:t>
      </w:r>
      <w:r>
        <w:rPr>
          <w:rFonts w:hint="default" w:ascii="Times New Roman" w:hAnsi="Times New Roman" w:eastAsia="方正仿宋_GBK" w:cs="Times New Roman"/>
          <w:sz w:val="32"/>
          <w:szCs w:val="32"/>
          <w:shd w:val="clear" w:color="auto" w:fill="FFFFFF"/>
        </w:rPr>
        <w:t>“三公”经费。</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sz w:val="32"/>
          <w:szCs w:val="32"/>
          <w:shd w:val="clear" w:color="auto" w:fill="FFFFFF"/>
        </w:rPr>
      </w:pPr>
      <w:r>
        <w:rPr>
          <w:rFonts w:hint="eastAsia" w:ascii="方正楷体_GBK" w:hAnsi="方正楷体_GBK" w:eastAsia="方正楷体_GBK" w:cs="方正楷体_GBK"/>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shd w:val="clear" w:color="auto" w:fill="FFFFFF"/>
          <w:lang w:val="en-US" w:eastAsia="zh-CN"/>
        </w:rPr>
      </w:pPr>
      <w:r>
        <w:rPr>
          <w:rFonts w:hint="eastAsia" w:ascii="Times New Roman" w:hAnsi="Times New Roman" w:eastAsia="方正仿宋_GBK" w:cs="Times New Roman"/>
          <w:sz w:val="32"/>
          <w:szCs w:val="32"/>
          <w:shd w:val="clear" w:color="auto" w:fill="FFFFFF"/>
          <w:lang w:val="en-US" w:eastAsia="zh-CN"/>
        </w:rPr>
        <w:t>2024</w:t>
      </w:r>
      <w:r>
        <w:rPr>
          <w:rFonts w:hint="default" w:ascii="Times New Roman" w:hAnsi="Times New Roman" w:eastAsia="方正仿宋_GBK" w:cs="Times New Roman"/>
          <w:sz w:val="32"/>
          <w:szCs w:val="32"/>
          <w:shd w:val="clear" w:color="auto" w:fill="FFFFFF"/>
        </w:rPr>
        <w:t>年度</w:t>
      </w: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单位无因公出国（境）费，</w:t>
      </w:r>
      <w:r>
        <w:rPr>
          <w:rFonts w:hint="eastAsia" w:ascii="Times New Roman" w:hAnsi="Times New Roman" w:eastAsia="方正仿宋_GBK" w:cs="Times New Roman"/>
          <w:sz w:val="32"/>
          <w:szCs w:val="32"/>
          <w:shd w:val="clear" w:color="auto" w:fill="FFFFFF"/>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2"/>
          <w:rFonts w:hint="eastAsia" w:ascii="Times New Roman" w:hAnsi="Times New Roman" w:eastAsia="方正仿宋_GBK" w:cs="Times New Roman"/>
          <w:b w:val="0"/>
          <w:bCs/>
          <w:sz w:val="32"/>
          <w:szCs w:val="32"/>
          <w:shd w:val="clear" w:color="auto" w:fill="FFFFFF"/>
          <w:lang w:val="en-US" w:eastAsia="zh-CN"/>
        </w:rPr>
      </w:pPr>
      <w:r>
        <w:rPr>
          <w:rFonts w:hint="eastAsia" w:ascii="Times New Roman" w:hAnsi="Times New Roman" w:eastAsia="方正仿宋_GBK" w:cs="Times New Roman"/>
          <w:sz w:val="32"/>
          <w:szCs w:val="32"/>
          <w:shd w:val="clear" w:color="auto" w:fill="FFFFFF"/>
          <w:lang w:val="en-US" w:eastAsia="zh-CN"/>
        </w:rPr>
        <w:t>2024</w:t>
      </w:r>
      <w:r>
        <w:rPr>
          <w:rFonts w:hint="eastAsia" w:ascii="Times New Roman" w:hAnsi="Times New Roman" w:eastAsia="方正仿宋_GBK" w:cs="Times New Roman"/>
          <w:sz w:val="32"/>
          <w:szCs w:val="32"/>
          <w:shd w:val="clear" w:color="auto" w:fill="FFFFFF"/>
        </w:rPr>
        <w:t>年度</w:t>
      </w:r>
      <w:r>
        <w:rPr>
          <w:rFonts w:hint="eastAsia"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单位无公务车购置费，</w:t>
      </w:r>
      <w:r>
        <w:rPr>
          <w:rFonts w:hint="eastAsia" w:ascii="Times New Roman" w:hAnsi="Times New Roman" w:eastAsia="方正仿宋_GBK" w:cs="Times New Roman"/>
          <w:sz w:val="32"/>
          <w:szCs w:val="32"/>
          <w:shd w:val="clear" w:color="auto" w:fill="FFFFFF"/>
          <w:lang w:eastAsia="zh-CN"/>
        </w:rPr>
        <w:t>较年初预算数无增减，</w:t>
      </w:r>
      <w:r>
        <w:rPr>
          <w:rStyle w:val="12"/>
          <w:rFonts w:hint="eastAsia" w:ascii="Times New Roman" w:hAnsi="Times New Roman" w:eastAsia="方正仿宋_GBK" w:cs="Times New Roman"/>
          <w:b w:val="0"/>
          <w:bCs/>
          <w:sz w:val="32"/>
          <w:szCs w:val="32"/>
          <w:shd w:val="clear" w:color="auto" w:fill="FFFFFF"/>
          <w:lang w:eastAsia="zh-CN"/>
        </w:rPr>
        <w:t>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2"/>
          <w:rFonts w:hint="eastAsia" w:ascii="Times New Roman" w:hAnsi="Times New Roman" w:eastAsia="方正仿宋_GBK" w:cs="Times New Roman"/>
          <w:b w:val="0"/>
          <w:bCs/>
          <w:sz w:val="32"/>
          <w:szCs w:val="32"/>
          <w:shd w:val="clear" w:color="auto" w:fill="FFFFFF"/>
          <w:lang w:eastAsia="zh-CN"/>
        </w:rPr>
      </w:pPr>
      <w:r>
        <w:rPr>
          <w:rStyle w:val="12"/>
          <w:rFonts w:hint="eastAsia" w:ascii="Times New Roman" w:hAnsi="Times New Roman" w:eastAsia="方正仿宋_GBK" w:cs="Times New Roman"/>
          <w:b w:val="0"/>
          <w:bCs/>
          <w:sz w:val="32"/>
          <w:szCs w:val="32"/>
          <w:shd w:val="clear" w:color="auto" w:fill="FFFFFF"/>
          <w:lang w:val="en-US" w:eastAsia="zh-CN"/>
        </w:rPr>
        <w:t>2024</w:t>
      </w:r>
      <w:r>
        <w:rPr>
          <w:rStyle w:val="12"/>
          <w:rFonts w:hint="eastAsia" w:ascii="Times New Roman" w:hAnsi="Times New Roman" w:eastAsia="方正仿宋_GBK" w:cs="Times New Roman"/>
          <w:b w:val="0"/>
          <w:bCs/>
          <w:sz w:val="32"/>
          <w:szCs w:val="32"/>
          <w:shd w:val="clear" w:color="auto" w:fill="FFFFFF"/>
        </w:rPr>
        <w:t>年度</w:t>
      </w:r>
      <w:r>
        <w:rPr>
          <w:rStyle w:val="12"/>
          <w:rFonts w:hint="eastAsia" w:ascii="Times New Roman" w:hAnsi="Times New Roman" w:eastAsia="方正仿宋_GBK" w:cs="Times New Roman"/>
          <w:b w:val="0"/>
          <w:bCs/>
          <w:sz w:val="32"/>
          <w:szCs w:val="32"/>
          <w:shd w:val="clear" w:color="auto" w:fill="FFFFFF"/>
          <w:lang w:eastAsia="zh-CN"/>
        </w:rPr>
        <w:t>本</w:t>
      </w:r>
      <w:r>
        <w:rPr>
          <w:rStyle w:val="12"/>
          <w:rFonts w:hint="default" w:ascii="Times New Roman" w:hAnsi="Times New Roman" w:eastAsia="方正仿宋_GBK" w:cs="Times New Roman"/>
          <w:b w:val="0"/>
          <w:bCs/>
          <w:sz w:val="32"/>
          <w:szCs w:val="32"/>
          <w:shd w:val="clear" w:color="auto" w:fill="FFFFFF"/>
        </w:rPr>
        <w:t>单位无公务车运行维护费，</w:t>
      </w:r>
      <w:r>
        <w:rPr>
          <w:rStyle w:val="12"/>
          <w:rFonts w:hint="eastAsia" w:ascii="Times New Roman" w:hAnsi="Times New Roman" w:eastAsia="方正仿宋_GBK" w:cs="Times New Roman"/>
          <w:b w:val="0"/>
          <w:bCs/>
          <w:sz w:val="32"/>
          <w:szCs w:val="32"/>
          <w:shd w:val="clear" w:color="auto" w:fill="FFFFFF"/>
          <w:lang w:eastAsia="zh-CN"/>
        </w:rPr>
        <w:t>较年初预算数无增减，较上年支出数无增减。</w:t>
      </w:r>
      <w:bookmarkStart w:id="0" w:name="_GoBack"/>
      <w:bookmarkEnd w:id="0"/>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Style w:val="12"/>
          <w:rFonts w:hint="default" w:ascii="Times New Roman" w:hAnsi="Times New Roman" w:eastAsia="方正仿宋_GBK" w:cs="Times New Roman"/>
          <w:b w:val="0"/>
          <w:bCs/>
          <w:sz w:val="32"/>
          <w:szCs w:val="32"/>
          <w:shd w:val="clear" w:color="auto" w:fill="FFFFFF"/>
        </w:rPr>
      </w:pPr>
      <w:r>
        <w:rPr>
          <w:rStyle w:val="12"/>
          <w:rFonts w:hint="eastAsia" w:ascii="Times New Roman" w:hAnsi="Times New Roman" w:eastAsia="方正仿宋_GBK" w:cs="Times New Roman"/>
          <w:b w:val="0"/>
          <w:bCs/>
          <w:sz w:val="32"/>
          <w:szCs w:val="32"/>
          <w:shd w:val="clear" w:color="auto" w:fill="FFFFFF"/>
          <w:lang w:val="en-US" w:eastAsia="zh-CN"/>
        </w:rPr>
        <w:t>2024</w:t>
      </w:r>
      <w:r>
        <w:rPr>
          <w:rStyle w:val="12"/>
          <w:rFonts w:hint="eastAsia" w:ascii="Times New Roman" w:hAnsi="Times New Roman" w:eastAsia="方正仿宋_GBK" w:cs="Times New Roman"/>
          <w:b w:val="0"/>
          <w:bCs/>
          <w:sz w:val="32"/>
          <w:szCs w:val="32"/>
          <w:shd w:val="clear" w:color="auto" w:fill="FFFFFF"/>
        </w:rPr>
        <w:t>年度</w:t>
      </w:r>
      <w:r>
        <w:rPr>
          <w:rStyle w:val="12"/>
          <w:rFonts w:hint="eastAsia" w:ascii="Times New Roman" w:hAnsi="Times New Roman" w:eastAsia="方正仿宋_GBK" w:cs="Times New Roman"/>
          <w:b w:val="0"/>
          <w:bCs/>
          <w:sz w:val="32"/>
          <w:szCs w:val="32"/>
          <w:shd w:val="clear" w:color="auto" w:fill="FFFFFF"/>
          <w:lang w:eastAsia="zh-CN"/>
        </w:rPr>
        <w:t>本</w:t>
      </w:r>
      <w:r>
        <w:rPr>
          <w:rStyle w:val="12"/>
          <w:rFonts w:hint="default" w:ascii="Times New Roman" w:hAnsi="Times New Roman" w:eastAsia="方正仿宋_GBK" w:cs="Times New Roman"/>
          <w:b w:val="0"/>
          <w:bCs/>
          <w:sz w:val="32"/>
          <w:szCs w:val="32"/>
          <w:shd w:val="clear" w:color="auto" w:fill="FFFFFF"/>
        </w:rPr>
        <w:t>单位无公务接待费，</w:t>
      </w:r>
      <w:r>
        <w:rPr>
          <w:rStyle w:val="12"/>
          <w:rFonts w:hint="eastAsia" w:ascii="Times New Roman" w:hAnsi="Times New Roman" w:eastAsia="方正仿宋_GBK" w:cs="Times New Roman"/>
          <w:b w:val="0"/>
          <w:bCs/>
          <w:sz w:val="32"/>
          <w:szCs w:val="32"/>
          <w:shd w:val="clear" w:color="auto" w:fill="FFFFFF"/>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eastAsia" w:ascii="方正黑体_GBK" w:hAnsi="方正黑体_GBK" w:eastAsia="方正黑体_GBK" w:cs="方正黑体_GBK"/>
          <w:b w:val="0"/>
          <w:bCs/>
          <w:sz w:val="32"/>
          <w:szCs w:val="32"/>
          <w:shd w:val="clear" w:color="auto" w:fill="FFFFFF"/>
        </w:rPr>
      </w:pPr>
      <w:r>
        <w:rPr>
          <w:rStyle w:val="12"/>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sz w:val="32"/>
          <w:szCs w:val="32"/>
          <w:shd w:val="clear" w:color="auto" w:fill="FFFFFF"/>
          <w:lang w:val="en-US" w:eastAsia="zh-CN"/>
        </w:rPr>
      </w:pPr>
      <w:r>
        <w:rPr>
          <w:rFonts w:hint="eastAsia" w:ascii="Times New Roman" w:hAnsi="Times New Roman" w:eastAsia="方正仿宋_GBK"/>
          <w:sz w:val="32"/>
          <w:szCs w:val="32"/>
          <w:shd w:val="clear" w:color="auto" w:fill="FFFFFF"/>
          <w:lang w:val="en-US" w:eastAsia="zh-CN"/>
        </w:rPr>
        <w:t>因本单位属于差额拨款事业单位，未使用财政资金保障</w:t>
      </w:r>
      <w:r>
        <w:rPr>
          <w:rFonts w:hint="default" w:ascii="Times New Roman" w:hAnsi="Times New Roman" w:eastAsia="方正仿宋_GBK"/>
          <w:sz w:val="32"/>
          <w:szCs w:val="32"/>
          <w:shd w:val="clear" w:color="auto" w:fill="FFFFFF"/>
          <w:lang w:val="en-US" w:eastAsia="zh-CN"/>
        </w:rPr>
        <w:t>会议费</w:t>
      </w:r>
      <w:r>
        <w:rPr>
          <w:rFonts w:hint="eastAsia" w:ascii="Times New Roman" w:hAnsi="Times New Roman" w:eastAsia="方正仿宋_GBK"/>
          <w:sz w:val="32"/>
          <w:szCs w:val="32"/>
          <w:shd w:val="clear" w:color="auto" w:fill="FFFFFF"/>
          <w:lang w:val="en-US" w:eastAsia="zh-CN"/>
        </w:rPr>
        <w:t>、</w:t>
      </w:r>
      <w:r>
        <w:rPr>
          <w:rFonts w:hint="default" w:ascii="Times New Roman" w:hAnsi="Times New Roman" w:eastAsia="方正仿宋_GBK"/>
          <w:sz w:val="32"/>
          <w:szCs w:val="32"/>
          <w:shd w:val="clear" w:color="auto" w:fill="FFFFFF"/>
          <w:lang w:val="en-US" w:eastAsia="zh-CN"/>
        </w:rPr>
        <w:t>培训费</w:t>
      </w:r>
      <w:r>
        <w:rPr>
          <w:rFonts w:hint="eastAsia" w:ascii="Times New Roman" w:hAnsi="Times New Roman" w:eastAsia="方正仿宋_GBK"/>
          <w:sz w:val="32"/>
          <w:szCs w:val="32"/>
          <w:shd w:val="clear" w:color="auto" w:fill="FFFFFF"/>
          <w:lang w:val="en-US" w:eastAsia="zh-CN"/>
        </w:rPr>
        <w:t>和差旅费</w:t>
      </w:r>
      <w:r>
        <w:rPr>
          <w:rFonts w:hint="default" w:ascii="Times New Roman" w:hAnsi="Times New Roman" w:eastAsia="方正仿宋_GBK"/>
          <w:sz w:val="32"/>
          <w:szCs w:val="32"/>
          <w:shd w:val="clear" w:color="auto" w:fill="FFFFFF"/>
          <w:lang w:val="en-US" w:eastAsia="zh-CN"/>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8"/>
        <w:keepNext w:val="0"/>
        <w:keepLines w:val="0"/>
        <w:pageBreakBefore w:val="0"/>
        <w:widowControl/>
        <w:shd w:val="clear" w:color="auto" w:fill="FFFFFF"/>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sz w:val="32"/>
          <w:szCs w:val="32"/>
          <w:shd w:val="clear" w:color="auto" w:fill="FFFFFF"/>
          <w:lang w:eastAsia="zh-CN"/>
        </w:rPr>
      </w:pPr>
      <w:r>
        <w:rPr>
          <w:rFonts w:ascii="Times New Roman" w:hAnsi="Times New Roman" w:eastAsia="方正仿宋_GBK"/>
          <w:sz w:val="32"/>
          <w:szCs w:val="32"/>
          <w:shd w:val="clear" w:color="auto" w:fill="FFFFFF"/>
        </w:rPr>
        <w:t>按照部门决算列报口径，</w:t>
      </w:r>
      <w:r>
        <w:rPr>
          <w:rFonts w:hint="eastAsia" w:ascii="Times New Roman" w:hAnsi="Times New Roman" w:eastAsia="方正仿宋_GBK"/>
          <w:sz w:val="32"/>
          <w:szCs w:val="32"/>
          <w:shd w:val="clear" w:color="auto" w:fill="FFFFFF"/>
          <w:lang w:eastAsia="zh-CN"/>
        </w:rPr>
        <w:t>本</w:t>
      </w:r>
      <w:r>
        <w:rPr>
          <w:rFonts w:ascii="Times New Roman" w:hAnsi="Times New Roman" w:eastAsia="方正仿宋_GBK"/>
          <w:sz w:val="32"/>
          <w:szCs w:val="32"/>
          <w:shd w:val="clear" w:color="auto" w:fill="FFFFFF"/>
        </w:rPr>
        <w:t>单位不在机关运行经费统计范围之内</w:t>
      </w:r>
      <w:r>
        <w:rPr>
          <w:rFonts w:hint="default" w:ascii="Times New Roman" w:hAnsi="Times New Roman" w:eastAsia="方正仿宋_GBK"/>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3.53</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3.53</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3.30</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93.3%</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3.30</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93.3 %</w:t>
      </w:r>
      <w:r>
        <w:rPr>
          <w:rFonts w:ascii="方正仿宋_GBK" w:hAnsi="方正仿宋_GBK" w:eastAsia="方正仿宋_GBK" w:cs="方正仿宋_GBK"/>
          <w:sz w:val="32"/>
          <w:szCs w:val="32"/>
          <w:shd w:val="clear" w:color="auto" w:fill="FFFFFF"/>
        </w:rPr>
        <w:t>。主要用于采购</w:t>
      </w:r>
      <w:r>
        <w:rPr>
          <w:rFonts w:hint="eastAsia" w:ascii="方正仿宋_GBK" w:hAnsi="方正仿宋_GBK" w:eastAsia="方正仿宋_GBK" w:cs="方正仿宋_GBK"/>
          <w:sz w:val="32"/>
          <w:szCs w:val="32"/>
          <w:shd w:val="clear" w:color="auto" w:fill="FFFFFF"/>
          <w:lang w:eastAsia="zh-CN"/>
        </w:rPr>
        <w:t>办公电脑。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宋体"/>
          <w:b/>
          <w:kern w:val="0"/>
          <w:sz w:val="32"/>
          <w:szCs w:val="32"/>
        </w:rPr>
      </w:pPr>
      <w:r>
        <w:rPr>
          <w:rFonts w:hint="eastAsia" w:ascii="Times New Roman" w:hAnsi="Times New Roman" w:eastAsia="方正黑体_GBK" w:cs="宋体"/>
          <w:kern w:val="0"/>
          <w:sz w:val="32"/>
          <w:szCs w:val="32"/>
        </w:rPr>
        <w:t>五、预算绩效管理情况说明</w:t>
      </w:r>
    </w:p>
    <w:p>
      <w:pPr>
        <w:pStyle w:val="18"/>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firstLine="640"/>
        <w:jc w:val="both"/>
        <w:textAlignment w:val="auto"/>
        <w:outlineLvl w:val="9"/>
        <w:rPr>
          <w:rFonts w:hint="eastAsia" w:ascii="Times New Roman" w:hAnsi="Times New Roman" w:eastAsia="方正楷体_GBK" w:cs="Times New Roman"/>
          <w:kern w:val="0"/>
          <w:sz w:val="32"/>
          <w:szCs w:val="32"/>
          <w:shd w:val="clear" w:color="auto" w:fill="FFFFFF"/>
          <w:lang w:val="en-US" w:eastAsia="zh-CN" w:bidi="ar-SA"/>
        </w:rPr>
      </w:pPr>
      <w:r>
        <w:rPr>
          <w:rFonts w:hint="eastAsia" w:ascii="Times New Roman" w:hAnsi="Times New Roman" w:eastAsia="方正楷体_GBK" w:cs="Times New Roman"/>
          <w:kern w:val="0"/>
          <w:sz w:val="32"/>
          <w:szCs w:val="32"/>
          <w:shd w:val="clear" w:color="auto" w:fill="FFFFFF"/>
          <w:lang w:val="en-US" w:eastAsia="zh-CN" w:bidi="ar-SA"/>
        </w:rPr>
        <w:t>（一）单位自评情况</w:t>
      </w:r>
    </w:p>
    <w:p>
      <w:pPr>
        <w:pStyle w:val="18"/>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firstLine="640"/>
        <w:textAlignment w:val="auto"/>
        <w:outlineLvl w:val="9"/>
        <w:rPr>
          <w:rFonts w:hint="eastAsia" w:ascii="方正仿宋_GBK" w:hAnsi="宋体" w:eastAsia="方正仿宋_GBK" w:cs="宋体"/>
          <w:kern w:val="0"/>
          <w:sz w:val="32"/>
          <w:szCs w:val="32"/>
          <w:lang w:eastAsia="zh-CN"/>
        </w:rPr>
      </w:pPr>
      <w:r>
        <w:rPr>
          <w:rFonts w:hint="eastAsia" w:ascii="方正仿宋_GBK" w:hAnsi="宋体" w:eastAsia="方正仿宋_GBK" w:cs="宋体"/>
          <w:kern w:val="0"/>
          <w:sz w:val="32"/>
          <w:szCs w:val="32"/>
          <w:lang w:val="en-US" w:eastAsia="zh-CN"/>
        </w:rPr>
        <w:t>本</w:t>
      </w:r>
      <w:r>
        <w:rPr>
          <w:rFonts w:hint="eastAsia" w:ascii="方正仿宋_GBK" w:hAnsi="宋体" w:eastAsia="方正仿宋_GBK" w:cs="宋体"/>
          <w:kern w:val="0"/>
          <w:sz w:val="32"/>
          <w:szCs w:val="32"/>
        </w:rPr>
        <w:t>单位</w:t>
      </w:r>
      <w:r>
        <w:rPr>
          <w:rFonts w:hint="eastAsia" w:ascii="方正仿宋_GBK" w:hAnsi="宋体" w:eastAsia="方正仿宋_GBK" w:cs="宋体"/>
          <w:kern w:val="0"/>
          <w:sz w:val="32"/>
          <w:szCs w:val="32"/>
          <w:lang w:eastAsia="zh-CN"/>
        </w:rPr>
        <w:t>为</w:t>
      </w:r>
      <w:r>
        <w:rPr>
          <w:rFonts w:hint="eastAsia" w:ascii="方正仿宋_GBK" w:hAnsi="宋体" w:eastAsia="方正仿宋_GBK" w:cs="宋体"/>
          <w:kern w:val="0"/>
          <w:sz w:val="32"/>
          <w:szCs w:val="32"/>
          <w:lang w:val="en-US" w:eastAsia="zh-CN"/>
        </w:rPr>
        <w:t>秀山土家族苗族自治县卫生健康委员会二级预算单位，由主管部门统一开展项目支出</w:t>
      </w:r>
      <w:r>
        <w:rPr>
          <w:rFonts w:hint="eastAsia" w:ascii="方正仿宋_GBK" w:hAnsi="宋体" w:eastAsia="方正仿宋_GBK" w:cs="宋体"/>
          <w:kern w:val="0"/>
          <w:sz w:val="32"/>
          <w:szCs w:val="32"/>
        </w:rPr>
        <w:t>绩效</w:t>
      </w:r>
      <w:r>
        <w:rPr>
          <w:rFonts w:hint="eastAsia" w:ascii="Times New Roman" w:hAnsi="Times New Roman" w:eastAsia="方正仿宋_GBK" w:cs="方正仿宋_GBK"/>
          <w:b w:val="0"/>
          <w:bCs w:val="0"/>
          <w:color w:val="auto"/>
          <w:sz w:val="32"/>
          <w:szCs w:val="32"/>
          <w:shd w:val="clear" w:color="auto" w:fill="FFFFFF"/>
        </w:rPr>
        <w:t>自评</w:t>
      </w:r>
      <w:r>
        <w:rPr>
          <w:rFonts w:hint="eastAsia" w:ascii="方正仿宋_GBK" w:hAnsi="宋体" w:eastAsia="方正仿宋_GBK" w:cs="宋体"/>
          <w:kern w:val="0"/>
          <w:sz w:val="32"/>
          <w:szCs w:val="32"/>
          <w:lang w:eastAsia="zh-CN"/>
        </w:rPr>
        <w:t>。</w:t>
      </w:r>
    </w:p>
    <w:tbl>
      <w:tblPr>
        <w:tblStyle w:val="9"/>
        <w:tblpPr w:leftFromText="180" w:rightFromText="180" w:vertAnchor="text" w:horzAnchor="page" w:tblpX="1790" w:tblpY="7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w:t>
            </w:r>
            <w:r>
              <w:rPr>
                <w:rFonts w:hint="eastAsia" w:ascii="方正仿宋_GBK" w:hAnsi="方正仿宋_GBK" w:eastAsia="方正仿宋_GBK" w:cs="方正仿宋_GBK"/>
                <w:sz w:val="24"/>
                <w:szCs w:val="24"/>
                <w:lang w:eastAsia="zh-CN"/>
              </w:rPr>
              <w:t>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8"/>
        <w:keepNext w:val="0"/>
        <w:keepLines w:val="0"/>
        <w:pageBreakBefore w:val="0"/>
        <w:widowControl w:val="0"/>
        <w:tabs>
          <w:tab w:val="center" w:pos="4153"/>
          <w:tab w:val="left" w:pos="7275"/>
        </w:tabs>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Times New Roman" w:hAnsi="Times New Roman" w:eastAsia="方正楷体_GBK" w:cs="Times New Roman"/>
          <w:bCs/>
          <w:kern w:val="0"/>
          <w:sz w:val="32"/>
          <w:szCs w:val="32"/>
          <w:shd w:val="clear" w:color="auto" w:fill="FFFFFF"/>
          <w:lang w:val="en-US" w:eastAsia="zh-CN" w:bidi="ar-SA"/>
        </w:rPr>
      </w:pPr>
      <w:r>
        <w:rPr>
          <w:rFonts w:hint="eastAsia" w:ascii="Times New Roman" w:hAnsi="Times New Roman" w:eastAsia="方正楷体_GBK" w:cs="Times New Roman"/>
          <w:bCs/>
          <w:kern w:val="0"/>
          <w:sz w:val="32"/>
          <w:szCs w:val="32"/>
          <w:shd w:val="clear" w:color="auto" w:fill="FFFFFF"/>
          <w:lang w:val="en-US" w:eastAsia="zh-CN" w:bidi="ar-SA"/>
        </w:rPr>
        <w:t>（二）部门绩效评价情况</w:t>
      </w:r>
    </w:p>
    <w:p>
      <w:pPr>
        <w:pStyle w:val="18"/>
        <w:keepNext w:val="0"/>
        <w:keepLines w:val="0"/>
        <w:pageBreakBefore w:val="0"/>
        <w:tabs>
          <w:tab w:val="center" w:pos="4153"/>
          <w:tab w:val="left" w:pos="7275"/>
        </w:tabs>
        <w:kinsoku/>
        <w:wordWrap/>
        <w:overflowPunct/>
        <w:topLinePunct w:val="0"/>
        <w:autoSpaceDE/>
        <w:autoSpaceDN/>
        <w:bidi w:val="0"/>
        <w:adjustRightInd/>
        <w:spacing w:line="560" w:lineRule="exact"/>
        <w:ind w:firstLine="640"/>
        <w:jc w:val="both"/>
        <w:textAlignment w:val="auto"/>
        <w:outlineLvl w:val="9"/>
        <w:rPr>
          <w:rFonts w:hint="eastAsia" w:ascii="方正仿宋_GBK" w:hAnsi="宋体" w:eastAsia="方正仿宋_GBK" w:cs="宋体"/>
          <w:kern w:val="0"/>
          <w:sz w:val="32"/>
          <w:szCs w:val="32"/>
          <w:lang w:eastAsia="zh-CN"/>
        </w:rPr>
      </w:pPr>
      <w:r>
        <w:rPr>
          <w:rFonts w:hint="eastAsia" w:ascii="Times New Roman" w:hAnsi="Times New Roman" w:eastAsia="方正仿宋_GBK" w:cs="方正仿宋_GBK"/>
          <w:b w:val="0"/>
          <w:bCs w:val="0"/>
          <w:color w:val="auto"/>
          <w:sz w:val="32"/>
          <w:szCs w:val="32"/>
          <w:shd w:val="clear" w:color="auto" w:fill="FFFFFF"/>
          <w:lang w:val="en-US" w:eastAsia="zh-CN" w:bidi="ar-SA"/>
        </w:rPr>
        <w:t>本单位未组织开展绩效评价</w:t>
      </w:r>
      <w:r>
        <w:rPr>
          <w:rFonts w:hint="eastAsia" w:ascii="方正仿宋_GBK" w:hAnsi="宋体" w:eastAsia="方正仿宋_GBK" w:cs="宋体"/>
          <w:kern w:val="0"/>
          <w:sz w:val="32"/>
          <w:szCs w:val="32"/>
          <w:lang w:eastAsia="zh-CN"/>
        </w:rPr>
        <w:t>。</w:t>
      </w:r>
    </w:p>
    <w:p>
      <w:pPr>
        <w:pStyle w:val="8"/>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黑体_GBK"/>
          <w:bCs/>
          <w:sz w:val="32"/>
          <w:szCs w:val="32"/>
          <w:shd w:val="clear" w:color="auto" w:fill="FFFFFF"/>
        </w:rPr>
      </w:pPr>
      <w:r>
        <w:rPr>
          <w:rFonts w:ascii="Times New Roman" w:hAnsi="Times New Roman" w:eastAsia="方正黑体_GBK"/>
          <w:bCs/>
          <w:sz w:val="32"/>
          <w:szCs w:val="32"/>
          <w:shd w:val="clear" w:color="auto" w:fill="FFFFFF"/>
        </w:rPr>
        <w:t>专业名词解释</w:t>
      </w:r>
    </w:p>
    <w:p>
      <w:pPr>
        <w:pStyle w:val="8"/>
        <w:keepNext w:val="0"/>
        <w:keepLines w:val="0"/>
        <w:pageBreakBefore w:val="0"/>
        <w:widowControl/>
        <w:numPr>
          <w:numId w:val="0"/>
        </w:numPr>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Times New Roman" w:hAnsi="Times New Roman" w:eastAsia="方正黑体_GBK"/>
          <w:bCs/>
          <w:sz w:val="32"/>
          <w:szCs w:val="32"/>
          <w:shd w:val="clear" w:color="auto" w:fill="FFFFFF"/>
        </w:rPr>
      </w:pP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（一）财政拨款收入：</w:t>
      </w:r>
      <w:r>
        <w:rPr>
          <w:rFonts w:ascii="Times New Roman" w:hAnsi="Times New Roman" w:eastAsia="方正仿宋_GBK"/>
          <w:bCs/>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（二）事业收入：</w:t>
      </w:r>
      <w:r>
        <w:rPr>
          <w:rFonts w:ascii="Times New Roman" w:hAnsi="Times New Roman" w:eastAsia="方正仿宋_GBK"/>
          <w:bCs/>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（三）经营收入：</w:t>
      </w:r>
      <w:r>
        <w:rPr>
          <w:rFonts w:ascii="Times New Roman" w:hAnsi="Times New Roman" w:eastAsia="方正仿宋_GBK"/>
          <w:bCs/>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（四）其他收入：</w:t>
      </w:r>
      <w:r>
        <w:rPr>
          <w:rFonts w:ascii="Times New Roman" w:hAnsi="Times New Roman" w:eastAsia="方正仿宋_GBK"/>
          <w:bCs/>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（五）使用非财政拨款结余：</w:t>
      </w:r>
      <w:r>
        <w:rPr>
          <w:rFonts w:ascii="Times New Roman" w:hAnsi="Times New Roman" w:eastAsia="方正仿宋_GBK"/>
          <w:bCs/>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（六）年初结转和结余：</w:t>
      </w:r>
      <w:r>
        <w:rPr>
          <w:rFonts w:ascii="Times New Roman" w:hAnsi="Times New Roman" w:eastAsia="方正仿宋_GBK"/>
          <w:bCs/>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（七）结余分配：</w:t>
      </w:r>
      <w:r>
        <w:rPr>
          <w:rFonts w:ascii="Times New Roman" w:hAnsi="Times New Roman" w:eastAsia="方正仿宋_GBK"/>
          <w:bCs/>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（八）年末结转和结余：</w:t>
      </w:r>
      <w:r>
        <w:rPr>
          <w:rFonts w:ascii="Times New Roman" w:hAnsi="Times New Roman" w:eastAsia="方正仿宋_GBK"/>
          <w:bCs/>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（九）基本支出：</w:t>
      </w:r>
      <w:r>
        <w:rPr>
          <w:rFonts w:ascii="Times New Roman" w:hAnsi="Times New Roman" w:eastAsia="方正仿宋_GBK"/>
          <w:bCs/>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（十）项目支出：</w:t>
      </w:r>
      <w:r>
        <w:rPr>
          <w:rFonts w:ascii="Times New Roman" w:hAnsi="Times New Roman" w:eastAsia="方正仿宋_GBK"/>
          <w:bCs/>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楷体_GBK"/>
          <w:bCs/>
          <w:sz w:val="32"/>
          <w:szCs w:val="32"/>
        </w:rPr>
      </w:pPr>
      <w:r>
        <w:rPr>
          <w:rFonts w:ascii="Times New Roman" w:hAnsi="Times New Roman" w:eastAsia="方正楷体_GBK"/>
          <w:bCs/>
          <w:sz w:val="32"/>
          <w:szCs w:val="32"/>
          <w:shd w:val="clear" w:color="auto" w:fill="FFFFFF"/>
        </w:rPr>
        <w:t>（十一）经营支出：</w:t>
      </w:r>
      <w:r>
        <w:rPr>
          <w:rFonts w:ascii="Times New Roman" w:hAnsi="Times New Roman" w:eastAsia="方正仿宋_GBK"/>
          <w:bCs/>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（十二）“三公”经费：</w:t>
      </w:r>
      <w:r>
        <w:rPr>
          <w:rFonts w:ascii="Times New Roman" w:hAnsi="Times New Roman" w:eastAsia="方正仿宋_GBK"/>
          <w:bCs/>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（十三）机关运行经费：</w:t>
      </w:r>
      <w:r>
        <w:rPr>
          <w:rFonts w:ascii="Times New Roman" w:hAnsi="Times New Roman" w:eastAsia="方正仿宋_GBK"/>
          <w:bCs/>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（十四）工资福利支出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（十五）商品和服务支出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（十六）对个人和家庭的补助</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仿宋_GBK"/>
          <w:bCs/>
          <w:sz w:val="32"/>
          <w:szCs w:val="32"/>
        </w:rPr>
      </w:pPr>
      <w:r>
        <w:rPr>
          <w:rFonts w:ascii="Times New Roman" w:hAnsi="Times New Roman" w:eastAsia="方正楷体_GBK"/>
          <w:bCs/>
          <w:sz w:val="32"/>
          <w:szCs w:val="32"/>
          <w:shd w:val="clear" w:color="auto" w:fill="FFFFFF"/>
        </w:rPr>
        <w:t>（十七）其他资本性支出</w:t>
      </w:r>
      <w:r>
        <w:rPr>
          <w:rFonts w:hint="eastAsia" w:ascii="方正楷体_GBK" w:hAnsi="方正楷体_GBK" w:eastAsia="方正楷体_GBK" w:cs="方正楷体_GBK"/>
          <w:sz w:val="32"/>
          <w:szCs w:val="32"/>
        </w:rPr>
        <w:t>（支出经济分类科目类级）</w:t>
      </w:r>
      <w:r>
        <w:rPr>
          <w:rFonts w:ascii="Times New Roman" w:hAnsi="Times New Roman" w:eastAsia="方正楷体_GBK"/>
          <w:bCs/>
          <w:sz w:val="32"/>
          <w:szCs w:val="32"/>
          <w:shd w:val="clear" w:color="auto" w:fill="FFFFFF"/>
        </w:rPr>
        <w:t>：</w:t>
      </w:r>
      <w:r>
        <w:rPr>
          <w:rFonts w:ascii="Times New Roman" w:hAnsi="Times New Roman" w:eastAsia="方正仿宋_GBK"/>
          <w:bCs/>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Times New Roman" w:hAnsi="Times New Roman" w:eastAsia="方正黑体_GBK"/>
          <w:bCs/>
          <w:sz w:val="32"/>
          <w:szCs w:val="32"/>
        </w:rPr>
      </w:pPr>
      <w:r>
        <w:rPr>
          <w:rFonts w:ascii="Times New Roman" w:hAnsi="Times New Roman" w:eastAsia="方正黑体_GBK"/>
          <w:bCs/>
          <w:sz w:val="32"/>
          <w:szCs w:val="32"/>
          <w:shd w:val="clear" w:color="auto" w:fill="FFFFFF"/>
        </w:rPr>
        <w:t>七、决算公开联系方式及信息反馈渠道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lang w:val="en-US" w:eastAsia="zh-CN"/>
        </w:rPr>
        <w:sectPr>
          <w:footerReference r:id="rId3" w:type="default"/>
          <w:pgSz w:w="11915" w:h="16840"/>
          <w:pgMar w:top="1984" w:right="1588" w:bottom="2098" w:left="1474"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eastAsia="zh-CN"/>
        </w:rPr>
        <w:t>本</w:t>
      </w:r>
      <w:r>
        <w:rPr>
          <w:rFonts w:ascii="方正仿宋_GBK" w:hAnsi="方正仿宋_GBK" w:eastAsia="方正仿宋_GBK" w:cs="方正仿宋_GBK"/>
          <w:sz w:val="32"/>
          <w:szCs w:val="32"/>
          <w:shd w:val="clear" w:color="auto" w:fill="FFFFFF"/>
        </w:rPr>
        <w:t>单位决算公开信息反馈和联系方式</w:t>
      </w:r>
      <w:r>
        <w:rPr>
          <w:rFonts w:ascii="Times New Roman" w:hAnsi="Times New Roman" w:eastAsia="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胡春</w:t>
      </w:r>
      <w:r>
        <w:rPr>
          <w:rFonts w:ascii="Times New Roman" w:hAnsi="Times New Roman" w:eastAsia="方正仿宋_GBK"/>
          <w:sz w:val="32"/>
          <w:szCs w:val="32"/>
          <w:shd w:val="clear" w:color="auto" w:fill="FFFFFF"/>
        </w:rPr>
        <w:t>023-76643</w:t>
      </w:r>
      <w:r>
        <w:rPr>
          <w:rFonts w:hint="eastAsia" w:ascii="Times New Roman" w:hAnsi="Times New Roman" w:eastAsia="方正仿宋_GBK"/>
          <w:sz w:val="32"/>
          <w:szCs w:val="32"/>
          <w:shd w:val="clear" w:color="auto" w:fill="FFFFFF"/>
          <w:lang w:val="en-US" w:eastAsia="zh-CN"/>
        </w:rPr>
        <w:t>162</w:t>
      </w:r>
    </w:p>
    <w:tbl>
      <w:tblPr>
        <w:tblStyle w:val="9"/>
        <w:tblpPr w:leftFromText="180" w:rightFromText="180" w:vertAnchor="text" w:horzAnchor="page" w:tblpX="1008" w:tblpY="163"/>
        <w:tblOverlap w:val="never"/>
        <w:tblW w:w="14960" w:type="dxa"/>
        <w:tblInd w:w="0" w:type="dxa"/>
        <w:tblLayout w:type="fixed"/>
        <w:tblCellMar>
          <w:top w:w="0" w:type="dxa"/>
          <w:left w:w="0" w:type="dxa"/>
          <w:bottom w:w="0" w:type="dxa"/>
          <w:right w:w="0" w:type="dxa"/>
        </w:tblCellMar>
      </w:tblPr>
      <w:tblGrid>
        <w:gridCol w:w="4300"/>
        <w:gridCol w:w="3563"/>
        <w:gridCol w:w="4050"/>
        <w:gridCol w:w="3047"/>
      </w:tblGrid>
      <w:tr>
        <w:tblPrEx>
          <w:tblCellMar>
            <w:top w:w="0" w:type="dxa"/>
            <w:left w:w="0" w:type="dxa"/>
            <w:bottom w:w="0" w:type="dxa"/>
            <w:right w:w="0" w:type="dxa"/>
          </w:tblCellMar>
        </w:tblPrEx>
        <w:trPr>
          <w:trHeight w:val="335" w:hRule="atLeast"/>
        </w:trPr>
        <w:tc>
          <w:tcPr>
            <w:tcW w:w="14960"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CellMar>
            <w:top w:w="0" w:type="dxa"/>
            <w:left w:w="0" w:type="dxa"/>
            <w:bottom w:w="0" w:type="dxa"/>
            <w:right w:w="0" w:type="dxa"/>
          </w:tblCellMar>
        </w:tblPrEx>
        <w:trPr>
          <w:trHeight w:val="232" w:hRule="atLeast"/>
        </w:trPr>
        <w:tc>
          <w:tcPr>
            <w:tcW w:w="430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63"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047"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CellMar>
            <w:top w:w="0" w:type="dxa"/>
            <w:left w:w="0" w:type="dxa"/>
            <w:bottom w:w="0" w:type="dxa"/>
            <w:right w:w="0" w:type="dxa"/>
          </w:tblCellMar>
        </w:tblPrEx>
        <w:trPr>
          <w:trHeight w:val="232" w:hRule="atLeast"/>
        </w:trPr>
        <w:tc>
          <w:tcPr>
            <w:tcW w:w="7863"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秀山土家族苗族自治县妙泉镇卫生院</w:t>
            </w:r>
          </w:p>
        </w:tc>
        <w:tc>
          <w:tcPr>
            <w:tcW w:w="40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047"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243" w:hRule="atLeast"/>
        </w:trPr>
        <w:tc>
          <w:tcPr>
            <w:tcW w:w="786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收入</w:t>
            </w:r>
          </w:p>
        </w:tc>
        <w:tc>
          <w:tcPr>
            <w:tcW w:w="7097"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支出</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项目</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决算数</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功能分类科目</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决算数</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一、一般公共预算财政拨款收入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132.22</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一、一般公共服务支出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二、政府性基金预算财政拨款收入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二、外交支出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三、国有资本经营预算财政拨款收入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三、国防支出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四、上级补助收入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四、公共安全支出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五、事业收入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178.33</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五、教育支出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六、经营收入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六、科学技术支出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七、附属单位上缴收入</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八、其他收入</w:t>
            </w:r>
          </w:p>
        </w:tc>
        <w:tc>
          <w:tcPr>
            <w:tcW w:w="3563"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0.92</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17.94</w:t>
            </w: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九、卫生健康支出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295.75</w:t>
            </w: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十、节能环保支出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十一、城乡社区支出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十二、农林水支出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十三、交通运输支出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十六、金融支出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90"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十九、住房保障支出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3.78</w:t>
            </w: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二十三、其他支出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二十四、债务还本支出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二十五、债务付息支出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18"/>
                <w:szCs w:val="18"/>
              </w:rPr>
            </w:pP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311.47</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317.48</w:t>
            </w: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使用非财政拨款结余和专用结余</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结余分配</w:t>
            </w:r>
          </w:p>
        </w:tc>
        <w:tc>
          <w:tcPr>
            <w:tcW w:w="30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4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年初结转和结余</w:t>
            </w:r>
          </w:p>
        </w:tc>
        <w:tc>
          <w:tcPr>
            <w:tcW w:w="35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6.88</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18"/>
                <w:szCs w:val="18"/>
              </w:rPr>
            </w:pPr>
            <w:r>
              <w:rPr>
                <w:rFonts w:cs="宋体"/>
                <w:b/>
                <w:bCs/>
                <w:color w:val="000000"/>
                <w:sz w:val="18"/>
                <w:szCs w:val="18"/>
              </w:rPr>
              <w:t>年末结转和结余</w:t>
            </w:r>
          </w:p>
        </w:tc>
        <w:tc>
          <w:tcPr>
            <w:tcW w:w="3047"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0.87</w:t>
            </w:r>
            <w:r>
              <w:rPr>
                <w:rFonts w:ascii="Times New Roman" w:hAnsi="Times New Roman"/>
                <w:color w:val="000000"/>
                <w:sz w:val="18"/>
                <w:szCs w:val="18"/>
                <w:u w:color="auto"/>
              </w:rPr>
              <w:t xml:space="preserve"> </w:t>
            </w:r>
          </w:p>
        </w:tc>
      </w:tr>
      <w:tr>
        <w:tblPrEx>
          <w:tblCellMar>
            <w:top w:w="0" w:type="dxa"/>
            <w:left w:w="0" w:type="dxa"/>
            <w:bottom w:w="0" w:type="dxa"/>
            <w:right w:w="0" w:type="dxa"/>
          </w:tblCellMar>
        </w:tblPrEx>
        <w:trPr>
          <w:trHeight w:val="253" w:hRule="atLeast"/>
        </w:trPr>
        <w:tc>
          <w:tcPr>
            <w:tcW w:w="43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总计</w:t>
            </w:r>
          </w:p>
        </w:tc>
        <w:tc>
          <w:tcPr>
            <w:tcW w:w="3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318.35</w:t>
            </w:r>
            <w:r>
              <w:rPr>
                <w:rFonts w:ascii="Times New Roman" w:hAnsi="Times New Roman"/>
                <w:color w:val="000000"/>
                <w:sz w:val="18"/>
                <w:szCs w:val="18"/>
                <w:u w:color="auto"/>
              </w:rPr>
              <w:t xml:space="preserve"> </w:t>
            </w:r>
          </w:p>
        </w:tc>
        <w:tc>
          <w:tcPr>
            <w:tcW w:w="4050"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18"/>
                <w:szCs w:val="18"/>
              </w:rPr>
            </w:pPr>
            <w:r>
              <w:rPr>
                <w:rFonts w:cs="宋体"/>
                <w:b/>
                <w:color w:val="000000"/>
                <w:sz w:val="18"/>
                <w:szCs w:val="18"/>
              </w:rPr>
              <w:t>总计</w:t>
            </w:r>
          </w:p>
        </w:tc>
        <w:tc>
          <w:tcPr>
            <w:tcW w:w="304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318.35</w:t>
            </w:r>
            <w:r>
              <w:rPr>
                <w:rFonts w:ascii="Times New Roman" w:hAnsi="Times New Roman"/>
                <w:color w:val="000000"/>
                <w:sz w:val="18"/>
                <w:szCs w:val="18"/>
                <w:u w:color="auto"/>
              </w:rPr>
              <w:t xml:space="preserve"> </w:t>
            </w:r>
          </w:p>
        </w:tc>
      </w:tr>
    </w:tbl>
    <w:p>
      <w:pPr>
        <w:pStyle w:val="8"/>
        <w:snapToGrid w:val="0"/>
        <w:spacing w:before="0" w:beforeAutospacing="0" w:after="0" w:afterAutospacing="0" w:line="596" w:lineRule="exact"/>
        <w:jc w:val="both"/>
        <w:rPr>
          <w:rFonts w:hint="eastAsia" w:ascii="方正仿宋_GBK" w:hAnsi="方正仿宋_GBK" w:eastAsia="宋体" w:cs="方正仿宋_GBK"/>
          <w:sz w:val="32"/>
          <w:szCs w:val="32"/>
          <w:lang w:val="en-US" w:eastAsia="zh-CN"/>
        </w:rPr>
      </w:pPr>
      <w:r>
        <w:rPr>
          <w:rFonts w:cs="宋体"/>
          <w:sz w:val="20"/>
          <w:szCs w:val="20"/>
        </w:rPr>
        <w:t>备注：1.本表反映单位本年度的总收支和年末结转结余情况。</w:t>
      </w:r>
    </w:p>
    <w:p>
      <w:pPr>
        <w:rPr>
          <w:rFonts w:hint="default" w:cs="宋体"/>
          <w:sz w:val="18"/>
          <w:szCs w:val="18"/>
        </w:rPr>
      </w:pPr>
      <w:r>
        <w:rPr>
          <w:rFonts w:cs="宋体"/>
          <w:sz w:val="20"/>
          <w:szCs w:val="20"/>
        </w:rPr>
        <w:t xml:space="preserve">  </w:t>
      </w:r>
      <w:r>
        <w:rPr>
          <w:rFonts w:hint="eastAsia" w:cs="宋体"/>
          <w:sz w:val="20"/>
          <w:szCs w:val="20"/>
          <w:lang w:val="en-US" w:eastAsia="zh-CN"/>
        </w:rPr>
        <w:t xml:space="preserve">   </w:t>
      </w:r>
      <w:r>
        <w:rPr>
          <w:rFonts w:cs="宋体"/>
          <w:sz w:val="20"/>
          <w:szCs w:val="20"/>
        </w:rPr>
        <w:t xml:space="preserve"> 2.本套报表金额单位转换时可能存在尾数误差。</w:t>
      </w:r>
    </w:p>
    <w:tbl>
      <w:tblPr>
        <w:tblStyle w:val="9"/>
        <w:tblpPr w:leftFromText="180" w:rightFromText="180" w:vertAnchor="text" w:horzAnchor="page" w:tblpX="880" w:tblpY="58"/>
        <w:tblOverlap w:val="never"/>
        <w:tblW w:w="15503" w:type="dxa"/>
        <w:tblInd w:w="0" w:type="dxa"/>
        <w:tblLayout w:type="fixed"/>
        <w:tblCellMar>
          <w:top w:w="0" w:type="dxa"/>
          <w:left w:w="0" w:type="dxa"/>
          <w:bottom w:w="0" w:type="dxa"/>
          <w:right w:w="0" w:type="dxa"/>
        </w:tblCellMar>
      </w:tblPr>
      <w:tblGrid>
        <w:gridCol w:w="1637"/>
        <w:gridCol w:w="3293"/>
        <w:gridCol w:w="1090"/>
        <w:gridCol w:w="1367"/>
        <w:gridCol w:w="1257"/>
        <w:gridCol w:w="1257"/>
        <w:gridCol w:w="1320"/>
        <w:gridCol w:w="1259"/>
        <w:gridCol w:w="1392"/>
        <w:gridCol w:w="1631"/>
      </w:tblGrid>
      <w:tr>
        <w:tblPrEx>
          <w:tblCellMar>
            <w:top w:w="0" w:type="dxa"/>
            <w:left w:w="0" w:type="dxa"/>
            <w:bottom w:w="0" w:type="dxa"/>
            <w:right w:w="0" w:type="dxa"/>
          </w:tblCellMar>
        </w:tblPrEx>
        <w:trPr>
          <w:trHeight w:val="603"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秀山土家族苗族自治县妙泉镇卫生院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CellMar>
            <w:top w:w="0" w:type="dxa"/>
            <w:left w:w="0" w:type="dxa"/>
            <w:bottom w:w="0" w:type="dxa"/>
            <w:right w:w="0" w:type="dxa"/>
          </w:tblCellMar>
        </w:tblPrEx>
        <w:trPr>
          <w:trHeight w:val="295"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93" w:hRule="atLeast"/>
        </w:trPr>
        <w:tc>
          <w:tcPr>
            <w:tcW w:w="493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93"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ind w:firstLine="201" w:firstLineChars="100"/>
              <w:jc w:val="both"/>
              <w:textAlignment w:val="center"/>
              <w:rPr>
                <w:rFonts w:hint="default" w:cs="宋体"/>
                <w:b/>
                <w:color w:val="000000"/>
                <w:sz w:val="20"/>
                <w:szCs w:val="20"/>
              </w:rPr>
            </w:pPr>
            <w:r>
              <w:rPr>
                <w:rFonts w:cs="宋体"/>
                <w:b/>
                <w:color w:val="000000"/>
                <w:sz w:val="20"/>
                <w:szCs w:val="20"/>
              </w:rPr>
              <w:t>项目（按“项”级功能分类科目）</w:t>
            </w: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02" w:firstLineChars="200"/>
              <w:jc w:val="both"/>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0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8" w:hRule="atLeast"/>
        </w:trPr>
        <w:tc>
          <w:tcPr>
            <w:tcW w:w="49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0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311.47</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132.22</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178.33</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0.92</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6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208</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社会保障和就业支出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20805</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行政事业单位养老支出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2080502</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事业单位离退休</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29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2080505</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15"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2080506</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机关事业单位职业年金缴费支出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2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卫生健康支出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289.75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110.49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178.33</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0.92</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30"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21003</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基层医疗卫生机构</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242.51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63.25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178.33</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0.92</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2100302</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乡镇卫生院</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240.59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61.33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178.33</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15"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2100399</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其他基层医疗卫生机构支出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281"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21004</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公共卫生</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43.08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43.08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8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2100408</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基本公共卫生服务</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2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2100410</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突发公共卫生事件应急处置</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29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21011</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行政事业单位医疗</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9"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2101102</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事业单位医疗</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30"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2101199</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其他行政事业单位医疗支出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221</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住房保障支出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22102</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住房改革支出</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u w:val="single" w:color="auto"/>
              </w:rPr>
            </w:pPr>
            <w:r>
              <w:rPr>
                <w:rFonts w:cs="宋体"/>
                <w:color w:val="000000"/>
                <w:sz w:val="20"/>
                <w:szCs w:val="20"/>
                <w:u w:val="single" w:color="auto"/>
              </w:rPr>
              <w:t>2210201</w:t>
            </w:r>
          </w:p>
        </w:tc>
        <w:tc>
          <w:tcPr>
            <w:tcW w:w="32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u w:val="single" w:color="auto"/>
              </w:rPr>
            </w:pPr>
            <w:r>
              <w:rPr>
                <w:rFonts w:cs="宋体"/>
                <w:color w:val="000000"/>
                <w:sz w:val="20"/>
                <w:szCs w:val="20"/>
                <w:u w:val="single" w:color="auto"/>
              </w:rPr>
              <w:t>住房公积金</w:t>
            </w:r>
          </w:p>
        </w:tc>
        <w:tc>
          <w:tcPr>
            <w:tcW w:w="10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3.78</w:t>
            </w:r>
            <w:r>
              <w:rPr>
                <w:rFonts w:ascii="Times New Roman" w:hAnsi="Times New Roman"/>
                <w:color w:val="000000"/>
                <w:sz w:val="20"/>
                <w:u w:val="single"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3.78</w:t>
            </w:r>
            <w:r>
              <w:rPr>
                <w:rFonts w:ascii="Times New Roman" w:hAnsi="Times New Roman"/>
                <w:color w:val="000000"/>
                <w:sz w:val="20"/>
                <w:u w:val="single"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u w:val="single" w:color="auto"/>
              </w:rPr>
            </w:pPr>
            <w:r>
              <w:rPr>
                <w:rFonts w:hint="default" w:ascii="Times New Roman" w:hAnsi="Times New Roman"/>
                <w:color w:val="000000"/>
                <w:sz w:val="20"/>
                <w:szCs w:val="20"/>
                <w:u w:val="single" w:color="auto"/>
              </w:rPr>
              <w:t>0.00</w:t>
            </w:r>
            <w:r>
              <w:rPr>
                <w:rFonts w:ascii="Times New Roman" w:hAnsi="Times New Roman"/>
                <w:color w:val="000000"/>
                <w:sz w:val="20"/>
                <w:u w:val="single" w:color="auto"/>
              </w:rPr>
              <w:t xml:space="preserve"> </w:t>
            </w:r>
          </w:p>
        </w:tc>
      </w:tr>
    </w:tbl>
    <w:p>
      <w:pPr>
        <w:spacing w:line="240" w:lineRule="exact"/>
        <w:rPr>
          <w:rFonts w:hint="default" w:cs="宋体"/>
          <w:sz w:val="20"/>
          <w:szCs w:val="20"/>
        </w:rPr>
      </w:pPr>
      <w:r>
        <w:rPr>
          <w:rFonts w:cs="宋体"/>
          <w:sz w:val="20"/>
          <w:szCs w:val="20"/>
        </w:rPr>
        <w:br w:type="textWrapping"/>
      </w:r>
      <w:r>
        <w:rPr>
          <w:rFonts w:cs="宋体"/>
          <w:sz w:val="20"/>
          <w:szCs w:val="20"/>
          <w:u w:val="none" w:color="auto"/>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p>
    <w:p>
      <w:pPr>
        <w:rPr>
          <w:rFonts w:hint="default" w:cs="宋体"/>
          <w:sz w:val="20"/>
          <w:szCs w:val="20"/>
        </w:rPr>
      </w:pPr>
      <w:r>
        <w:rPr>
          <w:rFonts w:cs="宋体"/>
          <w:sz w:val="20"/>
          <w:szCs w:val="20"/>
        </w:rPr>
        <w:br w:type="page"/>
      </w:r>
    </w:p>
    <w:tbl>
      <w:tblPr>
        <w:tblStyle w:val="9"/>
        <w:tblW w:w="15322" w:type="dxa"/>
        <w:tblInd w:w="0" w:type="dxa"/>
        <w:tblLayout w:type="fixed"/>
        <w:tblCellMar>
          <w:top w:w="0" w:type="dxa"/>
          <w:left w:w="0" w:type="dxa"/>
          <w:bottom w:w="0" w:type="dxa"/>
          <w:right w:w="0" w:type="dxa"/>
        </w:tblCellMar>
      </w:tblPr>
      <w:tblGrid>
        <w:gridCol w:w="1778"/>
        <w:gridCol w:w="3389"/>
        <w:gridCol w:w="1645"/>
        <w:gridCol w:w="1694"/>
        <w:gridCol w:w="1627"/>
        <w:gridCol w:w="1559"/>
        <w:gridCol w:w="1694"/>
        <w:gridCol w:w="1936"/>
      </w:tblGrid>
      <w:tr>
        <w:tblPrEx>
          <w:tblCellMar>
            <w:top w:w="0" w:type="dxa"/>
            <w:left w:w="0" w:type="dxa"/>
            <w:bottom w:w="0" w:type="dxa"/>
            <w:right w:w="0" w:type="dxa"/>
          </w:tblCellMar>
        </w:tblPrEx>
        <w:trPr>
          <w:trHeight w:val="523"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秀山土家族苗族自治县妙泉镇卫生院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24"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201" w:firstLineChars="100"/>
              <w:jc w:val="both"/>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CellMar>
            <w:top w:w="0" w:type="dxa"/>
            <w:left w:w="0" w:type="dxa"/>
            <w:bottom w:w="0" w:type="dxa"/>
            <w:right w:w="0" w:type="dxa"/>
          </w:tblCellMar>
        </w:tblPrEx>
        <w:trPr>
          <w:trHeight w:val="338" w:hRule="atLeast"/>
        </w:trPr>
        <w:tc>
          <w:tcPr>
            <w:tcW w:w="1778"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b/>
                <w:color w:val="000000"/>
                <w:sz w:val="20"/>
                <w:szCs w:val="20"/>
              </w:rPr>
            </w:pPr>
            <w:r>
              <w:rPr>
                <w:rFonts w:cs="宋体"/>
                <w:b/>
                <w:color w:val="000000"/>
                <w:sz w:val="20"/>
                <w:szCs w:val="20"/>
              </w:rPr>
              <w:t>功能分类科目编码</w:t>
            </w:r>
          </w:p>
        </w:tc>
        <w:tc>
          <w:tcPr>
            <w:tcW w:w="338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8" w:hRule="atLeast"/>
        </w:trPr>
        <w:tc>
          <w:tcPr>
            <w:tcW w:w="177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8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8" w:hRule="atLeast"/>
        </w:trPr>
        <w:tc>
          <w:tcPr>
            <w:tcW w:w="177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8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12" w:hRule="atLeast"/>
        </w:trPr>
        <w:tc>
          <w:tcPr>
            <w:tcW w:w="1778"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8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317.48</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311.43</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6.04</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49"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65"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1"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49"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49"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32"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295.75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289.71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49"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248.51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242.97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3"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246.59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242.97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33"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0"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43.08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42.58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77"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15"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17"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293"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33"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17"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33"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52" w:hRule="atLeast"/>
        </w:trPr>
        <w:tc>
          <w:tcPr>
            <w:tcW w:w="1778"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3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1"/>
          <w:szCs w:val="21"/>
        </w:rPr>
        <w:br w:type="page"/>
      </w:r>
    </w:p>
    <w:p>
      <w:pPr>
        <w:rPr>
          <w:rFonts w:hint="default" w:cs="宋体"/>
          <w:sz w:val="21"/>
          <w:szCs w:val="21"/>
        </w:rPr>
      </w:pPr>
    </w:p>
    <w:tbl>
      <w:tblPr>
        <w:tblStyle w:val="9"/>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秀山土家族苗族自治县妙泉镇卫生院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132.22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115.19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115.19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132.22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136.92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136.92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秀山土家族苗族自治县妙泉镇卫生院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136.92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130.87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6.04</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17.94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3.97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115.19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109.15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6.04</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67.95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62.41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5.54</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66.03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62.41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3.62</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43.08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42.58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42.58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cs="宋体"/>
          <w:sz w:val="20"/>
          <w:szCs w:val="20"/>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秀山土家族苗族自治县妙泉镇卫生院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27.90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14.73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62.36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130.87</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秀山土家族苗族自治县妙泉镇卫生院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秀山土家族苗族自治县妙泉镇卫生院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9"/>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秀山土家族苗族自治县妙泉镇卫生院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3.53</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3.53</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3.30</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3.30</w:t>
            </w:r>
            <w:r>
              <w:rPr>
                <w:rFonts w:ascii="Times New Roman" w:hAnsi="Times New Roman"/>
                <w:color w:val="000000"/>
                <w:sz w:val="18"/>
                <w:u w:color="auto"/>
              </w:rPr>
              <w:t xml:space="preserve"> </w:t>
            </w:r>
          </w:p>
        </w:tc>
      </w:tr>
      <w:tr>
        <w:tblPrEx>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cs="宋体"/>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w:t>
      </w:r>
    </w:p>
    <w:p>
      <w:pPr>
        <w:rPr>
          <w:rFonts w:hint="default"/>
          <w:sz w:val="18"/>
          <w:szCs w:val="18"/>
        </w:rPr>
      </w:pPr>
      <w:r>
        <w:rPr>
          <w:rFonts w:cs="宋体"/>
          <w:sz w:val="18"/>
          <w:szCs w:val="18"/>
        </w:rPr>
        <w:t>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29845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2.35pt;height:144pt;width:144pt;mso-position-horizontal:outside;mso-position-horizontal-relative:margin;mso-wrap-style:none;z-index:251661312;mso-width-relative:page;mso-height-relative:page;" filled="f" stroked="f" coordsize="21600,21600" o:gfxdata="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W7hP50wAAAAYBAAAPAAAA&#10;AAAAAAEAIAAAACIAAABkcnMvZG93bnJldi54bWxQSwECFAAUAAAACACHTuJAyMZ+WxoCAAAhBAAA&#10;DgAAAAAAAAABACAAAAAiAQAAZHJzL2Uyb0RvYy54bWxQSwUGAAAAAAYABgBZAQAArgUAAAAA&#10;">
              <v:fill on="f" focussize="0,0"/>
              <v:stroke on="f" weight="0.5pt"/>
              <v:imagedata o:title=""/>
              <o:lock v:ext="edit" aspectratio="f"/>
              <v:textbox inset="0mm,0mm,0mm,0mm" style="mso-fit-shape-to-text:t;">
                <w:txbxContent>
                  <w:p>
                    <w:pPr>
                      <w:pStyle w:val="5"/>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- 4 -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E172C5"/>
    <w:multiLevelType w:val="singleLevel"/>
    <w:tmpl w:val="CBE172C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460EB"/>
    <w:rsid w:val="00984A78"/>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0F1C8E"/>
    <w:rsid w:val="013157C1"/>
    <w:rsid w:val="01474EBF"/>
    <w:rsid w:val="01F3521E"/>
    <w:rsid w:val="02EA0750"/>
    <w:rsid w:val="03215BF5"/>
    <w:rsid w:val="036E2DA9"/>
    <w:rsid w:val="038C3BFF"/>
    <w:rsid w:val="03B87EA0"/>
    <w:rsid w:val="03E3214F"/>
    <w:rsid w:val="044C50BA"/>
    <w:rsid w:val="0486155B"/>
    <w:rsid w:val="04A80A89"/>
    <w:rsid w:val="04EB2ED0"/>
    <w:rsid w:val="05BC6D49"/>
    <w:rsid w:val="06194FF1"/>
    <w:rsid w:val="06A2550B"/>
    <w:rsid w:val="06AB3FEE"/>
    <w:rsid w:val="06F80EE2"/>
    <w:rsid w:val="07001CCA"/>
    <w:rsid w:val="072818BD"/>
    <w:rsid w:val="075678DB"/>
    <w:rsid w:val="079D7CC7"/>
    <w:rsid w:val="07F41243"/>
    <w:rsid w:val="08051BCA"/>
    <w:rsid w:val="086C12F4"/>
    <w:rsid w:val="08705944"/>
    <w:rsid w:val="08BA052C"/>
    <w:rsid w:val="08DB07BA"/>
    <w:rsid w:val="094C5DB5"/>
    <w:rsid w:val="0969353F"/>
    <w:rsid w:val="098305D0"/>
    <w:rsid w:val="09B1218B"/>
    <w:rsid w:val="09CE125F"/>
    <w:rsid w:val="0A2E1E95"/>
    <w:rsid w:val="0A3317EA"/>
    <w:rsid w:val="0A5C4B69"/>
    <w:rsid w:val="0A86124A"/>
    <w:rsid w:val="0AB54CC0"/>
    <w:rsid w:val="0ABC6387"/>
    <w:rsid w:val="0B9335CE"/>
    <w:rsid w:val="0BBF3CAA"/>
    <w:rsid w:val="0BF2311A"/>
    <w:rsid w:val="0C7927C4"/>
    <w:rsid w:val="0C8A056D"/>
    <w:rsid w:val="0C9B098C"/>
    <w:rsid w:val="0CBE1B2A"/>
    <w:rsid w:val="0CE85FA8"/>
    <w:rsid w:val="0D673E11"/>
    <w:rsid w:val="0DDA54E4"/>
    <w:rsid w:val="0E3A5F83"/>
    <w:rsid w:val="0E494456"/>
    <w:rsid w:val="0F836721"/>
    <w:rsid w:val="0FA25D96"/>
    <w:rsid w:val="0FBD3C60"/>
    <w:rsid w:val="107B59E5"/>
    <w:rsid w:val="10A82319"/>
    <w:rsid w:val="10BC3CA6"/>
    <w:rsid w:val="10EC0126"/>
    <w:rsid w:val="10F70B9A"/>
    <w:rsid w:val="111445C7"/>
    <w:rsid w:val="114278C6"/>
    <w:rsid w:val="1158083A"/>
    <w:rsid w:val="11643A4B"/>
    <w:rsid w:val="11ED0F98"/>
    <w:rsid w:val="11F03528"/>
    <w:rsid w:val="1221404A"/>
    <w:rsid w:val="12C921C4"/>
    <w:rsid w:val="13871C70"/>
    <w:rsid w:val="13A71CB4"/>
    <w:rsid w:val="13AF1D43"/>
    <w:rsid w:val="13CE1647"/>
    <w:rsid w:val="13FD55AB"/>
    <w:rsid w:val="140F37E3"/>
    <w:rsid w:val="14200702"/>
    <w:rsid w:val="14370EA1"/>
    <w:rsid w:val="145D6F41"/>
    <w:rsid w:val="159821E8"/>
    <w:rsid w:val="163A6CEE"/>
    <w:rsid w:val="16B534DF"/>
    <w:rsid w:val="172A05F8"/>
    <w:rsid w:val="173708E3"/>
    <w:rsid w:val="17C374FC"/>
    <w:rsid w:val="17E77EFF"/>
    <w:rsid w:val="182E4AB6"/>
    <w:rsid w:val="189079DC"/>
    <w:rsid w:val="189B0D0B"/>
    <w:rsid w:val="18B43F7C"/>
    <w:rsid w:val="191C433B"/>
    <w:rsid w:val="194A1770"/>
    <w:rsid w:val="19B906A4"/>
    <w:rsid w:val="19D854C2"/>
    <w:rsid w:val="1A2774E3"/>
    <w:rsid w:val="1A550F92"/>
    <w:rsid w:val="1B6F15B6"/>
    <w:rsid w:val="1BAA2EDC"/>
    <w:rsid w:val="1BBD4AB0"/>
    <w:rsid w:val="1BE00672"/>
    <w:rsid w:val="1C797EF0"/>
    <w:rsid w:val="1CA55E64"/>
    <w:rsid w:val="1CA742AA"/>
    <w:rsid w:val="1D014A01"/>
    <w:rsid w:val="1D022362"/>
    <w:rsid w:val="1D1B04B0"/>
    <w:rsid w:val="1D737998"/>
    <w:rsid w:val="1D89558B"/>
    <w:rsid w:val="1DA52501"/>
    <w:rsid w:val="1DBD6767"/>
    <w:rsid w:val="1DC52125"/>
    <w:rsid w:val="1DD26311"/>
    <w:rsid w:val="1E3405BF"/>
    <w:rsid w:val="1E374ACB"/>
    <w:rsid w:val="1EA72F53"/>
    <w:rsid w:val="1ECF0A66"/>
    <w:rsid w:val="1EF67CA4"/>
    <w:rsid w:val="1F020D3A"/>
    <w:rsid w:val="1F2C5189"/>
    <w:rsid w:val="1F2E73A4"/>
    <w:rsid w:val="1F320ADE"/>
    <w:rsid w:val="1F4B0B02"/>
    <w:rsid w:val="1F5C7679"/>
    <w:rsid w:val="1FBB35CD"/>
    <w:rsid w:val="1FCD26AF"/>
    <w:rsid w:val="20642787"/>
    <w:rsid w:val="21492322"/>
    <w:rsid w:val="21556F04"/>
    <w:rsid w:val="217703D5"/>
    <w:rsid w:val="2218444A"/>
    <w:rsid w:val="2220345C"/>
    <w:rsid w:val="22403BD3"/>
    <w:rsid w:val="22F64004"/>
    <w:rsid w:val="235417B6"/>
    <w:rsid w:val="24116864"/>
    <w:rsid w:val="24B92327"/>
    <w:rsid w:val="24C14514"/>
    <w:rsid w:val="251B3B19"/>
    <w:rsid w:val="2533755C"/>
    <w:rsid w:val="25791755"/>
    <w:rsid w:val="25825FB9"/>
    <w:rsid w:val="26396DF4"/>
    <w:rsid w:val="265E28D6"/>
    <w:rsid w:val="27167136"/>
    <w:rsid w:val="271B442C"/>
    <w:rsid w:val="27377C59"/>
    <w:rsid w:val="27481BC6"/>
    <w:rsid w:val="27B23302"/>
    <w:rsid w:val="27CC1A83"/>
    <w:rsid w:val="27D47CFD"/>
    <w:rsid w:val="28B26CB0"/>
    <w:rsid w:val="28FF2797"/>
    <w:rsid w:val="29310A5F"/>
    <w:rsid w:val="29C37A35"/>
    <w:rsid w:val="2A076083"/>
    <w:rsid w:val="2A5F2B5C"/>
    <w:rsid w:val="2A73162E"/>
    <w:rsid w:val="2A734367"/>
    <w:rsid w:val="2B023EB6"/>
    <w:rsid w:val="2B167953"/>
    <w:rsid w:val="2B200583"/>
    <w:rsid w:val="2B8209DE"/>
    <w:rsid w:val="2B821C91"/>
    <w:rsid w:val="2BF81A22"/>
    <w:rsid w:val="2C636760"/>
    <w:rsid w:val="2C6762A3"/>
    <w:rsid w:val="2DF41D09"/>
    <w:rsid w:val="2FCA4B37"/>
    <w:rsid w:val="2FE029D7"/>
    <w:rsid w:val="2FE2522D"/>
    <w:rsid w:val="2FF06E00"/>
    <w:rsid w:val="30586FEC"/>
    <w:rsid w:val="315F0B22"/>
    <w:rsid w:val="31757200"/>
    <w:rsid w:val="317E2771"/>
    <w:rsid w:val="31913065"/>
    <w:rsid w:val="319258FA"/>
    <w:rsid w:val="31D84415"/>
    <w:rsid w:val="32285F6F"/>
    <w:rsid w:val="32770556"/>
    <w:rsid w:val="329C0913"/>
    <w:rsid w:val="32AA0460"/>
    <w:rsid w:val="32AB2630"/>
    <w:rsid w:val="33067D66"/>
    <w:rsid w:val="33256718"/>
    <w:rsid w:val="3337290D"/>
    <w:rsid w:val="335B2ECF"/>
    <w:rsid w:val="33C76311"/>
    <w:rsid w:val="33E31118"/>
    <w:rsid w:val="33EF7674"/>
    <w:rsid w:val="342D7BC6"/>
    <w:rsid w:val="352930DB"/>
    <w:rsid w:val="35573069"/>
    <w:rsid w:val="355F6038"/>
    <w:rsid w:val="358C217E"/>
    <w:rsid w:val="35FE2436"/>
    <w:rsid w:val="366F6AE7"/>
    <w:rsid w:val="36C9128A"/>
    <w:rsid w:val="36FA4628"/>
    <w:rsid w:val="370E69E7"/>
    <w:rsid w:val="37841E99"/>
    <w:rsid w:val="37BE7E4F"/>
    <w:rsid w:val="37BF1123"/>
    <w:rsid w:val="383C3F15"/>
    <w:rsid w:val="38563566"/>
    <w:rsid w:val="38BE4696"/>
    <w:rsid w:val="3939115E"/>
    <w:rsid w:val="39AB7AFE"/>
    <w:rsid w:val="39B82A39"/>
    <w:rsid w:val="39C42CA8"/>
    <w:rsid w:val="39DC4FD6"/>
    <w:rsid w:val="39F03D7A"/>
    <w:rsid w:val="39F33306"/>
    <w:rsid w:val="3A2C1C67"/>
    <w:rsid w:val="3A2C6DA1"/>
    <w:rsid w:val="3A6A77C9"/>
    <w:rsid w:val="3ADD7F09"/>
    <w:rsid w:val="3ADE3767"/>
    <w:rsid w:val="3B1705E5"/>
    <w:rsid w:val="3B18334B"/>
    <w:rsid w:val="3B36794F"/>
    <w:rsid w:val="3B6F6EE0"/>
    <w:rsid w:val="3C566AD6"/>
    <w:rsid w:val="3C594871"/>
    <w:rsid w:val="3C6A5B02"/>
    <w:rsid w:val="3D2757A1"/>
    <w:rsid w:val="3D3D4FC4"/>
    <w:rsid w:val="3D971676"/>
    <w:rsid w:val="3DDB69E7"/>
    <w:rsid w:val="3DDF3AB1"/>
    <w:rsid w:val="3E1D0952"/>
    <w:rsid w:val="3E2D7C85"/>
    <w:rsid w:val="3E42660A"/>
    <w:rsid w:val="3E7555B1"/>
    <w:rsid w:val="3E787ED9"/>
    <w:rsid w:val="3EB26B92"/>
    <w:rsid w:val="3ECE29AE"/>
    <w:rsid w:val="3F032E93"/>
    <w:rsid w:val="3F0527E5"/>
    <w:rsid w:val="3F4C52C6"/>
    <w:rsid w:val="3F694D83"/>
    <w:rsid w:val="3F885DCC"/>
    <w:rsid w:val="3F9A6AC4"/>
    <w:rsid w:val="3FCD675E"/>
    <w:rsid w:val="4004000C"/>
    <w:rsid w:val="40BD5482"/>
    <w:rsid w:val="411B6CE5"/>
    <w:rsid w:val="412070D7"/>
    <w:rsid w:val="41314E40"/>
    <w:rsid w:val="41E0734B"/>
    <w:rsid w:val="426C1EA8"/>
    <w:rsid w:val="42736402"/>
    <w:rsid w:val="427A3577"/>
    <w:rsid w:val="428A4569"/>
    <w:rsid w:val="42E86A87"/>
    <w:rsid w:val="43043356"/>
    <w:rsid w:val="43307B09"/>
    <w:rsid w:val="436D44AF"/>
    <w:rsid w:val="439A3EB9"/>
    <w:rsid w:val="43A2191B"/>
    <w:rsid w:val="43BB152F"/>
    <w:rsid w:val="43CB0A8A"/>
    <w:rsid w:val="43D64D9E"/>
    <w:rsid w:val="44817D7D"/>
    <w:rsid w:val="44C37687"/>
    <w:rsid w:val="44D7379E"/>
    <w:rsid w:val="452574DC"/>
    <w:rsid w:val="45CB699A"/>
    <w:rsid w:val="461E0860"/>
    <w:rsid w:val="46423C66"/>
    <w:rsid w:val="465B470D"/>
    <w:rsid w:val="469D6AD4"/>
    <w:rsid w:val="471E6C84"/>
    <w:rsid w:val="4748792B"/>
    <w:rsid w:val="475D719D"/>
    <w:rsid w:val="47674801"/>
    <w:rsid w:val="47720E6C"/>
    <w:rsid w:val="47B437A1"/>
    <w:rsid w:val="48225EF7"/>
    <w:rsid w:val="48437557"/>
    <w:rsid w:val="484E0BDE"/>
    <w:rsid w:val="488F422B"/>
    <w:rsid w:val="48E36915"/>
    <w:rsid w:val="48EB6572"/>
    <w:rsid w:val="495C4A24"/>
    <w:rsid w:val="497135DF"/>
    <w:rsid w:val="4A263DF2"/>
    <w:rsid w:val="4A2F278B"/>
    <w:rsid w:val="4A6F6675"/>
    <w:rsid w:val="4A74249A"/>
    <w:rsid w:val="4B0302A2"/>
    <w:rsid w:val="4B135857"/>
    <w:rsid w:val="4B7951CB"/>
    <w:rsid w:val="4B7C315C"/>
    <w:rsid w:val="4C9316A8"/>
    <w:rsid w:val="4D1F53CA"/>
    <w:rsid w:val="4DAC4ACA"/>
    <w:rsid w:val="4DBE01D2"/>
    <w:rsid w:val="4EEC11BB"/>
    <w:rsid w:val="4F0C6BA3"/>
    <w:rsid w:val="4F186D58"/>
    <w:rsid w:val="4FB26387"/>
    <w:rsid w:val="50F06B6E"/>
    <w:rsid w:val="510E0A24"/>
    <w:rsid w:val="5195319E"/>
    <w:rsid w:val="51D21804"/>
    <w:rsid w:val="52234D33"/>
    <w:rsid w:val="522752BD"/>
    <w:rsid w:val="52285ADE"/>
    <w:rsid w:val="522F6E0C"/>
    <w:rsid w:val="52463BA1"/>
    <w:rsid w:val="52F163D4"/>
    <w:rsid w:val="531A2DB4"/>
    <w:rsid w:val="53203B07"/>
    <w:rsid w:val="538B1E1C"/>
    <w:rsid w:val="53C0244D"/>
    <w:rsid w:val="53DD4D4E"/>
    <w:rsid w:val="53E578CE"/>
    <w:rsid w:val="541330F0"/>
    <w:rsid w:val="54272666"/>
    <w:rsid w:val="542F6D1B"/>
    <w:rsid w:val="543B029D"/>
    <w:rsid w:val="54861779"/>
    <w:rsid w:val="54A51B15"/>
    <w:rsid w:val="552256E1"/>
    <w:rsid w:val="554E5773"/>
    <w:rsid w:val="555829E0"/>
    <w:rsid w:val="555A3CBC"/>
    <w:rsid w:val="5582012B"/>
    <w:rsid w:val="558E4E05"/>
    <w:rsid w:val="55BE2E85"/>
    <w:rsid w:val="56530F5D"/>
    <w:rsid w:val="567700D3"/>
    <w:rsid w:val="56822080"/>
    <w:rsid w:val="569E5A73"/>
    <w:rsid w:val="56D0025F"/>
    <w:rsid w:val="56FF7E9E"/>
    <w:rsid w:val="570D6021"/>
    <w:rsid w:val="57157A84"/>
    <w:rsid w:val="578867FC"/>
    <w:rsid w:val="57D262EE"/>
    <w:rsid w:val="581B5C40"/>
    <w:rsid w:val="5842572D"/>
    <w:rsid w:val="59C65525"/>
    <w:rsid w:val="59FC365D"/>
    <w:rsid w:val="5A046DCB"/>
    <w:rsid w:val="5A3B59D6"/>
    <w:rsid w:val="5AD134D8"/>
    <w:rsid w:val="5B044786"/>
    <w:rsid w:val="5BF41F67"/>
    <w:rsid w:val="5C263CE4"/>
    <w:rsid w:val="5C3D776C"/>
    <w:rsid w:val="5C5D2777"/>
    <w:rsid w:val="5CD9421F"/>
    <w:rsid w:val="5CF66BF3"/>
    <w:rsid w:val="5D290C69"/>
    <w:rsid w:val="5D2B0FC9"/>
    <w:rsid w:val="5DA80C2C"/>
    <w:rsid w:val="5F2D4A41"/>
    <w:rsid w:val="5F7E26BA"/>
    <w:rsid w:val="605055F6"/>
    <w:rsid w:val="60C74F6C"/>
    <w:rsid w:val="61015958"/>
    <w:rsid w:val="61025A59"/>
    <w:rsid w:val="613D5BBC"/>
    <w:rsid w:val="61536C39"/>
    <w:rsid w:val="61894431"/>
    <w:rsid w:val="62944DD7"/>
    <w:rsid w:val="6319381F"/>
    <w:rsid w:val="63491042"/>
    <w:rsid w:val="63C25DC5"/>
    <w:rsid w:val="63C62057"/>
    <w:rsid w:val="63C87BAB"/>
    <w:rsid w:val="64571EF5"/>
    <w:rsid w:val="64FB113D"/>
    <w:rsid w:val="656152C6"/>
    <w:rsid w:val="6587477F"/>
    <w:rsid w:val="658C3A08"/>
    <w:rsid w:val="65A93D1B"/>
    <w:rsid w:val="65C031CA"/>
    <w:rsid w:val="65CE6852"/>
    <w:rsid w:val="66267C04"/>
    <w:rsid w:val="663F505A"/>
    <w:rsid w:val="666B736E"/>
    <w:rsid w:val="66AF5D7C"/>
    <w:rsid w:val="66EE5541"/>
    <w:rsid w:val="67091A8C"/>
    <w:rsid w:val="677638A5"/>
    <w:rsid w:val="67924660"/>
    <w:rsid w:val="68407834"/>
    <w:rsid w:val="6883293E"/>
    <w:rsid w:val="688412AD"/>
    <w:rsid w:val="68EB1B71"/>
    <w:rsid w:val="69423F1B"/>
    <w:rsid w:val="696C0310"/>
    <w:rsid w:val="69C26FBF"/>
    <w:rsid w:val="6A6C7940"/>
    <w:rsid w:val="6A9F1565"/>
    <w:rsid w:val="6AAD2300"/>
    <w:rsid w:val="6B20489E"/>
    <w:rsid w:val="6B474EF5"/>
    <w:rsid w:val="6B742C76"/>
    <w:rsid w:val="6C0A5AC5"/>
    <w:rsid w:val="6C357C10"/>
    <w:rsid w:val="6C560CAE"/>
    <w:rsid w:val="6C576495"/>
    <w:rsid w:val="6CA50176"/>
    <w:rsid w:val="6D903FF5"/>
    <w:rsid w:val="6D910FDB"/>
    <w:rsid w:val="6DA955B8"/>
    <w:rsid w:val="6DE346AB"/>
    <w:rsid w:val="6DE5391A"/>
    <w:rsid w:val="6EFD1324"/>
    <w:rsid w:val="6F5A53AC"/>
    <w:rsid w:val="6F5B3993"/>
    <w:rsid w:val="6FAC003D"/>
    <w:rsid w:val="6FD926BF"/>
    <w:rsid w:val="6FE3635A"/>
    <w:rsid w:val="6FE55E12"/>
    <w:rsid w:val="6FFB2E76"/>
    <w:rsid w:val="701A5C00"/>
    <w:rsid w:val="70381E58"/>
    <w:rsid w:val="708F6F7F"/>
    <w:rsid w:val="70D94BD3"/>
    <w:rsid w:val="71574775"/>
    <w:rsid w:val="71C34D91"/>
    <w:rsid w:val="71DF6B2B"/>
    <w:rsid w:val="72DB435C"/>
    <w:rsid w:val="72E2613A"/>
    <w:rsid w:val="72F771F4"/>
    <w:rsid w:val="73495B3C"/>
    <w:rsid w:val="73934AD2"/>
    <w:rsid w:val="74C42108"/>
    <w:rsid w:val="750837F0"/>
    <w:rsid w:val="7512079D"/>
    <w:rsid w:val="754758CF"/>
    <w:rsid w:val="75501C8F"/>
    <w:rsid w:val="75595ECD"/>
    <w:rsid w:val="761175F4"/>
    <w:rsid w:val="764F62AB"/>
    <w:rsid w:val="765C45EC"/>
    <w:rsid w:val="768A7619"/>
    <w:rsid w:val="77221B04"/>
    <w:rsid w:val="772E1EBA"/>
    <w:rsid w:val="781926BC"/>
    <w:rsid w:val="7855353D"/>
    <w:rsid w:val="787D5E1C"/>
    <w:rsid w:val="78B01F5B"/>
    <w:rsid w:val="78B33554"/>
    <w:rsid w:val="792B0902"/>
    <w:rsid w:val="796D60A4"/>
    <w:rsid w:val="797A664A"/>
    <w:rsid w:val="798E2112"/>
    <w:rsid w:val="79A031D5"/>
    <w:rsid w:val="79B47FDF"/>
    <w:rsid w:val="79E569A9"/>
    <w:rsid w:val="7A1525F7"/>
    <w:rsid w:val="7B3B05C1"/>
    <w:rsid w:val="7B420052"/>
    <w:rsid w:val="7BD06A28"/>
    <w:rsid w:val="7C1366EB"/>
    <w:rsid w:val="7C3A7C0B"/>
    <w:rsid w:val="7C5248E4"/>
    <w:rsid w:val="7C566698"/>
    <w:rsid w:val="7C5866A3"/>
    <w:rsid w:val="7D621820"/>
    <w:rsid w:val="7D7406BB"/>
    <w:rsid w:val="7DE94331"/>
    <w:rsid w:val="7E641FF3"/>
    <w:rsid w:val="7EEF0B24"/>
    <w:rsid w:val="7F381916"/>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ind w:left="101" w:firstLine="679"/>
      <w:jc w:val="left"/>
    </w:pPr>
    <w:rPr>
      <w:rFonts w:ascii="sans-serif" w:hAnsi="sans-serif" w:eastAsia="sans-serif" w:cs="Times New Roman"/>
      <w:kern w:val="0"/>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b/>
    </w:r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11"/>
    <w:link w:val="4"/>
    <w:qFormat/>
    <w:uiPriority w:val="0"/>
    <w:rPr>
      <w:rFonts w:ascii="宋体" w:hAnsi="宋体"/>
      <w:sz w:val="18"/>
      <w:szCs w:val="18"/>
    </w:rPr>
  </w:style>
  <w:style w:type="paragraph" w:customStyle="1" w:styleId="18">
    <w:name w:val="List Paragraph"/>
    <w:basedOn w:val="1"/>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6</TotalTime>
  <ScaleCrop>false</ScaleCrop>
  <LinksUpToDate>false</LinksUpToDate>
  <CharactersWithSpaces>26313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hc</cp:lastModifiedBy>
  <dcterms:modified xsi:type="dcterms:W3CDTF">2025-09-30T07:36:57Z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BB46EABDBB2749749395447164B066B3_12</vt:lpwstr>
  </property>
</Properties>
</file>